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5FCB5" w14:textId="0C40DFF0" w:rsidR="003F5418" w:rsidRDefault="002A6C25" w:rsidP="002A6C25">
      <w:pPr>
        <w:pStyle w:val="Pagedecouverture"/>
        <w:rPr>
          <w:noProof/>
        </w:rPr>
      </w:pPr>
      <w:bookmarkStart w:id="0" w:name="LW_BM_COVERPAGE"/>
      <w:r>
        <w:rPr>
          <w:noProof/>
        </w:rPr>
        <w:pict w14:anchorId="75F16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44EB9642-ED2C-485D-9079-8F54ED05BC81" style="width:455.25pt;height:452.25pt">
            <v:imagedata r:id="rId11" o:title=""/>
          </v:shape>
        </w:pict>
      </w:r>
    </w:p>
    <w:bookmarkEnd w:id="0"/>
    <w:p w14:paraId="06AA5568" w14:textId="77777777" w:rsidR="003F5418" w:rsidRDefault="003F5418">
      <w:pPr>
        <w:rPr>
          <w:noProof/>
        </w:rPr>
        <w:sectPr w:rsidR="003F5418" w:rsidSect="002A6C25">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3AEEAB9" w14:textId="7EC13F4A" w:rsidR="003F5418" w:rsidRDefault="002A6C25">
      <w:pPr>
        <w:pStyle w:val="P68B1DB1-Heading11"/>
        <w:numPr>
          <w:ilvl w:val="0"/>
          <w:numId w:val="0"/>
        </w:numPr>
        <w:jc w:val="center"/>
        <w:rPr>
          <w:noProof/>
        </w:rPr>
      </w:pPr>
      <w:bookmarkStart w:id="1" w:name="_GoBack"/>
      <w:bookmarkEnd w:id="1"/>
      <w:r>
        <w:rPr>
          <w:noProof/>
        </w:rPr>
        <w:lastRenderedPageBreak/>
        <w:t>MELLÉKLET</w:t>
      </w:r>
    </w:p>
    <w:p w14:paraId="586F96FE" w14:textId="77777777" w:rsidR="003F5418" w:rsidRDefault="002A6C25">
      <w:pPr>
        <w:pStyle w:val="Heading1"/>
        <w:rPr>
          <w:noProof/>
        </w:rPr>
      </w:pPr>
      <w:r>
        <w:rPr>
          <w:noProof/>
        </w:rPr>
        <w:t xml:space="preserve">A reformok és beruházások ismertetése </w:t>
      </w:r>
    </w:p>
    <w:p w14:paraId="4C007BAB" w14:textId="77777777" w:rsidR="003F5418" w:rsidRDefault="002A6C25">
      <w:pPr>
        <w:pStyle w:val="Heading2"/>
        <w:numPr>
          <w:ilvl w:val="0"/>
          <w:numId w:val="104"/>
        </w:numPr>
        <w:rPr>
          <w:noProof/>
        </w:rPr>
      </w:pPr>
      <w:r>
        <w:rPr>
          <w:noProof/>
        </w:rPr>
        <w:t>KÜLDETÉS: 1. KOMPONENS:</w:t>
      </w:r>
    </w:p>
    <w:p w14:paraId="49953074" w14:textId="1C177486" w:rsidR="003F5418" w:rsidRDefault="00DB1837">
      <w:pPr>
        <w:pStyle w:val="Descriptiontitle"/>
        <w:ind w:left="0"/>
        <w:rPr>
          <w:rFonts w:eastAsiaTheme="minorEastAsia"/>
          <w:noProof/>
        </w:rPr>
      </w:pPr>
      <w:r>
        <w:rPr>
          <w:b/>
          <w:noProof/>
        </w:rPr>
        <w:t>1. Tengely – A közigazgatás digitalizálása</w:t>
      </w:r>
      <w:r>
        <w:rPr>
          <w:noProof/>
        </w:rPr>
        <w:t>: Az olasz helyreállítási és rezilienciaépítési terv M1C1 komponensének 1. tengelye olyan intézkedéseket tartalmaz, amelyek célja az olasz közigazgatás digitalizációjának előmozdítása, és hét beruházást és három reformot tartalmaz. A beruházások különösen a következőkre irányulnak: i. a közigazgatás meglévő digitális infrastruktúráinak észszerűsítése és megszilárdítása; a felhőalapú számítástechnika elterjedésének előmozdítása, iii. különös tekintettel a platformok és az adatszolgáltatások harmonizációjára és interoperabilitására, az egyszeri adatszolgáltatás elvének végrehajtására és az adatokhoz való hozzáférésre az alkalmazásprogramozási interfészek (API-k) katalógusa révén; iv. az összes digitális közszolgáltatás elérhetőségének, hatékonyságának és hozzáférhetőségének javítása az elfogadás szintjének és a felhasználók elégedettségének növelése érdekében, v. Olaszország védelmének megerősítése a kiberbűnözés jelentette kockázatokkal szemben, vi. a nagy központi közigazgatások digitális átalakításának előmozdítása; vi. a digitális szakadék kezelése a polgárok digitális készségeinek megerősítése révén. Az e tengelyhez tartozó reformok célja különösen i. az információs és kommunikációs technológiai (IKT) megoldásokra vonatkozó közbeszerzési eljárás közigazgatási szervek általi észszerűsítése és felgyorsítása; a közigazgatás digitális átalakításának támogatása, valamint iii. a számítási felhő közigazgatási szervek általi bevezetése előtt álló akadályok felszámolása és a közigazgatási szervek közötti adatcsere-folyamatok egyszerűsítése.</w:t>
      </w:r>
    </w:p>
    <w:p w14:paraId="7B70AA1A" w14:textId="77777777" w:rsidR="003F5418" w:rsidRDefault="002A6C25">
      <w:pPr>
        <w:pStyle w:val="Descriptiontitle"/>
        <w:ind w:left="0"/>
        <w:rPr>
          <w:rFonts w:eastAsiaTheme="minorEastAsia"/>
          <w:noProof/>
        </w:rPr>
      </w:pPr>
      <w:r>
        <w:rPr>
          <w:noProof/>
        </w:rPr>
        <w:t>Az e</w:t>
      </w:r>
      <w:r>
        <w:rPr>
          <w:noProof/>
        </w:rPr>
        <w:t xml:space="preserve"> komponens alá tartozó beruházásoknak és reformoknak hozzá kell járulniuk a 2020-ban és 2019-ben Olaszországnak címzett országspecifikus ajánlások teljesítéséhez, amelyek szerint „fokozni kell a közigazgatás hatékonyságát, többek között a közalkalmazottak </w:t>
      </w:r>
      <w:r>
        <w:rPr>
          <w:noProof/>
        </w:rPr>
        <w:t>készségeibe való beruházás, a digitalizáció felgyorsítása, valamint a helyi közszolgáltatások hatékonyságának és minőségének javítása révén” (3. országspecifikus ajánlás, 2019. évi 3. sz. országspecifikus ajánlás), valamint „a beruházásoknak a zöld és digi</w:t>
      </w:r>
      <w:r>
        <w:rPr>
          <w:noProof/>
        </w:rPr>
        <w:t>tális átállásra, különösen [...] a megerősített digitális infrastruktúrára kell összpontosítaniuk az alapvető szolgáltatások nyújtásának biztosítása érdekében”.</w:t>
      </w:r>
    </w:p>
    <w:p w14:paraId="2C3AB117" w14:textId="010F4818" w:rsidR="003F5418" w:rsidRDefault="00DB1837">
      <w:pPr>
        <w:pStyle w:val="Descriptiontitle"/>
        <w:ind w:left="0"/>
        <w:rPr>
          <w:rFonts w:eastAsiaTheme="minorEastAsia"/>
          <w:noProof/>
        </w:rPr>
      </w:pPr>
      <w:r>
        <w:rPr>
          <w:b/>
          <w:noProof/>
        </w:rPr>
        <w:t>2. Tengely – Jogérvényesülés</w:t>
      </w:r>
      <w:r>
        <w:rPr>
          <w:noProof/>
        </w:rPr>
        <w:t>: Amint azt az Európai Bizottság legutóbbi, az igazságszolgáltatás hatékonyságáról szóló jelentése (CEPEJ) körvonalazza, az olasz igazságszolgáltatási rendszer teljesítménye messze elmarad a többi tagállamétól az eljárások időtartama tekintetében. A helyreállítási és rezilienciaépítési terv M1C1 komponensének 2. tengelye olyan intézkedéseket tartalmaz, amelyek célja az igazságszolgáltatási rendszer hatékonyabbá tétele az eljárások időtartamának csökkentése és Olaszországnak az uniós mediánhoz való közelítése révén. Ez a komponens a polgári perek hosszának csökkentéséről és a korrupció elleni küzdelem hatékonyságának javításáról szóló, 2020-ban és 2019-ben Olaszországnak címzett országspecifikus ajánlásokkal foglalkozik (4., 2019. és 4. országspecifikus ajánlás). Ezenkívül az igazságszolgáltatási rendszer digitalizálása a digitális átállás szempontjából is fontos.</w:t>
      </w:r>
    </w:p>
    <w:p w14:paraId="62A88CC1" w14:textId="6840ED53" w:rsidR="003F5418" w:rsidRDefault="00DB1837">
      <w:pPr>
        <w:pStyle w:val="Descriptiontitle"/>
        <w:ind w:left="0"/>
        <w:rPr>
          <w:rFonts w:eastAsiaTheme="minorEastAsia"/>
          <w:noProof/>
        </w:rPr>
      </w:pPr>
      <w:r>
        <w:rPr>
          <w:b/>
          <w:noProof/>
        </w:rPr>
        <w:t>3. Tengely – Közigazgatás</w:t>
      </w:r>
      <w:r>
        <w:rPr>
          <w:noProof/>
        </w:rPr>
        <w:t xml:space="preserve">: A helyreállítási és rezilienciaépítési terv M1C1 komponensének 3. tengelye olyan intézkedéseket tartalmaz, amelyek célja az olasz közigazgatás reformja és az igazgatási kapacitás javítása. Olaszország mind a kormányzati hatékonyság, mind a kormányba vetett bizalom tekintetében az EU-27 átlaga alatt van. Az olasz közigazgatási reformokat a felülről lefelé irányuló reformok végrehajtásában mutatkozó súlyos hiányosságok, valamint az </w:t>
      </w:r>
      <w:r>
        <w:rPr>
          <w:noProof/>
        </w:rPr>
        <w:lastRenderedPageBreak/>
        <w:t>értékes, alulról felfelé építkező innovációk csekély mértékű elismerése és terjesztése jellemezte. Az adminisztratív kapacitás nagyon alacsony. Folytatni kell a stratégiai tervezési kapacitás, a nyomonkövetési és értékelési mechanizmusok, valamint a tényeken alapuló szakpolitikai döntéshozatali eszközök megerősítésére irányuló erőfeszítéseket. Ennek az összetevőnek a fő célja az olasz közigazgatás igazgatási kapacitásának növelése központi és helyi szinten, mind a humán tőke (kiválasztás, kompetenciák és karrierek), mind pedig az adminisztratív eljárások egyszerűsítése tekintetében. Ez a szakasz az átfogó strukturális humánerőforrás-stratégiát mutatja be, a kiválasztási folyamatoktól a karrierlehetőségekig. A reform az eljárások egyszerűsítésére irányuló intézkedéseket is tartalmaz. Az új digitális eszköztárakba történő beruházások és az egész életen át tartó tanulással kapcsolatos megerősített intézkedések az 1. küldetés 1. komponensébe tartoznak. Ez a komponens a közigazgatás hatékonyságának javításáról szóló, 2020-ban és 2019-ben Olaszországnak címzett országspecifikus ajánlásokkal foglalkozik (3. országspecifikus ajánlás, 2019. évi 4. országspecifikus ajánlás, 2020. évi 4. országspecifikus ajánlás).</w:t>
      </w:r>
    </w:p>
    <w:p w14:paraId="772CBA4D" w14:textId="196FEBA5" w:rsidR="003F5418" w:rsidRDefault="00DB1837">
      <w:pPr>
        <w:pStyle w:val="Descriptiontitle"/>
        <w:ind w:left="0"/>
        <w:rPr>
          <w:rFonts w:eastAsiaTheme="minorHAnsi"/>
          <w:noProof/>
        </w:rPr>
      </w:pPr>
      <w:r>
        <w:rPr>
          <w:b/>
          <w:noProof/>
        </w:rPr>
        <w:t>4. Tengely – Közbeszerzések és igazgatási kifizetések</w:t>
      </w:r>
      <w:r>
        <w:rPr>
          <w:noProof/>
        </w:rPr>
        <w:t>: A helyreállítási és rezilienciaépítési terv M1C1 komponensének 4. tengelye olyan intézkedéseket tartalmaz, amelyek célja az olasz közbeszerzési jogszabályi keret egyes kulcsfontosságú elemeinek reformja, valamint a központi, regionális és helyi közigazgatási szervek, valamint a regionális egészségügyi hatóságok késedelmes kifizetéseinek csökkentése. A reform fő célja a közbeszerzési szabályok egyszerűsítése, a vállalkozások jogbiztonságának növelése és a közbeszerzési szerződések odaítélésének felgyorsítása, az átláthatóságra és az egyenlő bánásmódra vonatkozó eljárási garanciák fenntartása mellett. Ezek a reformok ezért támogatják a terv által finanszírozott infrastruktúrák és projektek időben történő megvalósítását.</w:t>
      </w:r>
    </w:p>
    <w:p w14:paraId="09F41549" w14:textId="0547FB80" w:rsidR="003F5418" w:rsidRDefault="00DB1837">
      <w:pPr>
        <w:pStyle w:val="Descriptiontitle"/>
        <w:ind w:left="0"/>
        <w:rPr>
          <w:rFonts w:eastAsiaTheme="minorHAnsi"/>
          <w:noProof/>
        </w:rPr>
      </w:pPr>
      <w:r>
        <w:rPr>
          <w:b/>
          <w:noProof/>
        </w:rPr>
        <w:t>5. Tengely – Költségvetési-strukturális reformok (adózás és közkiadások)</w:t>
      </w:r>
      <w:r>
        <w:rPr>
          <w:noProof/>
        </w:rPr>
        <w:t>: A helyreállítás és reziliencia M1C1 komponensének 5. tengelye számos olyan reformot tartalmaz, amelyek célja Olaszország államháztartása fenntarthatóságának támogatása (1. országspecifikus ajánlás, 2019.). A bevételi oldalon a reformok célja az adóbeszedési folyamat javítása, az adózási fegyelem ösztönzése és az adócsalás elleni küzdelem, az adófizetők megfelelési költségeinek csökkentése és az államháztartás bevételeinek növelése érdekében, hozzájárulva az államháztartás fenntarthatóságának javításához. Ami a kiadási oldalt illeti, a reformok célja a közkiadások hatékonyságának javítása, mind központi szinten, a kiadások éves felülvizsgálatára vonatkozó meglévő keret megerősítése révén, mind szubnacionális szinten, a különböző kormányzati szintek közötti költségvetési kapcsolatok reformjának befejezésével.</w:t>
      </w:r>
    </w:p>
    <w:p w14:paraId="73E147FD" w14:textId="77777777" w:rsidR="003F5418" w:rsidRDefault="002A6C25">
      <w:pPr>
        <w:pStyle w:val="Heading3"/>
        <w:numPr>
          <w:ilvl w:val="0"/>
          <w:numId w:val="0"/>
        </w:numPr>
        <w:ind w:left="850" w:hanging="850"/>
        <w:rPr>
          <w:b/>
          <w:i w:val="0"/>
          <w:noProof/>
          <w:u w:val="single"/>
        </w:rPr>
      </w:pPr>
      <w:r>
        <w:rPr>
          <w:b/>
          <w:i w:val="0"/>
          <w:noProof/>
          <w:u w:val="single"/>
        </w:rPr>
        <w:t xml:space="preserve">A.1. </w:t>
      </w:r>
      <w:r>
        <w:rPr>
          <w:noProof/>
        </w:rPr>
        <w:t xml:space="preserve"> </w:t>
      </w:r>
      <w:r>
        <w:rPr>
          <w:b/>
          <w:i w:val="0"/>
          <w:noProof/>
          <w:u w:val="single"/>
        </w:rPr>
        <w:t>Vissza nem térítendő pénzügyi támogatás – a reformok és beruházások ismertetése</w:t>
      </w:r>
    </w:p>
    <w:p w14:paraId="2493B723" w14:textId="2B6E0D55" w:rsidR="003F5418" w:rsidRDefault="00DB1837">
      <w:pPr>
        <w:pStyle w:val="Axistitle"/>
        <w:ind w:left="0"/>
        <w:rPr>
          <w:noProof/>
        </w:rPr>
      </w:pPr>
      <w:r>
        <w:rPr>
          <w:noProof/>
        </w:rPr>
        <w:t>1. Tengely – A közigazgatás digitalizálása</w:t>
      </w:r>
    </w:p>
    <w:p w14:paraId="51E587DD" w14:textId="76B332FA" w:rsidR="003F5418" w:rsidRDefault="00BF58E7">
      <w:pPr>
        <w:pStyle w:val="P68B1DB1-Normal2"/>
        <w:spacing w:before="240" w:after="120"/>
        <w:jc w:val="both"/>
        <w:rPr>
          <w:rFonts w:eastAsiaTheme="minorHAnsi"/>
          <w:noProof/>
        </w:rPr>
      </w:pPr>
      <w:r>
        <w:rPr>
          <w:noProof/>
        </w:rPr>
        <w:t>1.1. Beruházás – Digitális infrastruktúra</w:t>
      </w:r>
    </w:p>
    <w:p w14:paraId="6D9A146E" w14:textId="77777777" w:rsidR="003F5418" w:rsidRDefault="002A6C25">
      <w:pPr>
        <w:pStyle w:val="Descriptiontitle"/>
        <w:ind w:left="0"/>
        <w:rPr>
          <w:noProof/>
        </w:rPr>
      </w:pPr>
      <w:r>
        <w:rPr>
          <w:noProof/>
        </w:rPr>
        <w:t xml:space="preserve">E beruházás </w:t>
      </w:r>
      <w:r>
        <w:rPr>
          <w:noProof/>
        </w:rPr>
        <w:t>célja annak biztosítása, hogy a közigazgatás rendszereit, adatkészleteit és alkalmazásait rendkívül megbízható adatközpontokban tárolják, a biztonságra, a teljesítményre, a méretezhetőségre, az európai interoperabilitásra és az energiahatékonyságra vonatko</w:t>
      </w:r>
      <w:r>
        <w:rPr>
          <w:noProof/>
        </w:rPr>
        <w:t>zó magas szintű szabványokkal. E célból a beruházás a legkorszerűbb, teljes mértékben redundáns nemzeti felhőalapú hibrid infrastruktúra (Polo Strategico Nazionale, PSN) létrehozását, a biztonságos és méretezhető nyilvános felhőalapú alternatívák tanúsítás</w:t>
      </w:r>
      <w:r>
        <w:rPr>
          <w:noProof/>
        </w:rPr>
        <w:t>át, valamint a közigazgatás adatkészleteinek és alkalmazásainak felhőalapú környezetre való átállását irányozza elő.</w:t>
      </w:r>
    </w:p>
    <w:p w14:paraId="4B0EB66C" w14:textId="77777777" w:rsidR="003F5418" w:rsidRDefault="002A6C25">
      <w:pPr>
        <w:pStyle w:val="Descriptiontitle"/>
        <w:ind w:left="0"/>
        <w:rPr>
          <w:noProof/>
        </w:rPr>
      </w:pPr>
      <w:r>
        <w:rPr>
          <w:noProof/>
        </w:rPr>
        <w:t xml:space="preserve">A PSN-infrastruktúrát várhatóan egy európai pályázat keretében kiválasztott technológiai szolgáltató üzemelteti, és azt a Gaia-X </w:t>
      </w:r>
      <w:r>
        <w:rPr>
          <w:noProof/>
        </w:rPr>
        <w:t>kezdeményezésnek megfelelően európai szinten meghatározott adatinteroperabilitási szabványoknak megfelelően kell megtervezni, hogy lehetővé tegye a nem személyes adatok szabad cseréjét a különböző tagállamok között a nemzeti számításifelhő-modellek összeka</w:t>
      </w:r>
      <w:r>
        <w:rPr>
          <w:noProof/>
        </w:rPr>
        <w:t>pcsolása révén. Hasonló követelményeket kell elfogadni a nyilvános számításifelhő-szolgáltatók előminősítése során is.</w:t>
      </w:r>
    </w:p>
    <w:p w14:paraId="0E792DD2" w14:textId="77777777" w:rsidR="003F5418" w:rsidRDefault="002A6C25">
      <w:pPr>
        <w:pStyle w:val="Descriptiontitle"/>
        <w:ind w:left="0"/>
        <w:rPr>
          <w:noProof/>
        </w:rPr>
      </w:pPr>
      <w:r>
        <w:rPr>
          <w:noProof/>
        </w:rPr>
        <w:t>A közigazgatás adatkészleteinek és alkalmazásainak a PSN-re vagy a biztonságos, tanúsított nyilvános felhőszolgáltatókra való átállása vá</w:t>
      </w:r>
      <w:r>
        <w:rPr>
          <w:noProof/>
        </w:rPr>
        <w:t>rhatóan az adatok teljesítményére, méretezhetőségére és érzékenységére vonatkozó, a különböző közigazgatási szervek által meghatározott követelményektől függ, amelyek mindegyike várhatóan megőrzi függetlenségét az alkalmazások fejlesztése és az adatkezelés</w:t>
      </w:r>
      <w:r>
        <w:rPr>
          <w:noProof/>
        </w:rPr>
        <w:t xml:space="preserve"> terén.</w:t>
      </w:r>
    </w:p>
    <w:p w14:paraId="59DF89EF" w14:textId="25329FE5" w:rsidR="003F5418" w:rsidRDefault="00BF58E7">
      <w:pPr>
        <w:pStyle w:val="P68B1DB1-Normal2"/>
        <w:spacing w:before="240" w:after="120"/>
        <w:jc w:val="both"/>
        <w:rPr>
          <w:rFonts w:eastAsiaTheme="minorHAnsi"/>
          <w:noProof/>
        </w:rPr>
      </w:pPr>
      <w:r>
        <w:rPr>
          <w:noProof/>
        </w:rPr>
        <w:t>1.3. Beruházás – Adatok és interoperabilitás</w:t>
      </w:r>
    </w:p>
    <w:p w14:paraId="6FBB7BF3" w14:textId="77777777" w:rsidR="003F5418" w:rsidRDefault="002A6C25">
      <w:pPr>
        <w:pStyle w:val="Descriptiontitle"/>
        <w:ind w:left="0"/>
        <w:rPr>
          <w:noProof/>
        </w:rPr>
      </w:pPr>
      <w:r>
        <w:rPr>
          <w:noProof/>
        </w:rPr>
        <w:t>E beruházás célja a kulcsfontosságú adatkészletek és szolgáltatások teljes interoperabilitásának biztosítása a központi és helyi közigazgatási szervek között.</w:t>
      </w:r>
    </w:p>
    <w:p w14:paraId="068F0939" w14:textId="77777777" w:rsidR="003F5418" w:rsidRDefault="002A6C25">
      <w:pPr>
        <w:pStyle w:val="Descriptiontitle"/>
        <w:ind w:left="0"/>
        <w:rPr>
          <w:noProof/>
        </w:rPr>
      </w:pPr>
      <w:r>
        <w:rPr>
          <w:noProof/>
        </w:rPr>
        <w:t>Az intézkedés előirányozza egy nemzeti digit</w:t>
      </w:r>
      <w:r>
        <w:rPr>
          <w:noProof/>
        </w:rPr>
        <w:t>ális adatplatform („Piattaforma Digitale Nazionale Dati”) kifejlesztését, amely a központi és helyi közigazgatások között megosztott alkalmazásprogramozási interfészek (API-k) katalógusa révén garantálja az adatkészletek interoperabilitását (1.3.1. beruház</w:t>
      </w:r>
      <w:r>
        <w:rPr>
          <w:noProof/>
        </w:rPr>
        <w:t>ás). Megépítésekor ez a platform a központi és helyi közigazgatások között megosztott alkalmazásprogramozási interfészek (API-k) katalógusa révén garantálja az adatkészletek interoperabilitását. A platformnak teljes mértékben meg kell felelnie az uniós jog</w:t>
      </w:r>
      <w:r>
        <w:rPr>
          <w:noProof/>
        </w:rPr>
        <w:t>nak.</w:t>
      </w:r>
    </w:p>
    <w:p w14:paraId="38619192" w14:textId="77777777" w:rsidR="003F5418" w:rsidRDefault="002A6C25">
      <w:pPr>
        <w:pStyle w:val="Descriptiontitle"/>
        <w:ind w:left="0"/>
        <w:rPr>
          <w:noProof/>
        </w:rPr>
      </w:pPr>
      <w:r>
        <w:rPr>
          <w:noProof/>
        </w:rPr>
        <w:t>Ezen túlmenően az intézkedésnek az (EU) 2018/1724 rendelettel összhangban létre kell hoznia egy „egységes digitális kaput”, amelyet úgy kell működtetni, hogy segítse a központi közigazgatást és a közigazgatást a kiemelt fontosságú eljárások átalakítás</w:t>
      </w:r>
      <w:r>
        <w:rPr>
          <w:noProof/>
        </w:rPr>
        <w:t>ában, és lehetővé tegye az egyszeri adatszolgáltatás elvének (1.3.2. beruházás) teljesítését.</w:t>
      </w:r>
    </w:p>
    <w:p w14:paraId="121A5AEB" w14:textId="2B499F14" w:rsidR="003F5418" w:rsidRDefault="00BF58E7">
      <w:pPr>
        <w:pStyle w:val="P68B1DB1-Normal2"/>
        <w:spacing w:before="240" w:after="120"/>
        <w:jc w:val="both"/>
        <w:rPr>
          <w:rFonts w:eastAsiaTheme="minorHAnsi"/>
          <w:noProof/>
        </w:rPr>
      </w:pPr>
      <w:r>
        <w:rPr>
          <w:noProof/>
        </w:rPr>
        <w:t>1.5. Beruházás – Kiberbiztonság</w:t>
      </w:r>
    </w:p>
    <w:p w14:paraId="181EAAC9" w14:textId="77777777" w:rsidR="003F5418" w:rsidRDefault="002A6C25">
      <w:pPr>
        <w:pStyle w:val="Descriptiontitle"/>
        <w:ind w:left="0"/>
        <w:rPr>
          <w:noProof/>
        </w:rPr>
      </w:pPr>
      <w:r>
        <w:rPr>
          <w:noProof/>
        </w:rPr>
        <w:t xml:space="preserve">E beruházás célja, hogy megerősítse Olaszország védelmét a kiberbűnözés jelentette kockázatokkal szemben, különösen a hálózati és </w:t>
      </w:r>
      <w:r>
        <w:rPr>
          <w:noProof/>
        </w:rPr>
        <w:t>információs rendszerek biztonságáról szóló (EU) 2016/1148 irányelvben (kiberbiztonsági irányelv) meghatározott biztonsági követelményekkel összhangban a „nemzeti kiberbiztonsági keret” (PSNC) végrehajtása, valamint a műszaki ellenőrzés és a kockázatellenőr</w:t>
      </w:r>
      <w:r>
        <w:rPr>
          <w:noProof/>
        </w:rPr>
        <w:t>zés nemzeti kibervédelmi képességeinek megerősítése révén.</w:t>
      </w:r>
    </w:p>
    <w:p w14:paraId="6B8AAA72" w14:textId="292A76BA" w:rsidR="003F5418" w:rsidRDefault="002A6C25">
      <w:pPr>
        <w:pStyle w:val="Descriptiontitle"/>
        <w:ind w:left="0"/>
        <w:rPr>
          <w:noProof/>
        </w:rPr>
      </w:pPr>
      <w:r>
        <w:rPr>
          <w:noProof/>
        </w:rPr>
        <w:t>Az intézkedés egy korszerű, integrált rendszer kialakítását irányozza elő, amely szorosan összekapcsolja az ország különböző szervezeteit, és nemzetközi szinten összekapcsolja a partnerekkel és a m</w:t>
      </w:r>
      <w:r>
        <w:rPr>
          <w:noProof/>
        </w:rPr>
        <w:t>egbízható technológiaszolgáltatókkal. Ez négy pillérre épül: i. a nyilvánossággal és a vállalatokkal/szervezetekkel szembeni frontvonalbeli képességek megerősítése a riasztások és a ténylegesen nyilvánosan elismert események kezelése érdekében; ii. kiépíti</w:t>
      </w:r>
      <w:r>
        <w:rPr>
          <w:noProof/>
        </w:rPr>
        <w:t>/erősíti az ország ellenőrzési és ellenőrzési képességeit az alapvető funkciókkal rendelkező alanyok által a megbízható/megelőző fenyegetések tanúsítására használt hardverek és szoftverek tekintetében; iii. a rendőri erőken belül a bűncselekmények kivizsgá</w:t>
      </w:r>
      <w:r>
        <w:rPr>
          <w:noProof/>
        </w:rPr>
        <w:t>lásáért felelős bűnüldözési és kiberegységek megerõsítése; a nemzetbiztonságért és a kiberfenyegetésekre való reagálásért felelős kibereszközök és emberi erőforrások jelentős megerősítése.</w:t>
      </w:r>
    </w:p>
    <w:p w14:paraId="41B9D7EB" w14:textId="096C6DB6" w:rsidR="003F5418" w:rsidRDefault="00BF58E7">
      <w:pPr>
        <w:pStyle w:val="P68B1DB1-Normal2"/>
        <w:spacing w:before="240" w:after="120"/>
        <w:jc w:val="both"/>
        <w:rPr>
          <w:rFonts w:eastAsiaTheme="minorHAnsi"/>
          <w:noProof/>
        </w:rPr>
      </w:pPr>
      <w:r>
        <w:rPr>
          <w:noProof/>
        </w:rPr>
        <w:t>1.7. Beruházás – Alapvető digitális készségek</w:t>
      </w:r>
    </w:p>
    <w:p w14:paraId="119D19A2" w14:textId="77777777" w:rsidR="003F5418" w:rsidRDefault="002A6C25">
      <w:pPr>
        <w:spacing w:before="120" w:after="120"/>
        <w:jc w:val="both"/>
        <w:rPr>
          <w:noProof/>
        </w:rPr>
      </w:pPr>
      <w:r>
        <w:rPr>
          <w:noProof/>
        </w:rPr>
        <w:t>E beruházás célja, ho</w:t>
      </w:r>
      <w:r>
        <w:rPr>
          <w:noProof/>
        </w:rPr>
        <w:t>gy csökkentse a digitális kirekesztés kockázatának kitett jelenlegi lakosság arányát a „Digitális közszolgálat” kezdeményezés elindításával, amely Olaszország-szerte különböző hátterű fiatal önkéntesek hálózata, amelynek célja, hogy a digitális kirekesztés</w:t>
      </w:r>
      <w:r>
        <w:rPr>
          <w:noProof/>
        </w:rPr>
        <w:t xml:space="preserve"> kockázatának kitett személyek számára megkönnyítse a digitális készségek fejlesztését és fejlesztését (1.7.1. beruházás), valamint megerősíti a „Digitális könnyítési központok” meglévő hálózatát (1.7.2. beruházás).</w:t>
      </w:r>
    </w:p>
    <w:p w14:paraId="52ED055C" w14:textId="3A1557E5" w:rsidR="003F5418" w:rsidRDefault="002A6C25">
      <w:pPr>
        <w:spacing w:before="120" w:after="120"/>
        <w:jc w:val="both"/>
        <w:rPr>
          <w:noProof/>
        </w:rPr>
      </w:pPr>
      <w:r>
        <w:rPr>
          <w:noProof/>
        </w:rPr>
        <w:t>A digitális támogató központok fizikai h</w:t>
      </w:r>
      <w:r>
        <w:rPr>
          <w:noProof/>
        </w:rPr>
        <w:t>ozzáférési pontok, amelyek általában könyvtárakban, iskolákban és szociális központokban találhatók, és amelyek személyes és online képzést biztosítanak a polgárok számára a digitális készségekről annak érdekében, hogy hatékonyan támogassák digitális befog</w:t>
      </w:r>
      <w:r>
        <w:rPr>
          <w:noProof/>
        </w:rPr>
        <w:t>adásukat. A kezdeményezés hasznosítja a meglévő sikeres tapasztalatokat, és célja, hogy nemzeti szinten biztosítsa az ilyen központok széles körű fejlesztését. Bár 600 központ már aktív, jelenlétüket célzott képzési tevékenységek és új berendezések révén t</w:t>
      </w:r>
      <w:r>
        <w:rPr>
          <w:noProof/>
        </w:rPr>
        <w:t>ovább kell erősíteni azzal az átfogó céllal, hogy Olaszország-szerte 2400 új hozzáférési pontot hozzanak létre, és több mint 2000000, a digitális kirekesztés kockázatának kitett polgárt képezzenek. A 3000 centből legalább 1200-nak Dél-Olaszországban kell k</w:t>
      </w:r>
      <w:r>
        <w:rPr>
          <w:noProof/>
        </w:rPr>
        <w:t>oncentrálódnia.</w:t>
      </w:r>
      <w:r>
        <w:rPr>
          <w:noProof/>
          <w:color w:val="2B579A"/>
          <w:shd w:val="clear" w:color="auto" w:fill="E6E6E6"/>
        </w:rPr>
        <w:t xml:space="preserve"> </w:t>
      </w:r>
    </w:p>
    <w:p w14:paraId="69F38C63" w14:textId="5FD9BCE3" w:rsidR="003F5418" w:rsidRDefault="002A6C25">
      <w:pPr>
        <w:spacing w:before="120" w:after="120"/>
        <w:jc w:val="both"/>
        <w:rPr>
          <w:noProof/>
        </w:rPr>
      </w:pPr>
      <w:r>
        <w:rPr>
          <w:noProof/>
        </w:rPr>
        <w:t xml:space="preserve">A „Digitális közszolgálat” kezdeményezés három évre oszlik, és fokozatosan a következő eredményeket kívánja elérni: i. az egyetemes közszolgálati szervezetek nemzeti nyilvántartásába bejegyzett nonprofit szervezeteket célzó digitális </w:t>
      </w:r>
      <w:r>
        <w:rPr>
          <w:noProof/>
        </w:rPr>
        <w:t>közszolgálati projektekre irányuló három éves pályázati felhívás megvalósítása; a digitális közszolgálatra vonatkozó éves pályázati felhívásban részt vevő nonprofit szervezetek kapacitásépítése, valamint digitális könnyítési és digitális oktatási projektek</w:t>
      </w:r>
      <w:r>
        <w:rPr>
          <w:noProof/>
        </w:rPr>
        <w:t xml:space="preserve"> elindítása; iii. legalább 8300 önkéntes képzése és digitális közszolgálati projektek terén szerzett gyakorlati tapasztalata; 700000 digitális könnyítési és/vagy digitális oktatási kezdeményezés biztosítása a polgárok bevonásával a digitális közszolgálati </w:t>
      </w:r>
      <w:r>
        <w:rPr>
          <w:noProof/>
        </w:rPr>
        <w:t>projektek keretében, amelyekben 8300 önkéntes dolgozik.</w:t>
      </w:r>
    </w:p>
    <w:p w14:paraId="3F5D965E" w14:textId="1FB98628" w:rsidR="003F5418" w:rsidRDefault="00BF58E7">
      <w:pPr>
        <w:pStyle w:val="P68B1DB1-Normal2"/>
        <w:spacing w:before="240" w:after="120"/>
        <w:jc w:val="both"/>
        <w:rPr>
          <w:rFonts w:eastAsiaTheme="minorHAnsi"/>
          <w:noProof/>
        </w:rPr>
      </w:pPr>
      <w:r>
        <w:rPr>
          <w:noProof/>
        </w:rPr>
        <w:t>1.1. Reform – IKT-beszerzés</w:t>
      </w:r>
    </w:p>
    <w:p w14:paraId="045E7D47" w14:textId="77777777" w:rsidR="003F5418" w:rsidRDefault="002A6C25">
      <w:pPr>
        <w:spacing w:before="120" w:after="120"/>
        <w:jc w:val="both"/>
        <w:rPr>
          <w:noProof/>
        </w:rPr>
      </w:pPr>
      <w:r>
        <w:rPr>
          <w:noProof/>
        </w:rPr>
        <w:t>E reform célja annak biztosítása, hogy a közigazgatás időben és hatékonyabban szerezhesse be az információs és kommunikációs technológiai (IKT) megoldásokat az IKT-szolgált</w:t>
      </w:r>
      <w:r>
        <w:rPr>
          <w:noProof/>
        </w:rPr>
        <w:t>atásokra és -eszközökre vonatkozó közbeszerzési eljárás észszerűsítése és felgyorsítása révén.</w:t>
      </w:r>
    </w:p>
    <w:p w14:paraId="37F8BA33" w14:textId="77777777" w:rsidR="003F5418" w:rsidRDefault="002A6C25">
      <w:pPr>
        <w:spacing w:before="120" w:after="120"/>
        <w:jc w:val="both"/>
        <w:rPr>
          <w:noProof/>
        </w:rPr>
      </w:pPr>
      <w:r>
        <w:rPr>
          <w:noProof/>
        </w:rPr>
        <w:t xml:space="preserve">A reform végrehajtása három cselekvési irányból áll. Először is létre kell hozni egy egységes adatbázist, amely tartalmazza a közigazgatási szervek számára áruk </w:t>
      </w:r>
      <w:r>
        <w:rPr>
          <w:noProof/>
        </w:rPr>
        <w:t>és szolgáltatások nyújtására engedéllyel rendelkező gazdasági szereplők fehér listáját, és létre kell hozni egy külön erre a célra szolgáló technológiai infrastruktúrát, amely lehetővé teszi a beszállítók tanúsítását. Másodszor, egyszerűsített megközelítés</w:t>
      </w:r>
      <w:r>
        <w:rPr>
          <w:noProof/>
        </w:rPr>
        <w:t>t („gyorsított eljárás”) kell elfogadni a PNRR-projektek IKT-beszerzéseinek észszerűsítése érdekében. Harmadszor, digitális közbeszerzési szolgáltatást kell létrehozni azzal a céllal, hogy i. csak tanúsított beszállítókat vonjanak be (a gazdasági szereplők</w:t>
      </w:r>
      <w:r>
        <w:rPr>
          <w:noProof/>
        </w:rPr>
        <w:t xml:space="preserve"> bármikor kérhetik a 2014/24/EU irányelv 64. cikke szerinti tanúsítást); lehetővé teszi a meghatározott igénynek megfelelő beszállítók gyors azonosítását (pl. konfigurátoron keresztül); intuitív felhasználói élmény biztosítása a közigazgatási szervek számá</w:t>
      </w:r>
      <w:r>
        <w:rPr>
          <w:noProof/>
        </w:rPr>
        <w:t>ra (pl. a kínált szolgáltatások egyértelmű leírása, a szolgáltatók összehasonlító értékelése). Ennek az átfogó felépítésnek a CONSIP, az olasz állami szerv meglévő kapacitásaira kell épülnie.</w:t>
      </w:r>
    </w:p>
    <w:p w14:paraId="5C0C1336" w14:textId="2ED8244D" w:rsidR="003F5418" w:rsidRDefault="009952F4">
      <w:pPr>
        <w:pStyle w:val="P68B1DB1-Normal2"/>
        <w:spacing w:before="240" w:after="120"/>
        <w:jc w:val="both"/>
        <w:rPr>
          <w:rFonts w:eastAsiaTheme="minorHAnsi"/>
          <w:noProof/>
        </w:rPr>
      </w:pPr>
      <w:r>
        <w:rPr>
          <w:noProof/>
        </w:rPr>
        <w:t>1.2. Reform – Átalakítási támogatás</w:t>
      </w:r>
    </w:p>
    <w:p w14:paraId="5649F2E8" w14:textId="77777777" w:rsidR="003F5418" w:rsidRDefault="002A6C25">
      <w:pPr>
        <w:spacing w:before="120" w:after="120"/>
        <w:jc w:val="both"/>
        <w:rPr>
          <w:noProof/>
        </w:rPr>
      </w:pPr>
      <w:r>
        <w:rPr>
          <w:noProof/>
        </w:rPr>
        <w:t>E reform célja, hogy támogas</w:t>
      </w:r>
      <w:r>
        <w:rPr>
          <w:noProof/>
        </w:rPr>
        <w:t>sa valamennyi központi és helyi közigazgatási szerv digitális átalakulását egy külön erre a célra létrehozott „Digitális PA átalakítási hivatal” létrehozásával. Az átalakítási hivatal egy technológiailag felkészült ideiglenes erőforrás-állományból áll, ame</w:t>
      </w:r>
      <w:r>
        <w:rPr>
          <w:noProof/>
        </w:rPr>
        <w:t>ly megszervezi és támogatja a migrációs erőfeszítéseket és a tanúsított külső támogatás „csomagjainak” központosított megtárgyalását. Emellett az intézkedés előirányozza egy szoftverfejlesztésre és -üzemeltetésre összpontosító vállalat létrehozását a közpo</w:t>
      </w:r>
      <w:r>
        <w:rPr>
          <w:noProof/>
        </w:rPr>
        <w:t>nti közigazgatás digitális felfuttatásának támogatása érdekében. Az Átalakítási Hivatalnak különösen támogatnia kell a közigazgatást az e komponensbe tartozó 1.1–1.7. beruházás végrehajtásában, valamint támogatnia kell a 6. küldetésben szereplő, az egészsé</w:t>
      </w:r>
      <w:r>
        <w:rPr>
          <w:noProof/>
        </w:rPr>
        <w:t>gügyi ellátás digitalizációjára irányuló beruházások és reformok végrehajtását.</w:t>
      </w:r>
    </w:p>
    <w:p w14:paraId="6DF88485" w14:textId="756BC28E" w:rsidR="003F5418" w:rsidRDefault="009952F4">
      <w:pPr>
        <w:pStyle w:val="P68B1DB1-Normal2"/>
        <w:spacing w:before="240" w:after="120"/>
        <w:jc w:val="both"/>
        <w:rPr>
          <w:rFonts w:eastAsiaTheme="minorHAnsi"/>
          <w:noProof/>
        </w:rPr>
      </w:pPr>
      <w:r>
        <w:rPr>
          <w:noProof/>
        </w:rPr>
        <w:t>1.3. Reform – Az első számításifelhő és az interoperabilitás</w:t>
      </w:r>
    </w:p>
    <w:p w14:paraId="7200E523" w14:textId="77777777" w:rsidR="003F5418" w:rsidRDefault="002A6C25">
      <w:pPr>
        <w:spacing w:before="120" w:after="120"/>
        <w:jc w:val="both"/>
        <w:rPr>
          <w:noProof/>
        </w:rPr>
      </w:pPr>
      <w:r>
        <w:rPr>
          <w:noProof/>
        </w:rPr>
        <w:t>E reform célja, hogy felszámolja a felhőalapú szolgáltatások elfogadásának akadályait, és egyszerűsítse a közigazga</w:t>
      </w:r>
      <w:r>
        <w:rPr>
          <w:noProof/>
        </w:rPr>
        <w:t>tási szervek közötti adatcsere folyamatait lelassító bürokráciát azáltal, hogy ösztönzőket és kötelezettségeket vezet be, amelyek célja a felhőre való átállás megkönnyítése, valamint a digitális szolgáltatások széles körű elterjedésével kapcsolatos eljárás</w:t>
      </w:r>
      <w:r>
        <w:rPr>
          <w:noProof/>
        </w:rPr>
        <w:t>i korlátok megszüntetése.</w:t>
      </w:r>
    </w:p>
    <w:p w14:paraId="2763759D" w14:textId="77777777" w:rsidR="003F5418" w:rsidRDefault="002A6C25">
      <w:pPr>
        <w:spacing w:before="120" w:after="120"/>
        <w:jc w:val="both"/>
        <w:rPr>
          <w:noProof/>
        </w:rPr>
      </w:pPr>
      <w:r>
        <w:rPr>
          <w:noProof/>
        </w:rPr>
        <w:t>A reform három cselekvési irányvonalat foglal magában. Először is, mivel a felhőalapú megoldásoknak elő kell mozdítaniuk a költséghatékonyságot az információs és kommunikációs technológiákra (IKT) fordított kiadások terén, egy elő</w:t>
      </w:r>
      <w:r>
        <w:rPr>
          <w:noProof/>
        </w:rPr>
        <w:t xml:space="preserve">re meghatározott „türelmi időszakot” követően (pl. három évvel az átalakulás elindítását követően), a felhőalapú átalakuláshoz nem csatlakozott közigazgatási szerveknek korlátozniuk kell IKT-kiadási költségvetésüket. </w:t>
      </w:r>
    </w:p>
    <w:p w14:paraId="2DA3D24A" w14:textId="77777777" w:rsidR="003F5418" w:rsidRDefault="002A6C25">
      <w:pPr>
        <w:spacing w:before="120" w:after="120"/>
        <w:jc w:val="both"/>
        <w:rPr>
          <w:noProof/>
        </w:rPr>
      </w:pPr>
      <w:r>
        <w:rPr>
          <w:noProof/>
        </w:rPr>
        <w:t>Másodszor, a felhőalapú migrálás ösztö</w:t>
      </w:r>
      <w:r>
        <w:rPr>
          <w:noProof/>
        </w:rPr>
        <w:t>nzőinek részeként felül kell vizsgálni a felhőalapú szolgáltatásokhoz kapcsolódó kiadásokra vonatkozó jelenlegi állami számviteli szabályokat. Tekintettel arra, hogy a számítási felhőre való átállás jelenleg költségvetések átcsoportosításával jár a tőkekia</w:t>
      </w:r>
      <w:r>
        <w:rPr>
          <w:noProof/>
        </w:rPr>
        <w:t>dásokról az operatív kiadásokra, felül kell vizsgálni a felhőalapú szolgáltatásokhoz kapcsolódó kiadásokra vonatkozó állami számviteli szabályokat annak érdekében, hogy ne tántorítsanak el a felhőalapú migrációtól a közigazgatások számára.</w:t>
      </w:r>
    </w:p>
    <w:p w14:paraId="00C73AF3" w14:textId="77777777" w:rsidR="003F5418" w:rsidRDefault="002A6C25">
      <w:pPr>
        <w:spacing w:before="120" w:after="120"/>
        <w:jc w:val="both"/>
        <w:rPr>
          <w:noProof/>
        </w:rPr>
      </w:pPr>
      <w:r>
        <w:rPr>
          <w:noProof/>
        </w:rPr>
        <w:t>Harmadszor, az a</w:t>
      </w:r>
      <w:r>
        <w:rPr>
          <w:noProof/>
        </w:rPr>
        <w:t>datok interoperabilitására vonatkozó szabályokkal kapcsolatos normákat felül kell vizsgálni a nyílt adatokra és a személyes adatok kezelésére vonatkozó rendelkezésekkel összhangban, valamint egyszerűsíteni kell a közigazgatási szervek közötti adatcserére v</w:t>
      </w:r>
      <w:r>
        <w:rPr>
          <w:noProof/>
        </w:rPr>
        <w:t>onatkozó jelenlegi eljárásokat az eljárási szempontok egyszerűsítése és a közigazgatási adatbázisok közötti interoperabilitás megvalósításának felgyorsítása érdekében. Ezenkívül a digitális lakóhelyet felül kell vizsgálni és integrálni kell a nemzeti lakos</w:t>
      </w:r>
      <w:r>
        <w:rPr>
          <w:noProof/>
        </w:rPr>
        <w:t>-nyilvántartásba (ANPR) annak érdekében, hogy lehetővé váljon a polgárok és a közigazgatási szervek közötti bizonyos és biztonságos digitális levelezés.</w:t>
      </w:r>
    </w:p>
    <w:p w14:paraId="762D3C7D" w14:textId="1FEE4AC0" w:rsidR="003F5418" w:rsidRDefault="00DB1837">
      <w:pPr>
        <w:pStyle w:val="Axistitle"/>
        <w:ind w:left="0"/>
        <w:rPr>
          <w:noProof/>
        </w:rPr>
      </w:pPr>
      <w:r>
        <w:rPr>
          <w:noProof/>
        </w:rPr>
        <w:t>2. Tengely – Jogérvényesülés</w:t>
      </w:r>
    </w:p>
    <w:p w14:paraId="40767ACD" w14:textId="7D1E5955" w:rsidR="003F5418" w:rsidRDefault="009952F4">
      <w:pPr>
        <w:pStyle w:val="P68B1DB1-Normal2"/>
        <w:spacing w:before="240" w:after="120"/>
        <w:jc w:val="both"/>
        <w:rPr>
          <w:rFonts w:eastAsiaTheme="minorHAnsi"/>
          <w:noProof/>
        </w:rPr>
      </w:pPr>
      <w:r>
        <w:rPr>
          <w:noProof/>
        </w:rPr>
        <w:t>1.4. Reform – Polgári igazságszolgáltatás</w:t>
      </w:r>
    </w:p>
    <w:p w14:paraId="1C51E55D" w14:textId="77777777" w:rsidR="003F5418" w:rsidRDefault="002A6C25">
      <w:pPr>
        <w:spacing w:before="120" w:after="120"/>
        <w:jc w:val="both"/>
        <w:rPr>
          <w:noProof/>
        </w:rPr>
      </w:pPr>
      <w:r>
        <w:rPr>
          <w:noProof/>
        </w:rPr>
        <w:t>A reform célja elsősorban a polg</w:t>
      </w:r>
      <w:r>
        <w:rPr>
          <w:noProof/>
        </w:rPr>
        <w:t>ári eljárások hosszának csökkentése a bíróságokon beérkező ügyek számának csökkentésére irányuló intézkedések széles körének azonosítása, a meglévő eljárások egyszerűsítése, az ügyhátralék csökkentése és a bíróságok termelékenységének növelése révén. A bír</w:t>
      </w:r>
      <w:r>
        <w:rPr>
          <w:noProof/>
        </w:rPr>
        <w:t>óságokra beérkező ügyek számának csökkentését a közvetítés, az alternatív vitarendezés és a választottbíráskodás megerősítésével, valamint a jogi költségek számszerűsítésére és behajtására vonatkozó jelenlegi rendszer felülvizsgálatával kell elérni. Az egy</w:t>
      </w:r>
      <w:r>
        <w:rPr>
          <w:noProof/>
        </w:rPr>
        <w:t>szerűsítést a „szűrési eljárások” fellebbezési szinten történő megerősítésével, az egyesbíró hatáskörébe tartozó ügyek kiterjesztésével, valamint a kötelező eljárási határidők tényleges végrehajtásának biztosításával kell elérni. A bíróságok nagyobb termel</w:t>
      </w:r>
      <w:r>
        <w:rPr>
          <w:noProof/>
        </w:rPr>
        <w:t>ékenységét nyomonkövetési rendszer és a bíróságokon átívelő szabványos teljesítmény elérésére irányuló ösztönzők révén kell elérni. A reform célja továbbá, hogy ideiglenes munkaerő-felvétel és célzott intézkedések – többek között a folyamatban lévő ügyek s</w:t>
      </w:r>
      <w:r>
        <w:rPr>
          <w:noProof/>
        </w:rPr>
        <w:t>zámának csökkentését célzó ösztönző rendszerek – révén csökkentse a polgári bíróságok ügyhátralékát.</w:t>
      </w:r>
    </w:p>
    <w:p w14:paraId="0CD8E0ED" w14:textId="1412CA32" w:rsidR="003F5418" w:rsidRDefault="009952F4">
      <w:pPr>
        <w:pStyle w:val="P68B1DB1-Normal2"/>
        <w:spacing w:before="240" w:after="120"/>
        <w:jc w:val="both"/>
        <w:rPr>
          <w:rFonts w:eastAsiaTheme="minorHAnsi"/>
          <w:noProof/>
        </w:rPr>
      </w:pPr>
      <w:r>
        <w:rPr>
          <w:noProof/>
        </w:rPr>
        <w:t>1.5. Reform – Büntető igazságszolgáltatás</w:t>
      </w:r>
    </w:p>
    <w:p w14:paraId="7739AA27" w14:textId="77777777" w:rsidR="003F5418" w:rsidRDefault="002A6C25">
      <w:pPr>
        <w:spacing w:before="120" w:after="120"/>
        <w:jc w:val="both"/>
        <w:rPr>
          <w:noProof/>
        </w:rPr>
      </w:pPr>
      <w:r>
        <w:rPr>
          <w:noProof/>
        </w:rPr>
        <w:t xml:space="preserve">A reform célja elsősorban a büntetőeljárások időtartamának csökkentése azáltal, hogy a meglévő eljárások </w:t>
      </w:r>
      <w:r>
        <w:rPr>
          <w:noProof/>
        </w:rPr>
        <w:t>egyszerűsítése és a bíróságok termelékenységének növelése révén számos intézkedést azonosít. Az egyszerűsítés célja az egyszerűsített eljárások alkalmazásának kiterjesztése, a digitális technológia használatának kiterjesztése, az előzetes vizsgálat időtart</w:t>
      </w:r>
      <w:r>
        <w:rPr>
          <w:noProof/>
        </w:rPr>
        <w:t xml:space="preserve">amára vonatkozó határidők meghatározása, a bejelentési rendszer felülvizsgálata annak hatékonyabbá tétele érdekében. A bíróságok nagyobb termelékenységét egy nyomonkövetési rendszer és a bíróságokon átívelő szabványos teljesítmény elérését célzó ösztönzők </w:t>
      </w:r>
      <w:r>
        <w:rPr>
          <w:noProof/>
        </w:rPr>
        <w:t xml:space="preserve">révén lehet elérni. </w:t>
      </w:r>
    </w:p>
    <w:p w14:paraId="7A419400" w14:textId="5AC55973" w:rsidR="003F5418" w:rsidRDefault="009952F4">
      <w:pPr>
        <w:pStyle w:val="P68B1DB1-Normal2"/>
        <w:spacing w:before="240" w:after="120"/>
        <w:jc w:val="both"/>
        <w:rPr>
          <w:rFonts w:eastAsiaTheme="minorHAnsi"/>
          <w:noProof/>
        </w:rPr>
      </w:pPr>
      <w:r>
        <w:rPr>
          <w:noProof/>
        </w:rPr>
        <w:t>1.6. Reform – Fizetésképtelenség</w:t>
      </w:r>
    </w:p>
    <w:p w14:paraId="40D7AB54" w14:textId="77777777" w:rsidR="003F5418" w:rsidRDefault="002A6C25">
      <w:pPr>
        <w:spacing w:before="120" w:after="120"/>
        <w:jc w:val="both"/>
        <w:rPr>
          <w:noProof/>
        </w:rPr>
      </w:pPr>
      <w:r>
        <w:rPr>
          <w:noProof/>
        </w:rPr>
        <w:t>A reform célja a fizetésképtelenségi eljárások digitalizálása és javítása, korai előrejelző mechanizmusok bevezetése a fizetésképtelenség előtt, valamint a bíróságok és a bíróságok előtti intézmények sz</w:t>
      </w:r>
      <w:r>
        <w:rPr>
          <w:noProof/>
        </w:rPr>
        <w:t xml:space="preserve">akosodása a fizetésképtelenségi eljárások valamennyi szakaszának hatékonyabb kezelése érdekében, többek között az igazságügyi és közigazgatási hatóságok tagjainak képzése és szakosodása révén. </w:t>
      </w:r>
    </w:p>
    <w:p w14:paraId="2CD47B93" w14:textId="2EAC38D5" w:rsidR="003F5418" w:rsidRDefault="009952F4">
      <w:pPr>
        <w:pStyle w:val="P68B1DB1-Normal2"/>
        <w:spacing w:before="240" w:after="120"/>
        <w:jc w:val="both"/>
        <w:rPr>
          <w:rFonts w:eastAsiaTheme="minorHAnsi"/>
          <w:noProof/>
        </w:rPr>
      </w:pPr>
      <w:r>
        <w:rPr>
          <w:noProof/>
        </w:rPr>
        <w:t>1.7. Reform – Adóbíróságok</w:t>
      </w:r>
    </w:p>
    <w:p w14:paraId="6E9589DF" w14:textId="77777777" w:rsidR="003F5418" w:rsidRDefault="002A6C25">
      <w:pPr>
        <w:spacing w:before="120" w:after="120"/>
        <w:jc w:val="both"/>
        <w:rPr>
          <w:noProof/>
        </w:rPr>
      </w:pPr>
      <w:r>
        <w:rPr>
          <w:noProof/>
        </w:rPr>
        <w:t>A reform célja, hogy hatékonyabbá t</w:t>
      </w:r>
      <w:r>
        <w:rPr>
          <w:noProof/>
        </w:rPr>
        <w:t xml:space="preserve">egye az adójog érvényesítését, és csökkentse a Semmítőszékhez benyújtott fellebbezések magas számát. </w:t>
      </w:r>
    </w:p>
    <w:p w14:paraId="79D7172F" w14:textId="1D5AA17C" w:rsidR="003F5418" w:rsidRDefault="009952F4">
      <w:pPr>
        <w:pStyle w:val="P68B1DB1-Normal2"/>
        <w:spacing w:before="240" w:after="120"/>
        <w:jc w:val="both"/>
        <w:rPr>
          <w:rFonts w:eastAsiaTheme="minorHAnsi"/>
          <w:noProof/>
        </w:rPr>
      </w:pPr>
      <w:r>
        <w:rPr>
          <w:noProof/>
        </w:rPr>
        <w:t>1.8. Reform – Az igazságszolgáltatási rendszer digitalizációja</w:t>
      </w:r>
    </w:p>
    <w:p w14:paraId="4BA16AEC" w14:textId="1C7E250B" w:rsidR="003F5418" w:rsidRDefault="002A6C25">
      <w:pPr>
        <w:spacing w:before="120" w:after="120"/>
        <w:jc w:val="both"/>
        <w:rPr>
          <w:noProof/>
        </w:rPr>
      </w:pPr>
      <w:r>
        <w:rPr>
          <w:noProof/>
        </w:rPr>
        <w:t>A reform valamennyi dokumentum kötelező elektronikus benyújtását, valamint a polgári eljárá</w:t>
      </w:r>
      <w:r>
        <w:rPr>
          <w:noProof/>
        </w:rPr>
        <w:t>sok teljes körű elektronikus munkafolyamatát irányozza elő. Célja továbbá, hogy a jogszabályoknak megfelelően ingyenes, teljes mértékben hozzáférhető és kereshető adatbázist hozzon létre a polgári jogi határozatokról. Végezetül az elsőfokú büntetőeljárás d</w:t>
      </w:r>
      <w:r>
        <w:rPr>
          <w:noProof/>
        </w:rPr>
        <w:t>igitalizálására irányul.</w:t>
      </w:r>
    </w:p>
    <w:p w14:paraId="0A8FBB86" w14:textId="01073642" w:rsidR="003F5418" w:rsidRDefault="009952F4">
      <w:pPr>
        <w:pStyle w:val="P68B1DB1-Normal2"/>
        <w:spacing w:before="240" w:after="120"/>
        <w:jc w:val="both"/>
        <w:rPr>
          <w:rFonts w:eastAsiaTheme="minorHAnsi"/>
          <w:noProof/>
        </w:rPr>
      </w:pPr>
      <w:r>
        <w:rPr>
          <w:noProof/>
        </w:rPr>
        <w:t>1.8. Beruházás – A polgári, büntető- és közigazgatási bíróságok felvételi eljárásai</w:t>
      </w:r>
    </w:p>
    <w:p w14:paraId="4719CAB6" w14:textId="77777777" w:rsidR="003F5418" w:rsidRDefault="002A6C25">
      <w:pPr>
        <w:spacing w:before="120" w:after="120"/>
        <w:jc w:val="both"/>
        <w:rPr>
          <w:noProof/>
        </w:rPr>
      </w:pPr>
      <w:r>
        <w:rPr>
          <w:noProof/>
        </w:rPr>
        <w:t>A beruházások célja, hogy rövid távon fellépjenek a szervezeti tényezőkkel kapcsolatban annak érdekében, hogy a kidolgozás alatt álló reformok gyor</w:t>
      </w:r>
      <w:r>
        <w:rPr>
          <w:noProof/>
        </w:rPr>
        <w:t xml:space="preserve">sabban hozhassanak eredményeket, maximalizálva a szinergiákat, ugyanakkor a terv keretében biztosított rendkívüli források révén átalakító erejű változást érjenek el. </w:t>
      </w:r>
    </w:p>
    <w:p w14:paraId="43828973" w14:textId="3DE79992" w:rsidR="003F5418" w:rsidRDefault="002A6C25">
      <w:pPr>
        <w:spacing w:before="120" w:after="120"/>
        <w:jc w:val="both"/>
        <w:rPr>
          <w:noProof/>
        </w:rPr>
      </w:pPr>
      <w:r>
        <w:rPr>
          <w:noProof/>
        </w:rPr>
        <w:t>A „</w:t>
      </w:r>
      <w:r>
        <w:rPr>
          <w:i/>
          <w:noProof/>
        </w:rPr>
        <w:t>tárgyalási iroda” elnevezésű szervezeti eszköz a</w:t>
      </w:r>
      <w:r w:rsidR="00DB1837">
        <w:rPr>
          <w:i/>
          <w:noProof/>
        </w:rPr>
        <w:t xml:space="preserve"> </w:t>
      </w:r>
      <w:r>
        <w:rPr>
          <w:noProof/>
        </w:rPr>
        <w:t>bírák támogató csoportjainak létreho</w:t>
      </w:r>
      <w:r>
        <w:rPr>
          <w:noProof/>
        </w:rPr>
        <w:t xml:space="preserve">zását (vagy – amennyiben már létezik ilyen – megerősítését) foglalja magában (ideiglenes felvétel révén), amelynek célja az ügyhátralék és az ügyintézési idő csökkentése Olaszországban. </w:t>
      </w:r>
    </w:p>
    <w:p w14:paraId="01DFD8BF" w14:textId="77777777" w:rsidR="003F5418" w:rsidRDefault="002A6C25">
      <w:pPr>
        <w:spacing w:before="120" w:after="120"/>
        <w:jc w:val="both"/>
        <w:rPr>
          <w:noProof/>
        </w:rPr>
      </w:pPr>
      <w:r>
        <w:rPr>
          <w:noProof/>
        </w:rPr>
        <w:t>Ennek az intézkedésnek az a célja, hogy javítsa az igazságszolgáltatá</w:t>
      </w:r>
      <w:r>
        <w:rPr>
          <w:noProof/>
        </w:rPr>
        <w:t>s minőségét azáltal, hogy támogatja a bírákat a rendes tanulmányi tevékenységekben, a jogi kutatásban, a jogi aktusok megszövegezésében, az ügyiratok megszervezésében, és ezáltal lehetővé teszi a bírák számára, hogy az összetettebb feladatokra összpontosít</w:t>
      </w:r>
      <w:r>
        <w:rPr>
          <w:noProof/>
        </w:rPr>
        <w:t xml:space="preserve">sanak. </w:t>
      </w:r>
    </w:p>
    <w:p w14:paraId="038AD44F" w14:textId="7585B3B1" w:rsidR="003F5418" w:rsidRDefault="003F5418">
      <w:pPr>
        <w:spacing w:before="120" w:after="120"/>
        <w:jc w:val="both"/>
        <w:rPr>
          <w:noProof/>
        </w:rPr>
      </w:pPr>
    </w:p>
    <w:p w14:paraId="7FFF81A9" w14:textId="044F5F81" w:rsidR="003F5418" w:rsidRDefault="002A6C25">
      <w:pPr>
        <w:spacing w:before="120" w:after="120"/>
        <w:jc w:val="both"/>
        <w:rPr>
          <w:noProof/>
        </w:rPr>
      </w:pPr>
      <w:r>
        <w:rPr>
          <w:noProof/>
        </w:rPr>
        <w:t>A beruházások magukban foglalják a helyreállítási és rezilienciaépítési terv célkitűzéseinek végrehajtását támogató technikai és adminisztratív személyzet felvételét is. A pervezető hivatal személyzete és a technikai adminisztratív személyzet támo</w:t>
      </w:r>
      <w:r>
        <w:rPr>
          <w:noProof/>
        </w:rPr>
        <w:t>gatja az Igazságügyi Minisztériumnak a helyreállítási és rezilienciaépítési terv végrehajtásáért felelős közigazgatási, polgári és büntetőbíróságait, valamint területi és központi szolgálatait. A személyzeti egység szerződéseinek időtartama legfeljebb 3 év</w:t>
      </w:r>
      <w:r>
        <w:rPr>
          <w:noProof/>
        </w:rPr>
        <w:t>, amely 2026. június 30-ig meghosszabbítható.</w:t>
      </w:r>
    </w:p>
    <w:p w14:paraId="081E329D" w14:textId="77777777" w:rsidR="003F5418" w:rsidRDefault="002A6C25">
      <w:pPr>
        <w:spacing w:before="120" w:after="120"/>
        <w:jc w:val="both"/>
        <w:rPr>
          <w:noProof/>
        </w:rPr>
      </w:pPr>
      <w:r>
        <w:rPr>
          <w:noProof/>
        </w:rPr>
        <w:t xml:space="preserve">A beruházás magában foglalja az igazságszolgáltatási rendszer digitális átállásának támogatására irányuló képzést is. </w:t>
      </w:r>
    </w:p>
    <w:p w14:paraId="09886FE7" w14:textId="34A0E6E2" w:rsidR="003F5418" w:rsidRDefault="00DB1837">
      <w:pPr>
        <w:pStyle w:val="Axistitle"/>
        <w:ind w:left="0"/>
        <w:rPr>
          <w:noProof/>
        </w:rPr>
      </w:pPr>
      <w:r>
        <w:rPr>
          <w:noProof/>
        </w:rPr>
        <w:t>3. Tengely – Közigazgatás</w:t>
      </w:r>
    </w:p>
    <w:p w14:paraId="5239B39A" w14:textId="7A84A897" w:rsidR="003F5418" w:rsidRDefault="00DB1837">
      <w:pPr>
        <w:pStyle w:val="P68B1DB1-Normal2"/>
        <w:spacing w:before="240" w:after="120"/>
        <w:jc w:val="both"/>
        <w:rPr>
          <w:rFonts w:eastAsiaTheme="minorHAnsi"/>
          <w:noProof/>
        </w:rPr>
      </w:pPr>
      <w:r>
        <w:rPr>
          <w:noProof/>
        </w:rPr>
        <w:t>1.9. Reform – Állami foglalkoztatási reform és egyszerűsítési reform</w:t>
      </w:r>
    </w:p>
    <w:p w14:paraId="0AAC0E1D" w14:textId="77777777" w:rsidR="003F5418" w:rsidRDefault="002A6C25">
      <w:pPr>
        <w:keepNext/>
        <w:spacing w:before="120" w:after="120"/>
        <w:jc w:val="both"/>
        <w:rPr>
          <w:rFonts w:eastAsiaTheme="minorHAnsi"/>
          <w:noProof/>
        </w:rPr>
      </w:pPr>
      <w:r>
        <w:rPr>
          <w:noProof/>
        </w:rPr>
        <w:t>Az állami foglalkoztatási reformok kétlépcsős megközelítést követnek. Rövid távon sürgős intézkedéseket fogadnak el annak érdekében, hogy a lehető legjobban kihasználják a Helyreállítási és Rezilienciaépítési Eszközből származó finanszírozást a terv ir</w:t>
      </w:r>
      <w:r>
        <w:rPr>
          <w:noProof/>
        </w:rPr>
        <w:t>ányítása és a közigazgatási kapacitás hiánya miatt a közigazgatásnak nyújtott azonnali segítségnyújtás tekintetében. Ezt a stratégiát szervezeti reformok és egy humánerőforrás-stratégia kíséri, amelynek célja a közigazgatás egészét érintő átalakító erejű v</w:t>
      </w:r>
      <w:r>
        <w:rPr>
          <w:noProof/>
        </w:rPr>
        <w:t>áltozás. Az emberierőforrás-stratégiai tervek meghatározásán belül átfogó intézkedéscsomagot határoztak meg a következők érdekében: a munkaköri profilok aktualizálása (a kettős átállás fényében is); a munkaerő-felvételi eljárások reformja célzottabb és hat</w:t>
      </w:r>
      <w:r>
        <w:rPr>
          <w:noProof/>
        </w:rPr>
        <w:t>ékonyabb legyen; a magas rangú közszolgálat reformja a kinevezési eljárások közigazgatáson belüli egységesítése érdekében; az egész életen át tartó tanulás és a jutalmazási mechanizmusok vagy konkrét karrierlehetőségek közötti kapcsolat erősítése; a köziga</w:t>
      </w:r>
      <w:r>
        <w:rPr>
          <w:noProof/>
        </w:rPr>
        <w:t>zgatás etikai elveinek meghatározása vagy aktualizálása; a nemek közötti egyensúly iránti elkötelezettség megerősítése; valamint a személyzet horizontális és vertikális mobilitásának reformja. A reform sürgős intézkedéseket tartalmaz az adminisztratív eljá</w:t>
      </w:r>
      <w:r>
        <w:rPr>
          <w:noProof/>
        </w:rPr>
        <w:t>rások egyszerűsítésére a vállalkozások és a polgárok érdekében, ugyanakkor biztosítja a helyreállítási és rezilienciaépítési terv zökkenőmentes végrehajtását is.</w:t>
      </w:r>
    </w:p>
    <w:p w14:paraId="05A628FC" w14:textId="77777777" w:rsidR="003F5418" w:rsidRDefault="002A6C25">
      <w:pPr>
        <w:keepNext/>
        <w:spacing w:before="120" w:after="120"/>
        <w:jc w:val="both"/>
        <w:rPr>
          <w:noProof/>
        </w:rPr>
      </w:pPr>
      <w:r>
        <w:rPr>
          <w:noProof/>
        </w:rPr>
        <w:t xml:space="preserve">Az egyszerűsítési reform megszünteti a közérdeken alapuló kényszerítő okok által nem indokolt </w:t>
      </w:r>
      <w:r>
        <w:rPr>
          <w:noProof/>
        </w:rPr>
        <w:t>engedélyeket, valamint a szükségtelen vagy az új technológiákat nem alkalmazó kötelezettségek eltörlését. Emellett végrehajtja a hallgatólagos beleegyezési mechanizmus elfogadását, az egyszerű kommunikáció bevezetését, valamint a régiókkal és önkormányzato</w:t>
      </w:r>
      <w:r>
        <w:rPr>
          <w:noProof/>
        </w:rPr>
        <w:t xml:space="preserve">kkal megosztott egységes rendszerek elfogadását. </w:t>
      </w:r>
    </w:p>
    <w:p w14:paraId="527EF2BC" w14:textId="77777777" w:rsidR="003F5418" w:rsidRDefault="002A6C25">
      <w:pPr>
        <w:spacing w:before="120" w:after="120"/>
        <w:jc w:val="both"/>
        <w:rPr>
          <w:noProof/>
        </w:rPr>
      </w:pPr>
      <w:r>
        <w:rPr>
          <w:noProof/>
        </w:rPr>
        <w:t>Az egyszerűsítési reform a következő elemeket foglalja magában: az üzleti és építési eljárások interoperabilitása (SUAP &amp; SUE); közös eredményorientált teljesítménymutatók végrehajtása; valamint a közigazga</w:t>
      </w:r>
      <w:r>
        <w:rPr>
          <w:noProof/>
        </w:rPr>
        <w:t>tási szervek szervezeti változásainak irányítására szolgáló fő teljesítménymutatók (KPI-k) meghatározása. A fő teljesítménymutatókról szóló első jelentés közzétételét a következő jelentések hathavonta történő közzététele követi.</w:t>
      </w:r>
    </w:p>
    <w:p w14:paraId="6B32F00F" w14:textId="77777777" w:rsidR="003F5418" w:rsidRDefault="002A6C25">
      <w:pPr>
        <w:spacing w:before="120" w:after="120"/>
        <w:jc w:val="both"/>
        <w:rPr>
          <w:noProof/>
        </w:rPr>
      </w:pPr>
      <w:r>
        <w:rPr>
          <w:noProof/>
        </w:rPr>
        <w:t>A Helyreállítási és Rezilie</w:t>
      </w:r>
      <w:r>
        <w:rPr>
          <w:noProof/>
        </w:rPr>
        <w:t xml:space="preserve">nciaépítési Eszköz végrehajtásának nyomon követésére szolgáló adattárrendszernek az első kifizetési kérelem benyújtásának időpontjáig rendelkezésre kell állnia és működőképesnek kell lennie. </w:t>
      </w:r>
    </w:p>
    <w:p w14:paraId="1C306085" w14:textId="50501A59" w:rsidR="003F5418" w:rsidRDefault="00DB1837">
      <w:pPr>
        <w:pStyle w:val="P68B1DB1-Normal2"/>
        <w:spacing w:before="120" w:after="120"/>
        <w:jc w:val="both"/>
        <w:rPr>
          <w:noProof/>
        </w:rPr>
      </w:pPr>
      <w:r>
        <w:rPr>
          <w:noProof/>
        </w:rPr>
        <w:t>1.9. Reform – A kohéziós politika végrehajtásának felgyorsítását célzó reform</w:t>
      </w:r>
    </w:p>
    <w:p w14:paraId="06F3858B" w14:textId="2F70CCE4" w:rsidR="003F5418" w:rsidRDefault="002A6C25">
      <w:pPr>
        <w:spacing w:before="120" w:after="120"/>
        <w:jc w:val="both"/>
        <w:rPr>
          <w:noProof/>
        </w:rPr>
      </w:pPr>
      <w:r>
        <w:rPr>
          <w:noProof/>
        </w:rPr>
        <w:t>A reform célja, hogy a nemzeti helyreállítási és rezilienciaépítési tervet kiegészítve felgyorsítsa a kohéziós politika végrehajtását és hatékonyságát. Előirányozza az egyetlen különleges gazdasági övezet stratégiai terve jóváhagyásának időpo</w:t>
      </w:r>
      <w:r>
        <w:rPr>
          <w:noProof/>
        </w:rPr>
        <w:t>ntját.</w:t>
      </w:r>
    </w:p>
    <w:p w14:paraId="4756D3F4" w14:textId="77777777" w:rsidR="003F5418" w:rsidRDefault="002A6C25">
      <w:pPr>
        <w:spacing w:before="120" w:after="120"/>
        <w:jc w:val="both"/>
        <w:rPr>
          <w:noProof/>
        </w:rPr>
      </w:pPr>
      <w:r>
        <w:rPr>
          <w:rStyle w:val="s10"/>
          <w:noProof/>
          <w:color w:val="000000" w:themeColor="text1"/>
        </w:rPr>
        <w:t xml:space="preserve">A </w:t>
      </w:r>
      <w:r>
        <w:rPr>
          <w:noProof/>
        </w:rPr>
        <w:t xml:space="preserve">nemzeti </w:t>
      </w:r>
      <w:r>
        <w:rPr>
          <w:rStyle w:val="s10"/>
          <w:noProof/>
          <w:color w:val="000000" w:themeColor="text1"/>
        </w:rPr>
        <w:t xml:space="preserve">szabályozás megköveteli az Egységes Konferencia véleményét, mielőtt azt a 281/1997. sz. törvényerejű rendelet előírja. </w:t>
      </w:r>
    </w:p>
    <w:p w14:paraId="690E02CB" w14:textId="77777777" w:rsidR="003F5418" w:rsidRDefault="002A6C25">
      <w:pPr>
        <w:spacing w:before="120" w:after="120"/>
        <w:jc w:val="both"/>
        <w:rPr>
          <w:noProof/>
        </w:rPr>
      </w:pPr>
      <w:r>
        <w:rPr>
          <w:noProof/>
        </w:rPr>
        <w:t xml:space="preserve">Az (EU) 2021/241 rendelet 9. cikkével összhangban a reform más uniós programokból és eszközökből is kaphat támogatást, </w:t>
      </w:r>
      <w:r>
        <w:rPr>
          <w:noProof/>
        </w:rPr>
        <w:t>feltéve, hogy az ilyen támogatás nem ugyanazokat a költségeket fedezi. A Helyreállítási és Rezilienciaépítési Eszköz nem fedezi a reform költségeit.</w:t>
      </w:r>
    </w:p>
    <w:p w14:paraId="598E06B4" w14:textId="338784E7" w:rsidR="003F5418" w:rsidRDefault="00DB1837">
      <w:pPr>
        <w:pStyle w:val="P68B1DB1-Normal2"/>
        <w:spacing w:before="240" w:after="120"/>
        <w:jc w:val="both"/>
        <w:rPr>
          <w:rFonts w:eastAsiaTheme="minorHAnsi"/>
          <w:noProof/>
        </w:rPr>
      </w:pPr>
      <w:r>
        <w:rPr>
          <w:noProof/>
        </w:rPr>
        <w:t>1.9. Beruházás – Technikai segítségnyújtás és kapacitásépítés megerősítése az olasz helyreállítási és rezilienciaépítési terv végrehajtásához</w:t>
      </w:r>
    </w:p>
    <w:p w14:paraId="38A402E1" w14:textId="77777777" w:rsidR="003F5418" w:rsidRDefault="002A6C25">
      <w:pPr>
        <w:spacing w:before="120" w:after="120"/>
        <w:jc w:val="both"/>
        <w:rPr>
          <w:noProof/>
        </w:rPr>
      </w:pPr>
      <w:r>
        <w:rPr>
          <w:noProof/>
        </w:rPr>
        <w:t>A beruházás egy szakértői állomány ideiglenes felvételéből áll, amelynek feladata, hogy technikai segítséget nyújtson a közigazgatási szerveknek, és megerősítse az adminisztratív kapacitást, különösen helyi szinten a hely</w:t>
      </w:r>
      <w:r>
        <w:rPr>
          <w:noProof/>
        </w:rPr>
        <w:t xml:space="preserve">reállítási és rezilienciaépítési tervek konkrét projektjeinek végrehajtásához, amelyeket a szükségletek alapján kell bevetni. Ez a beruházás magában foglalja a közalkalmazottak képzési programjait is a kapacitásépítés megerősítése keretében. </w:t>
      </w:r>
    </w:p>
    <w:p w14:paraId="070F4344" w14:textId="46FCAC4E" w:rsidR="003F5418" w:rsidRDefault="00DB1837">
      <w:pPr>
        <w:pStyle w:val="Axistitle"/>
        <w:ind w:left="0"/>
        <w:rPr>
          <w:noProof/>
        </w:rPr>
      </w:pPr>
      <w:r>
        <w:rPr>
          <w:noProof/>
        </w:rPr>
        <w:t>4. Tengely – Közbeszerzések és közigazgatási szervek által teljesített kifizetések</w:t>
      </w:r>
    </w:p>
    <w:p w14:paraId="6F942CCA" w14:textId="04B345BD" w:rsidR="003F5418" w:rsidRDefault="00DB1837">
      <w:pPr>
        <w:pStyle w:val="P68B1DB1-Normal2"/>
        <w:spacing w:before="240" w:after="120"/>
        <w:jc w:val="both"/>
        <w:rPr>
          <w:rFonts w:eastAsiaTheme="minorHAnsi"/>
          <w:noProof/>
        </w:rPr>
      </w:pPr>
      <w:r>
        <w:rPr>
          <w:noProof/>
        </w:rPr>
        <w:t>1.10. Reform – A közbeszerzési jogi keret reformja</w:t>
      </w:r>
    </w:p>
    <w:p w14:paraId="22873E37" w14:textId="77777777" w:rsidR="003F5418" w:rsidRDefault="002A6C25">
      <w:pPr>
        <w:spacing w:before="120" w:after="120"/>
        <w:jc w:val="both"/>
        <w:rPr>
          <w:noProof/>
        </w:rPr>
      </w:pPr>
      <w:r>
        <w:rPr>
          <w:noProof/>
        </w:rPr>
        <w:t>E reform első lépése a sürgős egyszerűsítési intézkedések első csomagjának 2021 májusáig történő elfogadása egy törvényerejű rendelette</w:t>
      </w:r>
      <w:r>
        <w:rPr>
          <w:noProof/>
        </w:rPr>
        <w:t>l, amelynek célja: a központi beszerző szervek eljárásainak egyszerűsítése és digitalizálása; nyilvántartásba veszi a szerződéseket a nemzeti korrupcióellenes hatóság (ANAC) korrupcióellenes adatbázisában; külön irodák létrehozása a közbeszerzési eljárások</w:t>
      </w:r>
      <w:r>
        <w:rPr>
          <w:noProof/>
        </w:rPr>
        <w:t>ért felelős minisztériumokban, régiókban és nagyvárosi városokban; cél kitűzése a közzététel és a szerződés odaítélése, valamint a szerződés odaítélése és az infrastruktúra befejezése közötti idő csökkentésére; valamint az alternatív vitarendezési mechaniz</w:t>
      </w:r>
      <w:r>
        <w:rPr>
          <w:noProof/>
        </w:rPr>
        <w:t>musok ösztönzése a szerződések végrehajtási szakaszában. 2021 vége előtt a közbeszerzési politikát koordináló egységes testületnek megfelelő szintű személyzettel kell rendelkeznie, és professzionalizálási stratégiát kell elfogadnia, amely különböző szintek</w:t>
      </w:r>
      <w:r>
        <w:rPr>
          <w:noProof/>
        </w:rPr>
        <w:t>en képzéseket biztosít; a dinamikus beszerzési rendszereket a közbeszerzési irányelvekkel összhangban rendelkezésre kell bocsátani; és az ANAC elvégzi az ajánlatkérő szervek minősítésének gyakorlását.</w:t>
      </w:r>
    </w:p>
    <w:p w14:paraId="396A8F22" w14:textId="77777777" w:rsidR="003F5418" w:rsidRDefault="002A6C25">
      <w:pPr>
        <w:spacing w:before="120" w:after="120"/>
        <w:jc w:val="both"/>
        <w:rPr>
          <w:noProof/>
        </w:rPr>
      </w:pPr>
      <w:r>
        <w:rPr>
          <w:noProof/>
        </w:rPr>
        <w:t>E reform második lépése a közbeszerzési törvénykönyv 20</w:t>
      </w:r>
      <w:r>
        <w:rPr>
          <w:noProof/>
        </w:rPr>
        <w:t>23 második negyedévéig végrehajtandó módosításaiból áll, amelyek célja: az ajánlatkérő szervek széttöredezettségének csökkentése; annak előírása, hogy a közbeszerzési kapacitás országos értékelésében való részvétel alapvető követelményeként e-platformot ho</w:t>
      </w:r>
      <w:r>
        <w:rPr>
          <w:noProof/>
        </w:rPr>
        <w:t>zzanak létre; valamint a nemzeti korrupcióellenes hatóság felhatalmazása az ajánlatkérő szervek minősítésének felülvizsgálatára. A reform hatóköre kiterjed továbbá a központi beszerző szervek eljárásainak további egyszerűsítésére és digitalizálására, valam</w:t>
      </w:r>
      <w:r>
        <w:rPr>
          <w:noProof/>
        </w:rPr>
        <w:t>int az interoperabilitási és összekapcsolási követelmények meghatározására. A reformnak csökkentenie kell az alvállalkozásba adás lehetőségének korlátozását is, amely jelenleg a közbeszerzési törvénykönyvet tartalmazza.</w:t>
      </w:r>
    </w:p>
    <w:p w14:paraId="4801EC4F" w14:textId="77777777" w:rsidR="003F5418" w:rsidRDefault="002A6C25">
      <w:pPr>
        <w:spacing w:before="120" w:after="120"/>
        <w:jc w:val="both"/>
        <w:rPr>
          <w:noProof/>
        </w:rPr>
      </w:pPr>
      <w:r>
        <w:rPr>
          <w:noProof/>
        </w:rPr>
        <w:t>Ez a reform magában foglalja továbbá</w:t>
      </w:r>
      <w:r>
        <w:rPr>
          <w:noProof/>
        </w:rPr>
        <w:t xml:space="preserve"> a nemzeti e-közbeszerzési rendszer 2023 végéig történő működőképessé tételét, valamint célzott intézkedések bevezetését – többek között elsődleges és/vagy másodlagos jogszabályok elfogadása révén – az ajánlatkérő szervek képesítésének és professzionalizál</w:t>
      </w:r>
      <w:r>
        <w:rPr>
          <w:noProof/>
        </w:rPr>
        <w:t>ásának további javítása, valamint a verseny fokozása érdekében (pl. a projektfinanszírozásra alkalmazandó szabályok módosítása).</w:t>
      </w:r>
    </w:p>
    <w:p w14:paraId="0CD36E31" w14:textId="165E6214" w:rsidR="003F5418" w:rsidRDefault="00DB1837">
      <w:pPr>
        <w:pStyle w:val="P68B1DB1-Normal2"/>
        <w:spacing w:before="240" w:after="120"/>
        <w:jc w:val="both"/>
        <w:rPr>
          <w:rFonts w:eastAsiaTheme="minorEastAsia"/>
          <w:noProof/>
        </w:rPr>
      </w:pPr>
      <w:r>
        <w:rPr>
          <w:noProof/>
        </w:rPr>
        <w:t>1.11. Reform – A közigazgatási szervek és az egészségügyi hatóságok késedelmes kifizetéseinek csökkentése</w:t>
      </w:r>
    </w:p>
    <w:p w14:paraId="2636F8F6" w14:textId="77777777" w:rsidR="003F5418" w:rsidRDefault="002A6C25">
      <w:pPr>
        <w:spacing w:before="240" w:after="120"/>
        <w:jc w:val="both"/>
        <w:rPr>
          <w:rFonts w:eastAsiaTheme="minorEastAsia"/>
          <w:b/>
          <w:noProof/>
        </w:rPr>
      </w:pPr>
      <w:r>
        <w:rPr>
          <w:noProof/>
        </w:rPr>
        <w:t xml:space="preserve">A reform célja, hogy </w:t>
      </w:r>
      <w:r>
        <w:rPr>
          <w:noProof/>
        </w:rPr>
        <w:t>csökkentse a késedelmes kifizetéseket, és a közigazgatástól a vállalkozásokig ne késlekedjen. A reform 2024-től kezdődően magában foglalja egy olyan strukturális csomag elfogadását, amely mind központi, mind helyi szintű intézkedéseket tartalmaz, beleértve</w:t>
      </w:r>
      <w:r>
        <w:rPr>
          <w:noProof/>
        </w:rPr>
        <w:t xml:space="preserve"> a jogszabályok hatálybalépését is.</w:t>
      </w:r>
    </w:p>
    <w:p w14:paraId="25F9C0D2" w14:textId="77777777" w:rsidR="003F5418" w:rsidRDefault="002A6C25">
      <w:pPr>
        <w:ind w:firstLine="11"/>
        <w:jc w:val="both"/>
        <w:rPr>
          <w:noProof/>
        </w:rPr>
      </w:pPr>
      <w:r>
        <w:rPr>
          <w:noProof/>
        </w:rPr>
        <w:t>Ez a reform annak biztosítását jelenti, hogy 2025-ig i. a központi, regionális és helyi szintű közigazgatási szervek 30 napon belül, ii. a regionális egészségügyi hatóságok pedig 60 napon belül fizessenek. A késedelmes f</w:t>
      </w:r>
      <w:r>
        <w:rPr>
          <w:noProof/>
        </w:rPr>
        <w:t xml:space="preserve">izetések problémájának strukturális megoldása érdekében ez a reform azt is biztosítja, hogy 2026-ban i. a központi, regionális és helyi szintű közigazgatási szervek 30 napon belül továbbra is fizessenek, és ii. a regionális egészségügyi hatóságok 60 napon </w:t>
      </w:r>
      <w:r>
        <w:rPr>
          <w:noProof/>
        </w:rPr>
        <w:t>belül továbbra is fizessenek.</w:t>
      </w:r>
    </w:p>
    <w:p w14:paraId="79670EC1" w14:textId="73064341" w:rsidR="003F5418" w:rsidRDefault="00DB1837">
      <w:pPr>
        <w:pStyle w:val="Axistitle"/>
        <w:ind w:left="0"/>
        <w:rPr>
          <w:noProof/>
        </w:rPr>
      </w:pPr>
      <w:r>
        <w:rPr>
          <w:noProof/>
        </w:rPr>
        <w:t>5. Tengely – Költségvetési-strukturális reformok (adózás és közkiadások)</w:t>
      </w:r>
    </w:p>
    <w:p w14:paraId="01ADF37C" w14:textId="223955A0" w:rsidR="003F5418" w:rsidRDefault="00DB1837">
      <w:pPr>
        <w:pStyle w:val="P68B1DB1-Normal2"/>
        <w:spacing w:before="240" w:after="120"/>
        <w:jc w:val="both"/>
        <w:rPr>
          <w:rFonts w:eastAsiaTheme="minorHAnsi"/>
          <w:noProof/>
        </w:rPr>
      </w:pPr>
      <w:r>
        <w:rPr>
          <w:noProof/>
        </w:rPr>
        <w:t>1.12. Reform – Az adóhatóság reformja</w:t>
      </w:r>
    </w:p>
    <w:p w14:paraId="096288C8" w14:textId="7EAA4DF9" w:rsidR="003F5418" w:rsidRDefault="002A6C25">
      <w:pPr>
        <w:jc w:val="both"/>
        <w:rPr>
          <w:noProof/>
        </w:rPr>
      </w:pPr>
      <w:r>
        <w:rPr>
          <w:noProof/>
        </w:rPr>
        <w:t>Számos intézkedést kell elfogadni az adózási fegyelem ösztönzése és az auditok és kontrollok célzottságának javítás</w:t>
      </w:r>
      <w:r>
        <w:rPr>
          <w:noProof/>
        </w:rPr>
        <w:t>a érdekében, beleértve a következőket: i. az adatbázis és az előzetesen kitöltött héabevallás kiadására szolgáló külön informatikai infrastruktúra létrehozása; ii. a „megfelelési levelekhez” használt adatbázis minőségének javítása, többek között a hamis po</w:t>
      </w:r>
      <w:r>
        <w:rPr>
          <w:noProof/>
        </w:rPr>
        <w:t>zitív esetek számának csökkentése, valamint az adófizetőknek küldött közlések számának fokozatos növelése céljából; iii. a hatályos jogszabályok reformja a hatékony közigazgatási szankciók biztosítása érdekében arra az esetre, ha a magánszolgáltatók megtag</w:t>
      </w:r>
      <w:r>
        <w:rPr>
          <w:noProof/>
        </w:rPr>
        <w:t>adják az elektronikus fizetések elfogadását; iv. az adatok álnevesítési és -elemzési folyamatának befejezése az ellenőrzések kiválasztási folyamatának alapjául szolgáló kockázatelemzés hatékonyságának növelése érdekében. E reformok végrehajtása és a Bevéte</w:t>
      </w:r>
      <w:r>
        <w:rPr>
          <w:noProof/>
        </w:rPr>
        <w:t>li Ügynökség operatív kapacitásának megerősítése érdekében az Ügynökség személyzetét az Ügynökség 2021–2023-as teljesítménytervével összhangban 4113 egységgel növelni kell. Ezen túlmenően a kormány felülvizsgálja a kihagyott számlázásból eredő adócsalás cs</w:t>
      </w:r>
      <w:r>
        <w:rPr>
          <w:noProof/>
        </w:rPr>
        <w:t>ökkentésére irányuló lehetséges intézkedéseket a leginkább kitett ágazatokban, többek között a fogyasztóknak nyújtott célzott ösztönzők révén, és a felülvizsgálat megállapításai alapján hatékony intézkedéseket fog hozni, ambiciózus kötelezettségvállalással</w:t>
      </w:r>
      <w:r>
        <w:rPr>
          <w:noProof/>
        </w:rPr>
        <w:t xml:space="preserve"> arra vonatkozóan, hogy csökkenti az adókikerülésre való hajlandóságot.</w:t>
      </w:r>
    </w:p>
    <w:p w14:paraId="242624FF" w14:textId="6CDB25B2" w:rsidR="003F5418" w:rsidRDefault="00DB1837">
      <w:pPr>
        <w:pStyle w:val="P68B1DB1-Normal2"/>
        <w:spacing w:before="240" w:after="120"/>
        <w:jc w:val="both"/>
        <w:rPr>
          <w:rFonts w:eastAsiaTheme="minorHAnsi"/>
          <w:noProof/>
        </w:rPr>
      </w:pPr>
      <w:r>
        <w:rPr>
          <w:noProof/>
        </w:rPr>
        <w:t>1.13. Reform – A kiadások felülvizsgálatára vonatkozó keret reformja</w:t>
      </w:r>
    </w:p>
    <w:p w14:paraId="666607EB" w14:textId="77777777" w:rsidR="003F5418" w:rsidRDefault="002A6C25">
      <w:pPr>
        <w:jc w:val="both"/>
        <w:rPr>
          <w:noProof/>
        </w:rPr>
      </w:pPr>
      <w:r>
        <w:rPr>
          <w:noProof/>
        </w:rPr>
        <w:t>A terv magában foglalja a kiadások felülvizsgálati keretének reformját, amelynek célja a hatékonyság javítása, több</w:t>
      </w:r>
      <w:r>
        <w:rPr>
          <w:noProof/>
        </w:rPr>
        <w:t>ek között a Pénzügyminisztérium szerepének és az utólagos értékelési folyamatnak a megerősítése, valamint a zöld és a nemek közötti egyenlőség szempontját érvényesítő költségvetés-tervezés gyakorlatának javítása révén. A terv arra vonatkozó kötelezettségvá</w:t>
      </w:r>
      <w:r>
        <w:rPr>
          <w:noProof/>
        </w:rPr>
        <w:t>llalást is tartalmaz, hogy a 2023–2025-ös időszakban a meglévő jogi keret alapján költségvetési megtakarításokat érnek el a fenntartható államháztartás támogatása és/vagy az adók vagy közkiadások növekedésösztönző reformjának finanszírozása érdekében.</w:t>
      </w:r>
    </w:p>
    <w:p w14:paraId="734AA34A" w14:textId="26DBEF24" w:rsidR="003F5418" w:rsidRDefault="00DB1837">
      <w:pPr>
        <w:pStyle w:val="P68B1DB1-Normal2"/>
        <w:spacing w:before="240" w:after="120"/>
        <w:jc w:val="both"/>
        <w:rPr>
          <w:rFonts w:eastAsiaTheme="minorEastAsia"/>
          <w:noProof/>
        </w:rPr>
      </w:pPr>
      <w:r>
        <w:rPr>
          <w:noProof/>
        </w:rPr>
        <w:t>1.14. Reform – A szubnacionális költségvetési keret reformja</w:t>
      </w:r>
    </w:p>
    <w:p w14:paraId="11673909" w14:textId="3684D5D5" w:rsidR="003F5418" w:rsidRDefault="002A6C25">
      <w:pPr>
        <w:jc w:val="both"/>
        <w:rPr>
          <w:noProof/>
        </w:rPr>
      </w:pPr>
      <w:r>
        <w:rPr>
          <w:noProof/>
        </w:rPr>
        <w:t>A reform a 42/2009. sz. hatáskör-átruházási törvényben előírt „költségvetési föderalizmus” befejezéséből áll, amelynek célja, hogy javítsa a költségvetési kapcsolatok átláthatóságát a kormányzat külö</w:t>
      </w:r>
      <w:r>
        <w:rPr>
          <w:noProof/>
        </w:rPr>
        <w:t>nböző szintjein, objektív kritériumok alapján forrásokat különítsen el a szubnacionális kormányzatok számára, és ösztönözze a szubnacionális szintű kiadások hatékonyságát. A reformnak meg kell határoznia különösen a rendes jogállású régiók, a tartományok é</w:t>
      </w:r>
      <w:r>
        <w:rPr>
          <w:noProof/>
        </w:rPr>
        <w:t>s a nagyvárosok költségvetési föderalizmusának megvalósításához szükséges paramétereket.</w:t>
      </w:r>
    </w:p>
    <w:p w14:paraId="4003B828" w14:textId="42F32E0C" w:rsidR="003F5418" w:rsidRDefault="00DB1837">
      <w:pPr>
        <w:pStyle w:val="P68B1DB1-Normal2"/>
        <w:spacing w:before="240" w:after="120"/>
        <w:jc w:val="both"/>
        <w:rPr>
          <w:rFonts w:eastAsiaTheme="minorHAnsi"/>
          <w:noProof/>
        </w:rPr>
      </w:pPr>
      <w:r>
        <w:rPr>
          <w:noProof/>
        </w:rPr>
        <w:t>1.15. Reform – Az államháztartási számviteli szabályok reformja</w:t>
      </w:r>
    </w:p>
    <w:p w14:paraId="69BC9E9C" w14:textId="27D65491" w:rsidR="003F5418" w:rsidRDefault="002A6C25">
      <w:pPr>
        <w:jc w:val="both"/>
        <w:rPr>
          <w:rFonts w:eastAsiaTheme="minorEastAsia"/>
          <w:noProof/>
        </w:rPr>
      </w:pPr>
      <w:r>
        <w:rPr>
          <w:noProof/>
        </w:rPr>
        <w:t>A reform célja, hogy a közszféra egységes eredményszemléletű számviteli rendszerének bevezetésével megs</w:t>
      </w:r>
      <w:r>
        <w:rPr>
          <w:noProof/>
        </w:rPr>
        <w:t xml:space="preserve">züntesse az európai számviteli standardoktól való eltérést. A reform eredményeként ki kell egészíteni az eredményszemléletű számviteli rendszer koncepcionális keretét, az Eurostat által meghatározott minőségi jellemzőknek, az eredményszemléletű számviteli </w:t>
      </w:r>
      <w:r>
        <w:rPr>
          <w:noProof/>
        </w:rPr>
        <w:t>standardoknak és a többdimenziós számlatükörnek megfelelően. A reformot ki kell egészíteni a közszektorbeli intézmények képviselőinek az új eredményszemléletű számviteli rendszerre való átállással kapcsolatos első képzésével, amely a teljes közszektor első</w:t>
      </w:r>
      <w:r>
        <w:rPr>
          <w:noProof/>
        </w:rPr>
        <w:t>dleges kiadásainak legalább 90%-át fedezi.</w:t>
      </w:r>
    </w:p>
    <w:p w14:paraId="041DBCD6" w14:textId="07B384EB" w:rsidR="003F5418" w:rsidRDefault="00DB1837">
      <w:pPr>
        <w:pStyle w:val="P68B1DB1-Normal2"/>
        <w:spacing w:before="120" w:after="120"/>
        <w:jc w:val="both"/>
        <w:rPr>
          <w:rFonts w:eastAsiaTheme="minorEastAsia"/>
          <w:noProof/>
        </w:rPr>
      </w:pPr>
      <w:r>
        <w:rPr>
          <w:noProof/>
        </w:rPr>
        <w:t xml:space="preserve">1.10. Beruházás – Minősítés és e-közbeszerzés támogatása </w:t>
      </w:r>
    </w:p>
    <w:p w14:paraId="03E22261" w14:textId="77777777" w:rsidR="003F5418" w:rsidRDefault="002A6C25">
      <w:pPr>
        <w:spacing w:before="120" w:after="120"/>
        <w:jc w:val="both"/>
        <w:rPr>
          <w:noProof/>
        </w:rPr>
      </w:pPr>
      <w:r>
        <w:rPr>
          <w:noProof/>
        </w:rPr>
        <w:t xml:space="preserve">Ez a beruházás a közbeszerzők professzionalizálási stratégiájának keretében közbeszerzési támogató funkciót hoz létre az ajánlatkérő szervek számára, hogy </w:t>
      </w:r>
      <w:r>
        <w:rPr>
          <w:noProof/>
        </w:rPr>
        <w:t>teljesítsék a közbeszerzési törvénykönyv II. mellékletének 4. pontjában foglalt követelményeket, és támogassák őket az e-közbeszerzési folyamatban, támogatva a digitális készségek elsajátítását és technikai támogatást nyújtva a közbeszerzés digitalizálásán</w:t>
      </w:r>
      <w:r>
        <w:rPr>
          <w:noProof/>
        </w:rPr>
        <w:t>ak elfogadásához, beleértve a dinamikus beszerzési rendszerek alkalmazását is.</w:t>
      </w:r>
    </w:p>
    <w:p w14:paraId="154DA567" w14:textId="77777777" w:rsidR="003F5418" w:rsidRDefault="003F5418">
      <w:pPr>
        <w:spacing w:before="120" w:after="120"/>
        <w:jc w:val="both"/>
        <w:rPr>
          <w:rFonts w:eastAsiaTheme="minorHAnsi"/>
          <w:noProof/>
        </w:rPr>
        <w:sectPr w:rsidR="003F5418" w:rsidSect="00994F5E">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567" w:footer="567" w:gutter="0"/>
          <w:cols w:space="720"/>
          <w:docGrid w:linePitch="360"/>
        </w:sectPr>
      </w:pPr>
    </w:p>
    <w:p w14:paraId="5ECF22CE" w14:textId="77777777" w:rsidR="003F5418" w:rsidRDefault="002A6C25">
      <w:pPr>
        <w:pStyle w:val="Heading3"/>
        <w:numPr>
          <w:ilvl w:val="0"/>
          <w:numId w:val="0"/>
        </w:numPr>
        <w:ind w:left="850" w:hanging="850"/>
        <w:rPr>
          <w:b/>
          <w:i w:val="0"/>
          <w:noProof/>
          <w:u w:val="single"/>
        </w:rPr>
      </w:pPr>
      <w:r>
        <w:rPr>
          <w:b/>
          <w:i w:val="0"/>
          <w:noProof/>
          <w:u w:val="single"/>
        </w:rPr>
        <w:t xml:space="preserve">A.2. </w:t>
      </w:r>
      <w:r>
        <w:rPr>
          <w:noProof/>
        </w:rPr>
        <w:t xml:space="preserve"> </w:t>
      </w:r>
      <w:r>
        <w:rPr>
          <w:b/>
          <w:i w:val="0"/>
          <w:noProof/>
          <w:u w:val="single"/>
        </w:rPr>
        <w:t xml:space="preserve">Vissza nem térítendő pénzügyi támogatás – a végrehajtáshoz és a nyomon követéshez kapcsolódó mérföldkövek, célok, </w:t>
      </w:r>
      <w:r>
        <w:rPr>
          <w:b/>
          <w:i w:val="0"/>
          <w:noProof/>
          <w:u w:val="single"/>
        </w:rPr>
        <w:t>mutatók és ütemterv</w:t>
      </w:r>
    </w:p>
    <w:tbl>
      <w:tblPr>
        <w:tblW w:w="15503"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53"/>
        <w:gridCol w:w="1568"/>
        <w:gridCol w:w="1148"/>
        <w:gridCol w:w="1470"/>
        <w:gridCol w:w="1701"/>
        <w:gridCol w:w="1134"/>
        <w:gridCol w:w="1417"/>
        <w:gridCol w:w="1425"/>
        <w:gridCol w:w="843"/>
        <w:gridCol w:w="567"/>
        <w:gridCol w:w="2977"/>
      </w:tblGrid>
      <w:tr w:rsidR="003F5418" w14:paraId="4B570E73" w14:textId="77777777">
        <w:trPr>
          <w:trHeight w:val="765"/>
          <w:tblHeader/>
        </w:trPr>
        <w:tc>
          <w:tcPr>
            <w:tcW w:w="1253" w:type="dxa"/>
            <w:vMerge w:val="restart"/>
            <w:shd w:val="clear" w:color="auto" w:fill="BDD7EE"/>
            <w:vAlign w:val="center"/>
            <w:hideMark/>
          </w:tcPr>
          <w:p w14:paraId="4B771021" w14:textId="77777777" w:rsidR="003F5418" w:rsidRDefault="002A6C25">
            <w:pPr>
              <w:pStyle w:val="P68B1DB1-Normal3"/>
              <w:jc w:val="center"/>
              <w:rPr>
                <w:rFonts w:cs="Arial"/>
                <w:noProof/>
              </w:rPr>
            </w:pPr>
            <w:r>
              <w:rPr>
                <w:noProof/>
              </w:rPr>
              <w:t>Sorszám</w:t>
            </w:r>
          </w:p>
        </w:tc>
        <w:tc>
          <w:tcPr>
            <w:tcW w:w="1568" w:type="dxa"/>
            <w:vMerge w:val="restart"/>
            <w:shd w:val="clear" w:color="auto" w:fill="BDD7EE"/>
            <w:vAlign w:val="center"/>
            <w:hideMark/>
          </w:tcPr>
          <w:p w14:paraId="31B28CEB" w14:textId="77777777" w:rsidR="003F5418" w:rsidRDefault="002A6C25">
            <w:pPr>
              <w:pStyle w:val="P68B1DB1-Normal3"/>
              <w:jc w:val="center"/>
              <w:rPr>
                <w:rFonts w:cs="Arial"/>
                <w:noProof/>
              </w:rPr>
            </w:pPr>
            <w:r>
              <w:rPr>
                <w:noProof/>
              </w:rPr>
              <w:t>Kapcsolódó intézkedés (reform vagy beruházás)</w:t>
            </w:r>
          </w:p>
        </w:tc>
        <w:tc>
          <w:tcPr>
            <w:tcW w:w="1148" w:type="dxa"/>
            <w:vMerge w:val="restart"/>
            <w:shd w:val="clear" w:color="auto" w:fill="BDD7EE"/>
            <w:vAlign w:val="center"/>
            <w:hideMark/>
          </w:tcPr>
          <w:p w14:paraId="29D4DF6D" w14:textId="77777777" w:rsidR="003F5418" w:rsidRDefault="002A6C25">
            <w:pPr>
              <w:pStyle w:val="P68B1DB1-Normal3"/>
              <w:jc w:val="center"/>
              <w:rPr>
                <w:rFonts w:cs="Arial"/>
                <w:noProof/>
              </w:rPr>
            </w:pPr>
            <w:r>
              <w:rPr>
                <w:noProof/>
              </w:rPr>
              <w:t>Mérföldkő</w:t>
            </w:r>
          </w:p>
          <w:p w14:paraId="668C1A15" w14:textId="77777777" w:rsidR="003F5418" w:rsidRDefault="002A6C25">
            <w:pPr>
              <w:pStyle w:val="P68B1DB1-Normal3"/>
              <w:jc w:val="center"/>
              <w:rPr>
                <w:rFonts w:cs="Arial"/>
                <w:noProof/>
              </w:rPr>
            </w:pPr>
            <w:r>
              <w:rPr>
                <w:noProof/>
              </w:rPr>
              <w:t>/Cél</w:t>
            </w:r>
          </w:p>
        </w:tc>
        <w:tc>
          <w:tcPr>
            <w:tcW w:w="1470" w:type="dxa"/>
            <w:vMerge w:val="restart"/>
            <w:shd w:val="clear" w:color="auto" w:fill="BDD7EE"/>
            <w:vAlign w:val="center"/>
            <w:hideMark/>
          </w:tcPr>
          <w:p w14:paraId="27D18E64" w14:textId="77777777" w:rsidR="003F5418" w:rsidRDefault="002A6C25">
            <w:pPr>
              <w:pStyle w:val="P68B1DB1-Normal3"/>
              <w:jc w:val="center"/>
              <w:rPr>
                <w:rFonts w:cs="Arial"/>
                <w:noProof/>
              </w:rPr>
            </w:pPr>
            <w:r>
              <w:rPr>
                <w:noProof/>
              </w:rPr>
              <w:t>Név</w:t>
            </w:r>
          </w:p>
        </w:tc>
        <w:tc>
          <w:tcPr>
            <w:tcW w:w="1701" w:type="dxa"/>
            <w:vMerge w:val="restart"/>
            <w:shd w:val="clear" w:color="auto" w:fill="BDD7EE"/>
            <w:vAlign w:val="center"/>
            <w:hideMark/>
          </w:tcPr>
          <w:p w14:paraId="2D506859" w14:textId="77777777" w:rsidR="003F5418" w:rsidRDefault="002A6C25">
            <w:pPr>
              <w:jc w:val="center"/>
              <w:rPr>
                <w:rFonts w:ascii="Arial Narrow" w:hAnsi="Arial Narrow" w:cs="Arial"/>
                <w:b/>
                <w:noProof/>
                <w:sz w:val="20"/>
              </w:rPr>
            </w:pPr>
            <w:r>
              <w:rPr>
                <w:rFonts w:ascii="Arial Narrow" w:hAnsi="Arial Narrow"/>
                <w:b/>
                <w:noProof/>
                <w:sz w:val="20"/>
              </w:rPr>
              <w:t>Minőségi mutatók</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3976" w:type="dxa"/>
            <w:gridSpan w:val="3"/>
            <w:shd w:val="clear" w:color="auto" w:fill="BDD7EE"/>
            <w:vAlign w:val="center"/>
            <w:hideMark/>
          </w:tcPr>
          <w:p w14:paraId="00BFE5E5" w14:textId="77777777" w:rsidR="003F5418" w:rsidRDefault="002A6C25">
            <w:pPr>
              <w:jc w:val="center"/>
              <w:rPr>
                <w:rFonts w:ascii="Arial Narrow" w:hAnsi="Arial Narrow" w:cs="Arial"/>
                <w:b/>
                <w:noProof/>
                <w:sz w:val="20"/>
              </w:rPr>
            </w:pPr>
            <w:r>
              <w:rPr>
                <w:rFonts w:ascii="Arial Narrow" w:hAnsi="Arial Narrow"/>
                <w:b/>
                <w:noProof/>
                <w:sz w:val="20"/>
              </w:rPr>
              <w:t>Mennyiségi mutatók</w:t>
            </w:r>
            <w:r>
              <w:rPr>
                <w:rFonts w:ascii="Arial Narrow" w:hAnsi="Arial Narrow"/>
                <w:noProof/>
                <w:sz w:val="20"/>
              </w:rPr>
              <w:t xml:space="preserve"> </w:t>
            </w:r>
            <w:r>
              <w:rPr>
                <w:noProof/>
              </w:rPr>
              <w:t xml:space="preserve"> </w:t>
            </w:r>
            <w:r>
              <w:rPr>
                <w:noProof/>
              </w:rPr>
              <w:br/>
            </w:r>
            <w:r>
              <w:rPr>
                <w:rFonts w:ascii="Arial Narrow" w:hAnsi="Arial Narrow"/>
                <w:b/>
                <w:noProof/>
                <w:sz w:val="20"/>
              </w:rPr>
              <w:t>(célok esetében)</w:t>
            </w:r>
          </w:p>
        </w:tc>
        <w:tc>
          <w:tcPr>
            <w:tcW w:w="1410" w:type="dxa"/>
            <w:gridSpan w:val="2"/>
            <w:shd w:val="clear" w:color="auto" w:fill="BDD7EE"/>
            <w:vAlign w:val="center"/>
            <w:hideMark/>
          </w:tcPr>
          <w:p w14:paraId="5CE32136" w14:textId="77777777" w:rsidR="003F5418" w:rsidRDefault="002A6C25">
            <w:pPr>
              <w:pStyle w:val="P68B1DB1-Normal3"/>
              <w:jc w:val="center"/>
              <w:rPr>
                <w:rFonts w:cs="Arial"/>
                <w:noProof/>
              </w:rPr>
            </w:pPr>
            <w:r>
              <w:rPr>
                <w:noProof/>
              </w:rPr>
              <w:t>A végrehajtás indikatív ütemterve</w:t>
            </w:r>
          </w:p>
        </w:tc>
        <w:tc>
          <w:tcPr>
            <w:tcW w:w="2977" w:type="dxa"/>
            <w:vMerge w:val="restart"/>
            <w:shd w:val="clear" w:color="auto" w:fill="BDD7EE"/>
            <w:vAlign w:val="center"/>
            <w:hideMark/>
          </w:tcPr>
          <w:p w14:paraId="107DF61A" w14:textId="77777777" w:rsidR="003F5418" w:rsidRDefault="002A6C25">
            <w:pPr>
              <w:pStyle w:val="P68B1DB1-Normal3"/>
              <w:jc w:val="center"/>
              <w:rPr>
                <w:rFonts w:cs="Arial"/>
                <w:noProof/>
              </w:rPr>
            </w:pPr>
            <w:r>
              <w:rPr>
                <w:noProof/>
              </w:rPr>
              <w:t>Az egyes mérföldkövek és célértékek leírása</w:t>
            </w:r>
          </w:p>
        </w:tc>
      </w:tr>
      <w:tr w:rsidR="003F5418" w14:paraId="18A54E24" w14:textId="77777777">
        <w:trPr>
          <w:trHeight w:val="691"/>
          <w:tblHeader/>
        </w:trPr>
        <w:tc>
          <w:tcPr>
            <w:tcW w:w="1253" w:type="dxa"/>
            <w:vMerge/>
            <w:vAlign w:val="center"/>
            <w:hideMark/>
          </w:tcPr>
          <w:p w14:paraId="65D224CC" w14:textId="77777777" w:rsidR="003F5418" w:rsidRDefault="003F5418">
            <w:pPr>
              <w:jc w:val="center"/>
              <w:rPr>
                <w:rFonts w:ascii="Arial Narrow" w:hAnsi="Arial Narrow" w:cs="Arial"/>
                <w:b/>
                <w:noProof/>
                <w:sz w:val="20"/>
              </w:rPr>
            </w:pPr>
          </w:p>
        </w:tc>
        <w:tc>
          <w:tcPr>
            <w:tcW w:w="1568" w:type="dxa"/>
            <w:vMerge/>
            <w:vAlign w:val="center"/>
            <w:hideMark/>
          </w:tcPr>
          <w:p w14:paraId="49DA89D7" w14:textId="77777777" w:rsidR="003F5418" w:rsidRDefault="003F5418">
            <w:pPr>
              <w:jc w:val="center"/>
              <w:rPr>
                <w:rFonts w:ascii="Arial Narrow" w:hAnsi="Arial Narrow" w:cs="Arial"/>
                <w:b/>
                <w:noProof/>
                <w:sz w:val="20"/>
              </w:rPr>
            </w:pPr>
          </w:p>
        </w:tc>
        <w:tc>
          <w:tcPr>
            <w:tcW w:w="1148" w:type="dxa"/>
            <w:vMerge/>
            <w:vAlign w:val="center"/>
            <w:hideMark/>
          </w:tcPr>
          <w:p w14:paraId="5FE6CDE0" w14:textId="77777777" w:rsidR="003F5418" w:rsidRDefault="003F5418">
            <w:pPr>
              <w:jc w:val="center"/>
              <w:rPr>
                <w:rFonts w:ascii="Arial Narrow" w:hAnsi="Arial Narrow" w:cs="Arial"/>
                <w:b/>
                <w:noProof/>
                <w:sz w:val="20"/>
              </w:rPr>
            </w:pPr>
          </w:p>
        </w:tc>
        <w:tc>
          <w:tcPr>
            <w:tcW w:w="1470" w:type="dxa"/>
            <w:vMerge/>
            <w:vAlign w:val="center"/>
            <w:hideMark/>
          </w:tcPr>
          <w:p w14:paraId="3475033C" w14:textId="77777777" w:rsidR="003F5418" w:rsidRDefault="003F5418">
            <w:pPr>
              <w:jc w:val="center"/>
              <w:rPr>
                <w:rFonts w:ascii="Arial Narrow" w:hAnsi="Arial Narrow" w:cs="Arial"/>
                <w:b/>
                <w:noProof/>
                <w:sz w:val="20"/>
              </w:rPr>
            </w:pPr>
          </w:p>
        </w:tc>
        <w:tc>
          <w:tcPr>
            <w:tcW w:w="1701" w:type="dxa"/>
            <w:vMerge/>
            <w:vAlign w:val="center"/>
            <w:hideMark/>
          </w:tcPr>
          <w:p w14:paraId="0809EE1D" w14:textId="77777777" w:rsidR="003F5418" w:rsidRDefault="003F5418">
            <w:pPr>
              <w:jc w:val="center"/>
              <w:rPr>
                <w:rFonts w:ascii="Arial Narrow" w:hAnsi="Arial Narrow" w:cs="Arial"/>
                <w:b/>
                <w:noProof/>
                <w:sz w:val="20"/>
              </w:rPr>
            </w:pPr>
          </w:p>
        </w:tc>
        <w:tc>
          <w:tcPr>
            <w:tcW w:w="1134" w:type="dxa"/>
            <w:shd w:val="clear" w:color="auto" w:fill="BDD7EE"/>
            <w:vAlign w:val="center"/>
            <w:hideMark/>
          </w:tcPr>
          <w:p w14:paraId="000095CC" w14:textId="77777777" w:rsidR="003F5418" w:rsidRDefault="002A6C25">
            <w:pPr>
              <w:pStyle w:val="P68B1DB1-Normal3"/>
              <w:jc w:val="center"/>
              <w:rPr>
                <w:rFonts w:cs="Arial"/>
                <w:noProof/>
              </w:rPr>
            </w:pPr>
            <w:r>
              <w:rPr>
                <w:noProof/>
              </w:rPr>
              <w:t>Egység</w:t>
            </w:r>
          </w:p>
          <w:p w14:paraId="317F5C9F" w14:textId="77777777" w:rsidR="003F5418" w:rsidRDefault="002A6C25">
            <w:pPr>
              <w:pStyle w:val="P68B1DB1-Normal3"/>
              <w:jc w:val="center"/>
              <w:rPr>
                <w:rFonts w:cs="Arial"/>
                <w:noProof/>
              </w:rPr>
            </w:pPr>
            <w:r>
              <w:rPr>
                <w:noProof/>
              </w:rPr>
              <w:t>intézkedés</w:t>
            </w:r>
          </w:p>
        </w:tc>
        <w:tc>
          <w:tcPr>
            <w:tcW w:w="1417" w:type="dxa"/>
            <w:shd w:val="clear" w:color="auto" w:fill="BDD7EE"/>
            <w:vAlign w:val="center"/>
            <w:hideMark/>
          </w:tcPr>
          <w:p w14:paraId="7E110B5D" w14:textId="77777777" w:rsidR="003F5418" w:rsidRDefault="002A6C25">
            <w:pPr>
              <w:pStyle w:val="P68B1DB1-Normal3"/>
              <w:jc w:val="center"/>
              <w:rPr>
                <w:rFonts w:cs="Arial"/>
                <w:noProof/>
              </w:rPr>
            </w:pPr>
            <w:r>
              <w:rPr>
                <w:noProof/>
              </w:rPr>
              <w:t>Kiindulási</w:t>
            </w:r>
          </w:p>
        </w:tc>
        <w:tc>
          <w:tcPr>
            <w:tcW w:w="1425" w:type="dxa"/>
            <w:shd w:val="clear" w:color="auto" w:fill="BDD7EE"/>
            <w:vAlign w:val="center"/>
            <w:hideMark/>
          </w:tcPr>
          <w:p w14:paraId="6EEDE0F9" w14:textId="77777777" w:rsidR="003F5418" w:rsidRDefault="002A6C25">
            <w:pPr>
              <w:pStyle w:val="P68B1DB1-Normal3"/>
              <w:jc w:val="center"/>
              <w:rPr>
                <w:rFonts w:cs="Arial"/>
                <w:noProof/>
              </w:rPr>
            </w:pPr>
            <w:r>
              <w:rPr>
                <w:noProof/>
              </w:rPr>
              <w:t>Cél</w:t>
            </w:r>
          </w:p>
        </w:tc>
        <w:tc>
          <w:tcPr>
            <w:tcW w:w="843" w:type="dxa"/>
            <w:shd w:val="clear" w:color="auto" w:fill="BDD7EE"/>
            <w:vAlign w:val="center"/>
            <w:hideMark/>
          </w:tcPr>
          <w:p w14:paraId="36DCA9C4" w14:textId="77777777" w:rsidR="003F5418" w:rsidRDefault="002A6C25">
            <w:pPr>
              <w:pStyle w:val="P68B1DB1-Normal3"/>
              <w:jc w:val="center"/>
              <w:rPr>
                <w:rFonts w:cs="Arial"/>
                <w:noProof/>
              </w:rPr>
            </w:pPr>
            <w:r>
              <w:rPr>
                <w:noProof/>
              </w:rPr>
              <w:t>Negyedév</w:t>
            </w:r>
          </w:p>
        </w:tc>
        <w:tc>
          <w:tcPr>
            <w:tcW w:w="567" w:type="dxa"/>
            <w:shd w:val="clear" w:color="auto" w:fill="BDD7EE"/>
            <w:vAlign w:val="center"/>
            <w:hideMark/>
          </w:tcPr>
          <w:p w14:paraId="4A69A10A" w14:textId="77777777" w:rsidR="003F5418" w:rsidRDefault="002A6C25">
            <w:pPr>
              <w:pStyle w:val="P68B1DB1-Normal3"/>
              <w:jc w:val="center"/>
              <w:rPr>
                <w:rFonts w:cs="Arial"/>
                <w:noProof/>
              </w:rPr>
            </w:pPr>
            <w:r>
              <w:rPr>
                <w:noProof/>
              </w:rPr>
              <w:t>Éve</w:t>
            </w:r>
          </w:p>
        </w:tc>
        <w:tc>
          <w:tcPr>
            <w:tcW w:w="2977" w:type="dxa"/>
            <w:vMerge/>
            <w:vAlign w:val="center"/>
            <w:hideMark/>
          </w:tcPr>
          <w:p w14:paraId="5153D87F" w14:textId="77777777" w:rsidR="003F5418" w:rsidRDefault="003F5418">
            <w:pPr>
              <w:jc w:val="center"/>
              <w:rPr>
                <w:rFonts w:ascii="Arial Narrow" w:hAnsi="Arial Narrow" w:cs="Arial"/>
                <w:b/>
                <w:noProof/>
                <w:sz w:val="20"/>
              </w:rPr>
            </w:pPr>
          </w:p>
        </w:tc>
      </w:tr>
      <w:tr w:rsidR="003F5418" w14:paraId="1C392169" w14:textId="77777777">
        <w:trPr>
          <w:trHeight w:val="309"/>
        </w:trPr>
        <w:tc>
          <w:tcPr>
            <w:tcW w:w="1253" w:type="dxa"/>
            <w:shd w:val="clear" w:color="auto" w:fill="C6EFCE"/>
            <w:noWrap/>
            <w:vAlign w:val="center"/>
          </w:tcPr>
          <w:p w14:paraId="18B371EE" w14:textId="77777777" w:rsidR="003F5418" w:rsidRDefault="002A6C25">
            <w:pPr>
              <w:pStyle w:val="P68B1DB1-Normal4"/>
              <w:jc w:val="center"/>
              <w:rPr>
                <w:rFonts w:cs="Arial"/>
                <w:noProof/>
              </w:rPr>
            </w:pPr>
            <w:r>
              <w:rPr>
                <w:noProof/>
              </w:rPr>
              <w:t>M1C1–1</w:t>
            </w:r>
          </w:p>
        </w:tc>
        <w:tc>
          <w:tcPr>
            <w:tcW w:w="1568" w:type="dxa"/>
            <w:shd w:val="clear" w:color="auto" w:fill="C6EFCE"/>
            <w:noWrap/>
            <w:vAlign w:val="center"/>
          </w:tcPr>
          <w:p w14:paraId="37266970" w14:textId="77777777" w:rsidR="003F5418" w:rsidRDefault="002A6C25">
            <w:pPr>
              <w:pStyle w:val="P68B1DB1-Normal4"/>
              <w:jc w:val="center"/>
              <w:rPr>
                <w:rFonts w:cs="Arial"/>
                <w:noProof/>
              </w:rPr>
            </w:pPr>
            <w:r>
              <w:rPr>
                <w:noProof/>
              </w:rPr>
              <w:t>Reform: IKT-beszerzés</w:t>
            </w:r>
          </w:p>
        </w:tc>
        <w:tc>
          <w:tcPr>
            <w:tcW w:w="1148" w:type="dxa"/>
            <w:shd w:val="clear" w:color="auto" w:fill="C6EFCE"/>
            <w:noWrap/>
            <w:vAlign w:val="center"/>
          </w:tcPr>
          <w:p w14:paraId="57A7CD72"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5B816D7F" w14:textId="77777777" w:rsidR="003F5418" w:rsidRDefault="002A6C25">
            <w:pPr>
              <w:pStyle w:val="P68B1DB1-Normal4"/>
              <w:jc w:val="center"/>
              <w:rPr>
                <w:rFonts w:cs="Arial"/>
                <w:noProof/>
              </w:rPr>
            </w:pPr>
            <w:r>
              <w:rPr>
                <w:noProof/>
              </w:rPr>
              <w:t>Az „IKT-közbeszerzés” elnevezésű 1.1. reformról szóló törvényerejű rendeletek hatálybalépése</w:t>
            </w:r>
          </w:p>
        </w:tc>
        <w:tc>
          <w:tcPr>
            <w:tcW w:w="1701" w:type="dxa"/>
            <w:shd w:val="clear" w:color="auto" w:fill="C6EFCE"/>
            <w:noWrap/>
            <w:vAlign w:val="center"/>
          </w:tcPr>
          <w:p w14:paraId="0F528E3C" w14:textId="77777777" w:rsidR="003F5418" w:rsidRDefault="002A6C25">
            <w:pPr>
              <w:pStyle w:val="P68B1DB1-Normal4"/>
              <w:jc w:val="center"/>
              <w:rPr>
                <w:rFonts w:cs="Arial"/>
                <w:noProof/>
              </w:rPr>
            </w:pPr>
            <w:r>
              <w:rPr>
                <w:noProof/>
              </w:rPr>
              <w:t xml:space="preserve">Az ikt-közbeszerzés reformjáról szóló törvényerejű rendelet </w:t>
            </w:r>
            <w:r>
              <w:rPr>
                <w:noProof/>
              </w:rPr>
              <w:t>hatálybalépését előíró törvényi rendelkezés</w:t>
            </w:r>
          </w:p>
        </w:tc>
        <w:tc>
          <w:tcPr>
            <w:tcW w:w="1134" w:type="dxa"/>
            <w:shd w:val="clear" w:color="auto" w:fill="C6EFCE"/>
            <w:noWrap/>
            <w:vAlign w:val="center"/>
          </w:tcPr>
          <w:p w14:paraId="6D275941"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1997FB11"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768776BE"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45E3405F"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3A296556" w14:textId="77777777" w:rsidR="003F5418" w:rsidRDefault="002A6C25">
            <w:pPr>
              <w:pStyle w:val="P68B1DB1-Normal4"/>
              <w:jc w:val="center"/>
              <w:rPr>
                <w:rFonts w:cs="Arial"/>
                <w:noProof/>
              </w:rPr>
            </w:pPr>
            <w:r>
              <w:rPr>
                <w:noProof/>
              </w:rPr>
              <w:t>2021</w:t>
            </w:r>
          </w:p>
        </w:tc>
        <w:tc>
          <w:tcPr>
            <w:tcW w:w="2977" w:type="dxa"/>
            <w:shd w:val="clear" w:color="auto" w:fill="C6EFCE"/>
            <w:noWrap/>
            <w:vAlign w:val="center"/>
          </w:tcPr>
          <w:p w14:paraId="3C3EE3E9" w14:textId="57C9E259" w:rsidR="003F5418" w:rsidRDefault="002A6C25">
            <w:pPr>
              <w:pStyle w:val="P68B1DB1-Normal4"/>
              <w:spacing w:after="120"/>
              <w:rPr>
                <w:rFonts w:cs="Arial"/>
                <w:noProof/>
              </w:rPr>
            </w:pPr>
            <w:r>
              <w:rPr>
                <w:noProof/>
              </w:rPr>
              <w:t xml:space="preserve">A szükséges jogi aktusok magukban foglalják az egyszerűsítésről szóló törvényerejű rendeletbe (Decreto Legge Semplificazioni) történő jogalkotási beavatkozásokat. Ezek a következőket </w:t>
            </w:r>
            <w:r>
              <w:rPr>
                <w:noProof/>
              </w:rPr>
              <w:t>írják elő:</w:t>
            </w:r>
          </w:p>
          <w:p w14:paraId="53BA45F9" w14:textId="77777777" w:rsidR="003F5418" w:rsidRDefault="002A6C25">
            <w:pPr>
              <w:pStyle w:val="P68B1DB1-ListParagraph5"/>
              <w:spacing w:before="0"/>
              <w:ind w:left="0"/>
              <w:contextualSpacing w:val="0"/>
              <w:jc w:val="left"/>
              <w:rPr>
                <w:rFonts w:cs="Arial"/>
                <w:noProof/>
              </w:rPr>
            </w:pPr>
            <w:r>
              <w:rPr>
                <w:noProof/>
              </w:rPr>
              <w:t xml:space="preserve">i) A közbeszerzési törvénykönyv 48. cikkének (3) bekezdésében említett eljárás alkalmazásának lehetősége a közbeszerzési törvénykönyv 35. cikkében említett értékhatárokat meghaladó, különösen felhőalapú technológián alapuló számítógépes áruk és </w:t>
            </w:r>
            <w:r>
              <w:rPr>
                <w:noProof/>
              </w:rPr>
              <w:t>szolgáltatások, valamint konnektivitási szolgáltatások beszerzésére irányuló beszerzések esetében is, amelyeket részben vagy egészben a PNRR-projektek végrehajtásához biztosított forrásokból finanszíroznak;</w:t>
            </w:r>
          </w:p>
          <w:p w14:paraId="2C1B439D" w14:textId="77777777" w:rsidR="003F5418" w:rsidRDefault="002A6C25">
            <w:pPr>
              <w:pStyle w:val="P68B1DB1-ListParagraph5"/>
              <w:spacing w:before="0"/>
              <w:ind w:left="0"/>
              <w:contextualSpacing w:val="0"/>
              <w:jc w:val="left"/>
              <w:rPr>
                <w:rFonts w:cs="Arial"/>
                <w:noProof/>
              </w:rPr>
            </w:pPr>
            <w:r>
              <w:rPr>
                <w:noProof/>
              </w:rPr>
              <w:t>ii. A közbeszerzési törvénykönyv 80. cikkében eml</w:t>
            </w:r>
            <w:r>
              <w:rPr>
                <w:noProof/>
              </w:rPr>
              <w:t>ített követelmények ellenőrzési folyamatában részt vevő tanúsító szervek által kezelt különböző adatbázisok közötti interoperabilitás;</w:t>
            </w:r>
          </w:p>
          <w:p w14:paraId="2CFDB5ED" w14:textId="77777777" w:rsidR="003F5418" w:rsidRDefault="002A6C25">
            <w:pPr>
              <w:pStyle w:val="P68B1DB1-ListParagraph5"/>
              <w:spacing w:before="0"/>
              <w:ind w:left="0"/>
              <w:jc w:val="left"/>
              <w:rPr>
                <w:rFonts w:cs="Arial"/>
                <w:noProof/>
              </w:rPr>
            </w:pPr>
            <w:r>
              <w:rPr>
                <w:noProof/>
              </w:rPr>
              <w:t xml:space="preserve">(III) A gazdasági szereplők virtuális adatállományának létrehozása, amelyben szerepelnek a 80. cikkben említett kizárási </w:t>
            </w:r>
            <w:r>
              <w:rPr>
                <w:noProof/>
              </w:rPr>
              <w:t>okok hiányának ellenőrzésére szolgáló adatok, lehetővé téve azon gazdasági szereplők fehér listájának meghatározását, amelyek esetében az ellenőrzést már elvégezték.</w:t>
            </w:r>
          </w:p>
        </w:tc>
      </w:tr>
      <w:tr w:rsidR="003F5418" w14:paraId="2F959CA0" w14:textId="77777777">
        <w:trPr>
          <w:trHeight w:val="789"/>
        </w:trPr>
        <w:tc>
          <w:tcPr>
            <w:tcW w:w="1253" w:type="dxa"/>
            <w:shd w:val="clear" w:color="auto" w:fill="C6EFCE"/>
            <w:noWrap/>
            <w:vAlign w:val="center"/>
          </w:tcPr>
          <w:p w14:paraId="56C38A97" w14:textId="77777777" w:rsidR="003F5418" w:rsidRDefault="002A6C25">
            <w:pPr>
              <w:pStyle w:val="P68B1DB1-Normal4"/>
              <w:jc w:val="center"/>
              <w:rPr>
                <w:rFonts w:cs="Arial"/>
                <w:noProof/>
              </w:rPr>
            </w:pPr>
            <w:r>
              <w:rPr>
                <w:noProof/>
              </w:rPr>
              <w:t>M1C1–2</w:t>
            </w:r>
          </w:p>
        </w:tc>
        <w:tc>
          <w:tcPr>
            <w:tcW w:w="1568" w:type="dxa"/>
            <w:shd w:val="clear" w:color="auto" w:fill="C6EFCE"/>
            <w:noWrap/>
            <w:vAlign w:val="center"/>
          </w:tcPr>
          <w:p w14:paraId="26A8ADB5" w14:textId="77777777" w:rsidR="003F5418" w:rsidRDefault="002A6C25">
            <w:pPr>
              <w:pStyle w:val="P68B1DB1-Normal4"/>
              <w:jc w:val="center"/>
              <w:rPr>
                <w:rFonts w:cs="Arial"/>
                <w:noProof/>
              </w:rPr>
            </w:pPr>
            <w:r>
              <w:rPr>
                <w:noProof/>
              </w:rPr>
              <w:t>Reform: Az első felhő és az interoperabilitás</w:t>
            </w:r>
          </w:p>
        </w:tc>
        <w:tc>
          <w:tcPr>
            <w:tcW w:w="1148" w:type="dxa"/>
            <w:shd w:val="clear" w:color="auto" w:fill="C6EFCE"/>
            <w:noWrap/>
            <w:vAlign w:val="center"/>
          </w:tcPr>
          <w:p w14:paraId="301CACFB"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5724E3D0" w14:textId="77777777" w:rsidR="003F5418" w:rsidRDefault="002A6C25">
            <w:pPr>
              <w:pStyle w:val="P68B1DB1-Normal4"/>
              <w:jc w:val="center"/>
              <w:rPr>
                <w:rFonts w:cs="Arial"/>
                <w:noProof/>
              </w:rPr>
            </w:pPr>
            <w:r>
              <w:rPr>
                <w:noProof/>
              </w:rPr>
              <w:t xml:space="preserve">Az 1.3. reformra (Cloud </w:t>
            </w:r>
            <w:r>
              <w:rPr>
                <w:noProof/>
              </w:rPr>
              <w:t>First és interoperabilitás) vonatkozó törvényerejű rendeletek hatálybalépése</w:t>
            </w:r>
          </w:p>
        </w:tc>
        <w:tc>
          <w:tcPr>
            <w:tcW w:w="1701" w:type="dxa"/>
            <w:shd w:val="clear" w:color="auto" w:fill="C6EFCE"/>
            <w:noWrap/>
            <w:vAlign w:val="center"/>
          </w:tcPr>
          <w:p w14:paraId="3D44791B" w14:textId="77777777" w:rsidR="003F5418" w:rsidRDefault="002A6C25">
            <w:pPr>
              <w:pStyle w:val="P68B1DB1-Normal4"/>
              <w:jc w:val="center"/>
              <w:rPr>
                <w:rFonts w:cs="Arial"/>
                <w:noProof/>
              </w:rPr>
            </w:pPr>
            <w:r>
              <w:rPr>
                <w:noProof/>
              </w:rPr>
              <w:t>Az első felhőre és az interoperabilitási reformra vonatkozó törvényerejű rendelet hatálybalépését előíró törvényi rendelkezés</w:t>
            </w:r>
          </w:p>
        </w:tc>
        <w:tc>
          <w:tcPr>
            <w:tcW w:w="1134" w:type="dxa"/>
            <w:shd w:val="clear" w:color="auto" w:fill="C6EFCE"/>
            <w:noWrap/>
            <w:vAlign w:val="center"/>
          </w:tcPr>
          <w:p w14:paraId="06E6D2C9"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6031118E"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557B58B0"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78064B8C"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248D447B" w14:textId="77777777" w:rsidR="003F5418" w:rsidRDefault="002A6C25">
            <w:pPr>
              <w:pStyle w:val="P68B1DB1-Normal4"/>
              <w:jc w:val="center"/>
              <w:rPr>
                <w:rFonts w:cs="Arial"/>
                <w:noProof/>
              </w:rPr>
            </w:pPr>
            <w:r>
              <w:rPr>
                <w:noProof/>
              </w:rPr>
              <w:t>2021</w:t>
            </w:r>
          </w:p>
        </w:tc>
        <w:tc>
          <w:tcPr>
            <w:tcW w:w="2977" w:type="dxa"/>
            <w:shd w:val="clear" w:color="auto" w:fill="C6EFCE"/>
            <w:noWrap/>
            <w:vAlign w:val="center"/>
          </w:tcPr>
          <w:p w14:paraId="5A88D7A8" w14:textId="77777777" w:rsidR="003F5418" w:rsidRDefault="002A6C25">
            <w:pPr>
              <w:pStyle w:val="P68B1DB1-Normal4"/>
              <w:spacing w:after="120"/>
              <w:rPr>
                <w:rFonts w:cs="Arial"/>
                <w:noProof/>
              </w:rPr>
            </w:pPr>
            <w:r>
              <w:rPr>
                <w:noProof/>
              </w:rPr>
              <w:t xml:space="preserve">A szükséges jogi aktusok a </w:t>
            </w:r>
            <w:r>
              <w:rPr>
                <w:noProof/>
              </w:rPr>
              <w:t>következőket foglalják magukban:</w:t>
            </w:r>
          </w:p>
          <w:p w14:paraId="4EC631FB" w14:textId="77777777" w:rsidR="003F5418" w:rsidRDefault="002A6C25">
            <w:pPr>
              <w:pStyle w:val="P68B1DB1-Normal4"/>
              <w:spacing w:after="120"/>
              <w:rPr>
                <w:rFonts w:cs="Arial"/>
                <w:noProof/>
              </w:rPr>
            </w:pPr>
            <w:r>
              <w:rPr>
                <w:noProof/>
              </w:rPr>
              <w:t>Végrehajtási jogi aktusok különösen i. az Agenzia per l’Italia digitale (AgID) Polo Strategico Nazionale (PSN) rendeletére (a 179/212. sz. törvényerejű rendelet 33. cikkének rendelkezései alapján), valamint ii. az AgID inte</w:t>
            </w:r>
            <w:r>
              <w:rPr>
                <w:noProof/>
              </w:rPr>
              <w:t>roperabilitásról szóló iránymutatásaira (amelyeket a Codice dell’Amministrazione Digitale (CAD) 50. és 50ter. cikke ír elő).</w:t>
            </w:r>
          </w:p>
          <w:p w14:paraId="24783DE1" w14:textId="77777777" w:rsidR="003F5418" w:rsidRDefault="002A6C25">
            <w:pPr>
              <w:pStyle w:val="P68B1DB1-Normal4"/>
              <w:spacing w:after="120"/>
              <w:rPr>
                <w:rFonts w:cs="Arial"/>
                <w:noProof/>
              </w:rPr>
            </w:pPr>
            <w:r>
              <w:rPr>
                <w:noProof/>
              </w:rPr>
              <w:t>A CAD 50. cikkének módosításai:</w:t>
            </w:r>
          </w:p>
          <w:p w14:paraId="33EAB675" w14:textId="77777777" w:rsidR="003F5418" w:rsidRDefault="002A6C25">
            <w:pPr>
              <w:pStyle w:val="P68B1DB1-Normal4"/>
              <w:spacing w:after="120"/>
              <w:rPr>
                <w:rFonts w:cs="Arial"/>
                <w:noProof/>
              </w:rPr>
            </w:pPr>
            <w:r>
              <w:rPr>
                <w:noProof/>
              </w:rPr>
              <w:t>i. a nemzeti digitális adatplatformhoz hozzáférő közigazgatási szervekre vonatkozó keretmegállapodá</w:t>
            </w:r>
            <w:r>
              <w:rPr>
                <w:noProof/>
              </w:rPr>
              <w:t>sok megkötésére vonatkozó kötelezettség eltörlése;</w:t>
            </w:r>
          </w:p>
          <w:p w14:paraId="4E66788D" w14:textId="77777777" w:rsidR="003F5418" w:rsidRDefault="002A6C25">
            <w:pPr>
              <w:pStyle w:val="P68B1DB1-Normal4"/>
              <w:spacing w:after="120"/>
              <w:rPr>
                <w:rFonts w:cs="Arial"/>
                <w:noProof/>
              </w:rPr>
            </w:pPr>
            <w:r>
              <w:rPr>
                <w:noProof/>
              </w:rPr>
              <w:t>az adatvédelem kérdésének pontosítása: az adatok egyik információs rendszerből a másikba történő továbbítása nem változtatja meg az adatok tulajdonjogát és a feldolgozást, az adatokat önálló adatkezelőként</w:t>
            </w:r>
            <w:r>
              <w:rPr>
                <w:noProof/>
              </w:rPr>
              <w:t xml:space="preserve"> átvevő és feldolgozó közigazgatási szervek feladatainak sérelme nélkül.</w:t>
            </w:r>
          </w:p>
          <w:p w14:paraId="4C2B8F17" w14:textId="77777777" w:rsidR="003F5418" w:rsidRDefault="002A6C25">
            <w:pPr>
              <w:pStyle w:val="P68B1DB1-Normal4"/>
              <w:spacing w:after="120"/>
              <w:rPr>
                <w:rFonts w:cs="Arial"/>
                <w:noProof/>
              </w:rPr>
            </w:pPr>
            <w:r>
              <w:rPr>
                <w:noProof/>
              </w:rPr>
              <w:t>A Decreto del Presidente della Repubblica (DPR) 445/2000/EK rendelet módosításai az adatokhoz való hozzáférés tekintetében:</w:t>
            </w:r>
          </w:p>
          <w:p w14:paraId="3E1D4557" w14:textId="77777777" w:rsidR="003F5418" w:rsidRDefault="002A6C25">
            <w:pPr>
              <w:pStyle w:val="P68B1DB1-Normal4"/>
              <w:spacing w:after="120"/>
              <w:rPr>
                <w:rFonts w:cs="Arial"/>
                <w:noProof/>
              </w:rPr>
            </w:pPr>
            <w:r>
              <w:rPr>
                <w:noProof/>
              </w:rPr>
              <w:t>i. az adatokhoz való közvetlen hozzáféréshez szükséges enge</w:t>
            </w:r>
            <w:r>
              <w:rPr>
                <w:noProof/>
              </w:rPr>
              <w:t>dély visszavonása;</w:t>
            </w:r>
          </w:p>
          <w:p w14:paraId="03F9E83C" w14:textId="77777777" w:rsidR="003F5418" w:rsidRDefault="002A6C25">
            <w:pPr>
              <w:pStyle w:val="P68B1DB1-Normal4"/>
              <w:spacing w:after="120"/>
              <w:rPr>
                <w:rFonts w:cs="Arial"/>
                <w:noProof/>
              </w:rPr>
            </w:pPr>
            <w:r>
              <w:rPr>
                <w:noProof/>
              </w:rPr>
              <w:t>ii. a keretmegállapodásokra való hivatkozás törlése a 72. cikkből.</w:t>
            </w:r>
          </w:p>
          <w:p w14:paraId="254F002B" w14:textId="77777777" w:rsidR="003F5418" w:rsidRDefault="002A6C25">
            <w:pPr>
              <w:pStyle w:val="P68B1DB1-Normal4"/>
              <w:spacing w:after="120"/>
              <w:rPr>
                <w:rFonts w:cs="Arial"/>
                <w:noProof/>
              </w:rPr>
            </w:pPr>
            <w:r>
              <w:rPr>
                <w:noProof/>
              </w:rPr>
              <w:t>A 179/2012. sz. törvényerejű rendelet 33f. cikkének módosításai:</w:t>
            </w:r>
          </w:p>
          <w:p w14:paraId="62C63834" w14:textId="77777777" w:rsidR="003F5418" w:rsidRDefault="002A6C25">
            <w:pPr>
              <w:pStyle w:val="P68B1DB1-Normal4"/>
              <w:spacing w:after="120"/>
              <w:rPr>
                <w:rFonts w:cs="Arial"/>
                <w:noProof/>
              </w:rPr>
            </w:pPr>
            <w:r>
              <w:rPr>
                <w:noProof/>
              </w:rPr>
              <w:t xml:space="preserve">i. tegye lehetővé az AgID számára, hogy a Centri Elaborazione Dati (CED) és a számításifelhő-rendelettel </w:t>
            </w:r>
            <w:r>
              <w:rPr>
                <w:noProof/>
              </w:rPr>
              <w:t>szabályozza azokat a feltételeket és módszereket, amelyekkel a közigazgatási szerveknek végre kell hajtaniuk a közös beléptetési okmányon keresztül történő migrációt;</w:t>
            </w:r>
          </w:p>
          <w:p w14:paraId="696700C6" w14:textId="77777777" w:rsidR="003F5418" w:rsidRDefault="002A6C25">
            <w:pPr>
              <w:pStyle w:val="P68B1DB1-Normal4"/>
              <w:spacing w:after="120"/>
              <w:rPr>
                <w:rFonts w:cs="Arial"/>
                <w:noProof/>
              </w:rPr>
            </w:pPr>
            <w:r>
              <w:rPr>
                <w:noProof/>
              </w:rPr>
              <w:t>szankciók bevezetése a felhőre való áttérésre vonatkozó kötelezettségek be nem tartása es</w:t>
            </w:r>
            <w:r>
              <w:rPr>
                <w:noProof/>
              </w:rPr>
              <w:t>etére.</w:t>
            </w:r>
          </w:p>
        </w:tc>
      </w:tr>
      <w:tr w:rsidR="003F5418" w14:paraId="3B2A7040" w14:textId="77777777">
        <w:trPr>
          <w:trHeight w:val="309"/>
        </w:trPr>
        <w:tc>
          <w:tcPr>
            <w:tcW w:w="1253" w:type="dxa"/>
            <w:shd w:val="clear" w:color="auto" w:fill="C6EFCE"/>
            <w:noWrap/>
            <w:vAlign w:val="center"/>
            <w:hideMark/>
          </w:tcPr>
          <w:p w14:paraId="19A660CC" w14:textId="77777777" w:rsidR="003F5418" w:rsidRDefault="002A6C25">
            <w:pPr>
              <w:pStyle w:val="P68B1DB1-Normal4"/>
              <w:jc w:val="center"/>
              <w:rPr>
                <w:rFonts w:cs="Arial"/>
                <w:noProof/>
              </w:rPr>
            </w:pPr>
            <w:r>
              <w:rPr>
                <w:noProof/>
              </w:rPr>
              <w:t>M1C1–3</w:t>
            </w:r>
          </w:p>
        </w:tc>
        <w:tc>
          <w:tcPr>
            <w:tcW w:w="1568" w:type="dxa"/>
            <w:shd w:val="clear" w:color="auto" w:fill="C6EFCE"/>
            <w:noWrap/>
            <w:vAlign w:val="center"/>
            <w:hideMark/>
          </w:tcPr>
          <w:p w14:paraId="1EDC2E34" w14:textId="77777777" w:rsidR="003F5418" w:rsidRDefault="002A6C25">
            <w:pPr>
              <w:pStyle w:val="P68B1DB1-Normal4"/>
              <w:jc w:val="center"/>
              <w:rPr>
                <w:rFonts w:cs="Arial"/>
                <w:noProof/>
              </w:rPr>
            </w:pPr>
            <w:r>
              <w:rPr>
                <w:noProof/>
              </w:rPr>
              <w:t>Beruházás: Digitális infrastruktúra</w:t>
            </w:r>
          </w:p>
        </w:tc>
        <w:tc>
          <w:tcPr>
            <w:tcW w:w="1148" w:type="dxa"/>
            <w:shd w:val="clear" w:color="auto" w:fill="C6EFCE"/>
            <w:noWrap/>
            <w:vAlign w:val="center"/>
            <w:hideMark/>
          </w:tcPr>
          <w:p w14:paraId="7FE54E4A"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hideMark/>
          </w:tcPr>
          <w:p w14:paraId="1AF95F13" w14:textId="77777777" w:rsidR="003F5418" w:rsidRDefault="002A6C25">
            <w:pPr>
              <w:pStyle w:val="P68B1DB1-Normal4"/>
              <w:jc w:val="center"/>
              <w:rPr>
                <w:rFonts w:cs="Arial"/>
                <w:noProof/>
              </w:rPr>
            </w:pPr>
            <w:r>
              <w:rPr>
                <w:noProof/>
              </w:rPr>
              <w:t>A Polo Strategico Nazionale (PSN) lezárása</w:t>
            </w:r>
          </w:p>
        </w:tc>
        <w:tc>
          <w:tcPr>
            <w:tcW w:w="1701" w:type="dxa"/>
            <w:shd w:val="clear" w:color="auto" w:fill="C6EFCE"/>
            <w:noWrap/>
            <w:vAlign w:val="center"/>
            <w:hideMark/>
          </w:tcPr>
          <w:p w14:paraId="6BC12ED8" w14:textId="77777777" w:rsidR="003F5418" w:rsidRDefault="002A6C25">
            <w:pPr>
              <w:pStyle w:val="P68B1DB1-Normal4"/>
              <w:jc w:val="center"/>
              <w:rPr>
                <w:rFonts w:cs="Arial"/>
                <w:noProof/>
              </w:rPr>
            </w:pPr>
            <w:r>
              <w:rPr>
                <w:noProof/>
              </w:rPr>
              <w:t>A technológiai innovációért és a digitális átállásért felelős minisztérium (MITD) jelentése a felhő telepítéséről</w:t>
            </w:r>
          </w:p>
        </w:tc>
        <w:tc>
          <w:tcPr>
            <w:tcW w:w="1134" w:type="dxa"/>
            <w:shd w:val="clear" w:color="auto" w:fill="C6EFCE"/>
            <w:noWrap/>
            <w:vAlign w:val="center"/>
          </w:tcPr>
          <w:p w14:paraId="6D2F1797"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42A8F743"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6722A579"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hideMark/>
          </w:tcPr>
          <w:p w14:paraId="3732EE85"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hideMark/>
          </w:tcPr>
          <w:p w14:paraId="37F53CCF"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hideMark/>
          </w:tcPr>
          <w:p w14:paraId="562A9888" w14:textId="77777777" w:rsidR="003F5418" w:rsidRDefault="002A6C25">
            <w:pPr>
              <w:pStyle w:val="P68B1DB1-Normal4"/>
              <w:spacing w:after="120"/>
              <w:rPr>
                <w:rFonts w:cs="Arial"/>
                <w:noProof/>
              </w:rPr>
            </w:pPr>
            <w:r>
              <w:rPr>
                <w:noProof/>
              </w:rPr>
              <w:t xml:space="preserve">A teljes </w:t>
            </w:r>
            <w:r>
              <w:rPr>
                <w:noProof/>
              </w:rPr>
              <w:t>projekt akkor fejeződik be teljes mértékben, ha valamennyi célzott közigazgatási szerv befejezte a Polo Strategico Nazionale (PSN) felé történő elmozdulást, és sikeresen befejeződött négy adatközpont tesztelése, ami lehetővé teszi a célzott közigazgatási s</w:t>
            </w:r>
            <w:r>
              <w:rPr>
                <w:noProof/>
              </w:rPr>
              <w:t>zervek adatkészleteinek és alkalmazásainak a PSN-re való átállásának megkezdését.</w:t>
            </w:r>
          </w:p>
        </w:tc>
      </w:tr>
      <w:tr w:rsidR="003F5418" w14:paraId="7370DA46" w14:textId="77777777">
        <w:trPr>
          <w:trHeight w:val="309"/>
        </w:trPr>
        <w:tc>
          <w:tcPr>
            <w:tcW w:w="1253" w:type="dxa"/>
            <w:shd w:val="clear" w:color="auto" w:fill="C6EFCE"/>
            <w:noWrap/>
            <w:vAlign w:val="center"/>
          </w:tcPr>
          <w:p w14:paraId="66210EBB" w14:textId="77777777" w:rsidR="003F5418" w:rsidRDefault="002A6C25">
            <w:pPr>
              <w:pStyle w:val="P68B1DB1-Normal4"/>
              <w:jc w:val="center"/>
              <w:rPr>
                <w:rFonts w:cs="Arial"/>
                <w:noProof/>
              </w:rPr>
            </w:pPr>
            <w:r>
              <w:rPr>
                <w:noProof/>
              </w:rPr>
              <w:t>M1C1–4</w:t>
            </w:r>
          </w:p>
        </w:tc>
        <w:tc>
          <w:tcPr>
            <w:tcW w:w="1568" w:type="dxa"/>
            <w:shd w:val="clear" w:color="auto" w:fill="C6EFCE"/>
            <w:noWrap/>
            <w:vAlign w:val="center"/>
          </w:tcPr>
          <w:p w14:paraId="1D3F00B7" w14:textId="77777777" w:rsidR="003F5418" w:rsidRDefault="002A6C25">
            <w:pPr>
              <w:pStyle w:val="P68B1DB1-Normal4"/>
              <w:jc w:val="center"/>
              <w:rPr>
                <w:rFonts w:cs="Arial"/>
                <w:noProof/>
              </w:rPr>
            </w:pPr>
            <w:r>
              <w:rPr>
                <w:noProof/>
              </w:rPr>
              <w:t>Beruházás: Nemzeti digitális adatplatform</w:t>
            </w:r>
          </w:p>
        </w:tc>
        <w:tc>
          <w:tcPr>
            <w:tcW w:w="1148" w:type="dxa"/>
            <w:shd w:val="clear" w:color="auto" w:fill="C6EFCE"/>
            <w:noWrap/>
            <w:vAlign w:val="center"/>
          </w:tcPr>
          <w:p w14:paraId="150B2BB9"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6899175F" w14:textId="77777777" w:rsidR="003F5418" w:rsidRDefault="002A6C25">
            <w:pPr>
              <w:pStyle w:val="P68B1DB1-Normal4"/>
              <w:jc w:val="center"/>
              <w:rPr>
                <w:rFonts w:cs="Arial"/>
                <w:noProof/>
              </w:rPr>
            </w:pPr>
            <w:r>
              <w:rPr>
                <w:noProof/>
              </w:rPr>
              <w:t>A nemzeti digitális adatplatform működése</w:t>
            </w:r>
          </w:p>
        </w:tc>
        <w:tc>
          <w:tcPr>
            <w:tcW w:w="1701" w:type="dxa"/>
            <w:shd w:val="clear" w:color="auto" w:fill="C6EFCE"/>
            <w:noWrap/>
            <w:vAlign w:val="center"/>
          </w:tcPr>
          <w:p w14:paraId="54227612" w14:textId="77777777" w:rsidR="003F5418" w:rsidRDefault="002A6C25">
            <w:pPr>
              <w:pStyle w:val="P68B1DB1-Normal4"/>
              <w:jc w:val="center"/>
              <w:rPr>
                <w:rFonts w:cs="Arial"/>
                <w:noProof/>
              </w:rPr>
            </w:pPr>
            <w:r>
              <w:rPr>
                <w:noProof/>
              </w:rPr>
              <w:t xml:space="preserve">A technológiai innovációért és a digitális átállásért felelős </w:t>
            </w:r>
            <w:r>
              <w:rPr>
                <w:noProof/>
              </w:rPr>
              <w:t>minisztérium (MITD) jelentése a nemzeti digitális adatplatform elindításáról</w:t>
            </w:r>
          </w:p>
        </w:tc>
        <w:tc>
          <w:tcPr>
            <w:tcW w:w="1134" w:type="dxa"/>
            <w:shd w:val="clear" w:color="auto" w:fill="C6EFCE"/>
            <w:noWrap/>
            <w:vAlign w:val="center"/>
          </w:tcPr>
          <w:p w14:paraId="49187338"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4A090DA6"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585D7F22"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15E30F6D"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42D3746E"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452683C4" w14:textId="77777777" w:rsidR="003F5418" w:rsidRDefault="002A6C25">
            <w:pPr>
              <w:pStyle w:val="P68B1DB1-Normal4"/>
              <w:spacing w:after="120"/>
              <w:rPr>
                <w:rFonts w:cs="Arial"/>
                <w:noProof/>
              </w:rPr>
            </w:pPr>
            <w:r>
              <w:rPr>
                <w:noProof/>
              </w:rPr>
              <w:t>A platform lehetővé teszi az ügynökségek számára, hogy:</w:t>
            </w:r>
          </w:p>
          <w:p w14:paraId="7199CDF1" w14:textId="77777777" w:rsidR="003F5418" w:rsidRDefault="002A6C25">
            <w:pPr>
              <w:pStyle w:val="P68B1DB1-Normal4"/>
              <w:spacing w:after="120"/>
              <w:rPr>
                <w:rFonts w:cs="Arial"/>
                <w:noProof/>
              </w:rPr>
            </w:pPr>
            <w:r>
              <w:rPr>
                <w:noProof/>
              </w:rPr>
              <w:t>– az alkalmazásprogramozási felületek (API-k) közzététele a platform API-katalógusában;</w:t>
            </w:r>
          </w:p>
          <w:p w14:paraId="347E8B4A" w14:textId="77777777" w:rsidR="003F5418" w:rsidRDefault="002A6C25">
            <w:pPr>
              <w:pStyle w:val="P68B1DB1-Normal4"/>
              <w:spacing w:after="120"/>
              <w:rPr>
                <w:rFonts w:cs="Arial"/>
                <w:noProof/>
              </w:rPr>
            </w:pPr>
            <w:r>
              <w:rPr>
                <w:noProof/>
              </w:rPr>
              <w:t>digitális</w:t>
            </w:r>
            <w:r>
              <w:rPr>
                <w:noProof/>
              </w:rPr>
              <w:t xml:space="preserve"> interoperabilitási megállapodások létrehozása és aláírása a platformon keresztül;</w:t>
            </w:r>
          </w:p>
          <w:p w14:paraId="75B26FB8" w14:textId="77777777" w:rsidR="003F5418" w:rsidRDefault="002A6C25">
            <w:pPr>
              <w:pStyle w:val="P68B1DB1-Normal4"/>
              <w:spacing w:after="120"/>
              <w:rPr>
                <w:rFonts w:cs="Arial"/>
                <w:noProof/>
              </w:rPr>
            </w:pPr>
            <w:r>
              <w:rPr>
                <w:noProof/>
              </w:rPr>
              <w:t>– az API-khoz való hozzáférés hitelesítése és engedélyezése a platform funkcióinak használatával;</w:t>
            </w:r>
          </w:p>
          <w:p w14:paraId="5974DDE1" w14:textId="77777777" w:rsidR="003F5418" w:rsidRDefault="002A6C25">
            <w:pPr>
              <w:pStyle w:val="P68B1DB1-Normal4"/>
              <w:spacing w:after="120"/>
              <w:rPr>
                <w:rFonts w:cs="Arial"/>
                <w:noProof/>
              </w:rPr>
            </w:pPr>
            <w:r>
              <w:rPr>
                <w:noProof/>
              </w:rPr>
              <w:t>– a nemzeti interoperabilitási keretnek való megfelelés ellenőrzése és érté</w:t>
            </w:r>
            <w:r>
              <w:rPr>
                <w:noProof/>
              </w:rPr>
              <w:t>kelése.</w:t>
            </w:r>
          </w:p>
        </w:tc>
      </w:tr>
      <w:tr w:rsidR="003F5418" w14:paraId="76FC66C2" w14:textId="77777777">
        <w:trPr>
          <w:trHeight w:val="309"/>
        </w:trPr>
        <w:tc>
          <w:tcPr>
            <w:tcW w:w="1253" w:type="dxa"/>
            <w:shd w:val="clear" w:color="auto" w:fill="C6EFCE"/>
            <w:noWrap/>
            <w:vAlign w:val="center"/>
          </w:tcPr>
          <w:p w14:paraId="4B72B1F4" w14:textId="77777777" w:rsidR="003F5418" w:rsidRDefault="002A6C25">
            <w:pPr>
              <w:pStyle w:val="P68B1DB1-Normal4"/>
              <w:jc w:val="center"/>
              <w:rPr>
                <w:rFonts w:cs="Arial"/>
                <w:noProof/>
              </w:rPr>
            </w:pPr>
            <w:r>
              <w:rPr>
                <w:noProof/>
              </w:rPr>
              <w:t>M1C1–5</w:t>
            </w:r>
          </w:p>
        </w:tc>
        <w:tc>
          <w:tcPr>
            <w:tcW w:w="1568" w:type="dxa"/>
            <w:shd w:val="clear" w:color="auto" w:fill="C6EFCE"/>
            <w:noWrap/>
            <w:vAlign w:val="center"/>
          </w:tcPr>
          <w:p w14:paraId="0A21C7AB"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4CF59F6C"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05F1C3D6" w14:textId="77777777" w:rsidR="003F5418" w:rsidRDefault="002A6C25">
            <w:pPr>
              <w:pStyle w:val="P68B1DB1-Normal4"/>
              <w:jc w:val="center"/>
              <w:rPr>
                <w:rFonts w:cs="Arial"/>
                <w:noProof/>
              </w:rPr>
            </w:pPr>
            <w:r>
              <w:rPr>
                <w:noProof/>
              </w:rPr>
              <w:t>Az új Nemzeti Kiberbiztonsági Ügynökség létrehozása</w:t>
            </w:r>
          </w:p>
        </w:tc>
        <w:tc>
          <w:tcPr>
            <w:tcW w:w="1701" w:type="dxa"/>
            <w:shd w:val="clear" w:color="auto" w:fill="C6EFCE"/>
            <w:noWrap/>
            <w:vAlign w:val="center"/>
          </w:tcPr>
          <w:p w14:paraId="26F294CD" w14:textId="77777777" w:rsidR="003F5418" w:rsidRDefault="002A6C25">
            <w:pPr>
              <w:pStyle w:val="P68B1DB1-Normal4"/>
              <w:jc w:val="center"/>
              <w:rPr>
                <w:rFonts w:cs="Arial"/>
                <w:noProof/>
              </w:rPr>
            </w:pPr>
            <w:r>
              <w:rPr>
                <w:noProof/>
              </w:rPr>
              <w:t>A közigazgatási alkotmányról szóló törvény</w:t>
            </w:r>
          </w:p>
        </w:tc>
        <w:tc>
          <w:tcPr>
            <w:tcW w:w="1134" w:type="dxa"/>
            <w:shd w:val="clear" w:color="auto" w:fill="C6EFCE"/>
            <w:noWrap/>
            <w:vAlign w:val="center"/>
          </w:tcPr>
          <w:p w14:paraId="43434ED2"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083399AC"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3E9B049F"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5C0D16E2"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7D33D51B"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48837A6C" w14:textId="77777777" w:rsidR="003F5418" w:rsidRDefault="002A6C25">
            <w:pPr>
              <w:pStyle w:val="P68B1DB1-Normal4"/>
              <w:spacing w:after="120"/>
              <w:rPr>
                <w:rFonts w:cs="Arial"/>
                <w:noProof/>
              </w:rPr>
            </w:pPr>
            <w:r>
              <w:rPr>
                <w:noProof/>
              </w:rPr>
              <w:t xml:space="preserve">A mérföldkövet a jelenleg véglegesítés alatt álló Nemzeti Kiberbiztonsági </w:t>
            </w:r>
            <w:r>
              <w:rPr>
                <w:noProof/>
              </w:rPr>
              <w:t>Ügynökséget létrehozó törvényerejű rendelet törvénybe foglalásával kell elérni; A Nemzeti Kiberbiztonsági Ügynökség belső szabályzatát tartalmazó miniszterelnöki rendelet (Decreto del Presidente del Consiglio dei Ministri, DPCM) Hivatalos Közlönyben való k</w:t>
            </w:r>
            <w:r>
              <w:rPr>
                <w:noProof/>
              </w:rPr>
              <w:t>özzététele.</w:t>
            </w:r>
          </w:p>
        </w:tc>
      </w:tr>
      <w:tr w:rsidR="003F5418" w14:paraId="2EA6170A" w14:textId="77777777">
        <w:trPr>
          <w:trHeight w:val="309"/>
        </w:trPr>
        <w:tc>
          <w:tcPr>
            <w:tcW w:w="1253" w:type="dxa"/>
            <w:shd w:val="clear" w:color="auto" w:fill="C6EFCE"/>
            <w:noWrap/>
            <w:vAlign w:val="center"/>
          </w:tcPr>
          <w:p w14:paraId="4BFF2566" w14:textId="77777777" w:rsidR="003F5418" w:rsidRDefault="002A6C25">
            <w:pPr>
              <w:pStyle w:val="P68B1DB1-Normal4"/>
              <w:jc w:val="center"/>
              <w:rPr>
                <w:rFonts w:cs="Arial"/>
                <w:noProof/>
              </w:rPr>
            </w:pPr>
            <w:r>
              <w:rPr>
                <w:noProof/>
              </w:rPr>
              <w:t>M1C1–6</w:t>
            </w:r>
          </w:p>
        </w:tc>
        <w:tc>
          <w:tcPr>
            <w:tcW w:w="1568" w:type="dxa"/>
            <w:shd w:val="clear" w:color="auto" w:fill="C6EFCE"/>
            <w:noWrap/>
            <w:vAlign w:val="center"/>
          </w:tcPr>
          <w:p w14:paraId="164A9CE3"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47717A58"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676F5F8D" w14:textId="77777777" w:rsidR="003F5418" w:rsidRDefault="002A6C25">
            <w:pPr>
              <w:pStyle w:val="P68B1DB1-Normal4"/>
              <w:jc w:val="center"/>
              <w:rPr>
                <w:rFonts w:cs="Arial"/>
                <w:noProof/>
              </w:rPr>
            </w:pPr>
            <w:r>
              <w:rPr>
                <w:noProof/>
              </w:rPr>
              <w:t>A nemzeti kiberbiztonsági szolgáltatások kezdeti kiépítése</w:t>
            </w:r>
          </w:p>
        </w:tc>
        <w:tc>
          <w:tcPr>
            <w:tcW w:w="1701" w:type="dxa"/>
            <w:shd w:val="clear" w:color="auto" w:fill="C6EFCE"/>
            <w:noWrap/>
            <w:vAlign w:val="center"/>
          </w:tcPr>
          <w:p w14:paraId="36B19F68" w14:textId="77777777" w:rsidR="003F5418" w:rsidRDefault="002A6C25">
            <w:pPr>
              <w:pStyle w:val="P68B1DB1-Normal4"/>
              <w:jc w:val="center"/>
              <w:rPr>
                <w:rFonts w:cs="Arial"/>
                <w:noProof/>
              </w:rPr>
            </w:pPr>
            <w:r>
              <w:rPr>
                <w:noProof/>
              </w:rPr>
              <w:t>A nemzeti kiberbiztonsági szolgálatok teljes felépítését bemutató jelentés</w:t>
            </w:r>
          </w:p>
        </w:tc>
        <w:tc>
          <w:tcPr>
            <w:tcW w:w="1134" w:type="dxa"/>
            <w:shd w:val="clear" w:color="auto" w:fill="C6EFCE"/>
            <w:noWrap/>
            <w:vAlign w:val="center"/>
          </w:tcPr>
          <w:p w14:paraId="573D23EF"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5F9868C8"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74F89C24"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008B08F8"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70E3B72E"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6AF75C8A" w14:textId="77777777" w:rsidR="003F5418" w:rsidRDefault="002A6C25">
            <w:pPr>
              <w:pStyle w:val="P68B1DB1-Normal4"/>
              <w:spacing w:after="120"/>
              <w:rPr>
                <w:rFonts w:cs="Arial"/>
                <w:noProof/>
              </w:rPr>
            </w:pPr>
            <w:r>
              <w:rPr>
                <w:noProof/>
              </w:rPr>
              <w:t>A mérföldkövet a nemzeti kiberbiztonsági</w:t>
            </w:r>
            <w:r>
              <w:rPr>
                <w:noProof/>
              </w:rPr>
              <w:t xml:space="preserve"> architektúra teljes ökoszisztémája részletes architektúrájának meghatározásával kell elérni (azaz a nemzeti információmegosztó és -elemző központ (ISAC), a számítógépes vészhelyzeteket elhárító csoportok hálózata (CERT-ek), a nemzeti HyperSOC, a mesterség</w:t>
            </w:r>
            <w:r>
              <w:rPr>
                <w:noProof/>
              </w:rPr>
              <w:t>es intelligencia/gépi tanulási (MI/ML) eszközökkel integrált nagy teljesítményű számítástechnika a nemzeti szintű kiberbiztonsági események elemzésére).</w:t>
            </w:r>
          </w:p>
        </w:tc>
      </w:tr>
      <w:tr w:rsidR="003F5418" w14:paraId="35612547" w14:textId="77777777">
        <w:trPr>
          <w:trHeight w:val="309"/>
        </w:trPr>
        <w:tc>
          <w:tcPr>
            <w:tcW w:w="1253" w:type="dxa"/>
            <w:shd w:val="clear" w:color="auto" w:fill="C6EFCE"/>
            <w:noWrap/>
            <w:vAlign w:val="center"/>
          </w:tcPr>
          <w:p w14:paraId="34CEACAE" w14:textId="77777777" w:rsidR="003F5418" w:rsidRDefault="002A6C25">
            <w:pPr>
              <w:pStyle w:val="P68B1DB1-Normal4"/>
              <w:jc w:val="center"/>
              <w:rPr>
                <w:rFonts w:cs="Arial"/>
                <w:noProof/>
              </w:rPr>
            </w:pPr>
            <w:r>
              <w:rPr>
                <w:noProof/>
              </w:rPr>
              <w:t>M1C1–7</w:t>
            </w:r>
          </w:p>
        </w:tc>
        <w:tc>
          <w:tcPr>
            <w:tcW w:w="1568" w:type="dxa"/>
            <w:shd w:val="clear" w:color="auto" w:fill="C6EFCE"/>
            <w:noWrap/>
            <w:vAlign w:val="center"/>
          </w:tcPr>
          <w:p w14:paraId="77C36513"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1E099040"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6FEFB4F3" w14:textId="77777777" w:rsidR="003F5418" w:rsidRDefault="002A6C25">
            <w:pPr>
              <w:pStyle w:val="P68B1DB1-Normal4"/>
              <w:jc w:val="center"/>
              <w:rPr>
                <w:rFonts w:cs="Arial"/>
                <w:noProof/>
              </w:rPr>
            </w:pPr>
            <w:r>
              <w:rPr>
                <w:noProof/>
              </w:rPr>
              <w:t xml:space="preserve">A kiberbiztonsági szűrő- és tanúsító laboratóriumok </w:t>
            </w:r>
            <w:r>
              <w:rPr>
                <w:noProof/>
              </w:rPr>
              <w:t>hálózatának elindítása</w:t>
            </w:r>
          </w:p>
        </w:tc>
        <w:tc>
          <w:tcPr>
            <w:tcW w:w="1701" w:type="dxa"/>
            <w:shd w:val="clear" w:color="auto" w:fill="C6EFCE"/>
            <w:noWrap/>
            <w:vAlign w:val="center"/>
          </w:tcPr>
          <w:p w14:paraId="59FDB5FA" w14:textId="77777777" w:rsidR="003F5418" w:rsidRDefault="002A6C25">
            <w:pPr>
              <w:pStyle w:val="P68B1DB1-Normal4"/>
              <w:jc w:val="center"/>
              <w:rPr>
                <w:rFonts w:cs="Arial"/>
                <w:noProof/>
              </w:rPr>
            </w:pPr>
            <w:r>
              <w:rPr>
                <w:noProof/>
              </w:rPr>
              <w:t>A laboratóriumok között megosztandó azonosított folyamatokat és eljárásokat bemutató benyújtott dokumentáció, valamint a legalább egy laboratórium aktiválását igazoló jelentések</w:t>
            </w:r>
          </w:p>
        </w:tc>
        <w:tc>
          <w:tcPr>
            <w:tcW w:w="1134" w:type="dxa"/>
            <w:shd w:val="clear" w:color="auto" w:fill="C6EFCE"/>
            <w:noWrap/>
            <w:vAlign w:val="center"/>
          </w:tcPr>
          <w:p w14:paraId="753B20A4"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78603833"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1E58E9DA"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54100445"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0580AE20"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34A4BA0C" w14:textId="77777777" w:rsidR="003F5418" w:rsidRDefault="002A6C25">
            <w:pPr>
              <w:pStyle w:val="P68B1DB1-Normal4"/>
              <w:spacing w:after="120"/>
              <w:rPr>
                <w:rFonts w:cs="Arial"/>
                <w:noProof/>
              </w:rPr>
            </w:pPr>
            <w:r>
              <w:rPr>
                <w:noProof/>
              </w:rPr>
              <w:t>A mérföldkövet az alábbiakkal</w:t>
            </w:r>
            <w:r>
              <w:rPr>
                <w:noProof/>
              </w:rPr>
              <w:t xml:space="preserve"> kell elérni:</w:t>
            </w:r>
          </w:p>
          <w:p w14:paraId="2E822F95" w14:textId="50DADE0D" w:rsidR="003F5418" w:rsidRDefault="002A6C25">
            <w:pPr>
              <w:pStyle w:val="P68B1DB1-Normal4"/>
              <w:rPr>
                <w:rFonts w:cs="Arial"/>
                <w:noProof/>
              </w:rPr>
            </w:pPr>
            <w:r>
              <w:rPr>
                <w:noProof/>
              </w:rPr>
              <w:t>i</w:t>
            </w:r>
            <w:r w:rsidR="00453F1A">
              <w:rPr>
                <w:noProof/>
              </w:rPr>
              <w:t>.</w:t>
            </w:r>
            <w:r>
              <w:rPr>
                <w:noProof/>
              </w:rPr>
              <w:t xml:space="preserve"> A Nemzeti Kiberbiztonsági Ügynökség azonosítja, hogy hol hozzák létre a szűrő- és tanúsító laboratóriumokat és központokat, milyen szakértői profilokat kell felvenni, valamint a laboratóriumok között megosztandó folyamatok és eljárások tel</w:t>
            </w:r>
            <w:r>
              <w:rPr>
                <w:noProof/>
              </w:rPr>
              <w:t>jes körű meghatározása.</w:t>
            </w:r>
          </w:p>
          <w:p w14:paraId="53683D12" w14:textId="77777777" w:rsidR="003F5418" w:rsidRDefault="002A6C25">
            <w:pPr>
              <w:pStyle w:val="P68B1DB1-Normal4"/>
              <w:spacing w:before="120" w:after="120"/>
              <w:rPr>
                <w:rFonts w:cs="Arial"/>
                <w:noProof/>
              </w:rPr>
            </w:pPr>
            <w:r>
              <w:rPr>
                <w:noProof/>
              </w:rPr>
              <w:t>ii. Egy laboratórium aktiválása.</w:t>
            </w:r>
          </w:p>
          <w:p w14:paraId="60FBC27D" w14:textId="77777777" w:rsidR="003F5418" w:rsidRDefault="002A6C25">
            <w:pPr>
              <w:pStyle w:val="P68B1DB1-Normal4"/>
              <w:spacing w:after="120"/>
              <w:rPr>
                <w:rFonts w:cs="Arial"/>
                <w:noProof/>
                <w:color w:val="FF0000"/>
              </w:rPr>
            </w:pPr>
            <w:r>
              <w:rPr>
                <w:noProof/>
              </w:rPr>
              <w:t xml:space="preserve">Az ellenőrző laboratóriumok létrehozása és aktiválása érdekében létrehozott tevékenységeket a Ministero dello Sviluppo Economico (MISE) felügyeli a CVCN-vel (nemzeti kiberbiztonsági szűrő- és </w:t>
            </w:r>
            <w:r>
              <w:rPr>
                <w:noProof/>
              </w:rPr>
              <w:t>tanúsító laboratórium), a Belügyminisztérium és a Védelmi Minisztérium pedig integrálja az értékelő központba (CV).</w:t>
            </w:r>
          </w:p>
        </w:tc>
      </w:tr>
      <w:tr w:rsidR="003F5418" w14:paraId="6F0DC140" w14:textId="77777777">
        <w:trPr>
          <w:trHeight w:val="309"/>
        </w:trPr>
        <w:tc>
          <w:tcPr>
            <w:tcW w:w="1253" w:type="dxa"/>
            <w:shd w:val="clear" w:color="auto" w:fill="C6EFCE"/>
            <w:noWrap/>
            <w:vAlign w:val="center"/>
          </w:tcPr>
          <w:p w14:paraId="6ADFF5E6" w14:textId="77777777" w:rsidR="003F5418" w:rsidRDefault="002A6C25">
            <w:pPr>
              <w:pStyle w:val="P68B1DB1-Normal4"/>
              <w:jc w:val="center"/>
              <w:rPr>
                <w:rFonts w:cs="Arial"/>
                <w:noProof/>
              </w:rPr>
            </w:pPr>
            <w:r>
              <w:rPr>
                <w:noProof/>
              </w:rPr>
              <w:t>M1C1–8</w:t>
            </w:r>
          </w:p>
        </w:tc>
        <w:tc>
          <w:tcPr>
            <w:tcW w:w="1568" w:type="dxa"/>
            <w:shd w:val="clear" w:color="auto" w:fill="C6EFCE"/>
            <w:noWrap/>
            <w:vAlign w:val="center"/>
          </w:tcPr>
          <w:p w14:paraId="2CE961FB"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1060A38B"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666EB84D" w14:textId="77777777" w:rsidR="003F5418" w:rsidRDefault="002A6C25">
            <w:pPr>
              <w:pStyle w:val="P68B1DB1-Normal4"/>
              <w:jc w:val="center"/>
              <w:rPr>
                <w:rFonts w:cs="Arial"/>
                <w:noProof/>
              </w:rPr>
            </w:pPr>
            <w:r>
              <w:rPr>
                <w:noProof/>
              </w:rPr>
              <w:t xml:space="preserve">A PSNC és a hálózat- és információbiztonsági intézkedések központi ellenőrzési egységének </w:t>
            </w:r>
            <w:r>
              <w:rPr>
                <w:noProof/>
              </w:rPr>
              <w:t>aktiválása</w:t>
            </w:r>
          </w:p>
        </w:tc>
        <w:tc>
          <w:tcPr>
            <w:tcW w:w="1701" w:type="dxa"/>
            <w:shd w:val="clear" w:color="auto" w:fill="C6EFCE"/>
            <w:noWrap/>
            <w:vAlign w:val="center"/>
          </w:tcPr>
          <w:p w14:paraId="40A153A4" w14:textId="77777777" w:rsidR="003F5418" w:rsidRDefault="002A6C25">
            <w:pPr>
              <w:pStyle w:val="P68B1DB1-Normal4"/>
              <w:jc w:val="center"/>
              <w:rPr>
                <w:rFonts w:cs="Arial"/>
                <w:noProof/>
              </w:rPr>
            </w:pPr>
            <w:r>
              <w:rPr>
                <w:noProof/>
              </w:rPr>
              <w:t>A központi ellenőrzési egység elindítását igazoló jelentések</w:t>
            </w:r>
          </w:p>
        </w:tc>
        <w:tc>
          <w:tcPr>
            <w:tcW w:w="1134" w:type="dxa"/>
            <w:shd w:val="clear" w:color="auto" w:fill="C6EFCE"/>
            <w:noWrap/>
            <w:vAlign w:val="center"/>
          </w:tcPr>
          <w:p w14:paraId="0812831D"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493C9C6B"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35498725"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60D25AD9"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00F430D2"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330190AD" w14:textId="77777777" w:rsidR="003F5418" w:rsidRDefault="002A6C25">
            <w:pPr>
              <w:pStyle w:val="P68B1DB1-Normal4"/>
              <w:spacing w:after="120"/>
              <w:rPr>
                <w:rFonts w:cs="Arial"/>
                <w:noProof/>
              </w:rPr>
            </w:pPr>
            <w:r>
              <w:rPr>
                <w:noProof/>
              </w:rPr>
              <w:t>A Nemzeti Kiberbiztonsági</w:t>
            </w:r>
            <w:r>
              <w:rPr>
                <w:noProof/>
              </w:rPr>
              <w:t xml:space="preserve"> Ügynökségen belül belső egységet kell kinevezni, amelynek feladata a PSNC és a kiberbiztonsági biztonsági intézkedésekért felelős központi ellenőrzési egység tevékenységeinek ellátása.</w:t>
            </w:r>
          </w:p>
          <w:p w14:paraId="5E181304" w14:textId="77777777" w:rsidR="003F5418" w:rsidRDefault="002A6C25">
            <w:pPr>
              <w:pStyle w:val="P68B1DB1-Normal4"/>
              <w:spacing w:after="120"/>
              <w:rPr>
                <w:rFonts w:cs="Arial"/>
                <w:noProof/>
              </w:rPr>
            </w:pPr>
            <w:r>
              <w:rPr>
                <w:noProof/>
              </w:rPr>
              <w:t>A folyamatokat, a logisztikát és a működési intézkedéseket megfelelő d</w:t>
            </w:r>
            <w:r>
              <w:rPr>
                <w:noProof/>
              </w:rPr>
              <w:t>okumentációba kell foglalni, különös tekintettel a működési folyamatokra, azaz a megbízási szabályokra, az ellenőrzési és a jelentéstételi eljárásokra.</w:t>
            </w:r>
          </w:p>
          <w:p w14:paraId="5C9E6172" w14:textId="77777777" w:rsidR="003F5418" w:rsidRDefault="002A6C25">
            <w:pPr>
              <w:pStyle w:val="P68B1DB1-Normal4"/>
              <w:spacing w:after="120"/>
              <w:rPr>
                <w:rFonts w:cs="Arial"/>
                <w:noProof/>
              </w:rPr>
            </w:pPr>
            <w:r>
              <w:rPr>
                <w:noProof/>
              </w:rPr>
              <w:t>Az informatikai eszközök összegyűjtik, kezelik és elemzik az ellenőrzési adatokat, és azokat az Ellenőrz</w:t>
            </w:r>
            <w:r>
              <w:rPr>
                <w:noProof/>
              </w:rPr>
              <w:t>ési Osztály fejleszti és használja.</w:t>
            </w:r>
          </w:p>
          <w:p w14:paraId="430D449B" w14:textId="77777777" w:rsidR="003F5418" w:rsidRDefault="002A6C25">
            <w:pPr>
              <w:pStyle w:val="P68B1DB1-Normal4"/>
              <w:spacing w:after="120"/>
              <w:rPr>
                <w:rFonts w:cs="Arial"/>
                <w:noProof/>
              </w:rPr>
            </w:pPr>
            <w:r>
              <w:rPr>
                <w:noProof/>
              </w:rPr>
              <w:t>Be kell nyújtani az eszközök kifejlesztésének befejezéséről szóló dokumentációt.</w:t>
            </w:r>
          </w:p>
        </w:tc>
      </w:tr>
      <w:tr w:rsidR="003F5418" w14:paraId="13170098" w14:textId="77777777">
        <w:trPr>
          <w:trHeight w:val="309"/>
        </w:trPr>
        <w:tc>
          <w:tcPr>
            <w:tcW w:w="1253" w:type="dxa"/>
            <w:shd w:val="clear" w:color="auto" w:fill="C6EFCE"/>
            <w:noWrap/>
            <w:vAlign w:val="center"/>
          </w:tcPr>
          <w:p w14:paraId="7DBBB75F" w14:textId="77777777" w:rsidR="003F5418" w:rsidRDefault="002A6C25">
            <w:pPr>
              <w:pStyle w:val="P68B1DB1-Normal4"/>
              <w:jc w:val="center"/>
              <w:rPr>
                <w:rFonts w:cs="Arial"/>
                <w:noProof/>
              </w:rPr>
            </w:pPr>
            <w:r>
              <w:rPr>
                <w:noProof/>
              </w:rPr>
              <w:t>M1C1–9</w:t>
            </w:r>
          </w:p>
        </w:tc>
        <w:tc>
          <w:tcPr>
            <w:tcW w:w="1568" w:type="dxa"/>
            <w:shd w:val="clear" w:color="auto" w:fill="C6EFCE"/>
            <w:noWrap/>
            <w:vAlign w:val="center"/>
          </w:tcPr>
          <w:p w14:paraId="2576B2EC"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55BAC181"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789E4D6C" w14:textId="77777777" w:rsidR="003F5418" w:rsidRDefault="002A6C25">
            <w:pPr>
              <w:pStyle w:val="P68B1DB1-Normal4"/>
              <w:jc w:val="center"/>
              <w:rPr>
                <w:rFonts w:cs="Arial"/>
                <w:noProof/>
              </w:rPr>
            </w:pPr>
            <w:r>
              <w:rPr>
                <w:noProof/>
              </w:rPr>
              <w:t>A T1 biztonsági struktúrák korszerűsítésének támogatása</w:t>
            </w:r>
          </w:p>
        </w:tc>
        <w:tc>
          <w:tcPr>
            <w:tcW w:w="1701" w:type="dxa"/>
            <w:shd w:val="clear" w:color="auto" w:fill="C6EFCE"/>
            <w:noWrap/>
            <w:vAlign w:val="center"/>
          </w:tcPr>
          <w:p w14:paraId="6C0D2716"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4FA164C3"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7DA36AB9"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01422BE7" w14:textId="77777777" w:rsidR="003F5418" w:rsidRDefault="002A6C25">
            <w:pPr>
              <w:pStyle w:val="P68B1DB1-Normal4"/>
              <w:jc w:val="center"/>
              <w:rPr>
                <w:rFonts w:cs="Arial"/>
                <w:noProof/>
              </w:rPr>
            </w:pPr>
            <w:r>
              <w:rPr>
                <w:noProof/>
              </w:rPr>
              <w:t>5</w:t>
            </w:r>
          </w:p>
        </w:tc>
        <w:tc>
          <w:tcPr>
            <w:tcW w:w="843" w:type="dxa"/>
            <w:shd w:val="clear" w:color="auto" w:fill="C6EFCE"/>
            <w:noWrap/>
            <w:vAlign w:val="center"/>
          </w:tcPr>
          <w:p w14:paraId="629AF796"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6E1917F2"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53B89E24" w14:textId="77777777" w:rsidR="003F5418" w:rsidRDefault="002A6C25">
            <w:pPr>
              <w:pStyle w:val="P68B1DB1-Normal4"/>
              <w:spacing w:after="120"/>
              <w:rPr>
                <w:rFonts w:cs="Arial"/>
                <w:noProof/>
              </w:rPr>
            </w:pPr>
            <w:r>
              <w:rPr>
                <w:noProof/>
              </w:rPr>
              <w:t>A kiberbiztonsági</w:t>
            </w:r>
            <w:r>
              <w:rPr>
                <w:noProof/>
              </w:rPr>
              <w:t xml:space="preserve"> és a hálózati és információs rendszerek (NIS) ágazatában végrehajtott, a biztonsági struktúrák korszerűsítésére irányuló legalább öt beavatkozás megerősítése.</w:t>
            </w:r>
          </w:p>
          <w:p w14:paraId="6C97B566" w14:textId="77777777" w:rsidR="003F5418" w:rsidRDefault="002A6C25">
            <w:pPr>
              <w:pStyle w:val="P68B1DB1-Normal4"/>
              <w:spacing w:after="120"/>
              <w:rPr>
                <w:rFonts w:cs="Arial"/>
                <w:noProof/>
              </w:rPr>
            </w:pPr>
            <w:r>
              <w:rPr>
                <w:noProof/>
              </w:rPr>
              <w:t>A beavatkozástípusok magukban foglalják a biztonsági operatív központok (SOC-k) korszerűsítését,</w:t>
            </w:r>
            <w:r>
              <w:rPr>
                <w:noProof/>
              </w:rPr>
              <w:t xml:space="preserve"> a kiberhatárvédelem javítását, valamint a belső nyomonkövetési és ellenőrzési képességeket. A beavatkozásoknak az egészségügyi, az energetikai és a környezeti (idegenítő) ágazatokra kell összpontosítaniuk.</w:t>
            </w:r>
          </w:p>
        </w:tc>
      </w:tr>
      <w:tr w:rsidR="003F5418" w14:paraId="20DE60FC" w14:textId="77777777">
        <w:trPr>
          <w:trHeight w:val="309"/>
        </w:trPr>
        <w:tc>
          <w:tcPr>
            <w:tcW w:w="1253" w:type="dxa"/>
            <w:shd w:val="clear" w:color="auto" w:fill="C6EFCE"/>
            <w:noWrap/>
            <w:vAlign w:val="center"/>
          </w:tcPr>
          <w:p w14:paraId="747E887A" w14:textId="77777777" w:rsidR="003F5418" w:rsidRDefault="002A6C25">
            <w:pPr>
              <w:pStyle w:val="P68B1DB1-Normal4"/>
              <w:jc w:val="center"/>
              <w:rPr>
                <w:rFonts w:cs="Arial"/>
                <w:noProof/>
              </w:rPr>
            </w:pPr>
            <w:r>
              <w:rPr>
                <w:noProof/>
              </w:rPr>
              <w:t>M1C1–10</w:t>
            </w:r>
          </w:p>
        </w:tc>
        <w:tc>
          <w:tcPr>
            <w:tcW w:w="1568" w:type="dxa"/>
            <w:shd w:val="clear" w:color="auto" w:fill="C6EFCE"/>
            <w:noWrap/>
            <w:vAlign w:val="center"/>
          </w:tcPr>
          <w:p w14:paraId="3546B88A" w14:textId="77777777" w:rsidR="003F5418" w:rsidRDefault="002A6C25">
            <w:pPr>
              <w:pStyle w:val="P68B1DB1-Normal4"/>
              <w:jc w:val="center"/>
              <w:rPr>
                <w:rFonts w:cs="Arial"/>
                <w:noProof/>
              </w:rPr>
            </w:pPr>
            <w:r>
              <w:rPr>
                <w:noProof/>
              </w:rPr>
              <w:t>Reform: Az átalakulás támogatása</w:t>
            </w:r>
          </w:p>
        </w:tc>
        <w:tc>
          <w:tcPr>
            <w:tcW w:w="1148" w:type="dxa"/>
            <w:shd w:val="clear" w:color="auto" w:fill="C6EFCE"/>
            <w:noWrap/>
            <w:vAlign w:val="center"/>
          </w:tcPr>
          <w:p w14:paraId="752268A9"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44161621" w14:textId="77777777" w:rsidR="003F5418" w:rsidRDefault="002A6C25">
            <w:pPr>
              <w:pStyle w:val="P68B1DB1-Normal4"/>
              <w:jc w:val="center"/>
              <w:rPr>
                <w:rFonts w:cs="Arial"/>
                <w:noProof/>
              </w:rPr>
            </w:pPr>
            <w:r>
              <w:rPr>
                <w:noProof/>
              </w:rPr>
              <w:t>Az átalakítási csoport és a NewCo létrehozásának hatálybalépése</w:t>
            </w:r>
          </w:p>
        </w:tc>
        <w:tc>
          <w:tcPr>
            <w:tcW w:w="1701" w:type="dxa"/>
            <w:shd w:val="clear" w:color="auto" w:fill="C6EFCE"/>
            <w:noWrap/>
            <w:vAlign w:val="center"/>
          </w:tcPr>
          <w:p w14:paraId="1E5BB7D9" w14:textId="77777777" w:rsidR="003F5418" w:rsidRDefault="002A6C25">
            <w:pPr>
              <w:pStyle w:val="P68B1DB1-Normal4"/>
              <w:jc w:val="center"/>
              <w:rPr>
                <w:rFonts w:cs="Arial"/>
                <w:noProof/>
              </w:rPr>
            </w:pPr>
            <w:r>
              <w:rPr>
                <w:noProof/>
              </w:rPr>
              <w:t>A jogi aktusban az Átalakítási Hivatal létrehozásáról szóló jogi aktus hatálybalépését és az új kódex létrehozásáról szóló jogi aktus hatálybalépését feltüntető rendelkezés</w:t>
            </w:r>
          </w:p>
        </w:tc>
        <w:tc>
          <w:tcPr>
            <w:tcW w:w="1134" w:type="dxa"/>
            <w:shd w:val="clear" w:color="auto" w:fill="C6EFCE"/>
            <w:noWrap/>
            <w:vAlign w:val="center"/>
          </w:tcPr>
          <w:p w14:paraId="3FA8BABA"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47104291"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55D69C13"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252E7838"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02C6C4BB" w14:textId="77777777" w:rsidR="003F5418" w:rsidRDefault="002A6C25">
            <w:pPr>
              <w:pStyle w:val="P68B1DB1-Normal4"/>
              <w:jc w:val="center"/>
              <w:rPr>
                <w:rFonts w:cs="Arial"/>
                <w:noProof/>
              </w:rPr>
            </w:pPr>
            <w:r>
              <w:rPr>
                <w:noProof/>
              </w:rPr>
              <w:t>2022</w:t>
            </w:r>
          </w:p>
        </w:tc>
        <w:tc>
          <w:tcPr>
            <w:tcW w:w="2977" w:type="dxa"/>
            <w:shd w:val="clear" w:color="auto" w:fill="C6EFCE"/>
            <w:noWrap/>
            <w:vAlign w:val="center"/>
          </w:tcPr>
          <w:p w14:paraId="1E75D8E2" w14:textId="77777777" w:rsidR="003F5418" w:rsidRDefault="002A6C25">
            <w:pPr>
              <w:pStyle w:val="P68B1DB1-Normal6"/>
              <w:spacing w:after="120"/>
              <w:rPr>
                <w:rFonts w:cs="Arial"/>
                <w:noProof/>
                <w:color w:val="006100"/>
              </w:rPr>
            </w:pPr>
            <w:r>
              <w:rPr>
                <w:noProof/>
                <w:color w:val="006100"/>
              </w:rPr>
              <w:t>Az átalakítási hivatal létrehozásához a szükséges jogi aktusok akövetkezőket foglalják magukban:</w:t>
            </w:r>
          </w:p>
          <w:p w14:paraId="2A0E0A41" w14:textId="77777777" w:rsidR="003F5418" w:rsidRDefault="002A6C25">
            <w:pPr>
              <w:pStyle w:val="P68B1DB1-ListParagraph5"/>
              <w:numPr>
                <w:ilvl w:val="0"/>
                <w:numId w:val="85"/>
              </w:numPr>
              <w:ind w:left="314" w:hanging="232"/>
              <w:jc w:val="left"/>
              <w:rPr>
                <w:rFonts w:cs="Arial"/>
                <w:noProof/>
              </w:rPr>
            </w:pPr>
            <w:r>
              <w:rPr>
                <w:noProof/>
              </w:rPr>
              <w:t>A „reclutamento” törvényerejű rendelet közzététele (amelyet a Minisztertanács 2021. június 4-i 22. száma már jóváhagyott</w:t>
            </w:r>
            <w:r>
              <w:rPr>
                <w:noProof/>
                <w:vertAlign w:val="superscript"/>
              </w:rPr>
              <w:t>és</w:t>
            </w:r>
            <w:r>
              <w:rPr>
                <w:noProof/>
              </w:rPr>
              <w:t xml:space="preserve"> a Hivatalos Lapb</w:t>
            </w:r>
            <w:r>
              <w:rPr>
                <w:noProof/>
              </w:rPr>
              <w:t>an (Gazzetta Ufficiale) 2021. június 10-én</w:t>
            </w:r>
            <w:r>
              <w:rPr>
                <w:noProof/>
                <w:vertAlign w:val="superscript"/>
              </w:rPr>
              <w:t>tették</w:t>
            </w:r>
            <w:r>
              <w:rPr>
                <w:noProof/>
              </w:rPr>
              <w:t xml:space="preserve"> közzé);</w:t>
            </w:r>
          </w:p>
          <w:p w14:paraId="77AC3A46" w14:textId="77777777" w:rsidR="003F5418" w:rsidRDefault="002A6C25">
            <w:pPr>
              <w:pStyle w:val="P68B1DB1-ListParagraph5"/>
              <w:numPr>
                <w:ilvl w:val="0"/>
                <w:numId w:val="85"/>
              </w:numPr>
              <w:ind w:left="314" w:hanging="232"/>
              <w:jc w:val="left"/>
              <w:rPr>
                <w:rFonts w:cs="Arial"/>
                <w:noProof/>
              </w:rPr>
            </w:pPr>
            <w:r>
              <w:rPr>
                <w:noProof/>
              </w:rPr>
              <w:t>Részvételi szándék kifejezésére való felhívás közzététele;</w:t>
            </w:r>
          </w:p>
          <w:p w14:paraId="25448764" w14:textId="77777777" w:rsidR="003F5418" w:rsidRDefault="002A6C25">
            <w:pPr>
              <w:pStyle w:val="P68B1DB1-ListParagraph5"/>
              <w:numPr>
                <w:ilvl w:val="0"/>
                <w:numId w:val="85"/>
              </w:numPr>
              <w:ind w:left="314" w:hanging="232"/>
              <w:jc w:val="left"/>
              <w:rPr>
                <w:rFonts w:cs="Arial"/>
                <w:noProof/>
              </w:rPr>
            </w:pPr>
            <w:r>
              <w:rPr>
                <w:noProof/>
              </w:rPr>
              <w:t>A szakértők kiválasztása és megbízása (ideiglenes alapon a Helyreállítási és Rezilienciaépítési Eszköz időtartamára).</w:t>
            </w:r>
          </w:p>
          <w:p w14:paraId="510AD9D3" w14:textId="77777777" w:rsidR="003F5418" w:rsidRDefault="002A6C25">
            <w:pPr>
              <w:pStyle w:val="P68B1DB1-Normal4"/>
              <w:spacing w:after="120"/>
              <w:rPr>
                <w:rFonts w:cs="Arial"/>
                <w:noProof/>
              </w:rPr>
            </w:pPr>
            <w:r>
              <w:rPr>
                <w:noProof/>
              </w:rPr>
              <w:t>A NewCo esetében a leg</w:t>
            </w:r>
            <w:r>
              <w:rPr>
                <w:noProof/>
              </w:rPr>
              <w:t>fontosabb lépések a következők:</w:t>
            </w:r>
          </w:p>
          <w:p w14:paraId="28534CF8" w14:textId="77777777" w:rsidR="003F5418" w:rsidRDefault="002A6C25">
            <w:pPr>
              <w:pStyle w:val="P68B1DB1-ListParagraph5"/>
              <w:numPr>
                <w:ilvl w:val="0"/>
                <w:numId w:val="85"/>
              </w:numPr>
              <w:ind w:left="314" w:hanging="232"/>
              <w:jc w:val="left"/>
              <w:rPr>
                <w:rFonts w:cs="Arial"/>
                <w:noProof/>
              </w:rPr>
            </w:pPr>
            <w:r>
              <w:rPr>
                <w:noProof/>
              </w:rPr>
              <w:t>Jogalkotási felhatalmazás;</w:t>
            </w:r>
          </w:p>
          <w:p w14:paraId="1EBC8D5A" w14:textId="77777777" w:rsidR="003F5418" w:rsidRDefault="002A6C25">
            <w:pPr>
              <w:pStyle w:val="P68B1DB1-ListParagraph5"/>
              <w:numPr>
                <w:ilvl w:val="0"/>
                <w:numId w:val="85"/>
              </w:numPr>
              <w:ind w:left="314" w:hanging="232"/>
              <w:jc w:val="left"/>
              <w:rPr>
                <w:rFonts w:cs="Arial"/>
                <w:noProof/>
              </w:rPr>
            </w:pPr>
            <w:r>
              <w:rPr>
                <w:noProof/>
              </w:rPr>
              <w:t>Decreto del Presidente del Consiglio dei Ministri (DPCM), amely engedélyezi a társaság alapítását, és meghatározza a társaság célkitűzéseit, tőkéjét, időtartamát és igazgatóit;</w:t>
            </w:r>
          </w:p>
          <w:p w14:paraId="42878592" w14:textId="77777777" w:rsidR="003F5418" w:rsidRDefault="002A6C25">
            <w:pPr>
              <w:pStyle w:val="P68B1DB1-ListParagraph5"/>
              <w:numPr>
                <w:ilvl w:val="0"/>
                <w:numId w:val="85"/>
              </w:numPr>
              <w:ind w:left="314" w:hanging="232"/>
              <w:jc w:val="left"/>
              <w:rPr>
                <w:rFonts w:cs="Arial"/>
                <w:noProof/>
              </w:rPr>
            </w:pPr>
            <w:r>
              <w:rPr>
                <w:noProof/>
              </w:rPr>
              <w:t>A társaság közjegyző</w:t>
            </w:r>
            <w:r>
              <w:rPr>
                <w:noProof/>
              </w:rPr>
              <w:t>i okirattal rendelkező intézménye;</w:t>
            </w:r>
          </w:p>
          <w:p w14:paraId="641BFDA4" w14:textId="77777777" w:rsidR="003F5418" w:rsidRDefault="002A6C25">
            <w:pPr>
              <w:pStyle w:val="P68B1DB1-ListParagraph5"/>
              <w:numPr>
                <w:ilvl w:val="0"/>
                <w:numId w:val="85"/>
              </w:numPr>
              <w:ind w:left="314" w:hanging="232"/>
              <w:jc w:val="left"/>
              <w:rPr>
                <w:rFonts w:cs="Arial"/>
                <w:noProof/>
              </w:rPr>
            </w:pPr>
            <w:r>
              <w:rPr>
                <w:noProof/>
              </w:rPr>
              <w:t>A társaság működőképessé tételéhez szükséges aktusok – alapszabály és különböző rendeletek.</w:t>
            </w:r>
          </w:p>
        </w:tc>
      </w:tr>
      <w:tr w:rsidR="003F5418" w14:paraId="2D701D50" w14:textId="77777777">
        <w:trPr>
          <w:trHeight w:val="309"/>
        </w:trPr>
        <w:tc>
          <w:tcPr>
            <w:tcW w:w="1253" w:type="dxa"/>
            <w:shd w:val="clear" w:color="auto" w:fill="C6EFCE"/>
            <w:noWrap/>
            <w:vAlign w:val="center"/>
          </w:tcPr>
          <w:p w14:paraId="0E3B6650" w14:textId="77777777" w:rsidR="003F5418" w:rsidRDefault="002A6C25">
            <w:pPr>
              <w:pStyle w:val="P68B1DB1-Normal4"/>
              <w:jc w:val="center"/>
              <w:rPr>
                <w:rFonts w:cs="Arial"/>
                <w:noProof/>
              </w:rPr>
            </w:pPr>
            <w:r>
              <w:rPr>
                <w:noProof/>
              </w:rPr>
              <w:t>M1C1–11</w:t>
            </w:r>
          </w:p>
        </w:tc>
        <w:tc>
          <w:tcPr>
            <w:tcW w:w="1568" w:type="dxa"/>
            <w:shd w:val="clear" w:color="auto" w:fill="C6EFCE"/>
            <w:noWrap/>
            <w:vAlign w:val="center"/>
          </w:tcPr>
          <w:p w14:paraId="17D0B879" w14:textId="77777777" w:rsidR="003F5418" w:rsidRDefault="002A6C25">
            <w:pPr>
              <w:pStyle w:val="P68B1DB1-Normal4"/>
              <w:jc w:val="center"/>
              <w:rPr>
                <w:rFonts w:cs="Arial"/>
                <w:noProof/>
              </w:rPr>
            </w:pPr>
            <w:r>
              <w:rPr>
                <w:noProof/>
              </w:rPr>
              <w:t>Beruházás: A pénzügyi rendőrség digitalizálása</w:t>
            </w:r>
          </w:p>
        </w:tc>
        <w:tc>
          <w:tcPr>
            <w:tcW w:w="1148" w:type="dxa"/>
            <w:shd w:val="clear" w:color="auto" w:fill="C6EFCE"/>
            <w:noWrap/>
            <w:vAlign w:val="center"/>
          </w:tcPr>
          <w:p w14:paraId="3D41B048"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1C148816" w14:textId="77777777" w:rsidR="003F5418" w:rsidRDefault="002A6C25">
            <w:pPr>
              <w:pStyle w:val="P68B1DB1-Normal4"/>
              <w:jc w:val="center"/>
              <w:rPr>
                <w:rFonts w:cs="Arial"/>
                <w:noProof/>
              </w:rPr>
            </w:pPr>
            <w:r>
              <w:rPr>
                <w:noProof/>
              </w:rPr>
              <w:t xml:space="preserve">Pénzügyi rendőrség – Szakmai adattudományi szolgáltatások beszerzése </w:t>
            </w:r>
            <w:r>
              <w:rPr>
                <w:noProof/>
              </w:rPr>
              <w:t>T1</w:t>
            </w:r>
          </w:p>
        </w:tc>
        <w:tc>
          <w:tcPr>
            <w:tcW w:w="1701" w:type="dxa"/>
            <w:shd w:val="clear" w:color="auto" w:fill="C6EFCE"/>
            <w:noWrap/>
            <w:vAlign w:val="center"/>
          </w:tcPr>
          <w:p w14:paraId="5AB563DF"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7BC53E78"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58FA8757"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1E26F74A" w14:textId="77777777" w:rsidR="003F5418" w:rsidRDefault="002A6C25">
            <w:pPr>
              <w:pStyle w:val="P68B1DB1-Normal4"/>
              <w:jc w:val="center"/>
              <w:rPr>
                <w:rFonts w:cs="Arial"/>
                <w:noProof/>
              </w:rPr>
            </w:pPr>
            <w:r>
              <w:rPr>
                <w:noProof/>
              </w:rPr>
              <w:t>5</w:t>
            </w:r>
          </w:p>
        </w:tc>
        <w:tc>
          <w:tcPr>
            <w:tcW w:w="843" w:type="dxa"/>
            <w:shd w:val="clear" w:color="auto" w:fill="C6EFCE"/>
            <w:noWrap/>
            <w:vAlign w:val="center"/>
          </w:tcPr>
          <w:p w14:paraId="57E98DD3" w14:textId="77777777" w:rsidR="003F5418" w:rsidRDefault="002A6C25">
            <w:pPr>
              <w:pStyle w:val="P68B1DB1-Normal4"/>
              <w:jc w:val="center"/>
              <w:rPr>
                <w:rFonts w:cs="Arial"/>
                <w:noProof/>
              </w:rPr>
            </w:pPr>
            <w:r>
              <w:rPr>
                <w:noProof/>
              </w:rPr>
              <w:t>Q1</w:t>
            </w:r>
          </w:p>
        </w:tc>
        <w:tc>
          <w:tcPr>
            <w:tcW w:w="567" w:type="dxa"/>
            <w:shd w:val="clear" w:color="auto" w:fill="C6EFCE"/>
            <w:noWrap/>
            <w:vAlign w:val="center"/>
          </w:tcPr>
          <w:p w14:paraId="35F2BD7B" w14:textId="77777777" w:rsidR="003F5418" w:rsidRDefault="002A6C25">
            <w:pPr>
              <w:pStyle w:val="P68B1DB1-Normal4"/>
              <w:jc w:val="center"/>
              <w:rPr>
                <w:rFonts w:cs="Arial"/>
                <w:noProof/>
              </w:rPr>
            </w:pPr>
            <w:r>
              <w:rPr>
                <w:noProof/>
              </w:rPr>
              <w:t>2023</w:t>
            </w:r>
          </w:p>
        </w:tc>
        <w:tc>
          <w:tcPr>
            <w:tcW w:w="2977" w:type="dxa"/>
            <w:shd w:val="clear" w:color="auto" w:fill="C6EFCE"/>
            <w:noWrap/>
            <w:vAlign w:val="center"/>
          </w:tcPr>
          <w:p w14:paraId="3C5BEBC1" w14:textId="77777777" w:rsidR="003F5418" w:rsidRDefault="002A6C25">
            <w:pPr>
              <w:pStyle w:val="P68B1DB1-Normal4"/>
              <w:spacing w:after="120"/>
              <w:rPr>
                <w:rFonts w:cs="Arial"/>
                <w:noProof/>
              </w:rPr>
            </w:pPr>
            <w:r>
              <w:rPr>
                <w:noProof/>
              </w:rPr>
              <w:t>Professzionális adattudományi szolgáltatások beszerzése egy tanácsadó szolgáltatóval való szerződéskötéssel, összesen öt emberi erőforrás bevonásával, amely felelős mind az adatarchitektúra kialakításáért, mind a nagy adathalmazok</w:t>
            </w:r>
            <w:r>
              <w:rPr>
                <w:noProof/>
              </w:rPr>
              <w:t xml:space="preserve"> elemzéséért felelős egység algoritmusainak megírásáért. A jelentős károkozás elkerülését célzó technikai iránymutatásnak (2021/C58/01) megfelelően odaítélt adattudományi szolgáltatások beszerzésére irányuló szerződés közzététele kizárási lista és a vonatk</w:t>
            </w:r>
            <w:r>
              <w:rPr>
                <w:noProof/>
              </w:rPr>
              <w:t>ozó uniós és nemzeti környezetvédelmi jogszabályoknak való megfelelés követelménye révén, valamint az első elemzési modul (IT gerinc) új eszközeinek országos szintű közzététele.</w:t>
            </w:r>
          </w:p>
        </w:tc>
      </w:tr>
      <w:tr w:rsidR="003F5418" w14:paraId="47F734B3" w14:textId="77777777">
        <w:trPr>
          <w:trHeight w:val="309"/>
        </w:trPr>
        <w:tc>
          <w:tcPr>
            <w:tcW w:w="1253" w:type="dxa"/>
            <w:shd w:val="clear" w:color="auto" w:fill="C6EFCE"/>
            <w:noWrap/>
            <w:vAlign w:val="center"/>
          </w:tcPr>
          <w:p w14:paraId="41214381" w14:textId="77777777" w:rsidR="003F5418" w:rsidRDefault="002A6C25">
            <w:pPr>
              <w:pStyle w:val="P68B1DB1-Normal4"/>
              <w:jc w:val="center"/>
              <w:rPr>
                <w:rFonts w:cs="Arial"/>
                <w:noProof/>
              </w:rPr>
            </w:pPr>
            <w:r>
              <w:rPr>
                <w:noProof/>
              </w:rPr>
              <w:t>M1C1–12</w:t>
            </w:r>
          </w:p>
        </w:tc>
        <w:tc>
          <w:tcPr>
            <w:tcW w:w="1568" w:type="dxa"/>
            <w:shd w:val="clear" w:color="auto" w:fill="C6EFCE"/>
            <w:noWrap/>
            <w:vAlign w:val="center"/>
          </w:tcPr>
          <w:p w14:paraId="3427839B" w14:textId="77777777" w:rsidR="003F5418" w:rsidRDefault="002A6C25">
            <w:pPr>
              <w:pStyle w:val="P68B1DB1-Normal4"/>
              <w:jc w:val="center"/>
              <w:rPr>
                <w:rFonts w:cs="Arial"/>
                <w:noProof/>
              </w:rPr>
            </w:pPr>
            <w:r>
              <w:rPr>
                <w:noProof/>
              </w:rPr>
              <w:t>Beruházás: Egységes digitális kapu</w:t>
            </w:r>
          </w:p>
        </w:tc>
        <w:tc>
          <w:tcPr>
            <w:tcW w:w="1148" w:type="dxa"/>
            <w:shd w:val="clear" w:color="auto" w:fill="C6EFCE"/>
            <w:noWrap/>
            <w:vAlign w:val="center"/>
          </w:tcPr>
          <w:p w14:paraId="6AF09FAE"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2C2AD644" w14:textId="77777777" w:rsidR="003F5418" w:rsidRDefault="002A6C25">
            <w:pPr>
              <w:pStyle w:val="P68B1DB1-Normal4"/>
              <w:jc w:val="center"/>
              <w:rPr>
                <w:rFonts w:cs="Arial"/>
                <w:noProof/>
              </w:rPr>
            </w:pPr>
            <w:r>
              <w:rPr>
                <w:noProof/>
              </w:rPr>
              <w:t>Egységes digitális kapu</w:t>
            </w:r>
          </w:p>
        </w:tc>
        <w:tc>
          <w:tcPr>
            <w:tcW w:w="1701" w:type="dxa"/>
            <w:shd w:val="clear" w:color="auto" w:fill="C6EFCE"/>
            <w:noWrap/>
            <w:vAlign w:val="center"/>
          </w:tcPr>
          <w:p w14:paraId="026AB284"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524F3430"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43920528"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53DCB9B4" w14:textId="77777777" w:rsidR="003F5418" w:rsidRDefault="002A6C25">
            <w:pPr>
              <w:pStyle w:val="P68B1DB1-Normal4"/>
              <w:jc w:val="center"/>
              <w:rPr>
                <w:rFonts w:cs="Arial"/>
                <w:noProof/>
              </w:rPr>
            </w:pPr>
            <w:r>
              <w:rPr>
                <w:noProof/>
              </w:rPr>
              <w:t>19</w:t>
            </w:r>
          </w:p>
        </w:tc>
        <w:tc>
          <w:tcPr>
            <w:tcW w:w="843" w:type="dxa"/>
            <w:shd w:val="clear" w:color="auto" w:fill="C6EFCE"/>
            <w:noWrap/>
            <w:vAlign w:val="center"/>
          </w:tcPr>
          <w:p w14:paraId="55CD16FD"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37F7D7A1" w14:textId="77777777" w:rsidR="003F5418" w:rsidRDefault="002A6C25">
            <w:pPr>
              <w:pStyle w:val="P68B1DB1-Normal4"/>
              <w:jc w:val="center"/>
              <w:rPr>
                <w:rFonts w:cs="Arial"/>
                <w:noProof/>
              </w:rPr>
            </w:pPr>
            <w:r>
              <w:rPr>
                <w:noProof/>
              </w:rPr>
              <w:t>2023</w:t>
            </w:r>
          </w:p>
        </w:tc>
        <w:tc>
          <w:tcPr>
            <w:tcW w:w="2977" w:type="dxa"/>
            <w:shd w:val="clear" w:color="auto" w:fill="C6EFCE"/>
            <w:noWrap/>
            <w:vAlign w:val="center"/>
          </w:tcPr>
          <w:p w14:paraId="3A180EA9" w14:textId="77777777" w:rsidR="003F5418" w:rsidRDefault="002A6C25">
            <w:pPr>
              <w:pStyle w:val="P68B1DB1-Normal4"/>
              <w:spacing w:after="120"/>
              <w:rPr>
                <w:rFonts w:cs="Arial"/>
                <w:noProof/>
              </w:rPr>
            </w:pPr>
            <w:r>
              <w:rPr>
                <w:noProof/>
              </w:rPr>
              <w:t>Az (EU) 2018/1724 rendeletben meghatározott 21-ből Olaszországban alkalmazandó 19 elsőbbségi közigazgatási eljárás teljes mértékben megfelel az (EU) 2018/1724 rendelet 6. cikkében meghatározott követelményeknek. Konkrétabban: a) a felhasz</w:t>
            </w:r>
            <w:r>
              <w:rPr>
                <w:noProof/>
              </w:rPr>
              <w:t>nálók azonosítását, az információk és az alátámasztó bizonyítékok szolgáltatását, az aláírást és a végleges benyújtást elektronikus úton, távolról, olyan szolgáltatási csatornán keresztül kell elvégezni, amely lehetővé teszi a felhasználók számára, hogy fe</w:t>
            </w:r>
            <w:r>
              <w:rPr>
                <w:noProof/>
              </w:rPr>
              <w:t>lhasználóbarát és strukturált módon teljesítsék az eljárással kapcsolatos követelményeket; b) a felhasználók számára automatikus átvételi elismervényt kell adni, kivéve, ha az eljárás eredménye azonnal megérkezik; C) az eljárás eredményét elektronikus úton</w:t>
            </w:r>
            <w:r>
              <w:rPr>
                <w:noProof/>
              </w:rPr>
              <w:t>, vagy amennyiben az az alkalmazandó uniós vagy nemzeti jognak való megfelelés érdekében szükséges, fizikai úton kell átadni; d) a felhasználók számára elektronikus értesítést kell biztosítani az eljárás befejezéséről.</w:t>
            </w:r>
          </w:p>
        </w:tc>
      </w:tr>
      <w:tr w:rsidR="003F5418" w14:paraId="6A41E438" w14:textId="77777777">
        <w:trPr>
          <w:trHeight w:val="309"/>
        </w:trPr>
        <w:tc>
          <w:tcPr>
            <w:tcW w:w="1253" w:type="dxa"/>
            <w:shd w:val="clear" w:color="auto" w:fill="C6EFCE"/>
            <w:noWrap/>
            <w:vAlign w:val="center"/>
          </w:tcPr>
          <w:p w14:paraId="71AD7F8E" w14:textId="77777777" w:rsidR="003F5418" w:rsidRDefault="002A6C25">
            <w:pPr>
              <w:pStyle w:val="P68B1DB1-Normal4"/>
              <w:jc w:val="center"/>
              <w:rPr>
                <w:rFonts w:cs="Arial"/>
                <w:noProof/>
              </w:rPr>
            </w:pPr>
            <w:r>
              <w:rPr>
                <w:noProof/>
              </w:rPr>
              <w:t>M1C1–13</w:t>
            </w:r>
          </w:p>
        </w:tc>
        <w:tc>
          <w:tcPr>
            <w:tcW w:w="1568" w:type="dxa"/>
            <w:shd w:val="clear" w:color="auto" w:fill="C6EFCE"/>
            <w:noWrap/>
            <w:vAlign w:val="center"/>
          </w:tcPr>
          <w:p w14:paraId="28036432" w14:textId="77777777" w:rsidR="003F5418" w:rsidRDefault="002A6C25">
            <w:pPr>
              <w:pStyle w:val="P68B1DB1-Normal4"/>
              <w:jc w:val="center"/>
              <w:rPr>
                <w:rFonts w:cs="Arial"/>
                <w:noProof/>
              </w:rPr>
            </w:pPr>
            <w:r>
              <w:rPr>
                <w:noProof/>
              </w:rPr>
              <w:t>Beruházás:</w:t>
            </w:r>
          </w:p>
          <w:p w14:paraId="2527A483" w14:textId="77777777" w:rsidR="003F5418" w:rsidRDefault="002A6C25">
            <w:pPr>
              <w:pStyle w:val="P68B1DB1-Normal4"/>
              <w:jc w:val="center"/>
              <w:rPr>
                <w:rFonts w:cs="Arial"/>
                <w:noProof/>
              </w:rPr>
            </w:pPr>
            <w:r>
              <w:rPr>
                <w:noProof/>
              </w:rPr>
              <w:t>Mobilitás</w:t>
            </w:r>
            <w:r>
              <w:rPr>
                <w:noProof/>
              </w:rPr>
              <w:t xml:space="preserve"> mint olaszországi szolgáltatás</w:t>
            </w:r>
          </w:p>
        </w:tc>
        <w:tc>
          <w:tcPr>
            <w:tcW w:w="1148" w:type="dxa"/>
            <w:shd w:val="clear" w:color="auto" w:fill="C6EFCE"/>
            <w:noWrap/>
            <w:vAlign w:val="center"/>
          </w:tcPr>
          <w:p w14:paraId="7CDF00F7"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1234F999" w14:textId="77777777" w:rsidR="003F5418" w:rsidRDefault="002A6C25">
            <w:pPr>
              <w:pStyle w:val="P68B1DB1-Normal4"/>
              <w:jc w:val="center"/>
              <w:rPr>
                <w:rFonts w:cs="Arial"/>
                <w:noProof/>
              </w:rPr>
            </w:pPr>
            <w:r>
              <w:rPr>
                <w:noProof/>
              </w:rPr>
              <w:t>Mobilitás mint szolgáltatási megoldások, M1</w:t>
            </w:r>
          </w:p>
        </w:tc>
        <w:tc>
          <w:tcPr>
            <w:tcW w:w="1701" w:type="dxa"/>
            <w:shd w:val="clear" w:color="auto" w:fill="C6EFCE"/>
            <w:noWrap/>
            <w:vAlign w:val="center"/>
          </w:tcPr>
          <w:p w14:paraId="15580B6C" w14:textId="77777777" w:rsidR="003F5418" w:rsidRDefault="002A6C25">
            <w:pPr>
              <w:pStyle w:val="P68B1DB1-Normal4"/>
              <w:jc w:val="center"/>
              <w:rPr>
                <w:rFonts w:cs="Arial"/>
                <w:noProof/>
              </w:rPr>
            </w:pPr>
            <w:r>
              <w:rPr>
                <w:noProof/>
              </w:rPr>
              <w:t>A Ministero delle Infrastrutture e della Mobilità Sostenibili</w:t>
            </w:r>
            <w:r>
              <w:rPr>
                <w:noProof/>
              </w:rPr>
              <w:t xml:space="preserve"> (MIMS) által az egyetemekkel együttműködésben készített jelentés, amely ismerteti a három kísérleti projekt végrehajtását és eredményeit</w:t>
            </w:r>
          </w:p>
        </w:tc>
        <w:tc>
          <w:tcPr>
            <w:tcW w:w="1134" w:type="dxa"/>
            <w:shd w:val="clear" w:color="auto" w:fill="C6EFCE"/>
            <w:noWrap/>
            <w:vAlign w:val="center"/>
          </w:tcPr>
          <w:p w14:paraId="6DBAE17C"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3569352E"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2029E52D"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0249C36C"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62DAB211" w14:textId="77777777" w:rsidR="003F5418" w:rsidRDefault="002A6C25">
            <w:pPr>
              <w:pStyle w:val="P68B1DB1-Normal4"/>
              <w:jc w:val="center"/>
              <w:rPr>
                <w:rFonts w:cs="Arial"/>
                <w:noProof/>
              </w:rPr>
            </w:pPr>
            <w:r>
              <w:rPr>
                <w:noProof/>
              </w:rPr>
              <w:t>2023</w:t>
            </w:r>
          </w:p>
        </w:tc>
        <w:tc>
          <w:tcPr>
            <w:tcW w:w="2977" w:type="dxa"/>
            <w:shd w:val="clear" w:color="auto" w:fill="C6EFCE"/>
            <w:noWrap/>
            <w:vAlign w:val="center"/>
          </w:tcPr>
          <w:p w14:paraId="7AEE19FB" w14:textId="77777777" w:rsidR="003F5418" w:rsidRDefault="002A6C25">
            <w:pPr>
              <w:pStyle w:val="P68B1DB1-Normal4"/>
              <w:spacing w:after="120"/>
              <w:rPr>
                <w:rFonts w:cs="Arial"/>
                <w:noProof/>
              </w:rPr>
            </w:pPr>
            <w:r>
              <w:rPr>
                <w:noProof/>
              </w:rPr>
              <w:t>Három kísérleti projektet hajtottak végre, amelyek célja a mobilitás mint szolgáltatási mego</w:t>
            </w:r>
            <w:r>
              <w:rPr>
                <w:noProof/>
              </w:rPr>
              <w:t>ldások tesztelése a technológiailag fejlett nagyvárosokban.</w:t>
            </w:r>
          </w:p>
          <w:p w14:paraId="1B67A0EE" w14:textId="77777777" w:rsidR="003F5418" w:rsidRDefault="002A6C25">
            <w:pPr>
              <w:pStyle w:val="P68B1DB1-Normal4"/>
              <w:spacing w:after="120"/>
              <w:rPr>
                <w:rFonts w:cs="Arial"/>
                <w:noProof/>
              </w:rPr>
            </w:pPr>
            <w:r>
              <w:rPr>
                <w:noProof/>
              </w:rPr>
              <w:t>A kísérleti időszakban minden oldatot legalább 1000 felhasználó használt.</w:t>
            </w:r>
          </w:p>
          <w:p w14:paraId="71958FEB" w14:textId="667E4FBA" w:rsidR="003F5418" w:rsidRDefault="002A6C25">
            <w:pPr>
              <w:pStyle w:val="P68B1DB1-Normal4"/>
              <w:spacing w:after="120"/>
              <w:rPr>
                <w:rFonts w:cs="Arial"/>
                <w:noProof/>
              </w:rPr>
            </w:pPr>
            <w:r>
              <w:rPr>
                <w:noProof/>
              </w:rPr>
              <w:t>Minden kísérleti projekt legalább 1000 felhasználó előtt nyitva áll, akik önkéntes alapon és saját költségükön férhetnek h</w:t>
            </w:r>
            <w:r>
              <w:rPr>
                <w:noProof/>
              </w:rPr>
              <w:t>ozzá a projekthez, és egyéni értékelést adnak, lehetővé téve, hogy a platformon rendelkezésre álló mobilitási szolgáltatások közül válasszanak és vásároljanak mobilitási szolgáltatásokat.</w:t>
            </w:r>
          </w:p>
          <w:p w14:paraId="11BF12D3" w14:textId="77777777" w:rsidR="003F5418" w:rsidRDefault="002A6C25">
            <w:pPr>
              <w:pStyle w:val="P68B1DB1-Normal4"/>
              <w:spacing w:after="120"/>
              <w:rPr>
                <w:rFonts w:cs="Arial"/>
                <w:noProof/>
              </w:rPr>
            </w:pPr>
            <w:r>
              <w:rPr>
                <w:noProof/>
              </w:rPr>
              <w:t>A MaaS-szolgáltatás egyetlen technológiai platformon keresztül az ig</w:t>
            </w:r>
            <w:r>
              <w:rPr>
                <w:noProof/>
              </w:rPr>
              <w:t>ényein alapuló legjobb utazási megoldást javasolja a polgár-felhasználónak, kihasználva a különböző rendelkezésre álló mobilitási lehetőségek (helyi tömegközlekedés, megosztás, vezetőfülke, autókölcsönzés) közötti integrációt az utazási élmény optimalizálá</w:t>
            </w:r>
            <w:r>
              <w:rPr>
                <w:noProof/>
              </w:rPr>
              <w:t>sa érdekében, mind a tervezés (intermodális útvonaltervező és valós idejű információk az időről és a távolságról), mind pedig a használat (szolgáltatások foglalása és fizetése) tekintetében.</w:t>
            </w:r>
          </w:p>
        </w:tc>
      </w:tr>
      <w:tr w:rsidR="003F5418" w14:paraId="6DFC775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D21B1" w14:textId="77777777" w:rsidR="003F5418" w:rsidRDefault="002A6C25">
            <w:pPr>
              <w:pStyle w:val="P68B1DB1-Normal4"/>
              <w:jc w:val="center"/>
              <w:rPr>
                <w:rFonts w:cs="Arial"/>
                <w:noProof/>
              </w:rPr>
            </w:pPr>
            <w:r>
              <w:rPr>
                <w:noProof/>
              </w:rPr>
              <w:t>M1C1–14a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626BFA" w14:textId="6797B0AE" w:rsidR="003F5418" w:rsidRDefault="002A6C25">
            <w:pPr>
              <w:pStyle w:val="P68B1DB1-Normal4"/>
              <w:jc w:val="center"/>
              <w:rPr>
                <w:rFonts w:cs="Arial"/>
                <w:noProof/>
              </w:rPr>
            </w:pPr>
            <w:r>
              <w:rPr>
                <w:noProof/>
              </w:rPr>
              <w:t xml:space="preserve">Reform: A kohéziós politika végrehajtásának </w:t>
            </w:r>
            <w:r>
              <w:rPr>
                <w:noProof/>
              </w:rPr>
              <w:t>felgyorsítását célzó reform</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D52638" w14:textId="77777777" w:rsidR="003F5418" w:rsidRDefault="002A6C25">
            <w:pPr>
              <w:pStyle w:val="P68B1DB1-Normal4"/>
              <w:jc w:val="center"/>
              <w:rPr>
                <w:rFonts w:cs="Arial"/>
                <w:noProof/>
              </w:rPr>
            </w:pPr>
            <w:r>
              <w:rPr>
                <w:noProof/>
              </w:rPr>
              <w:t xml:space="preserve">Mérföldkő </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28085C" w14:textId="77777777" w:rsidR="003F5418" w:rsidRDefault="002A6C25">
            <w:pPr>
              <w:pStyle w:val="P68B1DB1-Normal4"/>
              <w:jc w:val="center"/>
              <w:rPr>
                <w:rFonts w:cs="Arial"/>
                <w:noProof/>
              </w:rPr>
            </w:pPr>
            <w:r>
              <w:rPr>
                <w:noProof/>
              </w:rPr>
              <w:t>A kohéziós politika végrehajtásának felgyorsítását célzó nemzeti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59F58" w14:textId="77777777" w:rsidR="003F5418" w:rsidRDefault="002A6C25">
            <w:pPr>
              <w:pStyle w:val="P68B1DB1-Normal4"/>
              <w:jc w:val="center"/>
              <w:rPr>
                <w:rFonts w:cs="Arial"/>
                <w:noProof/>
              </w:rPr>
            </w:pPr>
            <w:r>
              <w:rPr>
                <w:noProof/>
              </w:rPr>
              <w:t xml:space="preserve">A törvénynek a kohéziós politika végrehajtásának felgyorsítását célzó nemzeti jogszabályok hatálybalépését feltüntető rendelkezése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4EB85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03362D"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42423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46C4A"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EB20F6"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5C3B30" w14:textId="77777777" w:rsidR="003F5418" w:rsidRDefault="002A6C25">
            <w:pPr>
              <w:pStyle w:val="P68B1DB1-Normal4"/>
              <w:spacing w:after="120"/>
              <w:rPr>
                <w:rFonts w:cs="Arial"/>
                <w:noProof/>
              </w:rPr>
            </w:pPr>
            <w:r>
              <w:rPr>
                <w:noProof/>
              </w:rPr>
              <w:t>Azon nemzeti jogszabályok hatálybalépése, amelyek a partnerségi megállapodás keretében és valamenn</w:t>
            </w:r>
            <w:r>
              <w:rPr>
                <w:noProof/>
              </w:rPr>
              <w:t xml:space="preserve">yi jelenlegi program esetében meghatározzák a kohéziós politika végrehajtásának felgyorsításához és javításához szükséges intézkedéseket. </w:t>
            </w:r>
          </w:p>
          <w:p w14:paraId="3C574E4B" w14:textId="77777777" w:rsidR="003F5418" w:rsidRDefault="002A6C25">
            <w:pPr>
              <w:pStyle w:val="P68B1DB1-Normal4"/>
              <w:spacing w:after="120"/>
              <w:rPr>
                <w:rFonts w:cs="Arial"/>
                <w:noProof/>
              </w:rPr>
            </w:pPr>
            <w:r>
              <w:rPr>
                <w:noProof/>
              </w:rPr>
              <w:t>Az intézményi párbeszéd és együttműködés, valamint a szükséges intézkedések közös értelmezésének biztosítása érdekébe</w:t>
            </w:r>
            <w:r>
              <w:rPr>
                <w:noProof/>
              </w:rPr>
              <w:t>n a kormány 2023. december 31-ig technikai munkacsoportot hoz létre a Cabina di regia PNRR-en belüli valamennyi regionális és nemzeti program irányító hatóságaival, az egységes konferenciáról szóló nemzeti jogszabályok sérelme nélkül.</w:t>
            </w:r>
          </w:p>
          <w:p w14:paraId="7C637360" w14:textId="77777777" w:rsidR="003F5418" w:rsidRDefault="002A6C25">
            <w:pPr>
              <w:pStyle w:val="P68B1DB1-Normal4"/>
              <w:spacing w:after="120"/>
              <w:rPr>
                <w:rFonts w:cs="Arial"/>
                <w:noProof/>
              </w:rPr>
            </w:pPr>
            <w:r>
              <w:rPr>
                <w:noProof/>
              </w:rPr>
              <w:t>A jogszabályoknak meg</w:t>
            </w:r>
            <w:r>
              <w:rPr>
                <w:noProof/>
              </w:rPr>
              <w:t xml:space="preserve"> kell határozniuk a következő stratégiai ágazatok beavatkozásainak rangsorolásához szükséges intézkedéseket, szigorúan összhangban a vonatkozó előfeltételek tekintetében meghatározott tervezési dokumentumokkal, és konkrétan végre kell hajtani azokat, beleé</w:t>
            </w:r>
            <w:r>
              <w:rPr>
                <w:noProof/>
              </w:rPr>
              <w:t>rtve a kifejezetten az igazgatási kapacitás megerősítését célzó beavatkozást ezekben az ágazatokban:</w:t>
            </w:r>
          </w:p>
          <w:p w14:paraId="0E4E2BCE"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Víz;</w:t>
            </w:r>
          </w:p>
          <w:p w14:paraId="67F3301C"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hidrogeológiai kockázatokat és a környezetvédelmet szolgáló infrastruktúrák;</w:t>
            </w:r>
          </w:p>
          <w:p w14:paraId="77899DCD"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Hulladék;</w:t>
            </w:r>
          </w:p>
          <w:p w14:paraId="7577B66F"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Közlekedés és fenntartható mobilitás;</w:t>
            </w:r>
          </w:p>
          <w:p w14:paraId="0C9EAEFF"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Az energia;</w:t>
            </w:r>
          </w:p>
          <w:p w14:paraId="3EAC2B0D" w14:textId="77777777" w:rsidR="003F5418" w:rsidRDefault="002A6C25">
            <w:pPr>
              <w:spacing w:after="120"/>
              <w:rPr>
                <w:rFonts w:ascii="Arial Narrow" w:hAnsi="Arial Narrow" w:cs="Arial"/>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vállalkozásfejlesztés és a vonzerő támogatása, a digitális és zöld átállás szempontjából is.</w:t>
            </w:r>
          </w:p>
        </w:tc>
      </w:tr>
      <w:tr w:rsidR="003F5418" w14:paraId="3BDF3CC4" w14:textId="77777777">
        <w:trPr>
          <w:trHeight w:val="309"/>
        </w:trPr>
        <w:tc>
          <w:tcPr>
            <w:tcW w:w="1253" w:type="dxa"/>
            <w:shd w:val="clear" w:color="auto" w:fill="C6EFCE"/>
            <w:noWrap/>
            <w:vAlign w:val="center"/>
          </w:tcPr>
          <w:p w14:paraId="097A90AF" w14:textId="77777777" w:rsidR="003F5418" w:rsidRDefault="002A6C25">
            <w:pPr>
              <w:pStyle w:val="P68B1DB1-Normal4"/>
              <w:jc w:val="center"/>
              <w:rPr>
                <w:rFonts w:cs="Arial"/>
                <w:noProof/>
              </w:rPr>
            </w:pPr>
            <w:r>
              <w:rPr>
                <w:noProof/>
              </w:rPr>
              <w:t>M1C1–15</w:t>
            </w:r>
          </w:p>
        </w:tc>
        <w:tc>
          <w:tcPr>
            <w:tcW w:w="1568" w:type="dxa"/>
            <w:shd w:val="clear" w:color="auto" w:fill="C6EFCE"/>
            <w:noWrap/>
            <w:vAlign w:val="center"/>
          </w:tcPr>
          <w:p w14:paraId="3E0D41D9" w14:textId="77777777" w:rsidR="003F5418" w:rsidRDefault="002A6C25">
            <w:pPr>
              <w:pStyle w:val="P68B1DB1-Normal4"/>
              <w:jc w:val="center"/>
              <w:rPr>
                <w:rFonts w:cs="Arial"/>
                <w:noProof/>
              </w:rPr>
            </w:pPr>
            <w:r>
              <w:rPr>
                <w:noProof/>
              </w:rPr>
              <w:t>Beruházás: A pénzügyi rendőrség digitalizálása</w:t>
            </w:r>
          </w:p>
        </w:tc>
        <w:tc>
          <w:tcPr>
            <w:tcW w:w="1148" w:type="dxa"/>
            <w:shd w:val="clear" w:color="auto" w:fill="C6EFCE"/>
            <w:noWrap/>
            <w:vAlign w:val="center"/>
          </w:tcPr>
          <w:p w14:paraId="1DA3E51F"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33998E16" w14:textId="77777777" w:rsidR="003F5418" w:rsidRDefault="002A6C25">
            <w:pPr>
              <w:pStyle w:val="P68B1DB1-Normal4"/>
              <w:jc w:val="center"/>
              <w:rPr>
                <w:rFonts w:cs="Arial"/>
                <w:noProof/>
              </w:rPr>
            </w:pPr>
            <w:r>
              <w:rPr>
                <w:noProof/>
              </w:rPr>
              <w:t>Pénzügyi rendőrség – Szakmai adattudományi szolgáltatások beszerzése T2</w:t>
            </w:r>
          </w:p>
        </w:tc>
        <w:tc>
          <w:tcPr>
            <w:tcW w:w="1701" w:type="dxa"/>
            <w:shd w:val="clear" w:color="auto" w:fill="C6EFCE"/>
            <w:noWrap/>
            <w:vAlign w:val="center"/>
          </w:tcPr>
          <w:p w14:paraId="24ECA1D5"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250938EE"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6DD9C00D" w14:textId="77777777" w:rsidR="003F5418" w:rsidRDefault="002A6C25">
            <w:pPr>
              <w:pStyle w:val="P68B1DB1-Normal4"/>
              <w:jc w:val="center"/>
              <w:rPr>
                <w:rFonts w:cs="Arial"/>
                <w:noProof/>
              </w:rPr>
            </w:pPr>
            <w:r>
              <w:rPr>
                <w:noProof/>
              </w:rPr>
              <w:t>5</w:t>
            </w:r>
          </w:p>
        </w:tc>
        <w:tc>
          <w:tcPr>
            <w:tcW w:w="1425" w:type="dxa"/>
            <w:shd w:val="clear" w:color="auto" w:fill="C6EFCE"/>
            <w:noWrap/>
            <w:vAlign w:val="center"/>
          </w:tcPr>
          <w:p w14:paraId="55A99866" w14:textId="77777777" w:rsidR="003F5418" w:rsidRDefault="002A6C25">
            <w:pPr>
              <w:pStyle w:val="P68B1DB1-Normal4"/>
              <w:jc w:val="center"/>
              <w:rPr>
                <w:rFonts w:cs="Arial"/>
                <w:noProof/>
              </w:rPr>
            </w:pPr>
            <w:r>
              <w:rPr>
                <w:noProof/>
              </w:rPr>
              <w:t>10</w:t>
            </w:r>
          </w:p>
        </w:tc>
        <w:tc>
          <w:tcPr>
            <w:tcW w:w="843" w:type="dxa"/>
            <w:shd w:val="clear" w:color="auto" w:fill="C6EFCE"/>
            <w:noWrap/>
            <w:vAlign w:val="center"/>
          </w:tcPr>
          <w:p w14:paraId="66486DA0" w14:textId="77777777" w:rsidR="003F5418" w:rsidRDefault="002A6C25">
            <w:pPr>
              <w:pStyle w:val="P68B1DB1-Normal4"/>
              <w:jc w:val="center"/>
              <w:rPr>
                <w:rFonts w:cs="Arial"/>
                <w:noProof/>
              </w:rPr>
            </w:pPr>
            <w:r>
              <w:rPr>
                <w:noProof/>
              </w:rPr>
              <w:t>Q1</w:t>
            </w:r>
          </w:p>
        </w:tc>
        <w:tc>
          <w:tcPr>
            <w:tcW w:w="567" w:type="dxa"/>
            <w:shd w:val="clear" w:color="auto" w:fill="C6EFCE"/>
            <w:noWrap/>
            <w:vAlign w:val="center"/>
          </w:tcPr>
          <w:p w14:paraId="03A27489"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0A5D6458" w14:textId="77777777" w:rsidR="003F5418" w:rsidRDefault="002A6C25">
            <w:pPr>
              <w:pStyle w:val="P68B1DB1-Normal4"/>
              <w:spacing w:after="120"/>
              <w:rPr>
                <w:rFonts w:cs="Arial"/>
                <w:noProof/>
              </w:rPr>
            </w:pPr>
            <w:r>
              <w:rPr>
                <w:noProof/>
              </w:rPr>
              <w:t>Szakmai adattudományi szolgáltatások beszerzése a jelentős károkozás elkerülését célzó technikai iránymutatással (2021/C58/01) összhangban egy kizárási lista, valamint a vonatkozó uniós és nemzeti környezetvédelmi jogszabályoknak való megfelelés követelmén</w:t>
            </w:r>
            <w:r>
              <w:rPr>
                <w:noProof/>
              </w:rPr>
              <w:t>ye révén oly módon, hogy öt további (összesen tíz) emberi erőforrással rendelkező tanácsadó szolgáltatóval szerződtetnek, amely felelős mind az adatarchitektúra kialakításáért, mind pedig a nagy adathalmazok elemzésével foglalkozó egység algoritmusainak me</w:t>
            </w:r>
            <w:r>
              <w:rPr>
                <w:noProof/>
              </w:rPr>
              <w:t>gírásáért. A jelentős károkozás elkerülését célzó technikai iránymutatásnak (2021/C58/01) megfelelően odaítélt adattudományi szolgáltatások beszerzésére irányuló szerződés közzététele kizárási lista és a vonatkozó uniós és nemzeti környezetvédelmi jogszabá</w:t>
            </w:r>
            <w:r>
              <w:rPr>
                <w:noProof/>
              </w:rPr>
              <w:t>lyoknak való megfelelés követelménye révén, valamint az első elemzési modul (IT gerinc) új eszközeinek országos szintű közzététele.</w:t>
            </w:r>
          </w:p>
        </w:tc>
      </w:tr>
      <w:tr w:rsidR="003F5418" w14:paraId="38FC23DD" w14:textId="77777777">
        <w:trPr>
          <w:trHeight w:val="309"/>
        </w:trPr>
        <w:tc>
          <w:tcPr>
            <w:tcW w:w="1253" w:type="dxa"/>
            <w:shd w:val="clear" w:color="auto" w:fill="C6EFCE"/>
            <w:noWrap/>
            <w:vAlign w:val="center"/>
            <w:hideMark/>
          </w:tcPr>
          <w:p w14:paraId="7E2AF8E6" w14:textId="77777777" w:rsidR="003F5418" w:rsidRDefault="002A6C25">
            <w:pPr>
              <w:pStyle w:val="P68B1DB1-Normal4"/>
              <w:jc w:val="center"/>
              <w:rPr>
                <w:rFonts w:cs="Arial"/>
                <w:noProof/>
              </w:rPr>
            </w:pPr>
            <w:r>
              <w:rPr>
                <w:noProof/>
              </w:rPr>
              <w:t>M1C1–17</w:t>
            </w:r>
          </w:p>
        </w:tc>
        <w:tc>
          <w:tcPr>
            <w:tcW w:w="1568" w:type="dxa"/>
            <w:shd w:val="clear" w:color="auto" w:fill="C6EFCE"/>
            <w:noWrap/>
            <w:vAlign w:val="center"/>
            <w:hideMark/>
          </w:tcPr>
          <w:p w14:paraId="519B9D9E" w14:textId="77777777" w:rsidR="003F5418" w:rsidRDefault="002A6C25">
            <w:pPr>
              <w:pStyle w:val="P68B1DB1-Normal4"/>
              <w:jc w:val="center"/>
              <w:rPr>
                <w:rFonts w:cs="Arial"/>
                <w:noProof/>
              </w:rPr>
            </w:pPr>
            <w:r>
              <w:rPr>
                <w:noProof/>
              </w:rPr>
              <w:t>Beruházás: Digitális infrastruktúra</w:t>
            </w:r>
          </w:p>
        </w:tc>
        <w:tc>
          <w:tcPr>
            <w:tcW w:w="1148" w:type="dxa"/>
            <w:shd w:val="clear" w:color="auto" w:fill="C6EFCE"/>
            <w:noWrap/>
            <w:vAlign w:val="center"/>
            <w:hideMark/>
          </w:tcPr>
          <w:p w14:paraId="59FA9F39"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hideMark/>
          </w:tcPr>
          <w:p w14:paraId="7EBB2BF7" w14:textId="77777777" w:rsidR="003F5418" w:rsidRDefault="002A6C25">
            <w:pPr>
              <w:pStyle w:val="P68B1DB1-Normal4"/>
              <w:jc w:val="center"/>
              <w:rPr>
                <w:rFonts w:cs="Arial"/>
                <w:noProof/>
              </w:rPr>
            </w:pPr>
            <w:r>
              <w:rPr>
                <w:noProof/>
              </w:rPr>
              <w:t>Átállás a Polo Strategico Nazionale T1-re</w:t>
            </w:r>
          </w:p>
        </w:tc>
        <w:tc>
          <w:tcPr>
            <w:tcW w:w="1701" w:type="dxa"/>
            <w:shd w:val="clear" w:color="auto" w:fill="C6EFCE"/>
            <w:noWrap/>
            <w:vAlign w:val="center"/>
          </w:tcPr>
          <w:p w14:paraId="6D928FE6"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hideMark/>
          </w:tcPr>
          <w:p w14:paraId="2AA75D6C"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hideMark/>
          </w:tcPr>
          <w:p w14:paraId="71B7BD3E"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hideMark/>
          </w:tcPr>
          <w:p w14:paraId="30E3D887" w14:textId="77777777" w:rsidR="003F5418" w:rsidRDefault="002A6C25">
            <w:pPr>
              <w:pStyle w:val="P68B1DB1-Normal4"/>
              <w:jc w:val="center"/>
              <w:rPr>
                <w:rFonts w:cs="Arial"/>
                <w:noProof/>
              </w:rPr>
            </w:pPr>
            <w:r>
              <w:rPr>
                <w:noProof/>
              </w:rPr>
              <w:t>100</w:t>
            </w:r>
          </w:p>
        </w:tc>
        <w:tc>
          <w:tcPr>
            <w:tcW w:w="843" w:type="dxa"/>
            <w:shd w:val="clear" w:color="auto" w:fill="C6EFCE"/>
            <w:noWrap/>
            <w:vAlign w:val="center"/>
            <w:hideMark/>
          </w:tcPr>
          <w:p w14:paraId="2FF68730" w14:textId="77777777" w:rsidR="003F5418" w:rsidRDefault="002A6C25">
            <w:pPr>
              <w:pStyle w:val="P68B1DB1-Normal4"/>
              <w:jc w:val="center"/>
              <w:rPr>
                <w:rFonts w:cs="Arial"/>
                <w:noProof/>
              </w:rPr>
            </w:pPr>
            <w:r>
              <w:rPr>
                <w:noProof/>
              </w:rPr>
              <w:t>Q3</w:t>
            </w:r>
          </w:p>
        </w:tc>
        <w:tc>
          <w:tcPr>
            <w:tcW w:w="567" w:type="dxa"/>
            <w:shd w:val="clear" w:color="auto" w:fill="C6EFCE"/>
            <w:noWrap/>
            <w:vAlign w:val="center"/>
            <w:hideMark/>
          </w:tcPr>
          <w:p w14:paraId="1FAD159B"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hideMark/>
          </w:tcPr>
          <w:p w14:paraId="4E2294A1" w14:textId="4161FCF8" w:rsidR="003F5418" w:rsidRDefault="002A6C25">
            <w:pPr>
              <w:pStyle w:val="P68B1DB1-Normal4"/>
              <w:spacing w:after="120"/>
              <w:rPr>
                <w:rFonts w:cs="Arial"/>
                <w:noProof/>
              </w:rPr>
            </w:pPr>
            <w:r>
              <w:rPr>
                <w:noProof/>
              </w:rPr>
              <w:t>Legalább</w:t>
            </w:r>
            <w:r>
              <w:rPr>
                <w:noProof/>
              </w:rPr>
              <w:t xml:space="preserve"> 100 központi közigazgatásnak és helyi egészségügyi hatóságnak (Aziende Sanitarie Locali/Aziende ospedaliere) teljes mértékben át kell telepítenie legalább egy igazgatási szolgáltatást (rendszerek, adatkészlet és alkalmazások) az infrastruktúrába (Polo Str</w:t>
            </w:r>
            <w:r>
              <w:rPr>
                <w:noProof/>
              </w:rPr>
              <w:t>ategico Nazionale). A teljes átállás az egyes intézmények számára a következők kombinációját vonhatja maga után: nem felhőre kész a tisztán tárhelyszolgáltatás, a felvonók és műszakok migrálása, az infrastruktúra mint szolgáltatás (IaaS), a platform mint s</w:t>
            </w:r>
            <w:r>
              <w:rPr>
                <w:noProof/>
              </w:rPr>
              <w:t>zolgáltatás (Paas) vagy a szoftver mint szolgáltatás (SaaS) korszerűsítése. A Polo Strategico Nazionale-ra való átállás különböző módokon hajtható végre az egyes migráló közigazgatások tulajdonában lévő helyszíni szoftverek informatikai architektúrájának j</w:t>
            </w:r>
            <w:r>
              <w:rPr>
                <w:noProof/>
              </w:rPr>
              <w:t>elenlegi állása szerint. Ezek a stratégiák a nem felhőalapú szoftverek esetében a puszta tárhelyszolgáltatástól, valamint a felvonó- és műszakos migrálástól az IaaS-re, PaaS-re vagy SaaS-re való átállásig terjedhetnek a felhőkész szoftverek esetében. A PSN</w:t>
            </w:r>
            <w:r>
              <w:rPr>
                <w:noProof/>
              </w:rPr>
              <w:t xml:space="preserve"> minden egyes migráló közigazgatási szerv számára felajánlja az összes olyan migrációs stratégiát, amely figyelembe veheti „a Polo Strategico Nazionale felé történő migráció” célkitűzését.</w:t>
            </w:r>
          </w:p>
          <w:p w14:paraId="1FACBC9B" w14:textId="77777777" w:rsidR="003F5418" w:rsidRDefault="002A6C25">
            <w:pPr>
              <w:pStyle w:val="P68B1DB1-Normal4"/>
              <w:rPr>
                <w:rFonts w:cs="Arial"/>
                <w:noProof/>
              </w:rPr>
            </w:pPr>
            <w:r>
              <w:rPr>
                <w:noProof/>
              </w:rPr>
              <w:t>Az alkalmazási körbe tartozó összes közigazgatási szerv a következő</w:t>
            </w:r>
            <w:r>
              <w:rPr>
                <w:noProof/>
              </w:rPr>
              <w:t>ket foglalja magában:</w:t>
            </w:r>
          </w:p>
          <w:p w14:paraId="40CC512A" w14:textId="77777777" w:rsidR="003F5418" w:rsidRDefault="002A6C25">
            <w:pPr>
              <w:pStyle w:val="P68B1DB1-Normal4"/>
              <w:rPr>
                <w:rFonts w:cs="Arial"/>
                <w:noProof/>
              </w:rPr>
            </w:pPr>
            <w:r>
              <w:rPr>
                <w:noProof/>
              </w:rPr>
              <w:t>• Az információs és kommunikációs technológiákra (IKT) fordított kiadások legnagyobb részét a központi közigazgatások teszik ki (például a Nemzeti Társadalombiztosítási Intézet és az Igazságügyi Minisztérium);</w:t>
            </w:r>
          </w:p>
          <w:p w14:paraId="79527D57" w14:textId="77777777" w:rsidR="003F5418" w:rsidRDefault="002A6C25">
            <w:pPr>
              <w:pStyle w:val="P68B1DB1-Normal4"/>
              <w:rPr>
                <w:rFonts w:cs="Arial"/>
                <w:noProof/>
              </w:rPr>
            </w:pPr>
            <w:r>
              <w:rPr>
                <w:noProof/>
              </w:rPr>
              <w:t>• A központi közigazgatá</w:t>
            </w:r>
            <w:r>
              <w:rPr>
                <w:noProof/>
              </w:rPr>
              <w:t>sok elavult adatközpontokban tárolják az adatokat a közelmúltban a „felhőkészültséggel” kapcsolatban végzett felmérés szerint;</w:t>
            </w:r>
          </w:p>
          <w:p w14:paraId="6C9F5E93" w14:textId="5556A84A" w:rsidR="003F5418" w:rsidRDefault="002A6C25">
            <w:pPr>
              <w:pStyle w:val="P68B1DB1-Normal4"/>
              <w:rPr>
                <w:rFonts w:cs="Arial"/>
                <w:noProof/>
              </w:rPr>
            </w:pPr>
            <w:r>
              <w:rPr>
                <w:noProof/>
              </w:rPr>
              <w:t>• Az elsősorban közép- és dél-olaszországi székhelyű helyi egészségügyi hatóságok (Aziende Sanitarie Locali/Aziende Ospedaliere),</w:t>
            </w:r>
            <w:r>
              <w:rPr>
                <w:noProof/>
              </w:rPr>
              <w:t xml:space="preserve"> amelyek nem rendelkeznek az adatbiztonság garantálásához szükséges megfelelő infrastruktúrával.</w:t>
            </w:r>
          </w:p>
        </w:tc>
      </w:tr>
      <w:tr w:rsidR="003F5418" w14:paraId="3722A1AD" w14:textId="77777777">
        <w:trPr>
          <w:trHeight w:val="309"/>
        </w:trPr>
        <w:tc>
          <w:tcPr>
            <w:tcW w:w="1253" w:type="dxa"/>
            <w:shd w:val="clear" w:color="auto" w:fill="C6EFCE"/>
            <w:noWrap/>
            <w:vAlign w:val="center"/>
          </w:tcPr>
          <w:p w14:paraId="3BF8B5DE" w14:textId="77777777" w:rsidR="003F5418" w:rsidRDefault="002A6C25">
            <w:pPr>
              <w:pStyle w:val="P68B1DB1-Normal4"/>
              <w:jc w:val="center"/>
              <w:rPr>
                <w:rFonts w:cs="Arial"/>
                <w:noProof/>
              </w:rPr>
            </w:pPr>
            <w:r>
              <w:rPr>
                <w:noProof/>
              </w:rPr>
              <w:t>M1C1–18</w:t>
            </w:r>
          </w:p>
        </w:tc>
        <w:tc>
          <w:tcPr>
            <w:tcW w:w="1568" w:type="dxa"/>
            <w:shd w:val="clear" w:color="auto" w:fill="C6EFCE"/>
            <w:noWrap/>
            <w:vAlign w:val="center"/>
          </w:tcPr>
          <w:p w14:paraId="4F65E4A8" w14:textId="77777777" w:rsidR="003F5418" w:rsidRDefault="002A6C25">
            <w:pPr>
              <w:pStyle w:val="P68B1DB1-Normal4"/>
              <w:jc w:val="center"/>
              <w:rPr>
                <w:rFonts w:cs="Arial"/>
                <w:noProof/>
              </w:rPr>
            </w:pPr>
            <w:r>
              <w:rPr>
                <w:noProof/>
              </w:rPr>
              <w:t>Beruházás: Nemzeti digitális adatplatform</w:t>
            </w:r>
          </w:p>
        </w:tc>
        <w:tc>
          <w:tcPr>
            <w:tcW w:w="1148" w:type="dxa"/>
            <w:shd w:val="clear" w:color="auto" w:fill="C6EFCE"/>
            <w:noWrap/>
            <w:vAlign w:val="center"/>
          </w:tcPr>
          <w:p w14:paraId="1301E729"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4B0DD979" w14:textId="77777777" w:rsidR="003F5418" w:rsidRDefault="002A6C25">
            <w:pPr>
              <w:pStyle w:val="P68B1DB1-Normal4"/>
              <w:jc w:val="center"/>
              <w:rPr>
                <w:rFonts w:cs="Arial"/>
                <w:noProof/>
              </w:rPr>
            </w:pPr>
            <w:r>
              <w:rPr>
                <w:noProof/>
              </w:rPr>
              <w:t>API-k a T1 nemzeti digitális adatplatformon</w:t>
            </w:r>
          </w:p>
        </w:tc>
        <w:tc>
          <w:tcPr>
            <w:tcW w:w="1701" w:type="dxa"/>
            <w:shd w:val="clear" w:color="auto" w:fill="C6EFCE"/>
            <w:noWrap/>
            <w:vAlign w:val="center"/>
          </w:tcPr>
          <w:p w14:paraId="6D5CDF08"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1EE51B36"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5651B045"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16E4361D" w14:textId="77777777" w:rsidR="003F5418" w:rsidRDefault="002A6C25">
            <w:pPr>
              <w:pStyle w:val="P68B1DB1-Normal4"/>
              <w:jc w:val="center"/>
              <w:rPr>
                <w:rFonts w:cs="Arial"/>
                <w:noProof/>
              </w:rPr>
            </w:pPr>
            <w:r>
              <w:rPr>
                <w:noProof/>
              </w:rPr>
              <w:t>400</w:t>
            </w:r>
          </w:p>
        </w:tc>
        <w:tc>
          <w:tcPr>
            <w:tcW w:w="843" w:type="dxa"/>
            <w:shd w:val="clear" w:color="auto" w:fill="C6EFCE"/>
            <w:noWrap/>
            <w:vAlign w:val="center"/>
          </w:tcPr>
          <w:p w14:paraId="4BFCB15A"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382CBA17"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26EBC984" w14:textId="77777777" w:rsidR="003F5418" w:rsidRDefault="002A6C25">
            <w:pPr>
              <w:pStyle w:val="P68B1DB1-Normal4"/>
              <w:spacing w:after="120"/>
              <w:rPr>
                <w:rFonts w:cs="Arial"/>
                <w:noProof/>
              </w:rPr>
            </w:pPr>
            <w:r>
              <w:rPr>
                <w:noProof/>
              </w:rPr>
              <w:t xml:space="preserve">Ez a cél legalább 400, az </w:t>
            </w:r>
            <w:r>
              <w:rPr>
                <w:noProof/>
              </w:rPr>
              <w:t>ügynökségek által végrehajtott, az API-katalógusban közzétett és a nemzeti digitális adatplatformmal integrált alkalmazásprogramozási interfész (API) elérését jelenti. A hatály alá tartozó API-kat már feltérképezték. A közzétett API-k a következő területek</w:t>
            </w:r>
            <w:r>
              <w:rPr>
                <w:noProof/>
              </w:rPr>
              <w:t>et érintik:</w:t>
            </w:r>
          </w:p>
          <w:p w14:paraId="3E9E9988" w14:textId="77777777" w:rsidR="003F5418" w:rsidRDefault="002A6C25">
            <w:pPr>
              <w:pStyle w:val="P68B1DB1-Normal4"/>
              <w:spacing w:after="120"/>
              <w:rPr>
                <w:rFonts w:cs="Arial"/>
                <w:noProof/>
              </w:rPr>
            </w:pPr>
            <w:r>
              <w:rPr>
                <w:noProof/>
              </w:rPr>
              <w:t>i) 2023. december 31-én: kiemelt szociális biztonsági szolgáltatások és adóügyi megfelelés, beleértve az alapvető nemzeti nyilvántartásokat (például a népesség-nyilvántartást és a közigazgatási nyilvántartást);</w:t>
            </w:r>
          </w:p>
          <w:p w14:paraId="6574C24F" w14:textId="77777777" w:rsidR="003F5418" w:rsidRDefault="002A6C25">
            <w:pPr>
              <w:pStyle w:val="P68B1DB1-Normal4"/>
              <w:spacing w:after="120"/>
              <w:rPr>
                <w:rFonts w:cs="Arial"/>
                <w:noProof/>
              </w:rPr>
            </w:pPr>
            <w:r>
              <w:rPr>
                <w:noProof/>
              </w:rPr>
              <w:t>ii. 2024. december 31-én: fennmar</w:t>
            </w:r>
            <w:r>
              <w:rPr>
                <w:noProof/>
              </w:rPr>
              <w:t>adó társadalombiztosítási szolgáltatások és költségvetési megfelelés.</w:t>
            </w:r>
          </w:p>
          <w:p w14:paraId="4B4F2A9D" w14:textId="77777777" w:rsidR="003F5418" w:rsidRDefault="002A6C25">
            <w:pPr>
              <w:pStyle w:val="P68B1DB1-Normal4"/>
              <w:spacing w:after="120"/>
              <w:rPr>
                <w:rFonts w:cs="Arial"/>
                <w:noProof/>
              </w:rPr>
            </w:pPr>
            <w:r>
              <w:rPr>
                <w:noProof/>
              </w:rPr>
              <w:t>Minden API-alkalmazásnak és -dokumentációnak meg kell felelnie a nemzeti interoperabilitási szabványoknak, és támogatnia kell a nemzeti digitális adatplatform keretrendszerét; a fent eml</w:t>
            </w:r>
            <w:r>
              <w:rPr>
                <w:noProof/>
              </w:rPr>
              <w:t>ített platformnak olyan funkciókat kell biztosítania, amelyek lehetővé teszik a megfelelés értékelését.</w:t>
            </w:r>
          </w:p>
        </w:tc>
      </w:tr>
      <w:tr w:rsidR="003F5418" w14:paraId="06CAFD4A" w14:textId="77777777">
        <w:trPr>
          <w:trHeight w:val="309"/>
        </w:trPr>
        <w:tc>
          <w:tcPr>
            <w:tcW w:w="1253" w:type="dxa"/>
            <w:shd w:val="clear" w:color="auto" w:fill="C6EFCE"/>
            <w:noWrap/>
            <w:vAlign w:val="center"/>
          </w:tcPr>
          <w:p w14:paraId="46A13F1E" w14:textId="77777777" w:rsidR="003F5418" w:rsidRDefault="002A6C25">
            <w:pPr>
              <w:pStyle w:val="P68B1DB1-Normal4"/>
              <w:jc w:val="center"/>
              <w:rPr>
                <w:rFonts w:cs="Arial"/>
                <w:noProof/>
              </w:rPr>
            </w:pPr>
            <w:r>
              <w:rPr>
                <w:noProof/>
              </w:rPr>
              <w:t>M1C1–19</w:t>
            </w:r>
          </w:p>
        </w:tc>
        <w:tc>
          <w:tcPr>
            <w:tcW w:w="1568" w:type="dxa"/>
            <w:shd w:val="clear" w:color="auto" w:fill="C6EFCE"/>
            <w:noWrap/>
            <w:vAlign w:val="center"/>
          </w:tcPr>
          <w:p w14:paraId="32FF3080"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02F466BC"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7515F1AA" w14:textId="77777777" w:rsidR="003F5418" w:rsidRDefault="002A6C25">
            <w:pPr>
              <w:pStyle w:val="P68B1DB1-Normal4"/>
              <w:jc w:val="center"/>
              <w:rPr>
                <w:rFonts w:cs="Arial"/>
                <w:noProof/>
              </w:rPr>
            </w:pPr>
            <w:r>
              <w:rPr>
                <w:noProof/>
              </w:rPr>
              <w:t>A T2 biztonsági struktúrák korszerűsítésének támogatása</w:t>
            </w:r>
          </w:p>
        </w:tc>
        <w:tc>
          <w:tcPr>
            <w:tcW w:w="1701" w:type="dxa"/>
            <w:shd w:val="clear" w:color="auto" w:fill="C6EFCE"/>
            <w:noWrap/>
            <w:vAlign w:val="center"/>
          </w:tcPr>
          <w:p w14:paraId="65E50FE0"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1F9F04BB"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3285332E" w14:textId="77777777" w:rsidR="003F5418" w:rsidRDefault="002A6C25">
            <w:pPr>
              <w:pStyle w:val="P68B1DB1-Normal4"/>
              <w:jc w:val="center"/>
              <w:rPr>
                <w:rFonts w:cs="Arial"/>
                <w:noProof/>
              </w:rPr>
            </w:pPr>
            <w:r>
              <w:rPr>
                <w:noProof/>
              </w:rPr>
              <w:t>5</w:t>
            </w:r>
          </w:p>
        </w:tc>
        <w:tc>
          <w:tcPr>
            <w:tcW w:w="1425" w:type="dxa"/>
            <w:shd w:val="clear" w:color="auto" w:fill="C6EFCE"/>
            <w:noWrap/>
            <w:vAlign w:val="center"/>
          </w:tcPr>
          <w:p w14:paraId="3B093CDC" w14:textId="77777777" w:rsidR="003F5418" w:rsidRDefault="002A6C25">
            <w:pPr>
              <w:pStyle w:val="P68B1DB1-Normal4"/>
              <w:jc w:val="center"/>
              <w:rPr>
                <w:rFonts w:cs="Arial"/>
                <w:noProof/>
              </w:rPr>
            </w:pPr>
            <w:r>
              <w:rPr>
                <w:noProof/>
              </w:rPr>
              <w:t>50</w:t>
            </w:r>
          </w:p>
        </w:tc>
        <w:tc>
          <w:tcPr>
            <w:tcW w:w="843" w:type="dxa"/>
            <w:shd w:val="clear" w:color="auto" w:fill="C6EFCE"/>
            <w:noWrap/>
            <w:vAlign w:val="center"/>
          </w:tcPr>
          <w:p w14:paraId="6C7092E5"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35C04644"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2C5467E9" w14:textId="77777777" w:rsidR="003F5418" w:rsidRDefault="002A6C25">
            <w:pPr>
              <w:pStyle w:val="P68B1DB1-Normal4"/>
              <w:spacing w:after="120"/>
              <w:rPr>
                <w:rFonts w:cs="Arial"/>
                <w:noProof/>
              </w:rPr>
            </w:pPr>
            <w:r>
              <w:rPr>
                <w:noProof/>
              </w:rPr>
              <w:t xml:space="preserve">Legalább 50 beavatkozás </w:t>
            </w:r>
            <w:r>
              <w:rPr>
                <w:noProof/>
              </w:rPr>
              <w:t>megerősítése a kiberbiztonsági és a hálózati és információs rendszerek (NIS) területén.</w:t>
            </w:r>
          </w:p>
          <w:p w14:paraId="3D231AE1" w14:textId="77777777" w:rsidR="003F5418" w:rsidRDefault="002A6C25">
            <w:pPr>
              <w:pStyle w:val="P68B1DB1-Normal4"/>
              <w:spacing w:after="120"/>
              <w:rPr>
                <w:rFonts w:cs="Arial"/>
                <w:noProof/>
              </w:rPr>
            </w:pPr>
            <w:r>
              <w:rPr>
                <w:noProof/>
              </w:rPr>
              <w:t>A beavatkozástípusok közé tartoznak például a biztonsági operatív központok (SOC), a kiberhatárvédelem javítása, valamint a hálózat- és információbiztonsági és a PSNC k</w:t>
            </w:r>
            <w:r>
              <w:rPr>
                <w:noProof/>
              </w:rPr>
              <w:t>övetelményeinek megfelelő belső nyomonkövetési és ellenőrzési képességek. A hálózat- és információbiztonság ágazataiban végrehajtott beavatkozásoknak különös figyelmet kell fordítaniuk az egészségügyi, az energetikai és a környezeti (vízellátás és hulladék</w:t>
            </w:r>
            <w:r>
              <w:rPr>
                <w:noProof/>
              </w:rPr>
              <w:t>gazdálkodás) ágazatokra.</w:t>
            </w:r>
          </w:p>
        </w:tc>
      </w:tr>
      <w:tr w:rsidR="003F5418" w14:paraId="76CC08E8" w14:textId="77777777">
        <w:trPr>
          <w:trHeight w:val="309"/>
        </w:trPr>
        <w:tc>
          <w:tcPr>
            <w:tcW w:w="1253" w:type="dxa"/>
            <w:shd w:val="clear" w:color="auto" w:fill="C6EFCE"/>
            <w:noWrap/>
            <w:vAlign w:val="center"/>
          </w:tcPr>
          <w:p w14:paraId="3463A14D" w14:textId="77777777" w:rsidR="003F5418" w:rsidRDefault="002A6C25">
            <w:pPr>
              <w:pStyle w:val="P68B1DB1-Normal4"/>
              <w:jc w:val="center"/>
              <w:rPr>
                <w:rFonts w:cs="Arial"/>
                <w:noProof/>
              </w:rPr>
            </w:pPr>
            <w:r>
              <w:rPr>
                <w:noProof/>
              </w:rPr>
              <w:t>M1C1–20</w:t>
            </w:r>
          </w:p>
        </w:tc>
        <w:tc>
          <w:tcPr>
            <w:tcW w:w="1568" w:type="dxa"/>
            <w:shd w:val="clear" w:color="auto" w:fill="C6EFCE"/>
            <w:noWrap/>
            <w:vAlign w:val="center"/>
          </w:tcPr>
          <w:p w14:paraId="6D2FE142"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60E19C75"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4A3C1B88" w14:textId="77777777" w:rsidR="003F5418" w:rsidRDefault="002A6C25">
            <w:pPr>
              <w:pStyle w:val="P68B1DB1-Normal4"/>
              <w:jc w:val="center"/>
              <w:rPr>
                <w:rFonts w:cs="Arial"/>
                <w:noProof/>
              </w:rPr>
            </w:pPr>
            <w:r>
              <w:rPr>
                <w:noProof/>
              </w:rPr>
              <w:t>A nemzeti kiberbiztonsági szolgáltatások teljes körű kiépítése</w:t>
            </w:r>
          </w:p>
        </w:tc>
        <w:tc>
          <w:tcPr>
            <w:tcW w:w="1701" w:type="dxa"/>
            <w:shd w:val="clear" w:color="auto" w:fill="C6EFCE"/>
            <w:noWrap/>
            <w:vAlign w:val="center"/>
          </w:tcPr>
          <w:p w14:paraId="7EF900E0" w14:textId="77777777" w:rsidR="003F5418" w:rsidRDefault="002A6C25">
            <w:pPr>
              <w:pStyle w:val="P68B1DB1-Normal4"/>
              <w:jc w:val="center"/>
              <w:rPr>
                <w:rFonts w:cs="Arial"/>
                <w:noProof/>
              </w:rPr>
            </w:pPr>
            <w:r>
              <w:rPr>
                <w:noProof/>
              </w:rPr>
              <w:t>A nemzeti kiberbiztonsági szolgálatok teljes körű aktiválását bemutató jelentés</w:t>
            </w:r>
          </w:p>
        </w:tc>
        <w:tc>
          <w:tcPr>
            <w:tcW w:w="1134" w:type="dxa"/>
            <w:shd w:val="clear" w:color="auto" w:fill="C6EFCE"/>
            <w:noWrap/>
            <w:vAlign w:val="center"/>
          </w:tcPr>
          <w:p w14:paraId="31A394BA"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6B8D6714"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2AB85D5B"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7DE245E5"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6CA05A39"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5EB23C9C" w14:textId="77777777" w:rsidR="003F5418" w:rsidRDefault="002A6C25">
            <w:pPr>
              <w:pStyle w:val="P68B1DB1-Normal4"/>
              <w:spacing w:after="120"/>
              <w:rPr>
                <w:rFonts w:cs="Arial"/>
                <w:noProof/>
              </w:rPr>
            </w:pPr>
            <w:r>
              <w:rPr>
                <w:noProof/>
              </w:rPr>
              <w:t xml:space="preserve">Ezt a </w:t>
            </w:r>
            <w:r>
              <w:rPr>
                <w:noProof/>
              </w:rPr>
              <w:t>mérföldkövet az ágazati számítógépes vészhelyzeteket elhárító csoportok (CERT-ek) aktiválásával, az olasz számítógép-biztonsági eseményekre reagáló csoporttal (CSIRT) és az információmegosztó és -elemző központtal (ISAC) való összekapcsolásával, legalább 5</w:t>
            </w:r>
            <w:r>
              <w:rPr>
                <w:noProof/>
              </w:rPr>
              <w:t xml:space="preserve"> biztonsági operatív központnak (SOC) a nemzeti HyperSOC-ba való integrálásával, a kiberbiztonsági kockázatkezelési szolgáltatások teljes körű működtetésével, beleértve az ellátásilánc-elemzéssel és a kiberkockázat-biztosítási szolgáltatásokkal kapcsolatos</w:t>
            </w:r>
            <w:r>
              <w:rPr>
                <w:noProof/>
              </w:rPr>
              <w:t xml:space="preserve"> szolgáltatásokat is.</w:t>
            </w:r>
          </w:p>
        </w:tc>
      </w:tr>
      <w:tr w:rsidR="003F5418" w14:paraId="0BDCF178" w14:textId="77777777">
        <w:trPr>
          <w:trHeight w:val="309"/>
        </w:trPr>
        <w:tc>
          <w:tcPr>
            <w:tcW w:w="1253" w:type="dxa"/>
            <w:shd w:val="clear" w:color="auto" w:fill="C6EFCE"/>
            <w:noWrap/>
            <w:vAlign w:val="center"/>
          </w:tcPr>
          <w:p w14:paraId="0C7E9D20" w14:textId="77777777" w:rsidR="003F5418" w:rsidRDefault="002A6C25">
            <w:pPr>
              <w:pStyle w:val="P68B1DB1-Normal4"/>
              <w:jc w:val="center"/>
              <w:rPr>
                <w:rFonts w:cs="Arial"/>
                <w:noProof/>
              </w:rPr>
            </w:pPr>
            <w:r>
              <w:rPr>
                <w:noProof/>
              </w:rPr>
              <w:t>M1C1–21</w:t>
            </w:r>
          </w:p>
        </w:tc>
        <w:tc>
          <w:tcPr>
            <w:tcW w:w="1568" w:type="dxa"/>
            <w:shd w:val="clear" w:color="auto" w:fill="C6EFCE"/>
            <w:noWrap/>
            <w:vAlign w:val="center"/>
          </w:tcPr>
          <w:p w14:paraId="705E9D61"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78C87A63"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3E0C1463" w14:textId="77777777" w:rsidR="003F5418" w:rsidRDefault="002A6C25">
            <w:pPr>
              <w:pStyle w:val="P68B1DB1-Normal4"/>
              <w:jc w:val="center"/>
              <w:rPr>
                <w:rFonts w:cs="Arial"/>
                <w:noProof/>
              </w:rPr>
            </w:pPr>
            <w:r>
              <w:rPr>
                <w:noProof/>
              </w:rPr>
              <w:t>A kiberbiztonsági szűrő- és tanúsító laboratóriumok hálózatának, értékelő központoknak a befejezése</w:t>
            </w:r>
          </w:p>
        </w:tc>
        <w:tc>
          <w:tcPr>
            <w:tcW w:w="1701" w:type="dxa"/>
            <w:shd w:val="clear" w:color="auto" w:fill="C6EFCE"/>
            <w:noWrap/>
            <w:vAlign w:val="center"/>
          </w:tcPr>
          <w:p w14:paraId="7076ED82" w14:textId="77777777" w:rsidR="003F5418" w:rsidRDefault="002A6C25">
            <w:pPr>
              <w:pStyle w:val="P68B1DB1-Normal4"/>
              <w:jc w:val="center"/>
              <w:rPr>
                <w:rFonts w:cs="Arial"/>
                <w:noProof/>
              </w:rPr>
            </w:pPr>
            <w:r>
              <w:rPr>
                <w:noProof/>
              </w:rPr>
              <w:t xml:space="preserve">Jelentéstétel, amely igazolja legalább 10 laboratórium és 2 értékelő központ (CV) teljes </w:t>
            </w:r>
            <w:r>
              <w:rPr>
                <w:noProof/>
              </w:rPr>
              <w:t>körű aktiválását</w:t>
            </w:r>
          </w:p>
        </w:tc>
        <w:tc>
          <w:tcPr>
            <w:tcW w:w="1134" w:type="dxa"/>
            <w:shd w:val="clear" w:color="auto" w:fill="C6EFCE"/>
            <w:noWrap/>
            <w:vAlign w:val="center"/>
          </w:tcPr>
          <w:p w14:paraId="1D828260"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32D050F4"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7CBE5D54"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2E0F64AA"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1F959F0F"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4A03B8FF" w14:textId="77777777" w:rsidR="003F5418" w:rsidRDefault="002A6C25">
            <w:pPr>
              <w:pStyle w:val="P68B1DB1-Normal4"/>
              <w:spacing w:after="120"/>
              <w:rPr>
                <w:rFonts w:cs="Arial"/>
                <w:noProof/>
              </w:rPr>
            </w:pPr>
            <w:r>
              <w:rPr>
                <w:noProof/>
              </w:rPr>
              <w:t>Legalább 10 szűrő- és tanúsító laboratórium és 2 értékelő központ (CV) aktiválása.</w:t>
            </w:r>
          </w:p>
        </w:tc>
      </w:tr>
      <w:tr w:rsidR="003F5418" w14:paraId="79E54E8C" w14:textId="77777777">
        <w:trPr>
          <w:trHeight w:val="309"/>
        </w:trPr>
        <w:tc>
          <w:tcPr>
            <w:tcW w:w="1253" w:type="dxa"/>
            <w:shd w:val="clear" w:color="auto" w:fill="C6EFCE"/>
            <w:noWrap/>
            <w:vAlign w:val="center"/>
          </w:tcPr>
          <w:p w14:paraId="36285279" w14:textId="77777777" w:rsidR="003F5418" w:rsidRDefault="002A6C25">
            <w:pPr>
              <w:pStyle w:val="P68B1DB1-Normal4"/>
              <w:jc w:val="center"/>
              <w:rPr>
                <w:rFonts w:cs="Arial"/>
                <w:noProof/>
              </w:rPr>
            </w:pPr>
            <w:r>
              <w:rPr>
                <w:noProof/>
              </w:rPr>
              <w:t>M1C1–22</w:t>
            </w:r>
          </w:p>
        </w:tc>
        <w:tc>
          <w:tcPr>
            <w:tcW w:w="1568" w:type="dxa"/>
            <w:shd w:val="clear" w:color="auto" w:fill="C6EFCE"/>
            <w:noWrap/>
            <w:vAlign w:val="center"/>
          </w:tcPr>
          <w:p w14:paraId="43F0C98B" w14:textId="77777777" w:rsidR="003F5418" w:rsidRDefault="002A6C25">
            <w:pPr>
              <w:pStyle w:val="P68B1DB1-Normal4"/>
              <w:jc w:val="center"/>
              <w:rPr>
                <w:rFonts w:cs="Arial"/>
                <w:noProof/>
              </w:rPr>
            </w:pPr>
            <w:r>
              <w:rPr>
                <w:noProof/>
              </w:rPr>
              <w:t>Beruházás: Kiberbiztonság</w:t>
            </w:r>
          </w:p>
        </w:tc>
        <w:tc>
          <w:tcPr>
            <w:tcW w:w="1148" w:type="dxa"/>
            <w:shd w:val="clear" w:color="auto" w:fill="C6EFCE"/>
            <w:noWrap/>
            <w:vAlign w:val="center"/>
          </w:tcPr>
          <w:p w14:paraId="0770AE52"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08DC2495" w14:textId="77777777" w:rsidR="003F5418" w:rsidRDefault="002A6C25">
            <w:pPr>
              <w:pStyle w:val="P68B1DB1-Normal4"/>
              <w:jc w:val="center"/>
              <w:rPr>
                <w:rFonts w:cs="Arial"/>
                <w:noProof/>
              </w:rPr>
            </w:pPr>
            <w:r>
              <w:rPr>
                <w:noProof/>
              </w:rPr>
              <w:t xml:space="preserve">A PSNC és a hálózat- és információbiztonsági intézkedések központi ellenőrzési </w:t>
            </w:r>
            <w:r>
              <w:rPr>
                <w:noProof/>
              </w:rPr>
              <w:t>egységének teljes körű működése, legalább 30 ellenőrzés elvégzése mellett</w:t>
            </w:r>
          </w:p>
        </w:tc>
        <w:tc>
          <w:tcPr>
            <w:tcW w:w="1701" w:type="dxa"/>
            <w:shd w:val="clear" w:color="auto" w:fill="C6EFCE"/>
            <w:noWrap/>
            <w:vAlign w:val="center"/>
          </w:tcPr>
          <w:p w14:paraId="007422BA" w14:textId="77777777" w:rsidR="003F5418" w:rsidRDefault="002A6C25">
            <w:pPr>
              <w:pStyle w:val="P68B1DB1-Normal4"/>
              <w:jc w:val="center"/>
              <w:rPr>
                <w:rFonts w:cs="Arial"/>
                <w:noProof/>
              </w:rPr>
            </w:pPr>
            <w:r>
              <w:rPr>
                <w:noProof/>
              </w:rPr>
              <w:t>Benyújtott jelentések, vizsgálati jelentések</w:t>
            </w:r>
          </w:p>
        </w:tc>
        <w:tc>
          <w:tcPr>
            <w:tcW w:w="1134" w:type="dxa"/>
            <w:shd w:val="clear" w:color="auto" w:fill="C6EFCE"/>
            <w:noWrap/>
            <w:vAlign w:val="center"/>
          </w:tcPr>
          <w:p w14:paraId="0264EEB3"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7525F42F"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4C15AC64"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7683467A"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2533A178" w14:textId="77777777" w:rsidR="003F5418" w:rsidRDefault="002A6C25">
            <w:pPr>
              <w:pStyle w:val="P68B1DB1-Normal4"/>
              <w:jc w:val="center"/>
              <w:rPr>
                <w:rFonts w:cs="Arial"/>
                <w:noProof/>
              </w:rPr>
            </w:pPr>
            <w:r>
              <w:rPr>
                <w:noProof/>
              </w:rPr>
              <w:t>2024</w:t>
            </w:r>
          </w:p>
        </w:tc>
        <w:tc>
          <w:tcPr>
            <w:tcW w:w="2977" w:type="dxa"/>
            <w:shd w:val="clear" w:color="auto" w:fill="C6EFCE"/>
            <w:noWrap/>
            <w:vAlign w:val="center"/>
          </w:tcPr>
          <w:p w14:paraId="48C648D7" w14:textId="77777777" w:rsidR="003F5418" w:rsidRDefault="002A6C25">
            <w:pPr>
              <w:pStyle w:val="P68B1DB1-Normal4"/>
              <w:spacing w:after="120"/>
              <w:rPr>
                <w:rFonts w:cs="Arial"/>
                <w:noProof/>
              </w:rPr>
            </w:pPr>
            <w:r>
              <w:rPr>
                <w:noProof/>
              </w:rPr>
              <w:t>A Központi Ellenőrzési Osztály teljes körű működése, legalább 30 ellenőrzés befejezve.</w:t>
            </w:r>
          </w:p>
        </w:tc>
      </w:tr>
      <w:tr w:rsidR="003F5418" w14:paraId="6A401364" w14:textId="77777777">
        <w:trPr>
          <w:trHeight w:val="309"/>
        </w:trPr>
        <w:tc>
          <w:tcPr>
            <w:tcW w:w="1253" w:type="dxa"/>
            <w:shd w:val="clear" w:color="auto" w:fill="C6EFCE"/>
            <w:noWrap/>
            <w:vAlign w:val="center"/>
          </w:tcPr>
          <w:p w14:paraId="6D034705" w14:textId="77777777" w:rsidR="003F5418" w:rsidRDefault="002A6C25">
            <w:pPr>
              <w:pStyle w:val="P68B1DB1-Normal4"/>
              <w:jc w:val="center"/>
              <w:rPr>
                <w:rFonts w:cs="Arial"/>
                <w:noProof/>
              </w:rPr>
            </w:pPr>
            <w:r>
              <w:rPr>
                <w:noProof/>
              </w:rPr>
              <w:t>M1C1–23</w:t>
            </w:r>
          </w:p>
        </w:tc>
        <w:tc>
          <w:tcPr>
            <w:tcW w:w="1568" w:type="dxa"/>
            <w:shd w:val="clear" w:color="auto" w:fill="C6EFCE"/>
            <w:noWrap/>
            <w:vAlign w:val="center"/>
          </w:tcPr>
          <w:p w14:paraId="31C875E4" w14:textId="77777777" w:rsidR="003F5418" w:rsidRDefault="002A6C25">
            <w:pPr>
              <w:pStyle w:val="P68B1DB1-Normal4"/>
              <w:jc w:val="center"/>
              <w:rPr>
                <w:rFonts w:cs="Arial"/>
                <w:noProof/>
              </w:rPr>
            </w:pPr>
            <w:r>
              <w:rPr>
                <w:noProof/>
              </w:rPr>
              <w:t xml:space="preserve">Beruházás: </w:t>
            </w:r>
            <w:r>
              <w:rPr>
                <w:noProof/>
              </w:rPr>
              <w:t>Mobilitás mint olaszországi szolgáltatás</w:t>
            </w:r>
          </w:p>
        </w:tc>
        <w:tc>
          <w:tcPr>
            <w:tcW w:w="1148" w:type="dxa"/>
            <w:shd w:val="clear" w:color="auto" w:fill="C6EFCE"/>
            <w:noWrap/>
            <w:vAlign w:val="center"/>
          </w:tcPr>
          <w:p w14:paraId="725F7508"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53199F81" w14:textId="77777777" w:rsidR="003F5418" w:rsidRDefault="002A6C25">
            <w:pPr>
              <w:pStyle w:val="P68B1DB1-Normal4"/>
              <w:jc w:val="center"/>
              <w:rPr>
                <w:rFonts w:cs="Arial"/>
                <w:noProof/>
              </w:rPr>
            </w:pPr>
            <w:r>
              <w:rPr>
                <w:noProof/>
              </w:rPr>
              <w:t>Mobilitás mint szolgáltatási megoldások M2</w:t>
            </w:r>
          </w:p>
        </w:tc>
        <w:tc>
          <w:tcPr>
            <w:tcW w:w="1701" w:type="dxa"/>
            <w:shd w:val="clear" w:color="auto" w:fill="C6EFCE"/>
            <w:noWrap/>
            <w:vAlign w:val="center"/>
          </w:tcPr>
          <w:p w14:paraId="1908EB69" w14:textId="77777777" w:rsidR="003F5418" w:rsidRDefault="002A6C25">
            <w:pPr>
              <w:pStyle w:val="P68B1DB1-Normal4"/>
              <w:jc w:val="center"/>
              <w:rPr>
                <w:rFonts w:cs="Arial"/>
                <w:noProof/>
              </w:rPr>
            </w:pPr>
            <w:r>
              <w:rPr>
                <w:noProof/>
              </w:rPr>
              <w:t>A Ministero delle Infrastrutture e della Mobilità Sostenibili (MIMS) által az egyetemekkel együttműködésben értékelt kísérleti eredmények</w:t>
            </w:r>
          </w:p>
        </w:tc>
        <w:tc>
          <w:tcPr>
            <w:tcW w:w="1134" w:type="dxa"/>
            <w:shd w:val="clear" w:color="auto" w:fill="C6EFCE"/>
            <w:noWrap/>
            <w:vAlign w:val="center"/>
          </w:tcPr>
          <w:p w14:paraId="063BE2EE"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427D7863"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62804315"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6D9A63A7" w14:textId="77777777" w:rsidR="003F5418" w:rsidRDefault="002A6C25">
            <w:pPr>
              <w:pStyle w:val="P68B1DB1-Normal4"/>
              <w:jc w:val="center"/>
              <w:rPr>
                <w:rFonts w:cs="Arial"/>
                <w:noProof/>
              </w:rPr>
            </w:pPr>
            <w:r>
              <w:rPr>
                <w:noProof/>
              </w:rPr>
              <w:t>Q1</w:t>
            </w:r>
          </w:p>
        </w:tc>
        <w:tc>
          <w:tcPr>
            <w:tcW w:w="567" w:type="dxa"/>
            <w:shd w:val="clear" w:color="auto" w:fill="C6EFCE"/>
            <w:noWrap/>
            <w:vAlign w:val="center"/>
          </w:tcPr>
          <w:p w14:paraId="56EDF481" w14:textId="77777777" w:rsidR="003F5418" w:rsidRDefault="002A6C25">
            <w:pPr>
              <w:pStyle w:val="P68B1DB1-Normal4"/>
              <w:jc w:val="center"/>
              <w:rPr>
                <w:rFonts w:cs="Arial"/>
                <w:noProof/>
              </w:rPr>
            </w:pPr>
            <w:r>
              <w:rPr>
                <w:noProof/>
              </w:rPr>
              <w:t>2025</w:t>
            </w:r>
          </w:p>
        </w:tc>
        <w:tc>
          <w:tcPr>
            <w:tcW w:w="2977" w:type="dxa"/>
            <w:shd w:val="clear" w:color="auto" w:fill="C6EFCE"/>
            <w:noWrap/>
            <w:vAlign w:val="center"/>
          </w:tcPr>
          <w:p w14:paraId="01C9D601" w14:textId="77777777" w:rsidR="003F5418" w:rsidRDefault="002A6C25">
            <w:pPr>
              <w:pStyle w:val="P68B1DB1-Normal4"/>
              <w:spacing w:after="120"/>
              <w:rPr>
                <w:rFonts w:cs="Arial"/>
                <w:noProof/>
              </w:rPr>
            </w:pPr>
            <w:r>
              <w:rPr>
                <w:noProof/>
              </w:rPr>
              <w:t>A mérföldkő a hét kísérleti projekt második hullámának végrehajtására vonatkozik, amelyek célja a mobilitás mint szolgáltatási megoldások tesztelése a „követő” területeken.</w:t>
            </w:r>
          </w:p>
          <w:p w14:paraId="37238F5F" w14:textId="77777777" w:rsidR="003F5418" w:rsidRDefault="002A6C25">
            <w:pPr>
              <w:pStyle w:val="P68B1DB1-Normal4"/>
              <w:spacing w:after="120"/>
              <w:rPr>
                <w:rFonts w:cs="Arial"/>
                <w:noProof/>
              </w:rPr>
            </w:pPr>
            <w:r>
              <w:rPr>
                <w:noProof/>
              </w:rPr>
              <w:t>Az önkormányzatoknak ki kell használniuk az első hullámban kiválasztott, digit</w:t>
            </w:r>
            <w:r>
              <w:rPr>
                <w:noProof/>
              </w:rPr>
              <w:t>álisan felkészült nagyvárosi városok tapasztalatait. A kísérleti projektek 40%-át délen kell megvalósítani.</w:t>
            </w:r>
          </w:p>
        </w:tc>
      </w:tr>
      <w:tr w:rsidR="003F5418" w14:paraId="10900EB3" w14:textId="77777777">
        <w:trPr>
          <w:trHeight w:val="309"/>
        </w:trPr>
        <w:tc>
          <w:tcPr>
            <w:tcW w:w="1253" w:type="dxa"/>
            <w:shd w:val="clear" w:color="auto" w:fill="C6EFCE"/>
            <w:noWrap/>
            <w:vAlign w:val="center"/>
          </w:tcPr>
          <w:p w14:paraId="3734D90B" w14:textId="77777777" w:rsidR="003F5418" w:rsidRDefault="002A6C25">
            <w:pPr>
              <w:pStyle w:val="P68B1DB1-Normal4"/>
              <w:jc w:val="center"/>
              <w:rPr>
                <w:rFonts w:cs="Arial"/>
                <w:noProof/>
              </w:rPr>
            </w:pPr>
            <w:r>
              <w:rPr>
                <w:noProof/>
              </w:rPr>
              <w:t>M1C1–24</w:t>
            </w:r>
          </w:p>
        </w:tc>
        <w:tc>
          <w:tcPr>
            <w:tcW w:w="1568" w:type="dxa"/>
            <w:shd w:val="clear" w:color="auto" w:fill="C6EFCE"/>
            <w:noWrap/>
            <w:vAlign w:val="center"/>
          </w:tcPr>
          <w:p w14:paraId="01773C30" w14:textId="77777777" w:rsidR="003F5418" w:rsidRDefault="002A6C25">
            <w:pPr>
              <w:pStyle w:val="P68B1DB1-Normal4"/>
              <w:jc w:val="center"/>
              <w:rPr>
                <w:rFonts w:cs="Arial"/>
                <w:noProof/>
              </w:rPr>
            </w:pPr>
            <w:r>
              <w:rPr>
                <w:noProof/>
              </w:rPr>
              <w:t>Sz. beruházás: Digitális közszolgálat</w:t>
            </w:r>
          </w:p>
        </w:tc>
        <w:tc>
          <w:tcPr>
            <w:tcW w:w="1148" w:type="dxa"/>
            <w:shd w:val="clear" w:color="auto" w:fill="C6EFCE"/>
            <w:noWrap/>
            <w:vAlign w:val="center"/>
          </w:tcPr>
          <w:p w14:paraId="564CB1F6"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575410DF" w14:textId="77777777" w:rsidR="003F5418" w:rsidRDefault="002A6C25">
            <w:pPr>
              <w:pStyle w:val="P68B1DB1-Normal4"/>
              <w:jc w:val="center"/>
              <w:rPr>
                <w:rFonts w:cs="Arial"/>
                <w:noProof/>
              </w:rPr>
            </w:pPr>
            <w:r>
              <w:rPr>
                <w:noProof/>
              </w:rPr>
              <w:t xml:space="preserve">Az egyetemes közszolgálati szervezetek nemzeti nyilvántartásába bejegyzett szervezetek által nyújtott digitális oktatási és/vagy könnyítési kezdeményezésekben részt vevő polgárok </w:t>
            </w:r>
          </w:p>
        </w:tc>
        <w:tc>
          <w:tcPr>
            <w:tcW w:w="1701" w:type="dxa"/>
            <w:shd w:val="clear" w:color="auto" w:fill="C6EFCE"/>
            <w:noWrap/>
            <w:vAlign w:val="center"/>
          </w:tcPr>
          <w:p w14:paraId="4F180C88"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68A5AF38"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373FF42D"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2B872D5A" w14:textId="77777777" w:rsidR="003F5418" w:rsidRDefault="002A6C25">
            <w:pPr>
              <w:pStyle w:val="P68B1DB1-Normal4"/>
              <w:jc w:val="center"/>
              <w:rPr>
                <w:rFonts w:cs="Arial"/>
                <w:noProof/>
              </w:rPr>
            </w:pPr>
            <w:r>
              <w:rPr>
                <w:noProof/>
              </w:rPr>
              <w:t>700 000</w:t>
            </w:r>
          </w:p>
        </w:tc>
        <w:tc>
          <w:tcPr>
            <w:tcW w:w="843" w:type="dxa"/>
            <w:shd w:val="clear" w:color="auto" w:fill="C6EFCE"/>
            <w:noWrap/>
            <w:vAlign w:val="center"/>
          </w:tcPr>
          <w:p w14:paraId="7BE3A8B6" w14:textId="77777777" w:rsidR="003F5418" w:rsidRDefault="002A6C25">
            <w:pPr>
              <w:pStyle w:val="P68B1DB1-Normal4"/>
              <w:jc w:val="center"/>
              <w:rPr>
                <w:rFonts w:cs="Arial"/>
                <w:noProof/>
              </w:rPr>
            </w:pPr>
            <w:r>
              <w:rPr>
                <w:noProof/>
              </w:rPr>
              <w:t>Q4</w:t>
            </w:r>
          </w:p>
        </w:tc>
        <w:tc>
          <w:tcPr>
            <w:tcW w:w="567" w:type="dxa"/>
            <w:shd w:val="clear" w:color="auto" w:fill="C6EFCE"/>
            <w:noWrap/>
            <w:vAlign w:val="center"/>
          </w:tcPr>
          <w:p w14:paraId="67CC5835" w14:textId="77777777" w:rsidR="003F5418" w:rsidRDefault="002A6C25">
            <w:pPr>
              <w:pStyle w:val="P68B1DB1-Normal4"/>
              <w:jc w:val="center"/>
              <w:rPr>
                <w:rFonts w:cs="Arial"/>
                <w:noProof/>
              </w:rPr>
            </w:pPr>
            <w:r>
              <w:rPr>
                <w:noProof/>
              </w:rPr>
              <w:t>2025</w:t>
            </w:r>
          </w:p>
        </w:tc>
        <w:tc>
          <w:tcPr>
            <w:tcW w:w="2977" w:type="dxa"/>
            <w:shd w:val="clear" w:color="auto" w:fill="C6EFCE"/>
            <w:noWrap/>
            <w:vAlign w:val="center"/>
          </w:tcPr>
          <w:p w14:paraId="2560E077" w14:textId="77777777" w:rsidR="003F5418" w:rsidRDefault="002A6C25">
            <w:pPr>
              <w:pStyle w:val="P68B1DB1-Normal4"/>
              <w:rPr>
                <w:rFonts w:cs="Arial"/>
                <w:noProof/>
              </w:rPr>
            </w:pPr>
            <w:r>
              <w:rPr>
                <w:noProof/>
              </w:rPr>
              <w:t xml:space="preserve">Legalább 700000 digitális oktatási és/vagy </w:t>
            </w:r>
            <w:r>
              <w:rPr>
                <w:noProof/>
              </w:rPr>
              <w:t>könnyítési kezdeményezés, amelyeket az egyetemes közszolgálati szervezetek nemzeti nyilvántartásába bejegyzett szervezetek nyújtanak be.</w:t>
            </w:r>
          </w:p>
        </w:tc>
      </w:tr>
      <w:tr w:rsidR="003F5418" w14:paraId="5B6E96B3" w14:textId="77777777">
        <w:trPr>
          <w:trHeight w:val="309"/>
        </w:trPr>
        <w:tc>
          <w:tcPr>
            <w:tcW w:w="1253" w:type="dxa"/>
            <w:shd w:val="clear" w:color="auto" w:fill="C6EFCE"/>
            <w:noWrap/>
            <w:vAlign w:val="center"/>
          </w:tcPr>
          <w:p w14:paraId="019097DD" w14:textId="77777777" w:rsidR="003F5418" w:rsidRDefault="002A6C25">
            <w:pPr>
              <w:pStyle w:val="P68B1DB1-Normal4"/>
              <w:jc w:val="center"/>
              <w:rPr>
                <w:rFonts w:cs="Arial"/>
                <w:noProof/>
              </w:rPr>
            </w:pPr>
            <w:r>
              <w:rPr>
                <w:noProof/>
              </w:rPr>
              <w:t>M1C1–25</w:t>
            </w:r>
          </w:p>
        </w:tc>
        <w:tc>
          <w:tcPr>
            <w:tcW w:w="1568" w:type="dxa"/>
            <w:shd w:val="clear" w:color="auto" w:fill="C6EFCE"/>
            <w:noWrap/>
            <w:vAlign w:val="center"/>
          </w:tcPr>
          <w:p w14:paraId="231E9A8E" w14:textId="77777777" w:rsidR="003F5418" w:rsidRDefault="002A6C25">
            <w:pPr>
              <w:pStyle w:val="P68B1DB1-Normal4"/>
              <w:jc w:val="center"/>
              <w:rPr>
                <w:rFonts w:cs="Arial"/>
                <w:noProof/>
              </w:rPr>
            </w:pPr>
            <w:r>
              <w:rPr>
                <w:noProof/>
              </w:rPr>
              <w:t>Beruházás: A pénzügyi rendőrség digitalizálása</w:t>
            </w:r>
          </w:p>
        </w:tc>
        <w:tc>
          <w:tcPr>
            <w:tcW w:w="1148" w:type="dxa"/>
            <w:shd w:val="clear" w:color="auto" w:fill="C6EFCE"/>
            <w:noWrap/>
            <w:vAlign w:val="center"/>
          </w:tcPr>
          <w:p w14:paraId="681C05F0" w14:textId="77777777" w:rsidR="003F5418" w:rsidRDefault="002A6C25">
            <w:pPr>
              <w:pStyle w:val="P68B1DB1-Normal4"/>
              <w:jc w:val="center"/>
              <w:rPr>
                <w:rFonts w:cs="Arial"/>
                <w:noProof/>
              </w:rPr>
            </w:pPr>
            <w:r>
              <w:rPr>
                <w:noProof/>
              </w:rPr>
              <w:t>Mérföldkő</w:t>
            </w:r>
          </w:p>
        </w:tc>
        <w:tc>
          <w:tcPr>
            <w:tcW w:w="1470" w:type="dxa"/>
            <w:shd w:val="clear" w:color="auto" w:fill="C6EFCE"/>
            <w:noWrap/>
            <w:vAlign w:val="center"/>
          </w:tcPr>
          <w:p w14:paraId="161CB10D" w14:textId="77777777" w:rsidR="003F5418" w:rsidRDefault="002A6C25">
            <w:pPr>
              <w:pStyle w:val="P68B1DB1-Normal4"/>
              <w:jc w:val="center"/>
              <w:rPr>
                <w:rFonts w:cs="Arial"/>
                <w:noProof/>
              </w:rPr>
            </w:pPr>
            <w:r>
              <w:rPr>
                <w:noProof/>
              </w:rPr>
              <w:t xml:space="preserve">A gazdasági bűnözés elleni küzdelemben használt </w:t>
            </w:r>
            <w:r>
              <w:rPr>
                <w:noProof/>
              </w:rPr>
              <w:t>operatív információs rendszerek fejlesztése</w:t>
            </w:r>
          </w:p>
        </w:tc>
        <w:tc>
          <w:tcPr>
            <w:tcW w:w="1701" w:type="dxa"/>
            <w:shd w:val="clear" w:color="auto" w:fill="C6EFCE"/>
            <w:noWrap/>
            <w:vAlign w:val="center"/>
          </w:tcPr>
          <w:p w14:paraId="65C10E3F" w14:textId="77777777" w:rsidR="003F5418" w:rsidRDefault="002A6C25">
            <w:pPr>
              <w:pStyle w:val="P68B1DB1-Normal4"/>
              <w:jc w:val="center"/>
              <w:rPr>
                <w:rFonts w:cs="Arial"/>
                <w:noProof/>
              </w:rPr>
            </w:pPr>
            <w:r>
              <w:rPr>
                <w:noProof/>
              </w:rPr>
              <w:t>Az informatikai rendszerek fejlesztése az új funkciók, a teljesítmény és a felhasználói élmény tekintetében</w:t>
            </w:r>
          </w:p>
        </w:tc>
        <w:tc>
          <w:tcPr>
            <w:tcW w:w="1134" w:type="dxa"/>
            <w:shd w:val="clear" w:color="auto" w:fill="C6EFCE"/>
            <w:noWrap/>
            <w:vAlign w:val="center"/>
          </w:tcPr>
          <w:p w14:paraId="3A4C6E83" w14:textId="77777777" w:rsidR="003F5418" w:rsidRDefault="002A6C25">
            <w:pPr>
              <w:pStyle w:val="P68B1DB1-Normal4"/>
              <w:jc w:val="center"/>
              <w:rPr>
                <w:rFonts w:cs="Arial"/>
                <w:noProof/>
              </w:rPr>
            </w:pPr>
            <w:r>
              <w:rPr>
                <w:noProof/>
              </w:rPr>
              <w:t>NINCS</w:t>
            </w:r>
          </w:p>
        </w:tc>
        <w:tc>
          <w:tcPr>
            <w:tcW w:w="1417" w:type="dxa"/>
            <w:shd w:val="clear" w:color="auto" w:fill="C6EFCE"/>
            <w:noWrap/>
            <w:vAlign w:val="center"/>
          </w:tcPr>
          <w:p w14:paraId="21387973" w14:textId="77777777" w:rsidR="003F5418" w:rsidRDefault="002A6C25">
            <w:pPr>
              <w:pStyle w:val="P68B1DB1-Normal4"/>
              <w:jc w:val="center"/>
              <w:rPr>
                <w:rFonts w:cs="Arial"/>
                <w:noProof/>
              </w:rPr>
            </w:pPr>
            <w:r>
              <w:rPr>
                <w:noProof/>
              </w:rPr>
              <w:t>NINCS</w:t>
            </w:r>
          </w:p>
        </w:tc>
        <w:tc>
          <w:tcPr>
            <w:tcW w:w="1425" w:type="dxa"/>
            <w:shd w:val="clear" w:color="auto" w:fill="C6EFCE"/>
            <w:noWrap/>
            <w:vAlign w:val="center"/>
          </w:tcPr>
          <w:p w14:paraId="0E97ECCC" w14:textId="77777777" w:rsidR="003F5418" w:rsidRDefault="002A6C25">
            <w:pPr>
              <w:pStyle w:val="P68B1DB1-Normal4"/>
              <w:jc w:val="center"/>
              <w:rPr>
                <w:rFonts w:cs="Arial"/>
                <w:noProof/>
              </w:rPr>
            </w:pPr>
            <w:r>
              <w:rPr>
                <w:noProof/>
              </w:rPr>
              <w:t>NINCS</w:t>
            </w:r>
          </w:p>
        </w:tc>
        <w:tc>
          <w:tcPr>
            <w:tcW w:w="843" w:type="dxa"/>
            <w:shd w:val="clear" w:color="auto" w:fill="C6EFCE"/>
            <w:noWrap/>
            <w:vAlign w:val="center"/>
          </w:tcPr>
          <w:p w14:paraId="7564148A" w14:textId="77777777" w:rsidR="003F5418" w:rsidRDefault="002A6C25">
            <w:pPr>
              <w:pStyle w:val="P68B1DB1-Normal4"/>
              <w:jc w:val="center"/>
              <w:rPr>
                <w:rFonts w:cs="Arial"/>
                <w:noProof/>
              </w:rPr>
            </w:pPr>
            <w:r>
              <w:rPr>
                <w:noProof/>
              </w:rPr>
              <w:t>Q2</w:t>
            </w:r>
          </w:p>
        </w:tc>
        <w:tc>
          <w:tcPr>
            <w:tcW w:w="567" w:type="dxa"/>
            <w:shd w:val="clear" w:color="auto" w:fill="C6EFCE"/>
            <w:noWrap/>
            <w:vAlign w:val="center"/>
          </w:tcPr>
          <w:p w14:paraId="1B74E872" w14:textId="77777777" w:rsidR="003F5418" w:rsidRDefault="002A6C25">
            <w:pPr>
              <w:pStyle w:val="P68B1DB1-Normal4"/>
              <w:jc w:val="center"/>
              <w:rPr>
                <w:rFonts w:cs="Arial"/>
                <w:noProof/>
              </w:rPr>
            </w:pPr>
            <w:r>
              <w:rPr>
                <w:noProof/>
              </w:rPr>
              <w:t>2025</w:t>
            </w:r>
          </w:p>
        </w:tc>
        <w:tc>
          <w:tcPr>
            <w:tcW w:w="2977" w:type="dxa"/>
            <w:shd w:val="clear" w:color="auto" w:fill="C6EFCE"/>
            <w:noWrap/>
            <w:vAlign w:val="center"/>
          </w:tcPr>
          <w:p w14:paraId="6F06300F" w14:textId="77777777" w:rsidR="003F5418" w:rsidRDefault="002A6C25">
            <w:pPr>
              <w:pStyle w:val="P68B1DB1-Normal4"/>
              <w:rPr>
                <w:rFonts w:cs="Arial"/>
                <w:noProof/>
              </w:rPr>
            </w:pPr>
            <w:r>
              <w:rPr>
                <w:noProof/>
              </w:rPr>
              <w:t xml:space="preserve">Az operatív információs rendszerek új funkcióinak fokozatos (éves alapon </w:t>
            </w:r>
            <w:r>
              <w:rPr>
                <w:noProof/>
              </w:rPr>
              <w:t>történő) rendelkezésre bocsátása annak érdekében, hogy biztosítsák azok időszerűségét a gyorsan változó jogi forgatókönyveknek megfelelően, többek között a pandémiás helyzethez kapcsolódóan.</w:t>
            </w:r>
          </w:p>
        </w:tc>
      </w:tr>
      <w:tr w:rsidR="003F5418" w14:paraId="60709B00" w14:textId="77777777">
        <w:trPr>
          <w:trHeight w:val="309"/>
        </w:trPr>
        <w:tc>
          <w:tcPr>
            <w:tcW w:w="1253" w:type="dxa"/>
            <w:shd w:val="clear" w:color="auto" w:fill="C6EFCE"/>
            <w:noWrap/>
            <w:vAlign w:val="center"/>
            <w:hideMark/>
          </w:tcPr>
          <w:p w14:paraId="3C98368E" w14:textId="77777777" w:rsidR="003F5418" w:rsidRDefault="002A6C25">
            <w:pPr>
              <w:pStyle w:val="P68B1DB1-Normal4"/>
              <w:jc w:val="center"/>
              <w:rPr>
                <w:rFonts w:cs="Arial"/>
                <w:noProof/>
              </w:rPr>
            </w:pPr>
            <w:r>
              <w:rPr>
                <w:noProof/>
              </w:rPr>
              <w:t>M1C1–26</w:t>
            </w:r>
          </w:p>
        </w:tc>
        <w:tc>
          <w:tcPr>
            <w:tcW w:w="1568" w:type="dxa"/>
            <w:shd w:val="clear" w:color="auto" w:fill="C6EFCE"/>
            <w:noWrap/>
            <w:vAlign w:val="center"/>
            <w:hideMark/>
          </w:tcPr>
          <w:p w14:paraId="3671C425" w14:textId="77777777" w:rsidR="003F5418" w:rsidRDefault="002A6C25">
            <w:pPr>
              <w:pStyle w:val="P68B1DB1-Normal4"/>
              <w:jc w:val="center"/>
              <w:rPr>
                <w:rFonts w:cs="Arial"/>
                <w:noProof/>
              </w:rPr>
            </w:pPr>
            <w:r>
              <w:rPr>
                <w:noProof/>
              </w:rPr>
              <w:t>Beruházás: Digitális infrastruktúra</w:t>
            </w:r>
          </w:p>
        </w:tc>
        <w:tc>
          <w:tcPr>
            <w:tcW w:w="1148" w:type="dxa"/>
            <w:shd w:val="clear" w:color="auto" w:fill="C6EFCE"/>
            <w:noWrap/>
            <w:vAlign w:val="center"/>
            <w:hideMark/>
          </w:tcPr>
          <w:p w14:paraId="457EA21F"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hideMark/>
          </w:tcPr>
          <w:p w14:paraId="261E6192" w14:textId="77777777" w:rsidR="003F5418" w:rsidRDefault="002A6C25">
            <w:pPr>
              <w:pStyle w:val="P68B1DB1-Normal4"/>
              <w:jc w:val="center"/>
              <w:rPr>
                <w:rFonts w:cs="Arial"/>
                <w:noProof/>
              </w:rPr>
            </w:pPr>
            <w:r>
              <w:rPr>
                <w:noProof/>
              </w:rPr>
              <w:t xml:space="preserve">Migráció a Polo </w:t>
            </w:r>
            <w:r>
              <w:rPr>
                <w:noProof/>
              </w:rPr>
              <w:t>Strategico Nazionale T2 felé</w:t>
            </w:r>
          </w:p>
        </w:tc>
        <w:tc>
          <w:tcPr>
            <w:tcW w:w="1701" w:type="dxa"/>
            <w:shd w:val="clear" w:color="auto" w:fill="C6EFCE"/>
            <w:noWrap/>
            <w:vAlign w:val="center"/>
            <w:hideMark/>
          </w:tcPr>
          <w:p w14:paraId="7691DD80"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hideMark/>
          </w:tcPr>
          <w:p w14:paraId="54EB71EF"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hideMark/>
          </w:tcPr>
          <w:p w14:paraId="677EB02B" w14:textId="77777777" w:rsidR="003F5418" w:rsidRDefault="002A6C25">
            <w:pPr>
              <w:pStyle w:val="P68B1DB1-Normal4"/>
              <w:jc w:val="center"/>
              <w:rPr>
                <w:rFonts w:cs="Arial"/>
                <w:noProof/>
              </w:rPr>
            </w:pPr>
            <w:r>
              <w:rPr>
                <w:noProof/>
              </w:rPr>
              <w:t>100</w:t>
            </w:r>
          </w:p>
        </w:tc>
        <w:tc>
          <w:tcPr>
            <w:tcW w:w="1425" w:type="dxa"/>
            <w:shd w:val="clear" w:color="auto" w:fill="C6EFCE"/>
            <w:noWrap/>
            <w:vAlign w:val="center"/>
            <w:hideMark/>
          </w:tcPr>
          <w:p w14:paraId="0239535E" w14:textId="77777777" w:rsidR="003F5418" w:rsidRDefault="002A6C25">
            <w:pPr>
              <w:pStyle w:val="P68B1DB1-Normal4"/>
              <w:jc w:val="center"/>
              <w:rPr>
                <w:rFonts w:cs="Arial"/>
                <w:noProof/>
              </w:rPr>
            </w:pPr>
            <w:r>
              <w:rPr>
                <w:noProof/>
              </w:rPr>
              <w:t>280</w:t>
            </w:r>
          </w:p>
        </w:tc>
        <w:tc>
          <w:tcPr>
            <w:tcW w:w="843" w:type="dxa"/>
            <w:shd w:val="clear" w:color="auto" w:fill="C6EFCE"/>
            <w:noWrap/>
            <w:vAlign w:val="center"/>
            <w:hideMark/>
          </w:tcPr>
          <w:p w14:paraId="6C3FE648" w14:textId="77777777" w:rsidR="003F5418" w:rsidRDefault="002A6C25">
            <w:pPr>
              <w:pStyle w:val="P68B1DB1-Normal4"/>
              <w:jc w:val="center"/>
              <w:rPr>
                <w:rFonts w:cs="Arial"/>
                <w:noProof/>
              </w:rPr>
            </w:pPr>
            <w:r>
              <w:rPr>
                <w:noProof/>
              </w:rPr>
              <w:t>Q2</w:t>
            </w:r>
          </w:p>
        </w:tc>
        <w:tc>
          <w:tcPr>
            <w:tcW w:w="567" w:type="dxa"/>
            <w:shd w:val="clear" w:color="auto" w:fill="C6EFCE"/>
            <w:noWrap/>
            <w:vAlign w:val="center"/>
            <w:hideMark/>
          </w:tcPr>
          <w:p w14:paraId="6A724DA5" w14:textId="77777777" w:rsidR="003F5418" w:rsidRDefault="002A6C25">
            <w:pPr>
              <w:pStyle w:val="P68B1DB1-Normal4"/>
              <w:jc w:val="center"/>
              <w:rPr>
                <w:rFonts w:cs="Arial"/>
                <w:noProof/>
              </w:rPr>
            </w:pPr>
            <w:r>
              <w:rPr>
                <w:noProof/>
              </w:rPr>
              <w:t>2026</w:t>
            </w:r>
          </w:p>
        </w:tc>
        <w:tc>
          <w:tcPr>
            <w:tcW w:w="2977" w:type="dxa"/>
            <w:shd w:val="clear" w:color="auto" w:fill="C6EFCE"/>
            <w:noWrap/>
            <w:vAlign w:val="center"/>
            <w:hideMark/>
          </w:tcPr>
          <w:p w14:paraId="3E199CAA" w14:textId="5C7D2B3B" w:rsidR="003F5418" w:rsidRDefault="002A6C25">
            <w:pPr>
              <w:pStyle w:val="P68B1DB1-Normal6"/>
              <w:spacing w:after="120"/>
              <w:rPr>
                <w:rFonts w:cs="Arial"/>
                <w:noProof/>
                <w:color w:val="006100"/>
              </w:rPr>
            </w:pPr>
            <w:r>
              <w:rPr>
                <w:noProof/>
                <w:color w:val="006100"/>
              </w:rPr>
              <w:t>Legalább 280 központi közigazgatási szerv és helyi egészségügyi hatóság (Aziende Sanitarie Locali/Aziende Ospedaliere) váltott át a „Polo Strategico Nazionale” -ra a Digitális Átalakítási Minisztérium</w:t>
            </w:r>
            <w:r>
              <w:rPr>
                <w:noProof/>
                <w:color w:val="006100"/>
              </w:rPr>
              <w:t xml:space="preserve"> által jóváhagyott migrációs terv szerint.</w:t>
            </w:r>
          </w:p>
          <w:p w14:paraId="779C0AE8" w14:textId="77777777" w:rsidR="003F5418" w:rsidRDefault="002A6C25">
            <w:pPr>
              <w:pStyle w:val="P68B1DB1-Normal4"/>
              <w:spacing w:after="120"/>
              <w:rPr>
                <w:rFonts w:cs="Arial"/>
                <w:noProof/>
              </w:rPr>
            </w:pPr>
            <w:r>
              <w:rPr>
                <w:noProof/>
              </w:rPr>
              <w:t xml:space="preserve">A Polo Strategico Nazionale-ra való átállás különböző módokon hajtható végre az egyes migráló közigazgatások tulajdonában lévő helyszíni szoftverek informatikai architektúrájának jelenlegi állása szerint. </w:t>
            </w:r>
          </w:p>
          <w:p w14:paraId="385B6EBA" w14:textId="77777777" w:rsidR="003F5418" w:rsidRDefault="002A6C25">
            <w:pPr>
              <w:pStyle w:val="P68B1DB1-Normal4"/>
              <w:spacing w:after="120"/>
              <w:rPr>
                <w:rFonts w:cs="Arial"/>
                <w:noProof/>
              </w:rPr>
            </w:pPr>
            <w:r>
              <w:rPr>
                <w:noProof/>
              </w:rPr>
              <w:t xml:space="preserve">Ezek a </w:t>
            </w:r>
            <w:r>
              <w:rPr>
                <w:noProof/>
              </w:rPr>
              <w:t>stratégiák a nem felhőalapú szoftverek esetében a puszta tárhelyszolgáltatástól és a felvonó-műszakos migrálástól az infrastruktúra mint szolgáltatás (IaaS), a platform mint szolgáltatás (PaaS) vagy a felhőre kész szoftverek esetében a szoftver mint szolgá</w:t>
            </w:r>
            <w:r>
              <w:rPr>
                <w:noProof/>
              </w:rPr>
              <w:t xml:space="preserve">ltatás (SaaS) felé történő átállásig terjedhetnek. </w:t>
            </w:r>
          </w:p>
          <w:p w14:paraId="26B3A692" w14:textId="77777777" w:rsidR="003F5418" w:rsidRDefault="002A6C25">
            <w:pPr>
              <w:pStyle w:val="P68B1DB1-Normal4"/>
              <w:spacing w:after="120"/>
              <w:rPr>
                <w:rFonts w:cs="Arial"/>
                <w:noProof/>
              </w:rPr>
            </w:pPr>
            <w:r>
              <w:rPr>
                <w:noProof/>
              </w:rPr>
              <w:t>A migrációs szolgáltatások legalább 40%-át IaaS, PaaS vagy SaaS megoldásokon keresztül kell megvalósítani.</w:t>
            </w:r>
          </w:p>
          <w:p w14:paraId="5509F013" w14:textId="77777777" w:rsidR="003F5418" w:rsidRDefault="002A6C25">
            <w:pPr>
              <w:pStyle w:val="P68B1DB1-Normal4"/>
              <w:spacing w:after="120"/>
              <w:rPr>
                <w:rFonts w:cs="Arial"/>
                <w:noProof/>
              </w:rPr>
            </w:pPr>
            <w:r>
              <w:rPr>
                <w:noProof/>
              </w:rPr>
              <w:t>A PSN minden egyes migráló közigazgatási szerv számára felajánlja az összes olyan migrációs strat</w:t>
            </w:r>
            <w:r>
              <w:rPr>
                <w:noProof/>
              </w:rPr>
              <w:t>égiát, amely figyelembe veheti „a Polo Strategico Nazionale felé történő migráció” célkitűzését.</w:t>
            </w:r>
          </w:p>
          <w:p w14:paraId="794BFC37" w14:textId="77777777" w:rsidR="003F5418" w:rsidRDefault="002A6C25">
            <w:pPr>
              <w:pStyle w:val="P68B1DB1-Normal4"/>
              <w:spacing w:after="120"/>
              <w:rPr>
                <w:rFonts w:cs="Arial"/>
                <w:noProof/>
              </w:rPr>
            </w:pPr>
            <w:r>
              <w:rPr>
                <w:noProof/>
              </w:rPr>
              <w:t>Az alkalmazási körbe tartozó összes közigazgatási szerv a következőket foglalja magában:</w:t>
            </w:r>
          </w:p>
          <w:p w14:paraId="7317B8B9" w14:textId="77777777" w:rsidR="003F5418" w:rsidRDefault="002A6C25">
            <w:pPr>
              <w:pStyle w:val="P68B1DB1-Normal4"/>
              <w:spacing w:after="120"/>
              <w:rPr>
                <w:rFonts w:cs="Arial"/>
                <w:noProof/>
              </w:rPr>
            </w:pPr>
            <w:r>
              <w:rPr>
                <w:noProof/>
              </w:rPr>
              <w:t>• Az információs és kommunikációs technológiákra (IKT) fordított kiadá</w:t>
            </w:r>
            <w:r>
              <w:rPr>
                <w:noProof/>
              </w:rPr>
              <w:t>sok legnagyobb részét a központi közigazgatások teszik ki (például a Nemzeti Társadalombiztosítási Intézet, Igazságügyi Minisztérium);</w:t>
            </w:r>
          </w:p>
          <w:p w14:paraId="70167D07" w14:textId="77777777" w:rsidR="003F5418" w:rsidRDefault="002A6C25">
            <w:pPr>
              <w:pStyle w:val="P68B1DB1-Normal4"/>
              <w:spacing w:after="120"/>
              <w:rPr>
                <w:rFonts w:cs="Arial"/>
                <w:noProof/>
              </w:rPr>
            </w:pPr>
            <w:r>
              <w:rPr>
                <w:noProof/>
              </w:rPr>
              <w:t xml:space="preserve">• A központi közigazgatások elavult adatközpontokban tárolják az adatokat a közelmúltban a „felhőkészültséggel” </w:t>
            </w:r>
            <w:r>
              <w:rPr>
                <w:noProof/>
              </w:rPr>
              <w:t>kapcsolatban végzett felmérés szerint;</w:t>
            </w:r>
          </w:p>
          <w:p w14:paraId="29C75E12" w14:textId="5AACC628" w:rsidR="003F5418" w:rsidRDefault="002A6C25">
            <w:pPr>
              <w:pStyle w:val="P68B1DB1-Normal4"/>
              <w:spacing w:after="120"/>
              <w:rPr>
                <w:rFonts w:cs="Arial"/>
                <w:noProof/>
              </w:rPr>
            </w:pPr>
            <w:r>
              <w:rPr>
                <w:noProof/>
              </w:rPr>
              <w:t>• Az elsősorban közép- és dél-olaszországi székhelyű helyi egészségügyi hatóságok (Aziende Sanitarie Locali/Aziende Ospedaliere), amelyek nem rendelkeznek az adatbiztonság garantálásához szükséges megfelelő infrastruk</w:t>
            </w:r>
            <w:r>
              <w:rPr>
                <w:noProof/>
              </w:rPr>
              <w:t>túrával.</w:t>
            </w:r>
          </w:p>
        </w:tc>
      </w:tr>
      <w:tr w:rsidR="003F5418" w14:paraId="510F19E7" w14:textId="77777777">
        <w:trPr>
          <w:trHeight w:val="309"/>
        </w:trPr>
        <w:tc>
          <w:tcPr>
            <w:tcW w:w="1253" w:type="dxa"/>
            <w:shd w:val="clear" w:color="auto" w:fill="C6EFCE"/>
            <w:noWrap/>
            <w:vAlign w:val="center"/>
          </w:tcPr>
          <w:p w14:paraId="5AF72D42" w14:textId="77777777" w:rsidR="003F5418" w:rsidRDefault="002A6C25">
            <w:pPr>
              <w:pStyle w:val="P68B1DB1-Normal4"/>
              <w:jc w:val="center"/>
              <w:rPr>
                <w:rFonts w:cs="Arial"/>
                <w:noProof/>
              </w:rPr>
            </w:pPr>
            <w:r>
              <w:rPr>
                <w:noProof/>
              </w:rPr>
              <w:t>M1C1–27</w:t>
            </w:r>
          </w:p>
        </w:tc>
        <w:tc>
          <w:tcPr>
            <w:tcW w:w="1568" w:type="dxa"/>
            <w:shd w:val="clear" w:color="auto" w:fill="C6EFCE"/>
            <w:noWrap/>
            <w:vAlign w:val="center"/>
          </w:tcPr>
          <w:p w14:paraId="57902A25" w14:textId="77777777" w:rsidR="003F5418" w:rsidRDefault="002A6C25">
            <w:pPr>
              <w:pStyle w:val="P68B1DB1-Normal4"/>
              <w:jc w:val="center"/>
              <w:rPr>
                <w:rFonts w:cs="Arial"/>
                <w:noProof/>
              </w:rPr>
            </w:pPr>
            <w:r>
              <w:rPr>
                <w:noProof/>
              </w:rPr>
              <w:t>Beruházás: Nemzeti digitális adatplatform</w:t>
            </w:r>
          </w:p>
        </w:tc>
        <w:tc>
          <w:tcPr>
            <w:tcW w:w="1148" w:type="dxa"/>
            <w:shd w:val="clear" w:color="auto" w:fill="C6EFCE"/>
            <w:noWrap/>
            <w:vAlign w:val="center"/>
          </w:tcPr>
          <w:p w14:paraId="50ADC03B"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34B47BC3" w14:textId="77777777" w:rsidR="003F5418" w:rsidRDefault="002A6C25">
            <w:pPr>
              <w:pStyle w:val="P68B1DB1-Normal4"/>
              <w:jc w:val="center"/>
              <w:rPr>
                <w:rFonts w:cs="Arial"/>
                <w:noProof/>
              </w:rPr>
            </w:pPr>
            <w:r>
              <w:rPr>
                <w:noProof/>
              </w:rPr>
              <w:t>API-k a T2 nemzeti digitális adatplatformon</w:t>
            </w:r>
          </w:p>
        </w:tc>
        <w:tc>
          <w:tcPr>
            <w:tcW w:w="1701" w:type="dxa"/>
            <w:shd w:val="clear" w:color="auto" w:fill="C6EFCE"/>
            <w:noWrap/>
            <w:vAlign w:val="center"/>
          </w:tcPr>
          <w:p w14:paraId="0AFCCA00"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1EDE1388"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489FFE5B" w14:textId="77777777" w:rsidR="003F5418" w:rsidRDefault="002A6C25">
            <w:pPr>
              <w:pStyle w:val="P68B1DB1-Normal4"/>
              <w:jc w:val="center"/>
              <w:rPr>
                <w:rFonts w:cs="Arial"/>
                <w:noProof/>
              </w:rPr>
            </w:pPr>
            <w:r>
              <w:rPr>
                <w:noProof/>
              </w:rPr>
              <w:t>400</w:t>
            </w:r>
          </w:p>
        </w:tc>
        <w:tc>
          <w:tcPr>
            <w:tcW w:w="1425" w:type="dxa"/>
            <w:shd w:val="clear" w:color="auto" w:fill="C6EFCE"/>
            <w:noWrap/>
            <w:vAlign w:val="center"/>
          </w:tcPr>
          <w:p w14:paraId="3CEDBA82" w14:textId="77777777" w:rsidR="003F5418" w:rsidRDefault="002A6C25">
            <w:pPr>
              <w:pStyle w:val="P68B1DB1-Normal4"/>
              <w:jc w:val="center"/>
              <w:rPr>
                <w:rFonts w:cs="Arial"/>
                <w:noProof/>
              </w:rPr>
            </w:pPr>
            <w:r>
              <w:rPr>
                <w:noProof/>
              </w:rPr>
              <w:t>1 000</w:t>
            </w:r>
          </w:p>
        </w:tc>
        <w:tc>
          <w:tcPr>
            <w:tcW w:w="843" w:type="dxa"/>
            <w:shd w:val="clear" w:color="auto" w:fill="C6EFCE"/>
            <w:noWrap/>
            <w:vAlign w:val="center"/>
          </w:tcPr>
          <w:p w14:paraId="0718D1B7" w14:textId="77777777" w:rsidR="003F5418" w:rsidRDefault="002A6C25">
            <w:pPr>
              <w:pStyle w:val="P68B1DB1-Normal4"/>
              <w:jc w:val="center"/>
              <w:rPr>
                <w:rFonts w:cs="Arial"/>
                <w:noProof/>
              </w:rPr>
            </w:pPr>
            <w:r>
              <w:rPr>
                <w:noProof/>
              </w:rPr>
              <w:t>Q2</w:t>
            </w:r>
          </w:p>
        </w:tc>
        <w:tc>
          <w:tcPr>
            <w:tcW w:w="567" w:type="dxa"/>
            <w:shd w:val="clear" w:color="auto" w:fill="C6EFCE"/>
            <w:noWrap/>
            <w:vAlign w:val="center"/>
          </w:tcPr>
          <w:p w14:paraId="5E320DB4" w14:textId="77777777" w:rsidR="003F5418" w:rsidRDefault="002A6C25">
            <w:pPr>
              <w:pStyle w:val="P68B1DB1-Normal4"/>
              <w:jc w:val="center"/>
              <w:rPr>
                <w:rFonts w:cs="Arial"/>
                <w:noProof/>
              </w:rPr>
            </w:pPr>
            <w:r>
              <w:rPr>
                <w:noProof/>
              </w:rPr>
              <w:t>2026</w:t>
            </w:r>
          </w:p>
        </w:tc>
        <w:tc>
          <w:tcPr>
            <w:tcW w:w="2977" w:type="dxa"/>
            <w:shd w:val="clear" w:color="auto" w:fill="C6EFCE"/>
            <w:noWrap/>
            <w:vAlign w:val="center"/>
          </w:tcPr>
          <w:p w14:paraId="4144A362" w14:textId="77777777" w:rsidR="003F5418" w:rsidRDefault="002A6C25">
            <w:pPr>
              <w:pStyle w:val="P68B1DB1-Normal4"/>
              <w:spacing w:after="120"/>
              <w:rPr>
                <w:rFonts w:cs="Arial"/>
                <w:noProof/>
              </w:rPr>
            </w:pPr>
            <w:r>
              <w:rPr>
                <w:noProof/>
              </w:rPr>
              <w:t xml:space="preserve">Ez a cél legalább további 600 alkalmazásprogramozási felület (API) elérését jelenti, amelyet a katalógusban tettek </w:t>
            </w:r>
            <w:r>
              <w:rPr>
                <w:noProof/>
              </w:rPr>
              <w:t>közzé (összesen 1000).</w:t>
            </w:r>
          </w:p>
          <w:p w14:paraId="013CBD26" w14:textId="77777777" w:rsidR="003F5418" w:rsidRDefault="002A6C25">
            <w:pPr>
              <w:pStyle w:val="P68B1DB1-Normal4"/>
              <w:spacing w:after="120"/>
              <w:rPr>
                <w:rFonts w:cs="Arial"/>
                <w:noProof/>
              </w:rPr>
            </w:pPr>
            <w:r>
              <w:rPr>
                <w:noProof/>
              </w:rPr>
              <w:t>A közzétett API-k a következő területeket érintik:</w:t>
            </w:r>
          </w:p>
          <w:p w14:paraId="1231066B" w14:textId="77777777" w:rsidR="003F5418" w:rsidRDefault="002A6C25">
            <w:pPr>
              <w:pStyle w:val="P68B1DB1-Normal4"/>
              <w:spacing w:after="120"/>
              <w:ind w:right="-62"/>
              <w:rPr>
                <w:rFonts w:cs="Arial"/>
                <w:noProof/>
              </w:rPr>
            </w:pPr>
            <w:r>
              <w:rPr>
                <w:noProof/>
              </w:rPr>
              <w:t>2025. december 31-ig: olyan nyilvános eljárások, mint a munkaerő-felvétel, a nyugdíjba vonulás, az iskolai és egyetemi beiratkozás (például a nemzeti diáknyilvántartás és a gépjárműe</w:t>
            </w:r>
            <w:r>
              <w:rPr>
                <w:noProof/>
              </w:rPr>
              <w:t>ngedély-nyilvántartás);</w:t>
            </w:r>
          </w:p>
          <w:p w14:paraId="7DCFDF68" w14:textId="77777777" w:rsidR="003F5418" w:rsidRDefault="002A6C25">
            <w:pPr>
              <w:pStyle w:val="P68B1DB1-Normal4"/>
              <w:spacing w:after="120"/>
              <w:ind w:right="-62"/>
              <w:rPr>
                <w:rFonts w:cs="Arial"/>
                <w:noProof/>
              </w:rPr>
            </w:pPr>
            <w:r>
              <w:rPr>
                <w:noProof/>
              </w:rPr>
              <w:t>2026. június 30-ig: jólét, közbeszerzési szolgáltatások irányítása, egészségügyi adatok és egészségügyi vészhelyzetek – például betegek és orvosi nyilvántartások – nemzeti információs rendszere.</w:t>
            </w:r>
          </w:p>
          <w:p w14:paraId="2ABA8863" w14:textId="77777777" w:rsidR="003F5418" w:rsidRDefault="002A6C25">
            <w:pPr>
              <w:pStyle w:val="P68B1DB1-Normal4"/>
              <w:spacing w:after="120"/>
              <w:ind w:right="-62"/>
              <w:rPr>
                <w:rFonts w:cs="Arial"/>
                <w:noProof/>
              </w:rPr>
            </w:pPr>
            <w:r>
              <w:rPr>
                <w:noProof/>
              </w:rPr>
              <w:t>Minden API-alkalmazásnak és -dokument</w:t>
            </w:r>
            <w:r>
              <w:rPr>
                <w:noProof/>
              </w:rPr>
              <w:t>ációnak meg kell felelnie a nemzeti interoperabilitási szabványoknak, és támogatnia kell a nemzeti digitális adatplatform keretrendszerét; a fent említett platformnak olyan funkciókat kell biztosítania, amelyek lehetővé teszik a megfelelés értékelését.</w:t>
            </w:r>
          </w:p>
        </w:tc>
      </w:tr>
      <w:tr w:rsidR="003F5418" w14:paraId="53E7E817" w14:textId="77777777">
        <w:trPr>
          <w:trHeight w:val="309"/>
        </w:trPr>
        <w:tc>
          <w:tcPr>
            <w:tcW w:w="1253" w:type="dxa"/>
            <w:shd w:val="clear" w:color="auto" w:fill="C6EFCE"/>
            <w:noWrap/>
            <w:vAlign w:val="center"/>
          </w:tcPr>
          <w:p w14:paraId="4B6187E3" w14:textId="77777777" w:rsidR="003F5418" w:rsidRDefault="002A6C25">
            <w:pPr>
              <w:pStyle w:val="P68B1DB1-Normal4"/>
              <w:jc w:val="center"/>
              <w:rPr>
                <w:rFonts w:cs="Arial"/>
                <w:noProof/>
              </w:rPr>
            </w:pPr>
            <w:r>
              <w:rPr>
                <w:noProof/>
              </w:rPr>
              <w:t>M1C1–28</w:t>
            </w:r>
          </w:p>
        </w:tc>
        <w:tc>
          <w:tcPr>
            <w:tcW w:w="1568" w:type="dxa"/>
            <w:shd w:val="clear" w:color="auto" w:fill="C6EFCE"/>
            <w:noWrap/>
            <w:vAlign w:val="center"/>
          </w:tcPr>
          <w:p w14:paraId="77A6E88D" w14:textId="77777777" w:rsidR="003F5418" w:rsidRDefault="002A6C25">
            <w:pPr>
              <w:pStyle w:val="P68B1DB1-Normal4"/>
              <w:jc w:val="center"/>
              <w:rPr>
                <w:rFonts w:cs="Arial"/>
                <w:noProof/>
              </w:rPr>
            </w:pPr>
            <w:r>
              <w:rPr>
                <w:noProof/>
              </w:rPr>
              <w:t>Beruházás: Digitális könnyítési szolgáltatások hálózata</w:t>
            </w:r>
          </w:p>
        </w:tc>
        <w:tc>
          <w:tcPr>
            <w:tcW w:w="1148" w:type="dxa"/>
            <w:shd w:val="clear" w:color="auto" w:fill="C6EFCE"/>
            <w:noWrap/>
            <w:vAlign w:val="center"/>
          </w:tcPr>
          <w:p w14:paraId="5934684D" w14:textId="77777777" w:rsidR="003F5418" w:rsidRDefault="002A6C25">
            <w:pPr>
              <w:pStyle w:val="P68B1DB1-Normal4"/>
              <w:jc w:val="center"/>
              <w:rPr>
                <w:rFonts w:cs="Arial"/>
                <w:noProof/>
              </w:rPr>
            </w:pPr>
            <w:r>
              <w:rPr>
                <w:noProof/>
              </w:rPr>
              <w:t>Cél</w:t>
            </w:r>
          </w:p>
        </w:tc>
        <w:tc>
          <w:tcPr>
            <w:tcW w:w="1470" w:type="dxa"/>
            <w:shd w:val="clear" w:color="auto" w:fill="C6EFCE"/>
            <w:noWrap/>
            <w:vAlign w:val="center"/>
          </w:tcPr>
          <w:p w14:paraId="4A922E36" w14:textId="77777777" w:rsidR="003F5418" w:rsidRDefault="002A6C25">
            <w:pPr>
              <w:pStyle w:val="P68B1DB1-Normal4"/>
              <w:jc w:val="center"/>
              <w:rPr>
                <w:rFonts w:cs="Arial"/>
                <w:noProof/>
              </w:rPr>
            </w:pPr>
            <w:r>
              <w:rPr>
                <w:noProof/>
              </w:rPr>
              <w:t>A digitális könnyítési központok által biztosított új digitális oktatási és/vagy könnyítési kezdeményezésekben részt vevő polgárok száma</w:t>
            </w:r>
          </w:p>
        </w:tc>
        <w:tc>
          <w:tcPr>
            <w:tcW w:w="1701" w:type="dxa"/>
            <w:shd w:val="clear" w:color="auto" w:fill="C6EFCE"/>
            <w:noWrap/>
            <w:vAlign w:val="center"/>
          </w:tcPr>
          <w:p w14:paraId="65039818" w14:textId="77777777" w:rsidR="003F5418" w:rsidRDefault="002A6C25">
            <w:pPr>
              <w:pStyle w:val="P68B1DB1-Normal4"/>
              <w:jc w:val="center"/>
              <w:rPr>
                <w:rFonts w:cs="Arial"/>
                <w:noProof/>
              </w:rPr>
            </w:pPr>
            <w:r>
              <w:rPr>
                <w:noProof/>
              </w:rPr>
              <w:t>NINCS</w:t>
            </w:r>
          </w:p>
        </w:tc>
        <w:tc>
          <w:tcPr>
            <w:tcW w:w="1134" w:type="dxa"/>
            <w:shd w:val="clear" w:color="auto" w:fill="C6EFCE"/>
            <w:noWrap/>
            <w:vAlign w:val="center"/>
          </w:tcPr>
          <w:p w14:paraId="55EEBFB0" w14:textId="77777777" w:rsidR="003F5418" w:rsidRDefault="002A6C25">
            <w:pPr>
              <w:pStyle w:val="P68B1DB1-Normal4"/>
              <w:jc w:val="center"/>
              <w:rPr>
                <w:rFonts w:cs="Arial"/>
                <w:noProof/>
              </w:rPr>
            </w:pPr>
            <w:r>
              <w:rPr>
                <w:noProof/>
              </w:rPr>
              <w:t>Szám</w:t>
            </w:r>
          </w:p>
        </w:tc>
        <w:tc>
          <w:tcPr>
            <w:tcW w:w="1417" w:type="dxa"/>
            <w:shd w:val="clear" w:color="auto" w:fill="C6EFCE"/>
            <w:noWrap/>
            <w:vAlign w:val="center"/>
          </w:tcPr>
          <w:p w14:paraId="433C9D27" w14:textId="77777777" w:rsidR="003F5418" w:rsidRDefault="002A6C25">
            <w:pPr>
              <w:pStyle w:val="P68B1DB1-Normal4"/>
              <w:jc w:val="center"/>
              <w:rPr>
                <w:rFonts w:cs="Arial"/>
                <w:noProof/>
              </w:rPr>
            </w:pPr>
            <w:r>
              <w:rPr>
                <w:noProof/>
              </w:rPr>
              <w:t>0</w:t>
            </w:r>
          </w:p>
        </w:tc>
        <w:tc>
          <w:tcPr>
            <w:tcW w:w="1425" w:type="dxa"/>
            <w:shd w:val="clear" w:color="auto" w:fill="C6EFCE"/>
            <w:noWrap/>
            <w:vAlign w:val="center"/>
          </w:tcPr>
          <w:p w14:paraId="0765AF52" w14:textId="77777777" w:rsidR="003F5418" w:rsidRDefault="002A6C25">
            <w:pPr>
              <w:pStyle w:val="P68B1DB1-Normal4"/>
              <w:jc w:val="center"/>
              <w:rPr>
                <w:rFonts w:cs="Arial"/>
                <w:noProof/>
              </w:rPr>
            </w:pPr>
            <w:r>
              <w:rPr>
                <w:noProof/>
              </w:rPr>
              <w:t>2 000 000</w:t>
            </w:r>
          </w:p>
        </w:tc>
        <w:tc>
          <w:tcPr>
            <w:tcW w:w="843" w:type="dxa"/>
            <w:shd w:val="clear" w:color="auto" w:fill="C6EFCE"/>
            <w:noWrap/>
            <w:vAlign w:val="center"/>
          </w:tcPr>
          <w:p w14:paraId="6303A192" w14:textId="77777777" w:rsidR="003F5418" w:rsidRDefault="002A6C25">
            <w:pPr>
              <w:pStyle w:val="P68B1DB1-Normal4"/>
              <w:jc w:val="center"/>
              <w:rPr>
                <w:rFonts w:cs="Arial"/>
                <w:noProof/>
              </w:rPr>
            </w:pPr>
            <w:r>
              <w:rPr>
                <w:noProof/>
              </w:rPr>
              <w:t>Q2</w:t>
            </w:r>
          </w:p>
        </w:tc>
        <w:tc>
          <w:tcPr>
            <w:tcW w:w="567" w:type="dxa"/>
            <w:shd w:val="clear" w:color="auto" w:fill="C6EFCE"/>
            <w:noWrap/>
            <w:vAlign w:val="center"/>
          </w:tcPr>
          <w:p w14:paraId="1D5A5481" w14:textId="77777777" w:rsidR="003F5418" w:rsidRDefault="002A6C25">
            <w:pPr>
              <w:pStyle w:val="P68B1DB1-Normal4"/>
              <w:jc w:val="center"/>
              <w:rPr>
                <w:rFonts w:cs="Arial"/>
                <w:noProof/>
              </w:rPr>
            </w:pPr>
            <w:r>
              <w:rPr>
                <w:noProof/>
              </w:rPr>
              <w:t>2026</w:t>
            </w:r>
          </w:p>
        </w:tc>
        <w:tc>
          <w:tcPr>
            <w:tcW w:w="2977" w:type="dxa"/>
            <w:shd w:val="clear" w:color="auto" w:fill="C6EFCE"/>
            <w:noWrap/>
            <w:vAlign w:val="center"/>
          </w:tcPr>
          <w:p w14:paraId="2D689302" w14:textId="77777777" w:rsidR="003F5418" w:rsidRDefault="002A6C25">
            <w:pPr>
              <w:pStyle w:val="P68B1DB1-Normal4"/>
              <w:spacing w:after="120"/>
              <w:rPr>
                <w:rFonts w:cs="Arial"/>
                <w:noProof/>
              </w:rPr>
            </w:pPr>
            <w:r>
              <w:rPr>
                <w:noProof/>
              </w:rPr>
              <w:t xml:space="preserve">Legalább 2000000 </w:t>
            </w:r>
            <w:r>
              <w:rPr>
                <w:noProof/>
              </w:rPr>
              <w:t>polgár vesz részt a digitális könnyítési központok által nyújtott digitális oktatási és/vagy könnyítési kezdeményezésekben.</w:t>
            </w:r>
          </w:p>
          <w:p w14:paraId="1FDC8BC5" w14:textId="77777777" w:rsidR="003F5418" w:rsidRDefault="002A6C25">
            <w:pPr>
              <w:pStyle w:val="P68B1DB1-Normal4"/>
              <w:spacing w:after="120"/>
              <w:rPr>
                <w:rFonts w:cs="Arial"/>
                <w:noProof/>
              </w:rPr>
            </w:pPr>
            <w:r>
              <w:rPr>
                <w:noProof/>
              </w:rPr>
              <w:t>A cél eléréséhez figyelembe vett képzési tevékenységek a következők:</w:t>
            </w:r>
          </w:p>
          <w:p w14:paraId="6AEAC873" w14:textId="77777777" w:rsidR="003F5418" w:rsidRDefault="002A6C25">
            <w:pPr>
              <w:pStyle w:val="P68B1DB1-Normal4"/>
              <w:rPr>
                <w:rFonts w:cs="Arial"/>
                <w:noProof/>
              </w:rPr>
            </w:pPr>
            <w:r>
              <w:rPr>
                <w:noProof/>
              </w:rPr>
              <w:t>személyre szabott, személyre szabott digitális oktatási és/vagy</w:t>
            </w:r>
            <w:r>
              <w:rPr>
                <w:noProof/>
              </w:rPr>
              <w:t xml:space="preserve"> könnyítési kezdeményezések digitális könnyítési módszerek révén, amelyeket jellemzően a szolgáltatásfoglalás alapján hajtanak végre és rögzítenek a nyomonkövetési rendszerben;</w:t>
            </w:r>
          </w:p>
          <w:p w14:paraId="4C18D358" w14:textId="77777777" w:rsidR="003F5418" w:rsidRDefault="002A6C25">
            <w:pPr>
              <w:pStyle w:val="P68B1DB1-Normal4"/>
              <w:rPr>
                <w:rFonts w:cs="Arial"/>
                <w:noProof/>
              </w:rPr>
            </w:pPr>
            <w:r>
              <w:rPr>
                <w:noProof/>
              </w:rPr>
              <w:t>b) a polgárok digitális készségeinek fejlesztését célzó személyes és online dig</w:t>
            </w:r>
            <w:r>
              <w:rPr>
                <w:noProof/>
              </w:rPr>
              <w:t>itális oktatási és/vagy könnyítési kezdeményezések, amelyeket a digitális támogató központok egyidejűleg hajtanak végre és rögzítenek a nyomonkövetési rendszerben;</w:t>
            </w:r>
          </w:p>
          <w:p w14:paraId="6F70C2A3" w14:textId="77777777" w:rsidR="003F5418" w:rsidRDefault="002A6C25">
            <w:pPr>
              <w:pStyle w:val="P68B1DB1-Normal4"/>
              <w:spacing w:after="120"/>
              <w:rPr>
                <w:rFonts w:cs="Arial"/>
                <w:noProof/>
              </w:rPr>
            </w:pPr>
            <w:r>
              <w:rPr>
                <w:noProof/>
              </w:rPr>
              <w:t>a polgárok digitális készségeinek fejlesztésére irányuló online digitális oktatási és/vagy k</w:t>
            </w:r>
            <w:r>
              <w:rPr>
                <w:noProof/>
              </w:rPr>
              <w:t>önnyítési kezdeményezések, amelyek célja a polgárok digitális készségeinek fejlesztése, akár öntanulási és aszinkron üzemmódban is, de szükségszerűen a nyomonkövetési rendszerben bejelentett regisztrációval, amelyet a digitális könnyítési szolgáltatások há</w:t>
            </w:r>
            <w:r>
              <w:rPr>
                <w:noProof/>
              </w:rPr>
              <w:t>lózata által készített és a végrehajtott tudásmenedzsment-rendszerből hozzáférhető képzési katalógus részeként hajtanak végre.</w:t>
            </w:r>
          </w:p>
        </w:tc>
      </w:tr>
      <w:tr w:rsidR="003F5418" w14:paraId="5FF5A0B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FA462" w14:textId="77777777" w:rsidR="003F5418" w:rsidRDefault="002A6C25">
            <w:pPr>
              <w:pStyle w:val="P68B1DB1-Normal4"/>
              <w:jc w:val="center"/>
              <w:rPr>
                <w:rFonts w:cs="Arial"/>
                <w:noProof/>
              </w:rPr>
            </w:pPr>
            <w:r>
              <w:rPr>
                <w:noProof/>
              </w:rPr>
              <w:t>M1C1–29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11F7E8" w14:textId="77777777" w:rsidR="003F5418" w:rsidRDefault="002A6C25">
            <w:pPr>
              <w:pStyle w:val="P68B1DB1-Normal4"/>
              <w:jc w:val="center"/>
              <w:rPr>
                <w:rFonts w:cs="Arial"/>
                <w:noProof/>
              </w:rPr>
            </w:pPr>
            <w:r>
              <w:rPr>
                <w:noProof/>
              </w:rPr>
              <w:t>Reform: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602A85"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4BF35E" w14:textId="77777777" w:rsidR="003F5418" w:rsidRDefault="002A6C25">
            <w:pPr>
              <w:pStyle w:val="P68B1DB1-Normal4"/>
              <w:jc w:val="center"/>
              <w:rPr>
                <w:rFonts w:cs="Arial"/>
                <w:noProof/>
              </w:rPr>
            </w:pPr>
            <w:r>
              <w:rPr>
                <w:noProof/>
              </w:rPr>
              <w:t xml:space="preserve">A polgári igazságszolgáltatási reformot lehetővé tevő </w:t>
            </w:r>
            <w:r>
              <w:rPr>
                <w:noProof/>
              </w:rPr>
              <w:t>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C43D88" w14:textId="77777777" w:rsidR="003F5418" w:rsidRDefault="002A6C25">
            <w:pPr>
              <w:pStyle w:val="P68B1DB1-Normal4"/>
              <w:jc w:val="center"/>
              <w:rPr>
                <w:rFonts w:cs="Arial"/>
                <w:noProof/>
              </w:rPr>
            </w:pPr>
            <w:r>
              <w:rPr>
                <w:noProof/>
              </w:rPr>
              <w:t>A felhatalmazó jogszabály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9824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842B2"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73A37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540A4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1B99D7"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E9A898" w14:textId="77777777" w:rsidR="003F5418" w:rsidRDefault="002A6C25">
            <w:pPr>
              <w:pStyle w:val="P68B1DB1-Normal4"/>
              <w:rPr>
                <w:rFonts w:cs="Arial"/>
                <w:noProof/>
              </w:rPr>
            </w:pPr>
            <w:r>
              <w:rPr>
                <w:noProof/>
              </w:rPr>
              <w:t xml:space="preserve">A felhatalmazó jogszabálynak legalább a következő intézkedéseket kell tartalmaznia: egyszerűsített eljárás bevezetése </w:t>
            </w:r>
            <w:r>
              <w:rPr>
                <w:noProof/>
              </w:rPr>
              <w:t>elsőfokú/tárgyalási szinten, valamint az „szűrési eljárások” alkalmazásának megerősítése fellebbezési szinten, beleértve az egyszerűsített eljárások szélesebb körű alkalmazását és azon ügyek körét, amelyekben az egyesbíró hatáskörrel rendelkezik a határoza</w:t>
            </w:r>
            <w:r>
              <w:rPr>
                <w:noProof/>
              </w:rPr>
              <w:t>thozatalra; biztosítsa az eljárásokra vonatkozó kötelező határidők tényleges végrehajtását, valamint a bizonyítékok összegyűjtésére és a vonatkozó jogi aktusok és dokumentumok elektronikus úton történő benyújtására vonatkozó menetrendet; a közvetítés és az</w:t>
            </w:r>
            <w:r>
              <w:rPr>
                <w:noProof/>
              </w:rPr>
              <w:t xml:space="preserve"> alternatív vitarendezés alkalmazásának reformja a támogatott közvetítéssel, választottbíráskodással és bármely más lehetséges alternatívával együtt annak érdekében, hogy ezek az intézmények – többek között ösztönzők révén – hatékonyabban csökkentsék a pol</w:t>
            </w:r>
            <w:r>
              <w:rPr>
                <w:noProof/>
              </w:rPr>
              <w:t>gári igazságszolgáltatási rendszerre nehezedő nyomást; a kényszervégrehajtási eljárás megreformálása a meglévő átlagos idő csökkentése érdekében, beleértve az esedékessé nyilvánított összegek végrehajtásának felgyorsítását és olcsóbbá tételét; a komolytala</w:t>
            </w:r>
            <w:r>
              <w:rPr>
                <w:noProof/>
              </w:rPr>
              <w:t>n jogviták csökkentése érdekében reformálja meg a jogi költségek számszerűsítésének és visszakövetelhetőségének jelenlegi rendszerét; V) bírósági szintű nyomonkövetési rendszer bevezetése és a polgári bíróságok termelékenységének növelése olyan ösztönzők r</w:t>
            </w:r>
            <w:r>
              <w:rPr>
                <w:noProof/>
              </w:rPr>
              <w:t>évén, amelyek biztosítják az eljárások észszerű időtartamát és a bíróságok közötti egységes teljesítményt.</w:t>
            </w:r>
          </w:p>
        </w:tc>
      </w:tr>
      <w:tr w:rsidR="003F5418" w14:paraId="08B6ED3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46479" w14:textId="77777777" w:rsidR="003F5418" w:rsidRDefault="002A6C25">
            <w:pPr>
              <w:pStyle w:val="P68B1DB1-Normal4"/>
              <w:jc w:val="center"/>
              <w:rPr>
                <w:rFonts w:cs="Arial"/>
                <w:noProof/>
              </w:rPr>
            </w:pPr>
            <w:r>
              <w:rPr>
                <w:noProof/>
              </w:rPr>
              <w:t>M1C1–30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2F72CA" w14:textId="77777777" w:rsidR="003F5418" w:rsidRDefault="002A6C25">
            <w:pPr>
              <w:pStyle w:val="P68B1DB1-Normal4"/>
              <w:jc w:val="center"/>
              <w:rPr>
                <w:rFonts w:cs="Arial"/>
                <w:noProof/>
              </w:rPr>
            </w:pPr>
            <w:r>
              <w:rPr>
                <w:noProof/>
              </w:rPr>
              <w:t>Reform: A büntető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37A89"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0BABB" w14:textId="77777777" w:rsidR="003F5418" w:rsidRDefault="002A6C25">
            <w:pPr>
              <w:pStyle w:val="P68B1DB1-Normal4"/>
              <w:jc w:val="center"/>
              <w:rPr>
                <w:rFonts w:cs="Arial"/>
                <w:noProof/>
              </w:rPr>
            </w:pPr>
            <w:r>
              <w:rPr>
                <w:noProof/>
              </w:rPr>
              <w:t>A büntető igazságszolgáltatás reformját lehetővé tevő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584D0F" w14:textId="77777777" w:rsidR="003F5418" w:rsidRDefault="002A6C25">
            <w:pPr>
              <w:pStyle w:val="P68B1DB1-Normal4"/>
              <w:jc w:val="center"/>
              <w:rPr>
                <w:rFonts w:cs="Arial"/>
                <w:noProof/>
              </w:rPr>
            </w:pPr>
            <w:r>
              <w:rPr>
                <w:noProof/>
              </w:rPr>
              <w:t>A</w:t>
            </w:r>
            <w:r>
              <w:rPr>
                <w:noProof/>
              </w:rPr>
              <w:t xml:space="preserve"> felhatalmazó jogszabály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109F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386C5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26D54"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8E9E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1700D"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745A3F" w14:textId="5D02A1CD" w:rsidR="003F5418" w:rsidRDefault="002A6C25">
            <w:pPr>
              <w:pStyle w:val="P68B1DB1-Normal4"/>
              <w:spacing w:after="120"/>
              <w:rPr>
                <w:rFonts w:cs="Arial"/>
                <w:noProof/>
              </w:rPr>
            </w:pPr>
            <w:r>
              <w:rPr>
                <w:noProof/>
              </w:rPr>
              <w:t>Felhatalmazó jogszabályok, amelyek legalább a következő intézkedéseket tartalmazzák: i. felülvizsgált értesítési rendszer, ii. az egyszerűsített eljárások sz</w:t>
            </w:r>
            <w:r>
              <w:rPr>
                <w:noProof/>
              </w:rPr>
              <w:t>élesebb körű alkalmazása, iii. az iratok elektronikus úton történő benyújtásának szélesebb körű alkalmazása, iv. a bizonyítékokra vonatkozó egyszerűsített szabályok, v</w:t>
            </w:r>
            <w:r w:rsidR="00BA2714">
              <w:rPr>
                <w:noProof/>
              </w:rPr>
              <w:t>.</w:t>
            </w:r>
            <w:r>
              <w:rPr>
                <w:noProof/>
              </w:rPr>
              <w:t xml:space="preserve"> az előzetes nyomozás időtartamára vonatkozó határidők meghatározása és a vizsgálati sza</w:t>
            </w:r>
            <w:r>
              <w:rPr>
                <w:noProof/>
              </w:rPr>
              <w:t>kaszban a stagnálás elkerülését célzó intézkedések, vi. a bűncselekmény megszüntetésére vonatkozó lehetőség kiterjesztése kártérítés esetén, vii. a bírósági szintű nyomonkövetési rendszer bevezetése és a büntetőbíróságok termelékenységének növelése az eljá</w:t>
            </w:r>
            <w:r>
              <w:rPr>
                <w:noProof/>
              </w:rPr>
              <w:t>rások észszerű időtartamának és a bíróságok közötti egységes teljesítménynek a biztosítására irányuló ösztönzők révén.</w:t>
            </w:r>
          </w:p>
        </w:tc>
      </w:tr>
      <w:tr w:rsidR="003F5418" w14:paraId="14596F1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B73803" w14:textId="77777777" w:rsidR="003F5418" w:rsidRDefault="002A6C25">
            <w:pPr>
              <w:pStyle w:val="P68B1DB1-Normal4"/>
              <w:jc w:val="center"/>
              <w:rPr>
                <w:rFonts w:cs="Arial"/>
                <w:noProof/>
              </w:rPr>
            </w:pPr>
            <w:r>
              <w:rPr>
                <w:noProof/>
              </w:rPr>
              <w:t>M1C1–31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CAD8C" w14:textId="77777777" w:rsidR="003F5418" w:rsidRDefault="002A6C25">
            <w:pPr>
              <w:pStyle w:val="P68B1DB1-Normal4"/>
              <w:jc w:val="center"/>
              <w:rPr>
                <w:rFonts w:cs="Arial"/>
                <w:noProof/>
              </w:rPr>
            </w:pPr>
            <w:r>
              <w:rPr>
                <w:noProof/>
              </w:rPr>
              <w:t>Reform: A fizetésképtelenségi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CAA169"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F12E8" w14:textId="77777777" w:rsidR="003F5418" w:rsidRDefault="002A6C25">
            <w:pPr>
              <w:pStyle w:val="P68B1DB1-Normal4"/>
              <w:jc w:val="center"/>
              <w:rPr>
                <w:rFonts w:cs="Arial"/>
                <w:noProof/>
              </w:rPr>
            </w:pPr>
            <w:r>
              <w:rPr>
                <w:noProof/>
              </w:rPr>
              <w:t xml:space="preserve">A fizetésképtelenségi reform keretrendszerét lehetővé tevő jogszabályok </w:t>
            </w:r>
            <w:r>
              <w:rPr>
                <w:noProof/>
              </w:rPr>
              <w:t>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A53F5A" w14:textId="77777777" w:rsidR="003F5418" w:rsidRDefault="002A6C25">
            <w:pPr>
              <w:pStyle w:val="P68B1DB1-Normal4"/>
              <w:jc w:val="center"/>
              <w:rPr>
                <w:rFonts w:cs="Arial"/>
                <w:noProof/>
              </w:rPr>
            </w:pPr>
            <w:r>
              <w:rPr>
                <w:noProof/>
              </w:rPr>
              <w:t>A felhatalmazó jogszabály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16D8"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52A53"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B55B11"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735565"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FE2B4"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C8D327" w14:textId="77777777" w:rsidR="003F5418" w:rsidRDefault="002A6C25">
            <w:pPr>
              <w:pStyle w:val="P68B1DB1-Normal4"/>
              <w:spacing w:after="120"/>
              <w:rPr>
                <w:rFonts w:cs="Arial"/>
                <w:noProof/>
              </w:rPr>
            </w:pPr>
            <w:r>
              <w:rPr>
                <w:noProof/>
              </w:rPr>
              <w:t>A fizetésképtelenségi reformnak legalább a következő intézkedéseket kell tartalmaznia: a peren kívüli rendezési megállapodások felülvizsgálat</w:t>
            </w:r>
            <w:r>
              <w:rPr>
                <w:noProof/>
              </w:rPr>
              <w:t>a azon területek azonosítása érdekében, amelyeken további javításokra lehet szükség annak érdekében, hogy az érintett feleket az ilyen eljárások fokozott igénybevételére ösztönözzék; korai előrejelző mechanizmusok bevezetése és az információkhoz való hozzá</w:t>
            </w:r>
            <w:r>
              <w:rPr>
                <w:noProof/>
              </w:rPr>
              <w:t>férés a fizetésképtelenségi szakaszt megelőzően; a fizetésképtelenségi eljárásokat kezelő bíróságok (kereskedelmi jog, fizetésképtelenségi tanács/bíróság) és bíróság előtti intézmények szakosodása felé való elmozdulás; annak lehetővé tétele, hogy a biztosí</w:t>
            </w:r>
            <w:r>
              <w:rPr>
                <w:noProof/>
              </w:rPr>
              <w:t>tott hitelezőket először kifizessék (adókövetelések és munkavállalói követelések előtt); v. annak lehetővé tétele a vállalkozások számára, hogy nem egyedi biztonsági jogot biztosítsanak. A fizetésképtelenségi reform kiegészítéseként biztosítani kell a szer</w:t>
            </w:r>
            <w:r>
              <w:rPr>
                <w:noProof/>
              </w:rPr>
              <w:t>kezetátalakítási eljárásokkal foglalkozó igazságügyi és közigazgatási hatóságok tagjainak képzését és szakosodását, valamint a szerkezetátalakítási és fizetésképtelenségi eljárások általános digitalizálását, valamint a jogviták peren kívüli rendezésére szo</w:t>
            </w:r>
            <w:r>
              <w:rPr>
                <w:noProof/>
              </w:rPr>
              <w:t>lgáló online platform létrehozását, különösen a fizetésképtelenséget megelőző szakaszban, amelynek használatát ösztönözni kell az igazságszolgáltatás terheinek csökkentése érdekében (fizetésképtelenséget megelőző szerkezetátalakítási kérelmek, többoldalú s</w:t>
            </w:r>
            <w:r>
              <w:rPr>
                <w:noProof/>
              </w:rPr>
              <w:t>zerkezetátalakítások előmozdítása, valamint az előzetesen jóváhagyott automatizált szerkezetátalakítási eljárások és a kis értékű esetekre vonatkozó állásfoglalások lehetővé tétele). Ez az online platform biztosítja a bankok informatikai rendszereivel, val</w:t>
            </w:r>
            <w:r>
              <w:rPr>
                <w:noProof/>
              </w:rPr>
              <w:t>amint más hatóságokkal és adatbázisokkal való interoperabilitást is annak érdekében, hogy biztosítsa a dokumentumok és adatok adósok és hitelezők közötti gyors, elektronikus cseréjét. E célból a kérelmező (az adós) hozzájárulását adja személyes adatainak a</w:t>
            </w:r>
            <w:r>
              <w:rPr>
                <w:noProof/>
              </w:rPr>
              <w:t>z általános adatvédelmi rendelettel összhangban történő cseréjéhez, és ezt a rendelkezést bele kell foglalni a jogszabályba. A reformnak létre kell hoznia a biztosítékok nyilvántartását.</w:t>
            </w:r>
          </w:p>
        </w:tc>
      </w:tr>
      <w:tr w:rsidR="003F5418" w14:paraId="6CF6496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086D3F" w14:textId="77777777" w:rsidR="003F5418" w:rsidRDefault="002A6C25">
            <w:pPr>
              <w:pStyle w:val="P68B1DB1-Normal4"/>
              <w:jc w:val="center"/>
              <w:rPr>
                <w:rFonts w:cs="Arial"/>
                <w:noProof/>
              </w:rPr>
            </w:pPr>
            <w:r>
              <w:rPr>
                <w:noProof/>
              </w:rPr>
              <w:t>M1C1–32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53EF30" w14:textId="77777777" w:rsidR="003F5418" w:rsidRDefault="002A6C25">
            <w:pPr>
              <w:pStyle w:val="P68B1DB1-Normal4"/>
              <w:jc w:val="center"/>
              <w:rPr>
                <w:rFonts w:cs="Arial"/>
                <w:noProof/>
              </w:rPr>
            </w:pPr>
            <w:r>
              <w:rPr>
                <w:noProof/>
              </w:rPr>
              <w:t xml:space="preserve">Beruházás: A polgári, büntető és közigazgatási bíróságok </w:t>
            </w:r>
            <w:r>
              <w:rPr>
                <w:noProof/>
              </w:rPr>
              <w:t>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BF47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ADF530" w14:textId="77777777" w:rsidR="003F5418" w:rsidRDefault="002A6C25">
            <w:pPr>
              <w:pStyle w:val="P68B1DB1-Normal4"/>
              <w:jc w:val="center"/>
              <w:rPr>
                <w:rFonts w:cs="Arial"/>
                <w:noProof/>
              </w:rPr>
            </w:pPr>
            <w:r>
              <w:rPr>
                <w:noProof/>
              </w:rPr>
              <w:t>A nemzeti helyreállítási és rezilienciaépítési terv munkaerő-felvételét szabályozó külön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3ED42" w14:textId="77777777" w:rsidR="003F5418" w:rsidRDefault="002A6C25">
            <w:pPr>
              <w:pStyle w:val="P68B1DB1-Normal4"/>
              <w:jc w:val="center"/>
              <w:rPr>
                <w:rFonts w:cs="Arial"/>
                <w:noProof/>
              </w:rPr>
            </w:pPr>
            <w:r>
              <w:rPr>
                <w:noProof/>
              </w:rPr>
              <w:t xml:space="preserve">A nemzeti helyreállítási és rezilienciaépítési terv munkaerő-felvételét szabályozó külön jogszabály </w:t>
            </w:r>
            <w:r>
              <w:rPr>
                <w:noProof/>
              </w:rPr>
              <w:t>hatálybalépését előíró jogszabályi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D1C701"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CC5CE2"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43D1D"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97AC6"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7AD5B"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727B70" w14:textId="77777777" w:rsidR="003F5418" w:rsidRDefault="002A6C25">
            <w:pPr>
              <w:pStyle w:val="P68B1DB1-Normal4"/>
              <w:spacing w:after="120"/>
              <w:rPr>
                <w:rFonts w:cs="Arial"/>
                <w:noProof/>
              </w:rPr>
            </w:pPr>
            <w:r>
              <w:rPr>
                <w:noProof/>
              </w:rPr>
              <w:t>A nemzeti helyreállítási és rezilienciaépítési tervre vonatkozó különleges jogszabályok jóváhagyása a hirdetésre és a munkaerő-felvételre vonatkozó engedéllyel.</w:t>
            </w:r>
          </w:p>
        </w:tc>
      </w:tr>
      <w:tr w:rsidR="003F5418" w14:paraId="4B85BF5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6C07AF" w14:textId="77777777" w:rsidR="003F5418" w:rsidRDefault="002A6C25">
            <w:pPr>
              <w:pStyle w:val="P68B1DB1-Normal4"/>
              <w:jc w:val="center"/>
              <w:rPr>
                <w:rFonts w:cs="Arial"/>
                <w:noProof/>
              </w:rPr>
            </w:pPr>
            <w:r>
              <w:rPr>
                <w:noProof/>
              </w:rPr>
              <w:t>M1C1–33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F8ED4" w14:textId="77777777" w:rsidR="003F5418" w:rsidRDefault="002A6C25">
            <w:pPr>
              <w:pStyle w:val="P68B1DB1-Normal4"/>
              <w:jc w:val="center"/>
              <w:rPr>
                <w:rFonts w:cs="Arial"/>
                <w:noProof/>
              </w:rPr>
            </w:pPr>
            <w:r>
              <w:rPr>
                <w:noProof/>
              </w:rPr>
              <w:t xml:space="preserve">Beruházás: A </w:t>
            </w:r>
            <w:r>
              <w:rPr>
                <w:noProof/>
              </w:rPr>
              <w:t>közigazgatási 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C7351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4C26D7" w14:textId="77777777" w:rsidR="003F5418" w:rsidRDefault="002A6C25">
            <w:pPr>
              <w:pStyle w:val="P68B1DB1-Normal4"/>
              <w:jc w:val="center"/>
              <w:rPr>
                <w:rFonts w:cs="Arial"/>
                <w:noProof/>
              </w:rPr>
            </w:pPr>
            <w:r>
              <w:rPr>
                <w:noProof/>
              </w:rPr>
              <w:t>A közigazgatási bíróságok felvételi eljárásainak megkezdése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AF97F"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C24C7D"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FD189A"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58079" w14:textId="77777777" w:rsidR="003F5418" w:rsidRDefault="002A6C25">
            <w:pPr>
              <w:pStyle w:val="P68B1DB1-Normal4"/>
              <w:jc w:val="center"/>
              <w:rPr>
                <w:rFonts w:cs="Arial"/>
                <w:noProof/>
              </w:rPr>
            </w:pPr>
            <w:r>
              <w:rPr>
                <w:noProof/>
              </w:rPr>
              <w:t>168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E7919"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8976F"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677FB" w14:textId="77777777" w:rsidR="003F5418" w:rsidRDefault="002A6C25">
            <w:pPr>
              <w:pStyle w:val="P68B1DB1-Normal4"/>
              <w:spacing w:after="120"/>
              <w:rPr>
                <w:rFonts w:cs="Arial"/>
                <w:noProof/>
              </w:rPr>
            </w:pPr>
            <w:r>
              <w:rPr>
                <w:noProof/>
              </w:rPr>
              <w:t xml:space="preserve">A vizsgálóhivatal és a közigazgatási bíróságok személyzetének legalább 168 egységének felvételére irányuló eljárás </w:t>
            </w:r>
            <w:r>
              <w:rPr>
                <w:noProof/>
              </w:rPr>
              <w:t>megkezdése, valamint az egységek szolgálatba helyezése. Az alapforgatókönyv a 2021. december 31-én szolgálatban lévő személyzet létszáma.</w:t>
            </w:r>
          </w:p>
        </w:tc>
      </w:tr>
      <w:tr w:rsidR="003F5418" w14:paraId="28D1486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B0AE8" w14:textId="77777777" w:rsidR="003F5418" w:rsidRDefault="002A6C25">
            <w:pPr>
              <w:pStyle w:val="P68B1DB1-Normal4"/>
              <w:jc w:val="center"/>
              <w:rPr>
                <w:rFonts w:cs="Arial"/>
                <w:noProof/>
              </w:rPr>
            </w:pPr>
            <w:r>
              <w:rPr>
                <w:noProof/>
              </w:rPr>
              <w:t>M1C1–34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AE41FE" w14:textId="77777777" w:rsidR="003F5418" w:rsidRDefault="002A6C25">
            <w:pPr>
              <w:pStyle w:val="P68B1DB1-Normal4"/>
              <w:jc w:val="center"/>
              <w:rPr>
                <w:rFonts w:cs="Arial"/>
                <w:noProof/>
              </w:rPr>
            </w:pPr>
            <w:r>
              <w:rPr>
                <w:noProof/>
              </w:rPr>
              <w:t>Beruházás: A polgári és büntetőbíróságok ítélkező hivatalának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2693B2"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FD1F8F" w14:textId="77777777" w:rsidR="003F5418" w:rsidRDefault="002A6C25">
            <w:pPr>
              <w:pStyle w:val="P68B1DB1-Normal4"/>
              <w:jc w:val="center"/>
              <w:rPr>
                <w:rFonts w:cs="Arial"/>
                <w:noProof/>
              </w:rPr>
            </w:pPr>
            <w:r>
              <w:rPr>
                <w:noProof/>
              </w:rPr>
              <w:t xml:space="preserve">A polgári és </w:t>
            </w:r>
            <w:r>
              <w:rPr>
                <w:noProof/>
              </w:rPr>
              <w:t>büntetőbíróságok felvételi eljárásainak megkezdése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B0693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C172FE"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655875"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F66B5" w14:textId="77777777" w:rsidR="003F5418" w:rsidRDefault="002A6C25">
            <w:pPr>
              <w:pStyle w:val="P68B1DB1-Normal4"/>
              <w:jc w:val="center"/>
              <w:rPr>
                <w:rFonts w:cs="Arial"/>
                <w:noProof/>
              </w:rPr>
            </w:pPr>
            <w:r>
              <w:rPr>
                <w:noProof/>
              </w:rPr>
              <w:t>8 764</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13FE4D"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0FB3ED"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7670C7" w14:textId="77777777" w:rsidR="003F5418" w:rsidRDefault="002A6C25">
            <w:pPr>
              <w:pStyle w:val="P68B1DB1-Normal4"/>
              <w:spacing w:after="120"/>
              <w:rPr>
                <w:rFonts w:cs="Arial"/>
                <w:noProof/>
              </w:rPr>
            </w:pPr>
            <w:r>
              <w:rPr>
                <w:noProof/>
              </w:rPr>
              <w:t xml:space="preserve">A polgári és büntetőbíróságok tárgyalására szolgáló legalább 8 764 egység személyzeti felvételi eljárásának megkezdése és szolgálatba helyezése. Az alapforgatókönyv a személyzet </w:t>
            </w:r>
            <w:r>
              <w:rPr>
                <w:noProof/>
              </w:rPr>
              <w:t>2021 végi létszáma.</w:t>
            </w:r>
          </w:p>
        </w:tc>
      </w:tr>
      <w:tr w:rsidR="003F5418" w14:paraId="7EFC53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5808" w14:textId="77777777" w:rsidR="003F5418" w:rsidRDefault="002A6C25">
            <w:pPr>
              <w:pStyle w:val="P68B1DB1-Normal4"/>
              <w:jc w:val="center"/>
              <w:rPr>
                <w:rFonts w:cs="Arial"/>
                <w:noProof/>
              </w:rPr>
            </w:pPr>
            <w:r>
              <w:rPr>
                <w:noProof/>
              </w:rPr>
              <w:t>M1C1–35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423454" w14:textId="77777777" w:rsidR="003F5418" w:rsidRDefault="002A6C25">
            <w:pPr>
              <w:pStyle w:val="P68B1DB1-Normal4"/>
              <w:jc w:val="center"/>
              <w:rPr>
                <w:rFonts w:cs="Arial"/>
                <w:noProof/>
              </w:rPr>
            </w:pPr>
            <w:r>
              <w:rPr>
                <w:noProof/>
              </w:rPr>
              <w:t>Reform: Az adóügyi bíróságok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DE3316"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AB227" w14:textId="77777777" w:rsidR="003F5418" w:rsidRDefault="002A6C25">
            <w:pPr>
              <w:pStyle w:val="P68B1DB1-Normal4"/>
              <w:jc w:val="center"/>
              <w:rPr>
                <w:rFonts w:cs="Arial"/>
                <w:noProof/>
              </w:rPr>
            </w:pPr>
            <w:r>
              <w:rPr>
                <w:noProof/>
              </w:rPr>
              <w:t>Az elsőfokú és másodfokú adóügyi bíróságok átfogó reformja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14FDF" w14:textId="77777777" w:rsidR="003F5418" w:rsidRDefault="002A6C25">
            <w:pPr>
              <w:pStyle w:val="P68B1DB1-Normal4"/>
              <w:jc w:val="center"/>
              <w:rPr>
                <w:rFonts w:cs="Arial"/>
                <w:noProof/>
              </w:rPr>
            </w:pPr>
            <w:r>
              <w:rPr>
                <w:noProof/>
              </w:rPr>
              <w:t>A törvénynek a felülvizsgált jogi keret hatálybalépését feltüntető rendelkezése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11DF59"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24228"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0D6CA"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CF08E"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854417"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1EB4A" w14:textId="77777777" w:rsidR="003F5418" w:rsidRDefault="002A6C25">
            <w:pPr>
              <w:pStyle w:val="P68B1DB1-Normal4"/>
              <w:spacing w:after="120"/>
              <w:rPr>
                <w:rFonts w:cs="Arial"/>
                <w:noProof/>
              </w:rPr>
            </w:pPr>
            <w:r>
              <w:rPr>
                <w:noProof/>
              </w:rPr>
              <w:t xml:space="preserve">A </w:t>
            </w:r>
            <w:r>
              <w:rPr>
                <w:noProof/>
              </w:rPr>
              <w:t>felülvizsgált jogi keret hatékonyabbá teszi az adójog érvényesítését, és csökkenti a Semmítőszékhez benyújtott fellebbezések nagy számát.</w:t>
            </w:r>
          </w:p>
        </w:tc>
      </w:tr>
      <w:tr w:rsidR="003F5418" w14:paraId="694D5B8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C36A3" w14:textId="77777777" w:rsidR="003F5418" w:rsidRDefault="002A6C25">
            <w:pPr>
              <w:pStyle w:val="P68B1DB1-Normal4"/>
              <w:jc w:val="center"/>
              <w:rPr>
                <w:rFonts w:cs="Arial"/>
                <w:noProof/>
              </w:rPr>
            </w:pPr>
            <w:r>
              <w:rPr>
                <w:noProof/>
              </w:rPr>
              <w:t>M1C1–36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8E429" w14:textId="77777777" w:rsidR="003F5418" w:rsidRDefault="002A6C25">
            <w:pPr>
              <w:pStyle w:val="P68B1DB1-Normal4"/>
              <w:jc w:val="center"/>
              <w:rPr>
                <w:rFonts w:cs="Arial"/>
                <w:noProof/>
              </w:rPr>
            </w:pPr>
            <w:r>
              <w:rPr>
                <w:noProof/>
              </w:rPr>
              <w:t xml:space="preserve">Az 1.4., 1.5. és 1.6. reform: A polgári és büntető igazságszolgáltatás reformja, valamint a </w:t>
            </w:r>
            <w:r>
              <w:rPr>
                <w:noProof/>
              </w:rPr>
              <w:t>fizetésképtelenség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959D50"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0C42D" w14:textId="77777777" w:rsidR="003F5418" w:rsidRDefault="002A6C25">
            <w:pPr>
              <w:pStyle w:val="P68B1DB1-Normal4"/>
              <w:jc w:val="center"/>
              <w:rPr>
                <w:rFonts w:cs="Arial"/>
                <w:noProof/>
              </w:rPr>
            </w:pPr>
            <w:r>
              <w:rPr>
                <w:noProof/>
              </w:rPr>
              <w:t>A polgári és büntető igazságszolgáltatási reformokra, valamint a fizetésképtelenségi reformra vonatkozó felhatalmazáson alapuló jogi aktusok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2E271" w14:textId="77777777" w:rsidR="003F5418" w:rsidRDefault="002A6C25">
            <w:pPr>
              <w:pStyle w:val="P68B1DB1-Normal4"/>
              <w:jc w:val="center"/>
              <w:rPr>
                <w:rFonts w:cs="Arial"/>
                <w:noProof/>
              </w:rPr>
            </w:pPr>
            <w:r>
              <w:rPr>
                <w:noProof/>
              </w:rPr>
              <w:t xml:space="preserve">A felhatalmazáson alapuló jogi aktusok hatálybalépését </w:t>
            </w:r>
            <w:r>
              <w:rPr>
                <w:noProof/>
              </w:rPr>
              <w:t>feltüntető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5D8B3"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7281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9C4C3"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8E2E7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99DCA8"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2E6CF" w14:textId="77777777" w:rsidR="003F5418" w:rsidRDefault="002A6C25">
            <w:pPr>
              <w:pStyle w:val="P68B1DB1-Normal4"/>
              <w:spacing w:after="120"/>
              <w:rPr>
                <w:rFonts w:cs="Arial"/>
                <w:noProof/>
              </w:rPr>
            </w:pPr>
            <w:r>
              <w:rPr>
                <w:noProof/>
              </w:rPr>
              <w:t>Valamennyi olyan felhatalmazáson alapuló jogi aktus hatálybalépése, amelynek tartalmát a polgári és büntető igazságszolgáltatási reformokra, valamint a fizetésképtelenségi reformra vonatkozó felhatalmazó jog</w:t>
            </w:r>
            <w:r>
              <w:rPr>
                <w:noProof/>
              </w:rPr>
              <w:t>szabályok tartalmazzák.</w:t>
            </w:r>
          </w:p>
        </w:tc>
      </w:tr>
      <w:tr w:rsidR="003F5418" w14:paraId="4F16452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BC4891" w14:textId="77777777" w:rsidR="003F5418" w:rsidRDefault="002A6C25">
            <w:pPr>
              <w:pStyle w:val="P68B1DB1-Normal4"/>
              <w:jc w:val="center"/>
              <w:rPr>
                <w:rFonts w:cs="Arial"/>
                <w:noProof/>
              </w:rPr>
            </w:pPr>
            <w:r>
              <w:rPr>
                <w:noProof/>
              </w:rPr>
              <w:t>M1C1–37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38C14F" w14:textId="77777777" w:rsidR="003F5418" w:rsidRDefault="002A6C25">
            <w:pPr>
              <w:pStyle w:val="P68B1DB1-Normal4"/>
              <w:jc w:val="center"/>
              <w:rPr>
                <w:rFonts w:cs="Arial"/>
                <w:noProof/>
              </w:rPr>
            </w:pPr>
            <w:r>
              <w:rPr>
                <w:noProof/>
              </w:rPr>
              <w:t>És 1.5. reform: A polgári és büntető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CDD59"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47DAB" w14:textId="77777777" w:rsidR="003F5418" w:rsidRDefault="002A6C25">
            <w:pPr>
              <w:pStyle w:val="P68B1DB1-Normal4"/>
              <w:jc w:val="center"/>
              <w:rPr>
                <w:rFonts w:cs="Arial"/>
                <w:noProof/>
              </w:rPr>
            </w:pPr>
            <w:r>
              <w:rPr>
                <w:noProof/>
              </w:rPr>
              <w:t>A polgári és büntető igazságszolgáltatási reform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75D6E6" w14:textId="77777777" w:rsidR="003F5418" w:rsidRDefault="002A6C25">
            <w:pPr>
              <w:pStyle w:val="P68B1DB1-Normal4"/>
              <w:jc w:val="center"/>
              <w:rPr>
                <w:rFonts w:cs="Arial"/>
                <w:noProof/>
              </w:rPr>
            </w:pPr>
            <w:r>
              <w:rPr>
                <w:noProof/>
              </w:rPr>
              <w:t xml:space="preserve">A másodlagos jogi aktusokban szereplő, a másodlagos jogi aktusok hatálybalépését </w:t>
            </w:r>
            <w:r>
              <w:rPr>
                <w:noProof/>
              </w:rPr>
              <w:t>feltüntető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1FDDC"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4C5A0"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E69C2"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C2134"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286AF"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5A34C" w14:textId="77777777" w:rsidR="003F5418" w:rsidRDefault="002A6C25">
            <w:pPr>
              <w:pStyle w:val="P68B1DB1-Normal4"/>
              <w:spacing w:after="120"/>
              <w:rPr>
                <w:rFonts w:cs="Arial"/>
                <w:noProof/>
              </w:rPr>
            </w:pPr>
            <w:r>
              <w:rPr>
                <w:noProof/>
              </w:rPr>
              <w:t>Az igazságügyi reformokat lehetővé tevő jogszabályok hatékony alkalmazásához szükséges valamennyi rendelet és másodlagos jogforrás elfogadásának befejezése.</w:t>
            </w:r>
          </w:p>
        </w:tc>
      </w:tr>
      <w:tr w:rsidR="003F5418" w14:paraId="795689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68630E" w14:textId="77777777" w:rsidR="003F5418" w:rsidRDefault="002A6C25">
            <w:pPr>
              <w:pStyle w:val="P68B1DB1-Normal4"/>
              <w:jc w:val="center"/>
              <w:rPr>
                <w:rFonts w:cs="Arial"/>
                <w:noProof/>
              </w:rPr>
            </w:pPr>
            <w:r>
              <w:rPr>
                <w:noProof/>
              </w:rPr>
              <w:t>M1C1–38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ACE128" w14:textId="77777777" w:rsidR="003F5418" w:rsidRDefault="002A6C25">
            <w:pPr>
              <w:pStyle w:val="P68B1DB1-Normal4"/>
              <w:jc w:val="center"/>
              <w:rPr>
                <w:rFonts w:cs="Arial"/>
                <w:noProof/>
              </w:rPr>
            </w:pPr>
            <w:r>
              <w:rPr>
                <w:noProof/>
              </w:rPr>
              <w:t xml:space="preserve">Reform: Az igazságszolgáltatás </w:t>
            </w:r>
            <w:r>
              <w:rPr>
                <w:noProof/>
              </w:rPr>
              <w:t>digitalizációja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6A9E7"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F0CBBF" w14:textId="77777777" w:rsidR="003F5418" w:rsidRDefault="002A6C25">
            <w:pPr>
              <w:pStyle w:val="P68B1DB1-Normal4"/>
              <w:jc w:val="center"/>
              <w:rPr>
                <w:rFonts w:cs="Arial"/>
                <w:noProof/>
              </w:rPr>
            </w:pPr>
            <w:r>
              <w:rPr>
                <w:noProof/>
              </w:rPr>
              <w:t>Az igazságszolgáltatási rendszer digitalizálása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54D81" w14:textId="77777777" w:rsidR="003F5418" w:rsidRDefault="002A6C25">
            <w:pPr>
              <w:pStyle w:val="P68B1DB1-Normal4"/>
              <w:jc w:val="center"/>
              <w:rPr>
                <w:rFonts w:cs="Arial"/>
                <w:noProof/>
              </w:rPr>
            </w:pPr>
            <w:r>
              <w:rPr>
                <w:noProof/>
              </w:rPr>
              <w:t>Az elsődleges és másodlagos jogi aktusokban a megfelelő jogi aktusok hatálybalépését feltüntető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B3616"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96DD4E"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B4E814"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3832F1"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6FBB3"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2EC0D" w14:textId="77777777" w:rsidR="003F5418" w:rsidRDefault="002A6C25">
            <w:pPr>
              <w:pStyle w:val="P68B1DB1-Normal4"/>
              <w:spacing w:after="120"/>
              <w:rPr>
                <w:rFonts w:cs="Arial"/>
                <w:noProof/>
              </w:rPr>
            </w:pPr>
            <w:r>
              <w:rPr>
                <w:noProof/>
              </w:rPr>
              <w:t xml:space="preserve">Létre kell hozni az összes dokumentum kötelező </w:t>
            </w:r>
            <w:r>
              <w:rPr>
                <w:noProof/>
              </w:rPr>
              <w:t>elektronikus iktatását és a polgári eljárásokra vonatkozó teljes elektronikus munkafolyamatot. Az elsőfokú büntetőeljárások digitalizáltak (kivéve az előzetes meghallgatási irodát). Ingyenes, teljes mértékben hozzáférhető és kereshető adatbázis létrehozása</w:t>
            </w:r>
            <w:r>
              <w:rPr>
                <w:noProof/>
              </w:rPr>
              <w:t xml:space="preserve"> a polgári döntésekről a jogszabályoknak megfelelően.</w:t>
            </w:r>
          </w:p>
        </w:tc>
      </w:tr>
      <w:tr w:rsidR="003F5418" w14:paraId="56C9BB2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581379" w14:textId="02E83432" w:rsidR="003F5418" w:rsidRDefault="002A6C25">
            <w:pPr>
              <w:pStyle w:val="P68B1DB1-Normal4"/>
              <w:jc w:val="center"/>
              <w:rPr>
                <w:rFonts w:cs="Arial"/>
                <w:noProof/>
              </w:rPr>
            </w:pPr>
            <w:r>
              <w:rPr>
                <w:noProof/>
              </w:rPr>
              <w:t>M1C1–38a. intézkedés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EFD982" w14:textId="5900C078" w:rsidR="003F5418" w:rsidRDefault="002A6C25">
            <w:pPr>
              <w:pStyle w:val="P68B1DB1-Normal4"/>
              <w:jc w:val="center"/>
              <w:rPr>
                <w:rFonts w:cs="Arial"/>
                <w:noProof/>
              </w:rPr>
            </w:pPr>
            <w:r>
              <w:rPr>
                <w:noProof/>
              </w:rPr>
              <w:t>Reform: Az igazságszolgáltatás digitalizációja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780DD1" w14:textId="0CE4906B"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6F09A" w14:textId="3784FDA9" w:rsidR="003F5418" w:rsidRDefault="002A6C25">
            <w:pPr>
              <w:pStyle w:val="P68B1DB1-Normal4"/>
              <w:jc w:val="center"/>
              <w:rPr>
                <w:rFonts w:cs="Arial"/>
                <w:noProof/>
              </w:rPr>
            </w:pPr>
            <w:r>
              <w:rPr>
                <w:noProof/>
              </w:rPr>
              <w:t>Az igazságszolgáltatási rendszer digitalizálása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393070" w14:textId="6A2B22AB" w:rsidR="003F5418" w:rsidRDefault="002A6C25">
            <w:pPr>
              <w:pStyle w:val="P68B1DB1-Normal4"/>
              <w:jc w:val="center"/>
              <w:rPr>
                <w:rFonts w:cs="Arial"/>
                <w:noProof/>
              </w:rPr>
            </w:pPr>
            <w:r>
              <w:rPr>
                <w:noProof/>
              </w:rPr>
              <w:t xml:space="preserve">A PNR, a PDP és az APP teljes körű működőképessé tétele és </w:t>
            </w:r>
            <w:r>
              <w:rPr>
                <w:noProof/>
              </w:rPr>
              <w:t>interoperabilitása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04397E" w14:textId="0917630A"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1E5376" w14:textId="2ECC1289"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74DB04" w14:textId="036D81AA"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2F9C0" w14:textId="5F66DAEE"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3417AA" w14:textId="44CF3B4A"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7C9139" w14:textId="3CD0F14C" w:rsidR="003F5418" w:rsidRDefault="002A6C25">
            <w:pPr>
              <w:pStyle w:val="P68B1DB1-Normal4"/>
              <w:spacing w:after="120"/>
              <w:rPr>
                <w:rFonts w:cs="Arial"/>
                <w:noProof/>
              </w:rPr>
            </w:pPr>
            <w:r>
              <w:rPr>
                <w:noProof/>
              </w:rPr>
              <w:t>Az elsőfokú büntetőeljárások teljes körű digitalizálása a „portale delle notizie di reato” (PNR), a „portale dei depositi penali” (PDP) és az „applicativo processo penale” (APP) révén. A platformoknak interoperá</w:t>
            </w:r>
            <w:r>
              <w:rPr>
                <w:noProof/>
              </w:rPr>
              <w:t>bilisaknak kell lenniük.</w:t>
            </w:r>
          </w:p>
        </w:tc>
      </w:tr>
      <w:tr w:rsidR="003F5418" w14:paraId="4E2AA8C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16C91" w14:textId="77777777" w:rsidR="003F5418" w:rsidRDefault="002A6C25">
            <w:pPr>
              <w:pStyle w:val="P68B1DB1-Normal4"/>
              <w:jc w:val="center"/>
              <w:rPr>
                <w:rFonts w:cs="Arial"/>
                <w:noProof/>
              </w:rPr>
            </w:pPr>
            <w:r>
              <w:rPr>
                <w:noProof/>
              </w:rPr>
              <w:t>M1C1–39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0EA2CE" w14:textId="77777777" w:rsidR="003F5418" w:rsidRDefault="002A6C25">
            <w:pPr>
              <w:pStyle w:val="P68B1DB1-Normal4"/>
              <w:jc w:val="center"/>
              <w:rPr>
                <w:rFonts w:cs="Arial"/>
                <w:noProof/>
              </w:rPr>
            </w:pPr>
            <w:r>
              <w:rPr>
                <w:noProof/>
              </w:rPr>
              <w:t>Beruházás: A polgári és büntetőbíróságok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8B884"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B6737" w14:textId="12884BB8" w:rsidR="003F5418" w:rsidRDefault="002A6C25">
            <w:pPr>
              <w:pStyle w:val="P68B1DB1-Normal4"/>
              <w:jc w:val="center"/>
              <w:rPr>
                <w:rFonts w:cs="Arial"/>
                <w:noProof/>
              </w:rPr>
            </w:pPr>
            <w:r>
              <w:rPr>
                <w:noProof/>
              </w:rPr>
              <w:t xml:space="preserve">A polgári és büntetőbíróságokra, valamint az Igazságügyi Minisztériumnak a helyreállítási és rezilienciaépítési terv végrehajtásáért felelős területi és </w:t>
            </w:r>
            <w:r>
              <w:rPr>
                <w:noProof/>
              </w:rPr>
              <w:t>központi szolgálataira vonatkozó munkaerő-felvételi vagy -bővítési eljárások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3527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907760"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08247"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2C6EB" w14:textId="77777777" w:rsidR="003F5418" w:rsidRDefault="002A6C25">
            <w:pPr>
              <w:pStyle w:val="P68B1DB1-Normal4"/>
              <w:jc w:val="center"/>
              <w:rPr>
                <w:rFonts w:cs="Arial"/>
                <w:noProof/>
              </w:rPr>
            </w:pPr>
            <w:r>
              <w:rPr>
                <w:noProof/>
              </w:rPr>
              <w:t>10 000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5F92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D3B6C4"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74B35" w14:textId="77777777" w:rsidR="003F5418" w:rsidRDefault="002A6C25">
            <w:pPr>
              <w:pStyle w:val="P68B1DB1-Normal4"/>
              <w:spacing w:after="120"/>
              <w:rPr>
                <w:rFonts w:cs="Arial"/>
                <w:noProof/>
              </w:rPr>
            </w:pPr>
            <w:r>
              <w:rPr>
                <w:noProof/>
              </w:rPr>
              <w:t>A vizsgálóhivatal és a műszaki igazgatási személyzet legalább 10000 egységének felvételi vagy meghosszabbítási eljárását le kell zárnia, és szolgálatba</w:t>
            </w:r>
            <w:r>
              <w:rPr>
                <w:noProof/>
              </w:rPr>
              <w:t xml:space="preserve"> kell helyeznie.</w:t>
            </w:r>
          </w:p>
          <w:p w14:paraId="52ACE71A" w14:textId="11CD968E" w:rsidR="003F5418" w:rsidRDefault="002A6C25">
            <w:pPr>
              <w:pStyle w:val="P68B1DB1-Normal7"/>
              <w:spacing w:after="120"/>
              <w:rPr>
                <w:noProof/>
              </w:rPr>
            </w:pPr>
            <w:r>
              <w:rPr>
                <w:noProof/>
              </w:rPr>
              <w:t>Csak a 2022. január 1. óta lezárult munkaerő-felvételi vagy meghosszabbítási eljárások számítanak bele ebbe a célkitűzésbe.</w:t>
            </w:r>
          </w:p>
        </w:tc>
      </w:tr>
      <w:tr w:rsidR="003F5418" w14:paraId="09F1BD3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A1DC8" w14:textId="77777777" w:rsidR="003F5418" w:rsidRDefault="002A6C25">
            <w:pPr>
              <w:pStyle w:val="P68B1DB1-Normal4"/>
              <w:jc w:val="center"/>
              <w:rPr>
                <w:rFonts w:cs="Arial"/>
                <w:noProof/>
              </w:rPr>
            </w:pPr>
            <w:r>
              <w:rPr>
                <w:noProof/>
              </w:rPr>
              <w:t>M1C1–40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7557AD" w14:textId="77777777" w:rsidR="003F5418" w:rsidRDefault="002A6C25">
            <w:pPr>
              <w:pStyle w:val="P68B1DB1-Normal4"/>
              <w:jc w:val="center"/>
              <w:rPr>
                <w:rFonts w:cs="Arial"/>
                <w:noProof/>
              </w:rPr>
            </w:pPr>
            <w:bookmarkStart w:id="2" w:name="_Hlk160473086"/>
            <w:r>
              <w:rPr>
                <w:noProof/>
              </w:rPr>
              <w:t>Beruházás: A közigazgatási bíróságok felvételi eljárásai</w:t>
            </w:r>
            <w:bookmarkEnd w:id="2"/>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14F6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00E2A" w14:textId="3110E71C" w:rsidR="003F5418" w:rsidRDefault="002A6C25">
            <w:pPr>
              <w:pStyle w:val="P68B1DB1-Normal4"/>
              <w:jc w:val="center"/>
              <w:rPr>
                <w:rFonts w:cs="Arial"/>
                <w:noProof/>
              </w:rPr>
            </w:pPr>
            <w:r>
              <w:rPr>
                <w:noProof/>
              </w:rPr>
              <w:t xml:space="preserve">Felvételi vagy meghosszabbítási eljárások a </w:t>
            </w:r>
            <w:r>
              <w:rPr>
                <w:noProof/>
              </w:rPr>
              <w:t>közigazgatási bíróságok számára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C42E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EF24E"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26D21" w14:textId="48F06481"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11802D" w14:textId="494C7C2F" w:rsidR="003F5418" w:rsidRDefault="002A6C25">
            <w:pPr>
              <w:pStyle w:val="P68B1DB1-Normal4"/>
              <w:jc w:val="center"/>
              <w:rPr>
                <w:rFonts w:cs="Arial"/>
                <w:noProof/>
              </w:rPr>
            </w:pPr>
            <w:r>
              <w:rPr>
                <w:noProof/>
              </w:rPr>
              <w:t>158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6F1B7B"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7E356B"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42DE6" w14:textId="5183A383" w:rsidR="003F5418" w:rsidRDefault="002A6C25">
            <w:pPr>
              <w:pStyle w:val="P68B1DB1-Normal4"/>
              <w:spacing w:after="120"/>
              <w:rPr>
                <w:rFonts w:cs="Arial"/>
                <w:noProof/>
              </w:rPr>
            </w:pPr>
            <w:r>
              <w:rPr>
                <w:noProof/>
              </w:rPr>
              <w:t>A vizsgálóhivatal és a közigazgatási bíróságok személyzetének legalább 158 egységének felvételére vagy bővítésére irányuló eljárás befejezése, valamint az egységek szolgálatba helyezése. Csak a 2022.</w:t>
            </w:r>
            <w:r>
              <w:rPr>
                <w:noProof/>
              </w:rPr>
              <w:t xml:space="preserve"> január 1. óta lezárult munkaerő-felvételi vagy meghosszabbítási eljárások számítanak bele ebbe a célkitűzésbe.</w:t>
            </w:r>
          </w:p>
        </w:tc>
      </w:tr>
      <w:tr w:rsidR="003F5418" w14:paraId="0451803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F4360E" w14:textId="77777777" w:rsidR="003F5418" w:rsidRDefault="002A6C25">
            <w:pPr>
              <w:pStyle w:val="P68B1DB1-Normal4"/>
              <w:jc w:val="center"/>
              <w:rPr>
                <w:rFonts w:cs="Arial"/>
                <w:noProof/>
              </w:rPr>
            </w:pPr>
            <w:r>
              <w:rPr>
                <w:noProof/>
              </w:rPr>
              <w:t>M1C1–41. INTÉZKEDÉS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7979" w14:textId="77777777" w:rsidR="003F5418" w:rsidRDefault="002A6C25">
            <w:pPr>
              <w:pStyle w:val="P68B1DB1-Normal4"/>
              <w:jc w:val="center"/>
              <w:rPr>
                <w:rFonts w:cs="Arial"/>
                <w:noProof/>
              </w:rPr>
            </w:pPr>
            <w:r>
              <w:rPr>
                <w:noProof/>
              </w:rPr>
              <w:t>Beruházás: A közigazgatási 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A2EE40"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AD82D" w14:textId="77777777" w:rsidR="003F5418" w:rsidRDefault="002A6C25">
            <w:pPr>
              <w:pStyle w:val="P68B1DB1-Normal4"/>
              <w:jc w:val="center"/>
              <w:rPr>
                <w:rFonts w:cs="Arial"/>
                <w:noProof/>
              </w:rPr>
            </w:pPr>
            <w:r>
              <w:rPr>
                <w:noProof/>
              </w:rPr>
              <w:t xml:space="preserve">A közigazgatási regionális bíróságok ügyhátralékának </w:t>
            </w:r>
            <w:r>
              <w:rPr>
                <w:noProof/>
              </w:rPr>
              <w:t>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428C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CA8C4"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633E92"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6438EF" w14:textId="77777777" w:rsidR="003F5418" w:rsidRDefault="002A6C25">
            <w:pPr>
              <w:pStyle w:val="P68B1DB1-Normal4"/>
              <w:jc w:val="center"/>
              <w:rPr>
                <w:rFonts w:cs="Arial"/>
                <w:noProof/>
              </w:rPr>
            </w:pPr>
            <w:r>
              <w:rPr>
                <w:noProof/>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E9171D"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8C21F"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C1294" w14:textId="77777777" w:rsidR="003F5418" w:rsidRDefault="002A6C25">
            <w:pPr>
              <w:pStyle w:val="P68B1DB1-Normal4"/>
              <w:spacing w:after="120"/>
              <w:rPr>
                <w:rFonts w:cs="Arial"/>
                <w:noProof/>
              </w:rPr>
            </w:pPr>
            <w:r>
              <w:rPr>
                <w:noProof/>
              </w:rPr>
              <w:t>A közigazgatási regionális bíróságokon (elsőfokú közigazgatási bíróságok) 2019-ben folyamatban lévő ügyek számának 25%-os csökkentése (109029).</w:t>
            </w:r>
          </w:p>
        </w:tc>
      </w:tr>
      <w:tr w:rsidR="003F5418" w14:paraId="4295488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B0D6FC" w14:textId="77777777" w:rsidR="003F5418" w:rsidRDefault="002A6C25">
            <w:pPr>
              <w:pStyle w:val="P68B1DB1-Normal4"/>
              <w:jc w:val="center"/>
              <w:rPr>
                <w:rFonts w:cs="Arial"/>
                <w:noProof/>
              </w:rPr>
            </w:pPr>
            <w:r>
              <w:rPr>
                <w:noProof/>
              </w:rPr>
              <w:t>M1C1–42.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457F1" w14:textId="77777777" w:rsidR="003F5418" w:rsidRDefault="002A6C25">
            <w:pPr>
              <w:pStyle w:val="P68B1DB1-Normal4"/>
              <w:jc w:val="center"/>
              <w:rPr>
                <w:rFonts w:cs="Arial"/>
                <w:noProof/>
              </w:rPr>
            </w:pPr>
            <w:r>
              <w:rPr>
                <w:noProof/>
              </w:rPr>
              <w:t>Beruházás: A közigazgatási 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1E7C9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9E5DA1" w14:textId="77777777" w:rsidR="003F5418" w:rsidRDefault="002A6C25">
            <w:pPr>
              <w:pStyle w:val="P68B1DB1-Normal4"/>
              <w:jc w:val="center"/>
              <w:rPr>
                <w:rFonts w:cs="Arial"/>
                <w:noProof/>
              </w:rPr>
            </w:pPr>
            <w:r>
              <w:rPr>
                <w:noProof/>
              </w:rPr>
              <w:t>Az Államtanács ügyhátralékának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7AF347"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D3EC7E"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487CB"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7A77D9" w14:textId="77777777" w:rsidR="003F5418" w:rsidRDefault="002A6C25">
            <w:pPr>
              <w:pStyle w:val="P68B1DB1-Normal4"/>
              <w:jc w:val="center"/>
              <w:rPr>
                <w:rFonts w:cs="Arial"/>
                <w:noProof/>
              </w:rPr>
            </w:pPr>
            <w:r>
              <w:rPr>
                <w:noProof/>
              </w:rPr>
              <w:t>65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49866"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674F5C"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28C8" w14:textId="77777777" w:rsidR="003F5418" w:rsidRDefault="002A6C25">
            <w:pPr>
              <w:pStyle w:val="P68B1DB1-Normal4"/>
              <w:spacing w:after="120"/>
              <w:rPr>
                <w:rFonts w:cs="Arial"/>
                <w:noProof/>
              </w:rPr>
            </w:pPr>
            <w:r>
              <w:rPr>
                <w:noProof/>
              </w:rPr>
              <w:t>A folyamatban lévő ügyek számának 35%-os csökkentése 2019-ben (24010) az Államtanácsban (másodfok).</w:t>
            </w:r>
          </w:p>
        </w:tc>
      </w:tr>
      <w:tr w:rsidR="003F5418" w14:paraId="777D5A4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BAAD8" w14:textId="77777777" w:rsidR="003F5418" w:rsidRDefault="002A6C25">
            <w:pPr>
              <w:pStyle w:val="P68B1DB1-Normal4"/>
              <w:jc w:val="center"/>
              <w:rPr>
                <w:rFonts w:cs="Arial"/>
                <w:noProof/>
              </w:rPr>
            </w:pPr>
            <w:r>
              <w:rPr>
                <w:noProof/>
              </w:rPr>
              <w:t>M1C1–43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A617D3" w14:textId="77777777" w:rsidR="003F5418" w:rsidRDefault="002A6C25">
            <w:pPr>
              <w:pStyle w:val="P68B1DB1-Normal4"/>
              <w:jc w:val="center"/>
              <w:rPr>
                <w:rFonts w:cs="Arial"/>
                <w:noProof/>
              </w:rPr>
            </w:pPr>
            <w:r>
              <w:rPr>
                <w:noProof/>
              </w:rPr>
              <w:t>Reform: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D077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540C4" w14:textId="77777777" w:rsidR="003F5418" w:rsidRDefault="002A6C25">
            <w:pPr>
              <w:pStyle w:val="P68B1DB1-Normal4"/>
              <w:jc w:val="center"/>
              <w:rPr>
                <w:rFonts w:cs="Arial"/>
                <w:noProof/>
              </w:rPr>
            </w:pPr>
            <w:r>
              <w:rPr>
                <w:noProof/>
              </w:rPr>
              <w:t xml:space="preserve">A polgári rendes </w:t>
            </w:r>
            <w:r>
              <w:rPr>
                <w:noProof/>
              </w:rPr>
              <w:t>bíróságok ügyhátralékának csökkentése (első fokon)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D290CA"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A3AC"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8D4ED"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6D60F7" w14:textId="77777777" w:rsidR="003F5418" w:rsidRDefault="002A6C25">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2DA78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141BB"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C392A7" w14:textId="77777777" w:rsidR="003F5418" w:rsidRDefault="002A6C25">
            <w:pPr>
              <w:pStyle w:val="P68B1DB1-Normal4"/>
              <w:spacing w:after="120"/>
              <w:rPr>
                <w:rFonts w:cs="Arial"/>
                <w:noProof/>
              </w:rPr>
            </w:pPr>
            <w:r>
              <w:rPr>
                <w:noProof/>
              </w:rPr>
              <w:t>A polgári rendes bíróságokon (első fokon) 2019-ben folyamatban lévő ügyek számának 95%-os csökkentése (337740).</w:t>
            </w:r>
          </w:p>
          <w:p w14:paraId="4CDDE3EA" w14:textId="77777777" w:rsidR="003F5418" w:rsidRDefault="002A6C25">
            <w:pPr>
              <w:pStyle w:val="P68B1DB1-Normal4"/>
              <w:spacing w:after="120"/>
              <w:rPr>
                <w:rFonts w:cs="Arial"/>
                <w:noProof/>
              </w:rPr>
            </w:pPr>
            <w:r>
              <w:rPr>
                <w:noProof/>
              </w:rPr>
              <w:t>Az alapérték a polgári rendes bíróságok előtt több mint három év</w:t>
            </w:r>
            <w:r>
              <w:rPr>
                <w:noProof/>
              </w:rPr>
              <w:t>e folyamatban lévő ügyek száma (2019-ben).</w:t>
            </w:r>
          </w:p>
        </w:tc>
      </w:tr>
      <w:tr w:rsidR="003F5418" w14:paraId="073C6A1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FD4091" w14:textId="77777777" w:rsidR="003F5418" w:rsidRDefault="002A6C25">
            <w:pPr>
              <w:pStyle w:val="P68B1DB1-Normal4"/>
              <w:jc w:val="center"/>
              <w:rPr>
                <w:rFonts w:cs="Arial"/>
                <w:noProof/>
              </w:rPr>
            </w:pPr>
            <w:r>
              <w:rPr>
                <w:noProof/>
              </w:rPr>
              <w:t>M1C1–44. INTÉZKEDÉS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2CE5E" w14:textId="77777777" w:rsidR="003F5418" w:rsidRDefault="002A6C25">
            <w:pPr>
              <w:pStyle w:val="P68B1DB1-Normal4"/>
              <w:jc w:val="center"/>
              <w:rPr>
                <w:rFonts w:cs="Arial"/>
                <w:noProof/>
              </w:rPr>
            </w:pPr>
            <w:r>
              <w:rPr>
                <w:noProof/>
              </w:rPr>
              <w:t>Reform: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3E83B"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F17A" w14:textId="77777777" w:rsidR="003F5418" w:rsidRDefault="002A6C25">
            <w:pPr>
              <w:pStyle w:val="P68B1DB1-Normal4"/>
              <w:jc w:val="center"/>
              <w:rPr>
                <w:rFonts w:cs="Arial"/>
                <w:noProof/>
              </w:rPr>
            </w:pPr>
            <w:r>
              <w:rPr>
                <w:noProof/>
              </w:rPr>
              <w:t>A polgári fellebbviteli bíróság (másodfokú) ügyhátralékának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CD18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FEE5A"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27F49F"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05066" w14:textId="77777777" w:rsidR="003F5418" w:rsidRDefault="002A6C25">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954B1"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2B28A"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78205D" w14:textId="77777777" w:rsidR="003F5418" w:rsidRDefault="002A6C25">
            <w:pPr>
              <w:pStyle w:val="P68B1DB1-Normal4"/>
              <w:spacing w:after="120"/>
              <w:rPr>
                <w:rFonts w:cs="Arial"/>
                <w:noProof/>
              </w:rPr>
            </w:pPr>
            <w:r>
              <w:rPr>
                <w:noProof/>
              </w:rPr>
              <w:t xml:space="preserve">A polgári fellebbviteli bíróságokon (másodfokú) 2019-ben folyamatban lévő ügyek számának 95%-os csökkentése (98371). </w:t>
            </w:r>
          </w:p>
          <w:p w14:paraId="427E6D85" w14:textId="77777777" w:rsidR="003F5418" w:rsidRDefault="002A6C25">
            <w:pPr>
              <w:pStyle w:val="P68B1DB1-Normal4"/>
              <w:spacing w:after="120"/>
              <w:rPr>
                <w:rFonts w:cs="Arial"/>
                <w:noProof/>
              </w:rPr>
            </w:pPr>
            <w:r>
              <w:rPr>
                <w:noProof/>
              </w:rPr>
              <w:t>Az alapérték a polgári fellebbviteli bíróságok előtt több mint két éve folyamatban lévő ügyek száma (2019-ben).</w:t>
            </w:r>
          </w:p>
        </w:tc>
      </w:tr>
      <w:tr w:rsidR="003F5418" w14:paraId="16FF0AE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BE1DD0" w14:textId="77777777" w:rsidR="003F5418" w:rsidRDefault="002A6C25">
            <w:pPr>
              <w:pStyle w:val="P68B1DB1-Normal4"/>
              <w:jc w:val="center"/>
              <w:rPr>
                <w:rFonts w:cs="Arial"/>
                <w:noProof/>
              </w:rPr>
            </w:pPr>
            <w:r>
              <w:rPr>
                <w:noProof/>
              </w:rPr>
              <w:t>M1C1–37a.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8A9645" w14:textId="77777777" w:rsidR="003F5418" w:rsidRDefault="002A6C25">
            <w:pPr>
              <w:pStyle w:val="P68B1DB1-Normal4"/>
              <w:jc w:val="center"/>
              <w:rPr>
                <w:rFonts w:cs="Arial"/>
                <w:noProof/>
              </w:rPr>
            </w:pPr>
            <w:r>
              <w:rPr>
                <w:noProof/>
              </w:rPr>
              <w:t xml:space="preserve">Reform: A </w:t>
            </w:r>
            <w:r>
              <w:rPr>
                <w:noProof/>
              </w:rPr>
              <w:t>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A983"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7AD543" w14:textId="77777777" w:rsidR="003F5418" w:rsidRDefault="002A6C25">
            <w:pPr>
              <w:pStyle w:val="P68B1DB1-Normal4"/>
              <w:jc w:val="center"/>
              <w:rPr>
                <w:rFonts w:cs="Arial"/>
                <w:noProof/>
              </w:rPr>
            </w:pPr>
            <w:r>
              <w:rPr>
                <w:noProof/>
              </w:rPr>
              <w:t>Az ügyhátralék csökkentését célzó intézkedések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460E7" w14:textId="77777777" w:rsidR="003F5418" w:rsidRDefault="002A6C25">
            <w:pPr>
              <w:pStyle w:val="P68B1DB1-Normal4"/>
              <w:jc w:val="center"/>
              <w:rPr>
                <w:rFonts w:cs="Arial"/>
                <w:noProof/>
              </w:rPr>
            </w:pPr>
            <w:r>
              <w:rPr>
                <w:noProof/>
              </w:rPr>
              <w:t>Az elsődleges jog és a másodlagos jogi aktusok hatálybalépését előíró jogszabályi rendelkezés az ügyhátralék csökkentése érdekében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165789" w14:textId="77777777" w:rsidR="003F5418" w:rsidRDefault="003F5418">
            <w:pPr>
              <w:jc w:val="center"/>
              <w:rPr>
                <w:rFonts w:ascii="Arial Narrow" w:hAnsi="Arial Narrow" w:cs="Arial"/>
                <w:noProof/>
                <w:color w:val="006100"/>
                <w:sz w:val="20"/>
              </w:rPr>
            </w:pP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28DF89" w14:textId="77777777" w:rsidR="003F5418" w:rsidRDefault="003F5418">
            <w:pPr>
              <w:jc w:val="center"/>
              <w:rPr>
                <w:rFonts w:ascii="Arial Narrow" w:hAnsi="Arial Narrow" w:cs="Arial"/>
                <w:noProof/>
                <w:color w:val="006100"/>
                <w:sz w:val="20"/>
              </w:rPr>
            </w:pP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47086" w14:textId="77777777" w:rsidR="003F5418" w:rsidRDefault="003F5418">
            <w:pPr>
              <w:jc w:val="center"/>
              <w:rPr>
                <w:rFonts w:ascii="Arial Narrow" w:hAnsi="Arial Narrow" w:cs="Arial"/>
                <w:noProof/>
                <w:color w:val="006100"/>
                <w:sz w:val="20"/>
              </w:rPr>
            </w:pP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2D9F92"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4F642E"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2FEC5" w14:textId="77777777" w:rsidR="003F5418" w:rsidRDefault="002A6C25">
            <w:pPr>
              <w:pStyle w:val="P68B1DB1-Normal4"/>
              <w:rPr>
                <w:rFonts w:cs="Arial"/>
                <w:noProof/>
              </w:rPr>
            </w:pPr>
            <w:r>
              <w:rPr>
                <w:noProof/>
              </w:rPr>
              <w:t xml:space="preserve">Az </w:t>
            </w:r>
            <w:r>
              <w:rPr>
                <w:noProof/>
              </w:rPr>
              <w:t>elsődleges jog és a másodlagos jogforrások hatálybalépése a következők lehetővé tétele érdekében:</w:t>
            </w:r>
          </w:p>
          <w:p w14:paraId="72B49F09" w14:textId="77777777" w:rsidR="003F5418" w:rsidRDefault="002A6C25">
            <w:pPr>
              <w:pStyle w:val="P68B1DB1-ListParagraph5"/>
              <w:numPr>
                <w:ilvl w:val="0"/>
                <w:numId w:val="111"/>
              </w:numPr>
              <w:ind w:left="304" w:hanging="142"/>
              <w:jc w:val="left"/>
              <w:rPr>
                <w:rFonts w:cs="Arial"/>
                <w:noProof/>
              </w:rPr>
            </w:pPr>
            <w:r>
              <w:rPr>
                <w:noProof/>
              </w:rPr>
              <w:t>A tárgyalóirodák megerősítése – többek között ösztönzők révén – a nemzeti helyreállítási és rezilienciaépítési terv munkaerő-felvételi rendszere alapján felve</w:t>
            </w:r>
            <w:r>
              <w:rPr>
                <w:noProof/>
              </w:rPr>
              <w:t>tt egységek vonzása és megtartása érdekében;</w:t>
            </w:r>
          </w:p>
          <w:p w14:paraId="16460373" w14:textId="1635277A" w:rsidR="003F5418" w:rsidRDefault="002A6C25">
            <w:pPr>
              <w:pStyle w:val="P68B1DB1-ListParagraph5"/>
              <w:numPr>
                <w:ilvl w:val="0"/>
                <w:numId w:val="111"/>
              </w:numPr>
              <w:ind w:left="304" w:hanging="142"/>
              <w:jc w:val="left"/>
              <w:rPr>
                <w:rFonts w:cs="Arial"/>
                <w:noProof/>
              </w:rPr>
            </w:pPr>
            <w:r>
              <w:rPr>
                <w:noProof/>
              </w:rPr>
              <w:t>Ösztönzők létrehozása a következők érdekében: A kevésbé hatékony bíróságok támogatása a polgári igazságszolgáltatási ügyhátralék csökkentése terén; 2. jutalmazza azokat az igazságügyi hivatalokat, amelyek elérik</w:t>
            </w:r>
            <w:r>
              <w:rPr>
                <w:noProof/>
              </w:rPr>
              <w:t xml:space="preserve"> a polgári igazságszolgáltatási rendszerben folyamatban lévő ügyek számának csökkentésére irányuló konkrét éves célkitűzéseket.</w:t>
            </w:r>
          </w:p>
        </w:tc>
      </w:tr>
      <w:tr w:rsidR="003F5418" w14:paraId="4F4EEF7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F544" w14:textId="77777777" w:rsidR="003F5418" w:rsidRDefault="002A6C25">
            <w:pPr>
              <w:pStyle w:val="P68B1DB1-Normal4"/>
              <w:jc w:val="center"/>
              <w:rPr>
                <w:rFonts w:cs="Arial"/>
                <w:noProof/>
              </w:rPr>
            </w:pPr>
            <w:r>
              <w:rPr>
                <w:noProof/>
              </w:rPr>
              <w:t>M1C1–45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B1821" w14:textId="58C748A8" w:rsidR="003F5418" w:rsidRDefault="002A6C25">
            <w:pPr>
              <w:pStyle w:val="P68B1DB1-Normal4"/>
              <w:jc w:val="center"/>
              <w:rPr>
                <w:rFonts w:cs="Arial"/>
                <w:noProof/>
              </w:rPr>
            </w:pPr>
            <w:r>
              <w:rPr>
                <w:noProof/>
              </w:rPr>
              <w:t>Reformok 1.4.: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98F72"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A0B9A5" w14:textId="77777777" w:rsidR="003F5418" w:rsidRDefault="002A6C25">
            <w:pPr>
              <w:pStyle w:val="P68B1DB1-Normal4"/>
              <w:jc w:val="center"/>
              <w:rPr>
                <w:rFonts w:cs="Arial"/>
                <w:noProof/>
              </w:rPr>
            </w:pPr>
            <w:r>
              <w:rPr>
                <w:noProof/>
              </w:rPr>
              <w:t>A polgári eljárások időtartamának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FEAF61"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AFE2B"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15A0F9"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D32EC" w14:textId="77777777" w:rsidR="003F5418" w:rsidRDefault="002A6C25">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73FA1"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0F0A8"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D4FE6" w14:textId="77777777" w:rsidR="003F5418" w:rsidRDefault="002A6C25">
            <w:pPr>
              <w:pStyle w:val="P68B1DB1-Normal4"/>
              <w:spacing w:after="120"/>
              <w:rPr>
                <w:rFonts w:cs="Arial"/>
                <w:noProof/>
              </w:rPr>
            </w:pPr>
            <w:r>
              <w:rPr>
                <w:noProof/>
              </w:rPr>
              <w:t xml:space="preserve">2019-hez képest az ügyintézési idő 40%-kal csökkenjen a polgári és kereskedelmi peres ügyek esetében </w:t>
            </w:r>
          </w:p>
        </w:tc>
      </w:tr>
      <w:tr w:rsidR="003F5418" w14:paraId="17A4CDC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66C73" w14:textId="77777777" w:rsidR="003F5418" w:rsidRDefault="002A6C25">
            <w:pPr>
              <w:pStyle w:val="P68B1DB1-Normal4"/>
              <w:jc w:val="center"/>
              <w:rPr>
                <w:rFonts w:cs="Arial"/>
                <w:noProof/>
              </w:rPr>
            </w:pPr>
            <w:r>
              <w:rPr>
                <w:noProof/>
              </w:rPr>
              <w:t>M1C1–46. INTÉZKEDÉS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B29AF" w14:textId="54553C78" w:rsidR="003F5418" w:rsidRDefault="002A6C25">
            <w:pPr>
              <w:pStyle w:val="P68B1DB1-Normal4"/>
              <w:jc w:val="center"/>
              <w:rPr>
                <w:rFonts w:cs="Arial"/>
                <w:noProof/>
              </w:rPr>
            </w:pPr>
            <w:r>
              <w:rPr>
                <w:noProof/>
              </w:rPr>
              <w:t>Reform: A büntető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AD100"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D036" w14:textId="77777777" w:rsidR="003F5418" w:rsidRDefault="002A6C25">
            <w:pPr>
              <w:pStyle w:val="P68B1DB1-Normal4"/>
              <w:jc w:val="center"/>
              <w:rPr>
                <w:rFonts w:cs="Arial"/>
                <w:noProof/>
              </w:rPr>
            </w:pPr>
            <w:r>
              <w:rPr>
                <w:noProof/>
              </w:rPr>
              <w:t>A büntetőeljárások időtartamának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F05E9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6A9350"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A23B95"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D47C9A" w14:textId="77777777" w:rsidR="003F5418" w:rsidRDefault="002A6C25">
            <w:pPr>
              <w:pStyle w:val="P68B1DB1-Normal4"/>
              <w:jc w:val="center"/>
              <w:rPr>
                <w:rFonts w:cs="Arial"/>
                <w:noProof/>
              </w:rPr>
            </w:pPr>
            <w:r>
              <w:rPr>
                <w:noProof/>
              </w:rPr>
              <w:t>75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BCDFA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DC32D3"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6B4DA" w14:textId="77777777" w:rsidR="003F5418" w:rsidRDefault="002A6C25">
            <w:pPr>
              <w:pStyle w:val="P68B1DB1-Normal4"/>
              <w:spacing w:after="120"/>
              <w:rPr>
                <w:rFonts w:cs="Arial"/>
                <w:noProof/>
              </w:rPr>
            </w:pPr>
            <w:r>
              <w:rPr>
                <w:noProof/>
              </w:rPr>
              <w:t xml:space="preserve">2019-hez képest az összes büntetőügy esetében 25%-kal csökkentse az ügyintézési időt </w:t>
            </w:r>
          </w:p>
        </w:tc>
      </w:tr>
      <w:tr w:rsidR="003F5418" w14:paraId="1A5015A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67F05" w14:textId="77777777" w:rsidR="003F5418" w:rsidRDefault="002A6C25">
            <w:pPr>
              <w:pStyle w:val="P68B1DB1-Normal4"/>
              <w:jc w:val="center"/>
              <w:rPr>
                <w:rFonts w:cs="Arial"/>
                <w:noProof/>
              </w:rPr>
            </w:pPr>
            <w:r>
              <w:rPr>
                <w:noProof/>
              </w:rPr>
              <w:t>M1C1–47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99BD" w14:textId="77777777" w:rsidR="003F5418" w:rsidRDefault="002A6C25">
            <w:pPr>
              <w:pStyle w:val="P68B1DB1-Normal4"/>
              <w:jc w:val="center"/>
              <w:rPr>
                <w:rFonts w:cs="Arial"/>
                <w:noProof/>
              </w:rPr>
            </w:pPr>
            <w:r>
              <w:rPr>
                <w:noProof/>
              </w:rPr>
              <w:t>Reform: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DC6F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6F3BB" w14:textId="77777777" w:rsidR="003F5418" w:rsidRDefault="002A6C25">
            <w:pPr>
              <w:pStyle w:val="P68B1DB1-Normal4"/>
              <w:jc w:val="center"/>
              <w:rPr>
                <w:rFonts w:cs="Arial"/>
                <w:noProof/>
              </w:rPr>
            </w:pPr>
            <w:r>
              <w:rPr>
                <w:noProof/>
              </w:rPr>
              <w:t>A polgári rendes bíróságok ügyhátralékának csökkentése (első fokon)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E12C7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3C1C6"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DD9C06"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B77CE0" w14:textId="77777777" w:rsidR="003F5418" w:rsidRDefault="002A6C25">
            <w:pPr>
              <w:pStyle w:val="P68B1DB1-Normal4"/>
              <w:jc w:val="center"/>
              <w:rPr>
                <w:rFonts w:cs="Arial"/>
                <w:noProof/>
              </w:rPr>
            </w:pPr>
            <w:r>
              <w:rPr>
                <w:noProof/>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3E906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361F45"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A9D44" w14:textId="77777777" w:rsidR="003F5418" w:rsidRDefault="002A6C25">
            <w:pPr>
              <w:pStyle w:val="P68B1DB1-Normal4"/>
              <w:spacing w:after="120"/>
              <w:rPr>
                <w:rFonts w:cs="Arial"/>
                <w:noProof/>
              </w:rPr>
            </w:pPr>
            <w:r>
              <w:rPr>
                <w:noProof/>
              </w:rPr>
              <w:t xml:space="preserve">90%-kal csökkentse a 2017. január 1. és 2022. december 31. között megindított és 2022. december 31-én még folyamatban lévő ügyek számát (1197786) a polgári rendes bíróságokon (első fokon). </w:t>
            </w:r>
          </w:p>
        </w:tc>
      </w:tr>
      <w:tr w:rsidR="003F5418" w14:paraId="164554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B098D" w14:textId="77777777" w:rsidR="003F5418" w:rsidRDefault="002A6C25">
            <w:pPr>
              <w:pStyle w:val="P68B1DB1-Normal4"/>
              <w:jc w:val="center"/>
              <w:rPr>
                <w:rFonts w:cs="Arial"/>
                <w:noProof/>
              </w:rPr>
            </w:pPr>
            <w:r>
              <w:rPr>
                <w:noProof/>
              </w:rPr>
              <w:t>M1C1–48.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A18F2" w14:textId="77777777" w:rsidR="003F5418" w:rsidRDefault="002A6C25">
            <w:pPr>
              <w:pStyle w:val="P68B1DB1-Normal4"/>
              <w:jc w:val="center"/>
              <w:rPr>
                <w:rFonts w:cs="Arial"/>
                <w:noProof/>
              </w:rPr>
            </w:pPr>
            <w:r>
              <w:rPr>
                <w:noProof/>
              </w:rPr>
              <w:t>Reform: A polgári igazságszolgáltatás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EBFAF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8BE82" w14:textId="77777777" w:rsidR="003F5418" w:rsidRDefault="002A6C25">
            <w:pPr>
              <w:pStyle w:val="P68B1DB1-Normal4"/>
              <w:jc w:val="center"/>
              <w:rPr>
                <w:rFonts w:cs="Arial"/>
                <w:noProof/>
              </w:rPr>
            </w:pPr>
            <w:r>
              <w:rPr>
                <w:noProof/>
              </w:rPr>
              <w:t xml:space="preserve">A </w:t>
            </w:r>
            <w:r>
              <w:rPr>
                <w:noProof/>
              </w:rPr>
              <w:t>polgári fellebbviteli bíróság (másodfokú) ügyhátralékának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817213"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1E525"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096A7"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0792E" w14:textId="77777777" w:rsidR="003F5418" w:rsidRDefault="002A6C25">
            <w:pPr>
              <w:pStyle w:val="P68B1DB1-Normal4"/>
              <w:jc w:val="center"/>
              <w:rPr>
                <w:rFonts w:cs="Arial"/>
                <w:noProof/>
              </w:rPr>
            </w:pPr>
            <w:r>
              <w:rPr>
                <w:noProof/>
              </w:rPr>
              <w:t>10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15C4EE"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30DBE3"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70965D" w14:textId="77777777" w:rsidR="003F5418" w:rsidRDefault="002A6C25">
            <w:pPr>
              <w:pStyle w:val="P68B1DB1-Normal4"/>
              <w:spacing w:after="120"/>
              <w:rPr>
                <w:rFonts w:cs="Arial"/>
                <w:noProof/>
              </w:rPr>
            </w:pPr>
            <w:r>
              <w:rPr>
                <w:noProof/>
              </w:rPr>
              <w:t>90%-kal csökkentse a 2018. január 1. és 2022. december 31. között megindított és 2022. december 31-én még folyamatban lévő ügyek számát (179306) a polgári f</w:t>
            </w:r>
            <w:r>
              <w:rPr>
                <w:noProof/>
              </w:rPr>
              <w:t xml:space="preserve">ellebbviteli bíróságokon (másodfokú fokon). </w:t>
            </w:r>
          </w:p>
        </w:tc>
      </w:tr>
      <w:tr w:rsidR="003F5418" w14:paraId="51BB5EC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BC8111" w14:textId="77777777" w:rsidR="003F5418" w:rsidRDefault="002A6C25">
            <w:pPr>
              <w:pStyle w:val="P68B1DB1-Normal4"/>
              <w:jc w:val="center"/>
              <w:rPr>
                <w:rFonts w:cs="Arial"/>
                <w:noProof/>
              </w:rPr>
            </w:pPr>
            <w:r>
              <w:rPr>
                <w:noProof/>
              </w:rPr>
              <w:t>M1C1–49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B06721" w14:textId="77777777" w:rsidR="003F5418" w:rsidRDefault="002A6C25">
            <w:pPr>
              <w:pStyle w:val="P68B1DB1-Normal4"/>
              <w:jc w:val="center"/>
              <w:rPr>
                <w:rFonts w:cs="Arial"/>
                <w:noProof/>
              </w:rPr>
            </w:pPr>
            <w:r>
              <w:rPr>
                <w:noProof/>
              </w:rPr>
              <w:t>Beruházás: A közigazgatási 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143D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55E2F" w14:textId="77777777" w:rsidR="003F5418" w:rsidRDefault="002A6C25">
            <w:pPr>
              <w:pStyle w:val="P68B1DB1-Normal4"/>
              <w:jc w:val="center"/>
              <w:rPr>
                <w:rFonts w:cs="Arial"/>
                <w:noProof/>
              </w:rPr>
            </w:pPr>
            <w:r>
              <w:rPr>
                <w:noProof/>
              </w:rPr>
              <w:t>A regionális közigazgatási bíróságok ügyhátralékának csökkentése (első fokon)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B164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D37106"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A3BFFB"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E0FD"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C3DD4"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CA17E"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C3073" w14:textId="77777777" w:rsidR="003F5418" w:rsidRDefault="002A6C25">
            <w:pPr>
              <w:pStyle w:val="P68B1DB1-Normal4"/>
              <w:spacing w:after="120"/>
              <w:rPr>
                <w:rFonts w:cs="Arial"/>
                <w:noProof/>
              </w:rPr>
            </w:pPr>
            <w:r>
              <w:rPr>
                <w:noProof/>
              </w:rPr>
              <w:t xml:space="preserve">A közigazgatási regionális </w:t>
            </w:r>
            <w:r>
              <w:rPr>
                <w:noProof/>
              </w:rPr>
              <w:t>bíróságokon (elsőfokú közigazgatási bíróság) 2019-ben folyamatban lévő ügyek számának 70%-os csökkentése (109029).</w:t>
            </w:r>
          </w:p>
        </w:tc>
      </w:tr>
      <w:tr w:rsidR="003F5418" w14:paraId="2D4A18A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0D310" w14:textId="77777777" w:rsidR="003F5418" w:rsidRDefault="002A6C25">
            <w:pPr>
              <w:pStyle w:val="P68B1DB1-Normal4"/>
              <w:jc w:val="center"/>
              <w:rPr>
                <w:rFonts w:cs="Arial"/>
                <w:noProof/>
              </w:rPr>
            </w:pPr>
            <w:r>
              <w:rPr>
                <w:noProof/>
              </w:rPr>
              <w:t>M1C1–50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DD891" w14:textId="77777777" w:rsidR="003F5418" w:rsidRDefault="002A6C25">
            <w:pPr>
              <w:pStyle w:val="P68B1DB1-Normal4"/>
              <w:jc w:val="center"/>
              <w:rPr>
                <w:rFonts w:cs="Arial"/>
                <w:noProof/>
              </w:rPr>
            </w:pPr>
            <w:r>
              <w:rPr>
                <w:noProof/>
              </w:rPr>
              <w:t>Beruházás: A közigazgatási bíróságok felvételi eljárásai</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09FEA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7B2D8D" w14:textId="77777777" w:rsidR="003F5418" w:rsidRDefault="002A6C25">
            <w:pPr>
              <w:pStyle w:val="P68B1DB1-Normal4"/>
              <w:jc w:val="center"/>
              <w:rPr>
                <w:rFonts w:cs="Arial"/>
                <w:noProof/>
              </w:rPr>
            </w:pPr>
            <w:r>
              <w:rPr>
                <w:noProof/>
              </w:rPr>
              <w:t>Az Államtanács ügyhátralékának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8F4EB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CCA4AB"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5FF33"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AC2184"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EA491"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4BF975"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DF2D7" w14:textId="77777777" w:rsidR="003F5418" w:rsidRDefault="002A6C25">
            <w:pPr>
              <w:pStyle w:val="P68B1DB1-Normal4"/>
              <w:spacing w:after="120"/>
              <w:rPr>
                <w:rFonts w:cs="Arial"/>
                <w:noProof/>
              </w:rPr>
            </w:pPr>
            <w:r>
              <w:rPr>
                <w:noProof/>
              </w:rPr>
              <w:t>A folyamatban lévő ügyek (24010) számának 70%-os csökkentése 2019-ben az Államtanácsban (másodfok).</w:t>
            </w:r>
          </w:p>
        </w:tc>
      </w:tr>
      <w:tr w:rsidR="003F5418" w14:paraId="741FEE8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A03335" w14:textId="77777777" w:rsidR="003F5418" w:rsidRDefault="002A6C25">
            <w:pPr>
              <w:pStyle w:val="P68B1DB1-Normal4"/>
              <w:jc w:val="center"/>
              <w:rPr>
                <w:rFonts w:cs="Arial"/>
                <w:noProof/>
              </w:rPr>
            </w:pPr>
            <w:r>
              <w:rPr>
                <w:noProof/>
              </w:rPr>
              <w:t>M1C1–51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D933C0"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A308C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9433FF" w14:textId="77777777" w:rsidR="003F5418" w:rsidRDefault="002A6C25">
            <w:pPr>
              <w:pStyle w:val="P68B1DB1-Normal4"/>
              <w:jc w:val="center"/>
              <w:rPr>
                <w:rFonts w:cs="Arial"/>
                <w:noProof/>
              </w:rPr>
            </w:pPr>
            <w:r>
              <w:rPr>
                <w:noProof/>
              </w:rPr>
              <w:t xml:space="preserve">Az olasz helyreállítási és rezilienciaépítési terv irányítására vonatkozó elsődleges jogszabályok </w:t>
            </w:r>
            <w:r>
              <w:rPr>
                <w:noProof/>
              </w:rPr>
              <w:t>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9BB3F3" w14:textId="77777777" w:rsidR="003F5418" w:rsidRDefault="002A6C25">
            <w:pPr>
              <w:pStyle w:val="P68B1DB1-Normal4"/>
              <w:jc w:val="center"/>
              <w:rPr>
                <w:rFonts w:cs="Arial"/>
                <w:noProof/>
              </w:rPr>
            </w:pPr>
            <w:r>
              <w:rPr>
                <w:noProof/>
              </w:rPr>
              <w:t>A jogszabály hatálybalépésére vonatkozó rendelkezés a jogszabályban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343ED"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619BF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9F7ED"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0FB9"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FCF0C4"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D70C3" w14:textId="77777777" w:rsidR="003F5418" w:rsidRDefault="002A6C25">
            <w:pPr>
              <w:pStyle w:val="P68B1DB1-Normal4"/>
              <w:spacing w:after="120"/>
              <w:rPr>
                <w:rFonts w:cs="Arial"/>
                <w:noProof/>
              </w:rPr>
            </w:pPr>
            <w:r>
              <w:rPr>
                <w:noProof/>
              </w:rPr>
              <w:t>Az elsődleges jogszabályok legalább a következőkre vonatkoznak:</w:t>
            </w:r>
          </w:p>
          <w:p w14:paraId="5DCBAF59" w14:textId="77777777" w:rsidR="003F5418" w:rsidRDefault="002A6C25">
            <w:pPr>
              <w:pStyle w:val="P68B1DB1-Normal4"/>
              <w:spacing w:after="120"/>
              <w:rPr>
                <w:rFonts w:cs="Arial"/>
                <w:noProof/>
              </w:rPr>
            </w:pPr>
            <w:r>
              <w:rPr>
                <w:noProof/>
              </w:rPr>
              <w:t>1. az olasz helyreállítási és rezilienciaépítési terv projektjeinek központi szintű</w:t>
            </w:r>
            <w:r>
              <w:rPr>
                <w:noProof/>
              </w:rPr>
              <w:t xml:space="preserve"> koordinációja és nyomon követése;</w:t>
            </w:r>
          </w:p>
          <w:p w14:paraId="6A12C03F" w14:textId="20D9F40C" w:rsidR="003F5418" w:rsidRDefault="00BA2714">
            <w:pPr>
              <w:pStyle w:val="P68B1DB1-Normal4"/>
              <w:spacing w:after="120"/>
              <w:rPr>
                <w:rFonts w:cs="Arial"/>
                <w:noProof/>
              </w:rPr>
            </w:pPr>
            <w:r>
              <w:rPr>
                <w:noProof/>
              </w:rPr>
              <w:t>2. A hatáskörök meghatározása és szétválasztása, valamint az olasz helyreállítási és rezilienciaépítési terv koordinálásában, nyomon követésében és végrehajtásában részt vevő különböző szervek és közigazgatási szervek vonatkozó megbízatásának jóváhagyása;</w:t>
            </w:r>
          </w:p>
          <w:p w14:paraId="6C6625B3" w14:textId="6F60CF94" w:rsidR="003F5418" w:rsidRDefault="00BA2714">
            <w:pPr>
              <w:pStyle w:val="P68B1DB1-Normal4"/>
              <w:spacing w:after="120"/>
              <w:rPr>
                <w:rFonts w:cs="Arial"/>
                <w:noProof/>
              </w:rPr>
            </w:pPr>
            <w:r>
              <w:rPr>
                <w:noProof/>
              </w:rPr>
              <w:t>3. A végrehajtási problémák korai felismerésére szolgáló rendszer meghatározása;</w:t>
            </w:r>
          </w:p>
          <w:p w14:paraId="25C124B0" w14:textId="181EDAD7" w:rsidR="003F5418" w:rsidRDefault="00BA2714">
            <w:pPr>
              <w:pStyle w:val="P68B1DB1-Normal4"/>
              <w:spacing w:after="120"/>
              <w:rPr>
                <w:rFonts w:cs="Arial"/>
                <w:noProof/>
              </w:rPr>
            </w:pPr>
            <w:r>
              <w:rPr>
                <w:noProof/>
              </w:rPr>
              <w:t>4. Végrehajtási mechanizmus előzetes meghatározása a végrehajtási problémák megoldása és a késedelmek elkerülése érdekében, különösen a közigazgatás különböző szintjei tekintetében;</w:t>
            </w:r>
          </w:p>
          <w:p w14:paraId="7DA933B3" w14:textId="28A1834C" w:rsidR="003F5418" w:rsidRDefault="00BA2714">
            <w:pPr>
              <w:pStyle w:val="P68B1DB1-Normal4"/>
              <w:spacing w:after="120"/>
              <w:rPr>
                <w:rFonts w:cs="Arial"/>
                <w:noProof/>
              </w:rPr>
            </w:pPr>
            <w:r>
              <w:rPr>
                <w:noProof/>
              </w:rPr>
              <w:t>5. Az olasz helyreállítási és rezilienciaépítési terv koordinálásával, nyomon követésével és végrehajtásával foglalkozó személyzet meghatározása (létszám és szakértelem) az érintett közigazgatási szerveknél;</w:t>
            </w:r>
          </w:p>
          <w:p w14:paraId="5F3149F8" w14:textId="5088BE08" w:rsidR="003F5418" w:rsidRDefault="00BA2714">
            <w:pPr>
              <w:pStyle w:val="P68B1DB1-Normal4"/>
              <w:spacing w:after="120"/>
              <w:rPr>
                <w:rFonts w:cs="Arial"/>
                <w:noProof/>
              </w:rPr>
            </w:pPr>
            <w:r>
              <w:rPr>
                <w:noProof/>
              </w:rPr>
              <w:t>6. Az olasz helyreállítási és rezilienciaépítési terv végrehajtásában részt vevő közigazgatási szerveknek nyújtott technikai segítségnyújtás meghatározása, különösen helyi szinten, biztosítva az igazgatási kapacitás kiépítését a közigazgatáson belül;</w:t>
            </w:r>
          </w:p>
          <w:p w14:paraId="00EF9753" w14:textId="188D217A" w:rsidR="003F5418" w:rsidRDefault="00BA2714">
            <w:pPr>
              <w:pStyle w:val="P68B1DB1-Normal4"/>
              <w:spacing w:after="120"/>
              <w:rPr>
                <w:rFonts w:cs="Arial"/>
                <w:noProof/>
              </w:rPr>
            </w:pPr>
            <w:r>
              <w:rPr>
                <w:noProof/>
              </w:rPr>
              <w:t>7. Az olasz helyreállítási és rezilienciaépítési terv végrehajtására és a források időben történő felhasználására vonatkozó „gyorsított” eljárások körülhatárolása;</w:t>
            </w:r>
          </w:p>
          <w:p w14:paraId="028CF1AB" w14:textId="279AE79C" w:rsidR="003F5418" w:rsidRDefault="002A6C25">
            <w:pPr>
              <w:pStyle w:val="P68B1DB1-Normal4"/>
              <w:spacing w:after="120"/>
              <w:rPr>
                <w:rFonts w:cs="Arial"/>
                <w:noProof/>
              </w:rPr>
            </w:pPr>
            <w:r>
              <w:rPr>
                <w:noProof/>
              </w:rPr>
              <w:t>8</w:t>
            </w:r>
            <w:r w:rsidR="00BA2714">
              <w:rPr>
                <w:noProof/>
              </w:rPr>
              <w:t>.</w:t>
            </w:r>
            <w:r>
              <w:rPr>
                <w:noProof/>
              </w:rPr>
              <w:t xml:space="preserve"> Az olasz helyreállítási és rezilienciaépítési terv ellenőrzési és kontrollszervezete és eljárásai.</w:t>
            </w:r>
          </w:p>
        </w:tc>
      </w:tr>
      <w:tr w:rsidR="003F5418" w14:paraId="16D6A6D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0ED2B4" w14:textId="77777777" w:rsidR="003F5418" w:rsidRDefault="002A6C25">
            <w:pPr>
              <w:pStyle w:val="P68B1DB1-Normal4"/>
              <w:jc w:val="center"/>
              <w:rPr>
                <w:rFonts w:cs="Arial"/>
                <w:noProof/>
              </w:rPr>
            </w:pPr>
            <w:r>
              <w:rPr>
                <w:noProof/>
              </w:rPr>
              <w:t>M1C1–52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5EEED"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BC207"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F6EC4" w14:textId="77777777" w:rsidR="003F5418" w:rsidRDefault="002A6C25">
            <w:pPr>
              <w:pStyle w:val="P68B1DB1-Normal4"/>
              <w:jc w:val="center"/>
              <w:rPr>
                <w:rFonts w:cs="Arial"/>
                <w:noProof/>
              </w:rPr>
            </w:pPr>
            <w:r>
              <w:rPr>
                <w:noProof/>
              </w:rPr>
              <w:t>Az olasz helyreállítási és rezilienciaépítési terv végrehajtására vonatkozó adminisztratív eljárások egyszerűsítéséről szóló elsődleges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94872" w14:textId="77777777" w:rsidR="003F5418" w:rsidRDefault="002A6C25">
            <w:pPr>
              <w:pStyle w:val="P68B1DB1-Normal4"/>
              <w:jc w:val="center"/>
              <w:rPr>
                <w:rFonts w:cs="Arial"/>
                <w:noProof/>
              </w:rPr>
            </w:pPr>
            <w:r>
              <w:rPr>
                <w:noProof/>
              </w:rPr>
              <w:t xml:space="preserve">A jogszabály hatálybalépésére vonatkozó </w:t>
            </w:r>
            <w:r>
              <w:rPr>
                <w:noProof/>
              </w:rPr>
              <w:t>rendelkezés a jogszabályban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CFEF9"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E942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C77B"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2CB5FD"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E91DD"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E94CA" w14:textId="77777777" w:rsidR="003F5418" w:rsidRDefault="002A6C25">
            <w:pPr>
              <w:pStyle w:val="P68B1DB1-Normal4"/>
              <w:spacing w:after="120"/>
              <w:rPr>
                <w:rFonts w:cs="Arial"/>
                <w:noProof/>
              </w:rPr>
            </w:pPr>
            <w:r>
              <w:rPr>
                <w:noProof/>
              </w:rPr>
              <w:t>Az intézkedések a következőket foglalják magukban:</w:t>
            </w:r>
          </w:p>
          <w:p w14:paraId="24DEEA7E" w14:textId="77777777" w:rsidR="003F5418" w:rsidRDefault="002A6C25">
            <w:pPr>
              <w:pStyle w:val="P68B1DB1-Normal4"/>
              <w:spacing w:after="120"/>
              <w:rPr>
                <w:rFonts w:cs="Arial"/>
                <w:noProof/>
              </w:rPr>
            </w:pPr>
            <w:r>
              <w:rPr>
                <w:noProof/>
              </w:rPr>
              <w:t>1. a kritikus szűk keresztmetszetek megszüntetése, különösen az állami és regionális környezeti hatásvizsgálat, az új hulladék-újrafeldolgozó üzemek en</w:t>
            </w:r>
            <w:r>
              <w:rPr>
                <w:noProof/>
              </w:rPr>
              <w:t>gedélyezése, a megújuló energia engedélyezési eljárásai, valamint az épületek energiahatékonyságának eléréséhez szükséges eljárások (ún. Super Bonus) és a városrehabilitáció terén. A „Conferenza di servizi” (két vagy több közigazgatási szerv közötti hivata</w:t>
            </w:r>
            <w:r>
              <w:rPr>
                <w:noProof/>
              </w:rPr>
              <w:t>los megállapodás).</w:t>
            </w:r>
          </w:p>
        </w:tc>
      </w:tr>
      <w:tr w:rsidR="003F5418" w14:paraId="498A57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B2906" w14:textId="77777777" w:rsidR="003F5418" w:rsidRDefault="002A6C25">
            <w:pPr>
              <w:pStyle w:val="P68B1DB1-Normal4"/>
              <w:jc w:val="center"/>
              <w:rPr>
                <w:rFonts w:cs="Arial"/>
                <w:noProof/>
              </w:rPr>
            </w:pPr>
            <w:r>
              <w:rPr>
                <w:noProof/>
              </w:rPr>
              <w:t>M1C1–53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F19761" w14:textId="77777777" w:rsidR="003F5418" w:rsidRDefault="002A6C25">
            <w:pPr>
              <w:pStyle w:val="P68B1DB1-Normal4"/>
              <w:jc w:val="center"/>
              <w:rPr>
                <w:rFonts w:cs="Arial"/>
                <w:noProof/>
              </w:rPr>
            </w:pPr>
            <w:r>
              <w:rPr>
                <w:noProof/>
              </w:rPr>
              <w:t>Beruházás: Technikai 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495A07"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86B4" w14:textId="77777777" w:rsidR="003F5418" w:rsidRDefault="002A6C25">
            <w:pPr>
              <w:pStyle w:val="P68B1DB1-Normal4"/>
              <w:jc w:val="center"/>
              <w:rPr>
                <w:rFonts w:cs="Arial"/>
                <w:noProof/>
              </w:rPr>
            </w:pPr>
            <w:r>
              <w:rPr>
                <w:noProof/>
              </w:rPr>
              <w:t xml:space="preserve">Az elsődleges jogszabályok hatálybalépése az olasz helyreállítási és </w:t>
            </w:r>
            <w:r>
              <w:rPr>
                <w:noProof/>
              </w:rPr>
              <w:t>rezilienciaépítési terv végrehajtásához szükséges technikai segítségnyújtás és kapacitásépítés megerősítése érdekében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F57CB" w14:textId="77777777" w:rsidR="003F5418" w:rsidRDefault="002A6C25">
            <w:pPr>
              <w:pStyle w:val="P68B1DB1-Normal4"/>
              <w:jc w:val="center"/>
              <w:rPr>
                <w:rFonts w:cs="Arial"/>
                <w:noProof/>
              </w:rPr>
            </w:pPr>
            <w:r>
              <w:rPr>
                <w:noProof/>
              </w:rPr>
              <w:t>A jogszabály hatálybalépésére vonatkozó rendelkezés a jogszabályban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7ED9F"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F3D5B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5B797D"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50BBB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3DB5A4"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E38E7" w14:textId="77777777" w:rsidR="003F5418" w:rsidRDefault="002A6C25">
            <w:pPr>
              <w:pStyle w:val="P68B1DB1-Normal4"/>
              <w:spacing w:after="120"/>
              <w:rPr>
                <w:rFonts w:cs="Arial"/>
                <w:noProof/>
              </w:rPr>
            </w:pPr>
            <w:r>
              <w:rPr>
                <w:noProof/>
              </w:rPr>
              <w:t>Az intézkedések magukban foglalják a követke</w:t>
            </w:r>
            <w:r>
              <w:rPr>
                <w:noProof/>
              </w:rPr>
              <w:t>zők ideiglenes felvételét lehetővé tevő rendelkezést:</w:t>
            </w:r>
          </w:p>
          <w:p w14:paraId="2089FE71" w14:textId="6EE292BD" w:rsidR="003F5418" w:rsidRDefault="00BA2714">
            <w:pPr>
              <w:pStyle w:val="P68B1DB1-Normal4"/>
              <w:spacing w:after="120"/>
              <w:rPr>
                <w:rFonts w:cs="Arial"/>
                <w:noProof/>
              </w:rPr>
            </w:pPr>
            <w:r>
              <w:rPr>
                <w:noProof/>
              </w:rPr>
              <w:t>i. a nemzeti költségvetésből finanszírozott 2800 technikai adat a déli közigazgatás megerősítése érdekében;</w:t>
            </w:r>
          </w:p>
          <w:p w14:paraId="68F2E6BA" w14:textId="795A1585" w:rsidR="003F5418" w:rsidRDefault="00BA2714">
            <w:pPr>
              <w:pStyle w:val="P68B1DB1-Normal4"/>
              <w:spacing w:after="120"/>
              <w:rPr>
                <w:rFonts w:cs="Arial"/>
                <w:noProof/>
              </w:rPr>
            </w:pPr>
            <w:r>
              <w:rPr>
                <w:noProof/>
              </w:rPr>
              <w:t>ii. 1000 szakértőből álló állomány, amely három éven át kiküldik, hogy támogassa a közigazgatási szerveket a technikai segítségnyújtást biztosító új eljárások irányításában.</w:t>
            </w:r>
          </w:p>
        </w:tc>
      </w:tr>
      <w:tr w:rsidR="003F5418" w14:paraId="34DA37D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7DC7E" w14:textId="77777777" w:rsidR="003F5418" w:rsidRDefault="002A6C25">
            <w:pPr>
              <w:pStyle w:val="P68B1DB1-Normal4"/>
              <w:jc w:val="center"/>
              <w:rPr>
                <w:rFonts w:cs="Arial"/>
                <w:noProof/>
              </w:rPr>
            </w:pPr>
            <w:r>
              <w:rPr>
                <w:noProof/>
              </w:rPr>
              <w:t>M1C1–54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2B95F" w14:textId="77777777" w:rsidR="003F5418" w:rsidRDefault="002A6C25">
            <w:pPr>
              <w:pStyle w:val="P68B1DB1-Normal4"/>
              <w:jc w:val="center"/>
              <w:rPr>
                <w:rFonts w:cs="Arial"/>
                <w:noProof/>
              </w:rPr>
            </w:pPr>
            <w:r>
              <w:rPr>
                <w:noProof/>
              </w:rPr>
              <w:t>Beruházás: Technikai 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7E450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2C183A" w14:textId="77777777" w:rsidR="003F5418" w:rsidRDefault="002A6C25">
            <w:pPr>
              <w:pStyle w:val="P68B1DB1-Normal4"/>
              <w:jc w:val="center"/>
              <w:rPr>
                <w:rFonts w:cs="Arial"/>
                <w:noProof/>
              </w:rPr>
            </w:pPr>
            <w:r>
              <w:rPr>
                <w:noProof/>
              </w:rPr>
              <w:t xml:space="preserve">Szakértők felvétele az </w:t>
            </w:r>
            <w:r>
              <w:rPr>
                <w:noProof/>
              </w:rPr>
              <w:t>olasz helyreállítási és rezilienciaépítési terv végrehajtásához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A69B9"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A6B367"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3D3E0D"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824514" w14:textId="77777777" w:rsidR="003F5418" w:rsidRDefault="002A6C25">
            <w:pPr>
              <w:pStyle w:val="P68B1DB1-Normal4"/>
              <w:jc w:val="center"/>
              <w:rPr>
                <w:rFonts w:cs="Arial"/>
                <w:noProof/>
              </w:rPr>
            </w:pPr>
            <w:r>
              <w:rPr>
                <w:noProof/>
              </w:rPr>
              <w:t>1 000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0C74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93B9E"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40F3E9" w14:textId="77777777" w:rsidR="003F5418" w:rsidRDefault="002A6C25">
            <w:pPr>
              <w:pStyle w:val="P68B1DB1-Normal4"/>
              <w:spacing w:after="120"/>
              <w:rPr>
                <w:rFonts w:cs="Arial"/>
                <w:noProof/>
              </w:rPr>
            </w:pPr>
            <w:r>
              <w:rPr>
                <w:noProof/>
              </w:rPr>
              <w:t xml:space="preserve">Le kell zárni a három évre kirendelendő 1000 szakértőből álló állomány felvételi eljárásait, hogy támogassák a közigazgatási szerveket a technikai segítségnyújtást </w:t>
            </w:r>
            <w:r>
              <w:rPr>
                <w:noProof/>
              </w:rPr>
              <w:t>biztosító új eljárások irányításában.</w:t>
            </w:r>
          </w:p>
        </w:tc>
      </w:tr>
      <w:tr w:rsidR="003F5418" w14:paraId="1189A05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9D193C" w14:textId="77777777" w:rsidR="003F5418" w:rsidRDefault="002A6C25">
            <w:pPr>
              <w:pStyle w:val="P68B1DB1-Normal4"/>
              <w:jc w:val="center"/>
              <w:rPr>
                <w:rFonts w:cs="Arial"/>
                <w:noProof/>
              </w:rPr>
            </w:pPr>
            <w:r>
              <w:rPr>
                <w:noProof/>
              </w:rPr>
              <w:t>M1C1–55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DDDC60"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5C36F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B4ED95" w14:textId="77777777" w:rsidR="003F5418" w:rsidRDefault="002A6C25">
            <w:pPr>
              <w:pStyle w:val="P68B1DB1-Normal4"/>
              <w:jc w:val="center"/>
              <w:rPr>
                <w:rFonts w:cs="Arial"/>
                <w:noProof/>
              </w:rPr>
            </w:pPr>
            <w:r>
              <w:rPr>
                <w:noProof/>
              </w:rPr>
              <w:t>Az olasz helyreállítási és rezilienciaépítési tervre alkalmazott módszertan kiterjesztése a nemzeti költségvetésre a beruházások felhasználásának növelése érdekében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B36C9" w14:textId="77777777" w:rsidR="003F5418" w:rsidRDefault="002A6C25">
            <w:pPr>
              <w:pStyle w:val="P68B1DB1-Normal4"/>
              <w:jc w:val="center"/>
              <w:rPr>
                <w:rFonts w:cs="Arial"/>
                <w:noProof/>
              </w:rPr>
            </w:pPr>
            <w:r>
              <w:rPr>
                <w:noProof/>
              </w:rPr>
              <w:t xml:space="preserve">A </w:t>
            </w:r>
            <w:r>
              <w:rPr>
                <w:noProof/>
              </w:rPr>
              <w:t>módszertan kiterjesztésének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4185B4"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B30536"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DBB2A5"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614F77"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3254CF"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C5519" w14:textId="77777777" w:rsidR="003F5418" w:rsidRDefault="002A6C25">
            <w:pPr>
              <w:pStyle w:val="P68B1DB1-Normal4"/>
              <w:spacing w:after="120"/>
              <w:rPr>
                <w:rFonts w:cs="Arial"/>
                <w:noProof/>
              </w:rPr>
            </w:pPr>
            <w:r>
              <w:rPr>
                <w:noProof/>
              </w:rPr>
              <w:t>A Helyreállítási és Rezilienciaépítési Eszközhöz hasonló mérföldkövek és célok egyszerűsített rendszerének létrehozása a kiegészítő beruházási alap projek</w:t>
            </w:r>
            <w:r>
              <w:rPr>
                <w:noProof/>
              </w:rPr>
              <w:t>tjeinek tervezésére, végrehajtására és finanszírozására (30,5 milliárd EUR).</w:t>
            </w:r>
          </w:p>
        </w:tc>
      </w:tr>
      <w:tr w:rsidR="003F5418" w14:paraId="1AA96CA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9C20F" w14:textId="77777777" w:rsidR="003F5418" w:rsidRDefault="002A6C25">
            <w:pPr>
              <w:pStyle w:val="P68B1DB1-Normal4"/>
              <w:jc w:val="center"/>
              <w:rPr>
                <w:rFonts w:cs="Arial"/>
                <w:noProof/>
              </w:rPr>
            </w:pPr>
            <w:r>
              <w:rPr>
                <w:noProof/>
              </w:rPr>
              <w:t>M1C1–56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6B515"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DB53B"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6E60AA" w14:textId="77777777" w:rsidR="003F5418" w:rsidRDefault="002A6C25">
            <w:pPr>
              <w:pStyle w:val="P68B1DB1-Normal4"/>
              <w:jc w:val="center"/>
              <w:rPr>
                <w:rFonts w:cs="Arial"/>
                <w:noProof/>
              </w:rPr>
            </w:pPr>
            <w:r>
              <w:rPr>
                <w:noProof/>
              </w:rPr>
              <w:t>Az állami foglalkoztatás reformját lehetővé tevő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7F377E" w14:textId="77777777" w:rsidR="003F5418" w:rsidRDefault="002A6C25">
            <w:pPr>
              <w:pStyle w:val="P68B1DB1-Normal4"/>
              <w:jc w:val="center"/>
              <w:rPr>
                <w:rFonts w:cs="Arial"/>
                <w:noProof/>
              </w:rPr>
            </w:pPr>
            <w:r>
              <w:rPr>
                <w:noProof/>
              </w:rPr>
              <w:t>A jogszabály hatálybalépésére vonatkozó rendelkezés</w:t>
            </w:r>
            <w:r>
              <w:rPr>
                <w:noProof/>
              </w:rPr>
              <w:t xml:space="preserve"> a jogszabályban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80BF88"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877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9CFE0"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C89094"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F4D31"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2118F6" w14:textId="77777777" w:rsidR="003F5418" w:rsidRDefault="002A6C25">
            <w:pPr>
              <w:pStyle w:val="P68B1DB1-Normal4"/>
              <w:spacing w:after="120"/>
              <w:rPr>
                <w:rFonts w:cs="Arial"/>
                <w:noProof/>
              </w:rPr>
            </w:pPr>
            <w:r>
              <w:rPr>
                <w:noProof/>
              </w:rPr>
              <w:t>A felhatalmazó jogszabály a következő intézkedéseket tartalmazza:</w:t>
            </w:r>
          </w:p>
          <w:p w14:paraId="48C745C5" w14:textId="77777777" w:rsidR="003F5418" w:rsidRDefault="002A6C25">
            <w:pPr>
              <w:pStyle w:val="P68B1DB1-Normal4"/>
              <w:spacing w:after="120"/>
              <w:rPr>
                <w:rFonts w:cs="Arial"/>
                <w:noProof/>
              </w:rPr>
            </w:pPr>
            <w:r>
              <w:rPr>
                <w:noProof/>
              </w:rPr>
              <w:t>– az állami szektorra jellemző munkaköri profilok meghatározása a szükséges kompetenciák és készségek vonzása érdekében;</w:t>
            </w:r>
          </w:p>
          <w:p w14:paraId="1FCC7D72" w14:textId="77777777" w:rsidR="003F5418" w:rsidRDefault="002A6C25">
            <w:pPr>
              <w:pStyle w:val="P68B1DB1-Normal4"/>
              <w:spacing w:after="120"/>
              <w:rPr>
                <w:rFonts w:cs="Arial"/>
                <w:noProof/>
              </w:rPr>
            </w:pPr>
            <w:r>
              <w:rPr>
                <w:noProof/>
              </w:rPr>
              <w:t>egységes munkaerő-felvétel</w:t>
            </w:r>
            <w:r>
              <w:rPr>
                <w:noProof/>
              </w:rPr>
              <w:t>i platform létrehozása az összes központi közigazgatásra vonatkozó munkaerő-felvételi eljárások központosítása érdekében, azzal a kötelezettségvállalással, hogy a platform használatát a helyi közigazgatásokra is kiterjesztik;</w:t>
            </w:r>
          </w:p>
          <w:p w14:paraId="02F540F4" w14:textId="77777777" w:rsidR="003F5418" w:rsidRDefault="002A6C25">
            <w:pPr>
              <w:pStyle w:val="P68B1DB1-Normal4"/>
              <w:spacing w:after="120"/>
              <w:rPr>
                <w:rFonts w:cs="Arial"/>
                <w:noProof/>
              </w:rPr>
            </w:pPr>
            <w:r>
              <w:rPr>
                <w:noProof/>
              </w:rPr>
              <w:t xml:space="preserve">a munkaerő-felvételi folyamat </w:t>
            </w:r>
            <w:r>
              <w:rPr>
                <w:noProof/>
              </w:rPr>
              <w:t xml:space="preserve">reformja a következők érdekében: a tisztán tudásalapú rendszerről egy elsősorban kompetenciákon és megfelelő képességeken alapuló rendszerre való áttérés; a teljesítő köztisztviselők kompetenciáinak értékelése; különbséget kell tenni a felvételi eljárások </w:t>
            </w:r>
            <w:r>
              <w:rPr>
                <w:noProof/>
              </w:rPr>
              <w:t xml:space="preserve">között a kezdő szintű munkaerő-felvétel között, amelynek tisztán kompetenciaalapúnak kell lennie, valamint a speciális profilok felvétele között, amelynek a kompetenciákat a releváns munkatapasztalattal kell ötvöznie, és magasabb szintű karrierhez kellene </w:t>
            </w:r>
            <w:r>
              <w:rPr>
                <w:noProof/>
              </w:rPr>
              <w:t>vezetnie. A Közigazgatási Minisztérium biztosítja az új folyamat következetes végrehajtását a közigazgatásban;</w:t>
            </w:r>
          </w:p>
          <w:p w14:paraId="15C98F82" w14:textId="77777777" w:rsidR="003F5418" w:rsidRDefault="002A6C25">
            <w:pPr>
              <w:pStyle w:val="P68B1DB1-Normal4"/>
              <w:spacing w:after="120"/>
              <w:rPr>
                <w:rFonts w:cs="Arial"/>
                <w:noProof/>
              </w:rPr>
            </w:pPr>
            <w:r>
              <w:rPr>
                <w:noProof/>
              </w:rPr>
              <w:t>a vezető közszolgálat reformja a kinevezési eljárások közigazgatáson belüli egységesítése, a munkaköri profilok meghatározása és teljesítményük é</w:t>
            </w:r>
            <w:r>
              <w:rPr>
                <w:noProof/>
              </w:rPr>
              <w:t>rtékelése érdekében;</w:t>
            </w:r>
          </w:p>
          <w:p w14:paraId="709330EA" w14:textId="77777777" w:rsidR="003F5418" w:rsidRDefault="002A6C25">
            <w:pPr>
              <w:pStyle w:val="P68B1DB1-Normal4"/>
              <w:spacing w:after="120"/>
              <w:rPr>
                <w:rFonts w:cs="Arial"/>
                <w:noProof/>
              </w:rPr>
            </w:pPr>
            <w:r>
              <w:rPr>
                <w:noProof/>
              </w:rPr>
              <w:t>– erősítsék meg a kapcsolatot az egész életen át tartó tanulás és a munkavállalók képzési lehetőségei, valamint a részvételre irányuló ösztönzők között, például jutalmazási mechanizmusok vagy konkrét karrierlehetőségek kilátásba helyez</w:t>
            </w:r>
            <w:r>
              <w:rPr>
                <w:noProof/>
              </w:rPr>
              <w:t>ésével, különös tekintettel a kettős átállásra;</w:t>
            </w:r>
          </w:p>
          <w:p w14:paraId="59C864D0" w14:textId="77777777" w:rsidR="003F5418" w:rsidRDefault="002A6C25">
            <w:pPr>
              <w:pStyle w:val="P68B1DB1-Normal4"/>
              <w:spacing w:after="120"/>
              <w:rPr>
                <w:rFonts w:cs="Arial"/>
                <w:noProof/>
              </w:rPr>
            </w:pPr>
            <w:r>
              <w:rPr>
                <w:noProof/>
              </w:rPr>
              <w:t>– a közigazgatás etikai elveinek meghatározása vagy aktualizálása egyértelmű szabályok, magatartási kódexek és a témával kapcsolatos képzési modulok révén;</w:t>
            </w:r>
          </w:p>
          <w:p w14:paraId="77D0574D" w14:textId="77777777" w:rsidR="003F5418" w:rsidRDefault="002A6C25">
            <w:pPr>
              <w:pStyle w:val="P68B1DB1-Normal4"/>
              <w:spacing w:after="120"/>
              <w:rPr>
                <w:rFonts w:cs="Arial"/>
                <w:noProof/>
              </w:rPr>
            </w:pPr>
            <w:r>
              <w:rPr>
                <w:noProof/>
              </w:rPr>
              <w:t>a nemek közötti egyensúly iránti elkötelezettség meg</w:t>
            </w:r>
            <w:r>
              <w:rPr>
                <w:noProof/>
              </w:rPr>
              <w:t>erősítése;</w:t>
            </w:r>
          </w:p>
          <w:p w14:paraId="0EB219B7" w14:textId="77777777" w:rsidR="003F5418" w:rsidRDefault="002A6C25">
            <w:pPr>
              <w:pStyle w:val="P68B1DB1-Normal4"/>
              <w:spacing w:after="120"/>
              <w:rPr>
                <w:rFonts w:cs="Arial"/>
                <w:noProof/>
              </w:rPr>
            </w:pPr>
            <w:r>
              <w:rPr>
                <w:noProof/>
              </w:rPr>
              <w:t>– a vertikális mobilitásra vonatkozó szabályozási keret felülvizsgálata, a középvezetői pozíciók („négyzetes”) létrehozása és elérése, valamint vezető beosztások („dirigenti di prima e seconda fascia”) elérése érdekében a karrierlehetőségek megr</w:t>
            </w:r>
            <w:r>
              <w:rPr>
                <w:noProof/>
              </w:rPr>
              <w:t>eformálása. Ez magában foglalja a teljesítményértékelési rendszer reformját, valamint a szakmai előmenetel és a teljesítményértékelés közötti kapcsolat megerősítését;</w:t>
            </w:r>
          </w:p>
          <w:p w14:paraId="619134F4" w14:textId="77777777" w:rsidR="003F5418" w:rsidRDefault="002A6C25">
            <w:pPr>
              <w:pStyle w:val="P68B1DB1-Normal4"/>
              <w:rPr>
                <w:rFonts w:cs="Arial"/>
                <w:noProof/>
              </w:rPr>
            </w:pPr>
            <w:r>
              <w:rPr>
                <w:noProof/>
              </w:rPr>
              <w:t>– a horizontális mobilitásra vonatkozó szabályozási keret átdolgozása a közigazgatás haté</w:t>
            </w:r>
            <w:r>
              <w:rPr>
                <w:noProof/>
              </w:rPr>
              <w:t>kony munkaerőpiacának megteremtése érdekében, beleértve a) átlátható egységes hirdetési rendszer létrehozását a központi és helyi közigazgatásban betöltendő valamennyi betöltetlen álláshelyre vonatkozóan, b) annak lehetőségét, hogy bárhol pályázzanak bárme</w:t>
            </w:r>
            <w:r>
              <w:rPr>
                <w:noProof/>
              </w:rPr>
              <w:t>ly rendelkezésre álló álláshelyre, c) a származási hely szerinti közigazgatási szervtől származó mobilitás engedélyezésének eltörlése, valamint d) az áthelyezéshez nem vezető alternatív mobilitási eszközök (azaz „comandi” és „distacchi”) használatára vonat</w:t>
            </w:r>
            <w:r>
              <w:rPr>
                <w:noProof/>
              </w:rPr>
              <w:t>kozó jelentős korlátozások bevezetése, hogy azok kivételesek és szigorúan időben korlátozottak legyenek.</w:t>
            </w:r>
          </w:p>
        </w:tc>
      </w:tr>
      <w:tr w:rsidR="003F5418" w14:paraId="4CB8DEE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BB023C" w14:textId="77777777" w:rsidR="003F5418" w:rsidRDefault="002A6C25">
            <w:pPr>
              <w:pStyle w:val="P68B1DB1-Normal4"/>
              <w:jc w:val="center"/>
              <w:rPr>
                <w:rFonts w:cs="Arial"/>
                <w:noProof/>
              </w:rPr>
            </w:pPr>
            <w:r>
              <w:rPr>
                <w:noProof/>
              </w:rPr>
              <w:t>M1C1–57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1AC62"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4F1DB8"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3E7D3" w14:textId="77777777" w:rsidR="003F5418" w:rsidRDefault="002A6C25">
            <w:pPr>
              <w:pStyle w:val="P68B1DB1-Normal4"/>
              <w:jc w:val="center"/>
              <w:rPr>
                <w:rFonts w:cs="Arial"/>
                <w:noProof/>
              </w:rPr>
            </w:pPr>
            <w:r>
              <w:rPr>
                <w:noProof/>
              </w:rPr>
              <w:t xml:space="preserve">A Helyreállítási és Rezilienciaépítési Eszköz végrehajtását célzó egyszerűsítési reform </w:t>
            </w:r>
            <w:r>
              <w:rPr>
                <w:noProof/>
              </w:rPr>
              <w:t>adminisztratív eljárásainak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51442B" w14:textId="77777777" w:rsidR="003F5418" w:rsidRDefault="002A6C25">
            <w:pPr>
              <w:pStyle w:val="P68B1DB1-Normal4"/>
              <w:jc w:val="center"/>
              <w:rPr>
                <w:rFonts w:cs="Arial"/>
                <w:noProof/>
              </w:rPr>
            </w:pPr>
            <w:r>
              <w:rPr>
                <w:noProof/>
              </w:rPr>
              <w:t>A másodlagos jog hatálybalépését feltüntető jogszabályi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12080"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38CA81"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BDA84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E925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059C3"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05EFD" w14:textId="77777777" w:rsidR="003F5418" w:rsidRDefault="002A6C25">
            <w:pPr>
              <w:pStyle w:val="P68B1DB1-Normal4"/>
              <w:spacing w:after="120"/>
              <w:rPr>
                <w:rFonts w:cs="Arial"/>
                <w:noProof/>
              </w:rPr>
            </w:pPr>
            <w:r>
              <w:rPr>
                <w:noProof/>
              </w:rPr>
              <w:t xml:space="preserve">Valamennyi kapcsolódó felhatalmazáson alapuló jogi aktus, miniszteri rendeletek, másodlagos jogszabályok és minden </w:t>
            </w:r>
            <w:r>
              <w:rPr>
                <w:noProof/>
              </w:rPr>
              <w:t>egyéb olyan rendelet hatálybalépése, amely az egyszerűsítés hatékony végrehajtásához szükséges, beleértve a régiókkal kötött megállapodásokat is, amennyiben kizárólagos és párhuzamos regionális hatáskörről van szó.</w:t>
            </w:r>
          </w:p>
        </w:tc>
      </w:tr>
      <w:tr w:rsidR="003F5418" w14:paraId="651740F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B6F2C" w14:textId="77777777" w:rsidR="003F5418" w:rsidRDefault="002A6C25">
            <w:pPr>
              <w:pStyle w:val="P68B1DB1-Normal4"/>
              <w:jc w:val="center"/>
              <w:rPr>
                <w:rFonts w:cs="Arial"/>
                <w:noProof/>
              </w:rPr>
            </w:pPr>
            <w:r>
              <w:rPr>
                <w:noProof/>
              </w:rPr>
              <w:t>M1C1–58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F4DA7A"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6E5EF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D67F3" w14:textId="77777777" w:rsidR="003F5418" w:rsidRDefault="002A6C25">
            <w:pPr>
              <w:pStyle w:val="P68B1DB1-Normal4"/>
              <w:jc w:val="center"/>
              <w:rPr>
                <w:rFonts w:cs="Arial"/>
                <w:noProof/>
              </w:rPr>
            </w:pPr>
            <w:r>
              <w:rPr>
                <w:noProof/>
              </w:rPr>
              <w:t>Az állami foglalkoztatás reformjáról szóló jogi aktusok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7652" w14:textId="77777777" w:rsidR="003F5418" w:rsidRDefault="002A6C25">
            <w:pPr>
              <w:pStyle w:val="P68B1DB1-Normal4"/>
              <w:jc w:val="center"/>
              <w:rPr>
                <w:rFonts w:cs="Arial"/>
                <w:noProof/>
              </w:rPr>
            </w:pPr>
            <w:r>
              <w:rPr>
                <w:noProof/>
              </w:rPr>
              <w:t>A közfoglalkoztatás reformjáról szóló jogi aktusok hatálybalépését jelző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CD059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CB6B1"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984A8"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C3117F"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327B4"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96F3E4" w14:textId="77777777" w:rsidR="003F5418" w:rsidRDefault="002A6C25">
            <w:pPr>
              <w:pStyle w:val="P68B1DB1-Normal4"/>
              <w:spacing w:after="120"/>
              <w:rPr>
                <w:rFonts w:cs="Arial"/>
                <w:noProof/>
              </w:rPr>
            </w:pPr>
            <w:r>
              <w:rPr>
                <w:noProof/>
              </w:rPr>
              <w:t xml:space="preserve">A reform hatékony végrehajtásához szükséges valamennyi </w:t>
            </w:r>
            <w:r>
              <w:rPr>
                <w:noProof/>
              </w:rPr>
              <w:t>kapcsolódó felhatalmazáson alapuló jogi aktus, miniszteri rendelet, másodlagos jog és minden egyéb rendelet hatálybalépése.</w:t>
            </w:r>
          </w:p>
        </w:tc>
      </w:tr>
      <w:tr w:rsidR="003F5418" w14:paraId="7D3935B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23A349" w14:textId="77777777" w:rsidR="003F5418" w:rsidRDefault="002A6C25">
            <w:pPr>
              <w:pStyle w:val="P68B1DB1-Normal4"/>
              <w:jc w:val="center"/>
              <w:rPr>
                <w:rFonts w:cs="Arial"/>
                <w:noProof/>
              </w:rPr>
            </w:pPr>
            <w:r>
              <w:rPr>
                <w:noProof/>
              </w:rPr>
              <w:t>M1C1–59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C0EC6"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F80F3"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D2948A" w14:textId="77777777" w:rsidR="003F5418" w:rsidRDefault="002A6C25">
            <w:pPr>
              <w:pStyle w:val="P68B1DB1-Normal4"/>
              <w:jc w:val="center"/>
              <w:rPr>
                <w:rFonts w:cs="Arial"/>
                <w:noProof/>
              </w:rPr>
            </w:pPr>
            <w:r>
              <w:rPr>
                <w:noProof/>
              </w:rPr>
              <w:t>A közigazgatásban a stratégiai humánerőforrás-gazdálkodás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936B0" w14:textId="77777777" w:rsidR="003F5418" w:rsidRDefault="002A6C25">
            <w:pPr>
              <w:pStyle w:val="P68B1DB1-Normal4"/>
              <w:jc w:val="center"/>
              <w:rPr>
                <w:rFonts w:cs="Arial"/>
                <w:noProof/>
              </w:rPr>
            </w:pPr>
            <w:r>
              <w:rPr>
                <w:noProof/>
              </w:rPr>
              <w:t xml:space="preserve">A </w:t>
            </w:r>
            <w:r>
              <w:rPr>
                <w:noProof/>
              </w:rPr>
              <w:t>közigazgatásban a stratégiai humánerőforrás-gazdálkodás bevezetéséről szóló jogszabály hatálybalépését jelző rendelkezés</w:t>
            </w:r>
          </w:p>
          <w:p w14:paraId="4BD405DB" w14:textId="77777777" w:rsidR="003F5418" w:rsidRDefault="003F5418">
            <w:pPr>
              <w:jc w:val="center"/>
              <w:rPr>
                <w:rFonts w:ascii="Arial Narrow" w:hAnsi="Arial Narrow" w:cs="Arial"/>
                <w:noProof/>
                <w:color w:val="006100"/>
                <w:sz w:val="20"/>
              </w:rPr>
            </w:pP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18F95"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1E059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A6AF8"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768D80"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1F466F"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DDEF7C" w14:textId="77777777" w:rsidR="003F5418" w:rsidRDefault="002A6C25">
            <w:pPr>
              <w:pStyle w:val="P68B1DB1-Normal4"/>
              <w:spacing w:after="120"/>
              <w:rPr>
                <w:rFonts w:cs="Arial"/>
                <w:noProof/>
              </w:rPr>
            </w:pPr>
            <w:r>
              <w:rPr>
                <w:noProof/>
              </w:rPr>
              <w:t>A közigazgatásban a stratégiai humánerőforrás-gazdálkodás bevezetésére vonatkozó jogszabályok és felhatalmaz</w:t>
            </w:r>
            <w:r>
              <w:rPr>
                <w:noProof/>
              </w:rPr>
              <w:t>áson alapuló jogi aktusok a következőket foglalják magukban: az integrált tevékenységi és szervezési terv (PIAO) keretében a munkaerő-felvételre, a karrierfejlesztésre és a képzésre vonatkozó emberierőforrás-stratégiai tervek meghatározása valamennyi közpo</w:t>
            </w:r>
            <w:r>
              <w:rPr>
                <w:noProof/>
              </w:rPr>
              <w:t>nti és regionális közigazgatási szerv számára, amelyet a készségeket és profilokat tartalmazó integrált adatbázis támogat; a humánerőforrás-tervezési rendszert koordináló és támogató központi kézbesítési egység létrehozása. A második szakaszban a humánerőf</w:t>
            </w:r>
            <w:r>
              <w:rPr>
                <w:noProof/>
              </w:rPr>
              <w:t>orrás-stratégiai terveket ki kell terjeszteni a nagy településekre, míg a kis- és közepes települések konkrét kapacitásépítési beruházások tárgyát képezik.</w:t>
            </w:r>
          </w:p>
        </w:tc>
      </w:tr>
      <w:tr w:rsidR="003F5418" w14:paraId="6F1DA9F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FC817" w14:textId="59241711" w:rsidR="003F5418" w:rsidRDefault="002A6C25">
            <w:pPr>
              <w:pStyle w:val="P68B1DB1-Normal4"/>
              <w:jc w:val="center"/>
              <w:rPr>
                <w:rFonts w:cs="Arial"/>
                <w:noProof/>
              </w:rPr>
            </w:pPr>
            <w:r>
              <w:rPr>
                <w:noProof/>
              </w:rPr>
              <w:t>M1C1–59BIS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3BDCD1" w14:textId="77777777" w:rsidR="003F5418" w:rsidRDefault="002A6C25">
            <w:pPr>
              <w:pStyle w:val="P68B1DB1-Normal4"/>
              <w:jc w:val="center"/>
              <w:rPr>
                <w:rFonts w:cs="Arial"/>
                <w:noProof/>
              </w:rPr>
            </w:pPr>
            <w:r>
              <w:rPr>
                <w:noProof/>
              </w:rPr>
              <w:t>Reform: A közigazgatás reformja</w:t>
            </w:r>
          </w:p>
          <w:p w14:paraId="5F931C2F" w14:textId="77777777" w:rsidR="003F5418" w:rsidRDefault="003F541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D243F"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545150" w14:textId="77777777" w:rsidR="003F5418" w:rsidRDefault="002A6C25">
            <w:pPr>
              <w:pStyle w:val="P68B1DB1-Normal4"/>
              <w:jc w:val="center"/>
              <w:rPr>
                <w:rFonts w:cs="Arial"/>
                <w:noProof/>
              </w:rPr>
            </w:pPr>
            <w:r>
              <w:rPr>
                <w:noProof/>
              </w:rPr>
              <w:t xml:space="preserve">Stratégiai humánerőforrás-gazdálkodás </w:t>
            </w:r>
            <w:r>
              <w:rPr>
                <w:noProof/>
              </w:rPr>
              <w:t>végrehajtása a közigazgatásban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C04E65" w14:textId="77777777" w:rsidR="003F5418" w:rsidRDefault="002A6C25">
            <w:pPr>
              <w:pStyle w:val="P68B1DB1-Normal4"/>
              <w:jc w:val="center"/>
              <w:rPr>
                <w:rFonts w:cs="Arial"/>
                <w:noProof/>
              </w:rPr>
            </w:pPr>
            <w:r>
              <w:rPr>
                <w:noProof/>
              </w:rPr>
              <w:t>A fő teljesítménymutatókról szóló első féléves jelentés közzététele.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C3490"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C930CE"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624D63"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FC73A"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CAC400"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E1C3A" w14:textId="77777777" w:rsidR="003F5418" w:rsidRDefault="002A6C25">
            <w:pPr>
              <w:pStyle w:val="P68B1DB1-Normal4"/>
              <w:rPr>
                <w:rFonts w:cs="Arial"/>
                <w:noProof/>
              </w:rPr>
            </w:pPr>
            <w:r>
              <w:rPr>
                <w:noProof/>
              </w:rPr>
              <w:t>A fő teljesítménymutatókról szóló első féléves jelentést közzé kell tenni.</w:t>
            </w:r>
          </w:p>
        </w:tc>
      </w:tr>
      <w:tr w:rsidR="003F5418" w14:paraId="4B111CB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98D652" w14:textId="278A64D4" w:rsidR="003F5418" w:rsidRDefault="002A6C25">
            <w:pPr>
              <w:pStyle w:val="P68B1DB1-Normal4"/>
              <w:jc w:val="center"/>
              <w:rPr>
                <w:noProof/>
              </w:rPr>
            </w:pPr>
            <w:r>
              <w:rPr>
                <w:noProof/>
              </w:rPr>
              <w:t>M1C1–59ter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9022F8" w14:textId="77777777" w:rsidR="003F5418" w:rsidRDefault="002A6C25">
            <w:pPr>
              <w:pStyle w:val="P68B1DB1-Normal4"/>
              <w:jc w:val="center"/>
              <w:rPr>
                <w:noProof/>
              </w:rPr>
            </w:pPr>
            <w:r>
              <w:rPr>
                <w:noProof/>
              </w:rPr>
              <w:t>Reform: A közigazgatás reformja</w:t>
            </w:r>
          </w:p>
          <w:p w14:paraId="1C62E501" w14:textId="77777777" w:rsidR="003F5418" w:rsidRDefault="003F5418">
            <w:pPr>
              <w:jc w:val="center"/>
              <w:rPr>
                <w:rFonts w:ascii="Arial Narrow" w:hAnsi="Arial Narrow"/>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80958" w14:textId="4D4C1690" w:rsidR="003F5418" w:rsidRDefault="002A6C25">
            <w:pPr>
              <w:pStyle w:val="P68B1DB1-Normal4"/>
              <w:jc w:val="center"/>
              <w:rPr>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2E5C" w14:textId="7B0A7D15" w:rsidR="003F5418" w:rsidRDefault="002A6C25">
            <w:pPr>
              <w:pStyle w:val="P68B1DB1-Normal4"/>
              <w:jc w:val="center"/>
              <w:rPr>
                <w:noProof/>
              </w:rPr>
            </w:pPr>
            <w:r>
              <w:rPr>
                <w:noProof/>
              </w:rPr>
              <w:t>Stratégiai humánerőforrás-gazdálkodás végrehajtása a közigazgatásban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7E84DF" w14:textId="5C6D889C" w:rsidR="003F5418" w:rsidRDefault="002A6C25">
            <w:pPr>
              <w:pStyle w:val="P68B1DB1-Normal4"/>
              <w:jc w:val="center"/>
              <w:rPr>
                <w:noProof/>
              </w:rPr>
            </w:pPr>
            <w:r>
              <w:rPr>
                <w:noProof/>
              </w:rPr>
              <w:t xml:space="preserve">Rendelkezésre álló, az INPA-val és a Syllabusszal interoperábilis és a PIAO adatbázisba integrált „HR eszköztár”, valamint a humánerőforrás-stratégiai tervek ellenőrzése.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C25D1" w14:textId="711EBDC8" w:rsidR="003F5418" w:rsidRDefault="002A6C25">
            <w:pPr>
              <w:pStyle w:val="P68B1DB1-Normal4"/>
              <w:jc w:val="center"/>
              <w:rPr>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03B5B7" w14:textId="43639E30" w:rsidR="003F5418" w:rsidRDefault="002A6C25">
            <w:pPr>
              <w:pStyle w:val="P68B1DB1-Normal4"/>
              <w:jc w:val="center"/>
              <w:rPr>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5F11CF" w14:textId="5FB86D14" w:rsidR="003F5418" w:rsidRDefault="002A6C25">
            <w:pPr>
              <w:pStyle w:val="P68B1DB1-Normal4"/>
              <w:jc w:val="center"/>
              <w:rPr>
                <w:noProof/>
              </w:rPr>
            </w:pPr>
            <w:r>
              <w:rPr>
                <w:noProof/>
              </w:rPr>
              <w:t>NIN</w:t>
            </w:r>
            <w:r>
              <w:rPr>
                <w:noProof/>
              </w:rPr>
              <w:t>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B145C" w14:textId="413D89B5" w:rsidR="003F5418" w:rsidRDefault="002A6C25">
            <w:pPr>
              <w:pStyle w:val="P68B1DB1-Normal4"/>
              <w:jc w:val="center"/>
              <w:rPr>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88BEF2" w14:textId="70D8BEBD" w:rsidR="003F5418" w:rsidRDefault="002A6C25">
            <w:pPr>
              <w:pStyle w:val="P68B1DB1-Normal4"/>
              <w:jc w:val="center"/>
              <w:rPr>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1A5EA2" w14:textId="77777777" w:rsidR="003F5418" w:rsidRDefault="002A6C25">
            <w:pPr>
              <w:pStyle w:val="P68B1DB1-Normal4"/>
              <w:spacing w:before="120" w:after="160" w:line="259" w:lineRule="auto"/>
              <w:contextualSpacing/>
              <w:rPr>
                <w:noProof/>
              </w:rPr>
            </w:pPr>
            <w:r>
              <w:rPr>
                <w:noProof/>
              </w:rPr>
              <w:t>Az integrált adatbázisnak („HRM eszköztár”) minden 50 főnél több alkalmazottat foglalkoztató közigazgatási szerv számára hozzáférhetőnek kell lennie, amelynek jogszabály szerint PIAO-t kell elfogadnia. A „HRM eszköztárnak” interoperábilisnak kel</w:t>
            </w:r>
            <w:r>
              <w:rPr>
                <w:noProof/>
              </w:rPr>
              <w:t>l lennie a toborzási platformmal (INPA) és a „Syllabus” platformmal. A „HRM eszköztárat” és a PIAO adatbázist integrálni kell.</w:t>
            </w:r>
          </w:p>
          <w:p w14:paraId="7CAD3DFF" w14:textId="77777777" w:rsidR="003F5418" w:rsidRDefault="003F5418">
            <w:pPr>
              <w:spacing w:before="120" w:after="160" w:line="259" w:lineRule="auto"/>
              <w:contextualSpacing/>
              <w:rPr>
                <w:rFonts w:ascii="Arial Narrow" w:hAnsi="Arial Narrow"/>
                <w:noProof/>
                <w:color w:val="006100"/>
                <w:sz w:val="20"/>
              </w:rPr>
            </w:pPr>
          </w:p>
          <w:p w14:paraId="1A124C98" w14:textId="1D3054FA" w:rsidR="003F5418" w:rsidRDefault="002A6C25">
            <w:pPr>
              <w:pStyle w:val="P68B1DB1-Normal4"/>
              <w:rPr>
                <w:noProof/>
              </w:rPr>
            </w:pPr>
            <w:r>
              <w:rPr>
                <w:noProof/>
              </w:rPr>
              <w:t>A közigazgatási minisztérium legalább a PIAO-kat 50-nál több alkalmazottat foglalkoztató nemzeti és szubnacionális közigazgatási</w:t>
            </w:r>
            <w:r>
              <w:rPr>
                <w:noProof/>
              </w:rPr>
              <w:t xml:space="preserve"> szervek mintájára vonatkozóan ellenőrzi a megfelelő emberierőforrás-stratégiai tervek tartalmát, és a szükséges mértékben nyomonkövetési intézkedéseket hoz.</w:t>
            </w:r>
          </w:p>
        </w:tc>
      </w:tr>
      <w:tr w:rsidR="003F5418" w14:paraId="03C5EAF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0D90B0" w14:textId="77777777" w:rsidR="003F5418" w:rsidRDefault="002A6C25">
            <w:pPr>
              <w:pStyle w:val="P68B1DB1-Normal4"/>
              <w:jc w:val="center"/>
              <w:rPr>
                <w:rFonts w:cs="Arial"/>
                <w:noProof/>
              </w:rPr>
            </w:pPr>
            <w:r>
              <w:rPr>
                <w:noProof/>
              </w:rPr>
              <w:t>M1C1–60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49FCF"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2382F2"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6340F9" w14:textId="77777777" w:rsidR="003F5418" w:rsidRDefault="002A6C25">
            <w:pPr>
              <w:pStyle w:val="P68B1DB1-Normal4"/>
              <w:jc w:val="center"/>
              <w:rPr>
                <w:rFonts w:cs="Arial"/>
                <w:noProof/>
              </w:rPr>
            </w:pPr>
            <w:r>
              <w:rPr>
                <w:noProof/>
              </w:rPr>
              <w:t>A polgárokat és a vállalkozásokat érintő 200 kritikus eljárás egyszerűsítésének és/vagy digitalizálásának teljes körű végrehajtása (beleértve az összes felhatalmazáson alapuló jogi aktust)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C0801A" w14:textId="77777777" w:rsidR="003F5418" w:rsidRDefault="002A6C25">
            <w:pPr>
              <w:pStyle w:val="P68B1DB1-Normal4"/>
              <w:jc w:val="center"/>
              <w:rPr>
                <w:rFonts w:cs="Arial"/>
                <w:noProof/>
              </w:rPr>
            </w:pPr>
            <w:r>
              <w:rPr>
                <w:noProof/>
              </w:rPr>
              <w:t>A másodlagos jog hatálybalépése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F31A6"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207CBA"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5DDA17"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47B3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71B02"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540081" w14:textId="77777777" w:rsidR="003F5418" w:rsidRDefault="002A6C25">
            <w:pPr>
              <w:pStyle w:val="P68B1DB1-Normal4"/>
              <w:spacing w:before="120" w:after="160" w:line="259" w:lineRule="auto"/>
              <w:contextualSpacing/>
              <w:rPr>
                <w:rFonts w:cs="Arial"/>
                <w:noProof/>
              </w:rPr>
            </w:pPr>
            <w:r>
              <w:rPr>
                <w:noProof/>
              </w:rPr>
              <w:t>Az egysze</w:t>
            </w:r>
            <w:r>
              <w:rPr>
                <w:noProof/>
              </w:rPr>
              <w:t>rűsítésre kijelölt kiemelt területek a következők:</w:t>
            </w:r>
          </w:p>
          <w:p w14:paraId="7DA43A76" w14:textId="77777777" w:rsidR="003F5418" w:rsidRDefault="002A6C25">
            <w:pPr>
              <w:pStyle w:val="P68B1DB1-ListParagraph5"/>
              <w:numPr>
                <w:ilvl w:val="0"/>
                <w:numId w:val="127"/>
              </w:numPr>
              <w:spacing w:before="0" w:after="0" w:line="259" w:lineRule="auto"/>
              <w:ind w:left="399"/>
              <w:jc w:val="left"/>
              <w:rPr>
                <w:rFonts w:cs="Arial"/>
                <w:noProof/>
              </w:rPr>
            </w:pPr>
            <w:r>
              <w:rPr>
                <w:noProof/>
              </w:rPr>
              <w:t xml:space="preserve">Környezetvédelmi engedélyek, megújuló energiaforrások és zöld gazdaság </w:t>
            </w:r>
          </w:p>
          <w:p w14:paraId="2063CCC3" w14:textId="77777777" w:rsidR="003F5418" w:rsidRDefault="002A6C25">
            <w:pPr>
              <w:pStyle w:val="P68B1DB1-ListParagraph5"/>
              <w:numPr>
                <w:ilvl w:val="0"/>
                <w:numId w:val="126"/>
              </w:numPr>
              <w:spacing w:before="0" w:after="0" w:line="259" w:lineRule="auto"/>
              <w:ind w:left="399"/>
              <w:jc w:val="left"/>
              <w:rPr>
                <w:rFonts w:cs="Arial"/>
                <w:noProof/>
              </w:rPr>
            </w:pPr>
            <w:r>
              <w:rPr>
                <w:noProof/>
              </w:rPr>
              <w:t>Építési engedélyek és városátalakítás</w:t>
            </w:r>
          </w:p>
          <w:p w14:paraId="2FB30D1D" w14:textId="77777777" w:rsidR="003F5418" w:rsidRDefault="002A6C25">
            <w:pPr>
              <w:pStyle w:val="P68B1DB1-ListParagraph5"/>
              <w:numPr>
                <w:ilvl w:val="0"/>
                <w:numId w:val="125"/>
              </w:numPr>
              <w:spacing w:before="0" w:after="0" w:line="259" w:lineRule="auto"/>
              <w:ind w:left="399"/>
              <w:jc w:val="left"/>
              <w:rPr>
                <w:rFonts w:cs="Arial"/>
                <w:noProof/>
              </w:rPr>
            </w:pPr>
            <w:r>
              <w:rPr>
                <w:noProof/>
              </w:rPr>
              <w:t>Digitális infrastruktúrák</w:t>
            </w:r>
          </w:p>
          <w:p w14:paraId="030AD4D3" w14:textId="77777777" w:rsidR="003F5418" w:rsidRDefault="002A6C25">
            <w:pPr>
              <w:pStyle w:val="P68B1DB1-ListParagraph5"/>
              <w:numPr>
                <w:ilvl w:val="0"/>
                <w:numId w:val="125"/>
              </w:numPr>
              <w:spacing w:before="0" w:after="0" w:line="259" w:lineRule="auto"/>
              <w:ind w:left="399"/>
              <w:jc w:val="left"/>
              <w:rPr>
                <w:rFonts w:cs="Arial"/>
                <w:noProof/>
              </w:rPr>
            </w:pPr>
            <w:r>
              <w:rPr>
                <w:noProof/>
              </w:rPr>
              <w:t>Üzleti folyamatok</w:t>
            </w:r>
          </w:p>
          <w:p w14:paraId="51935A79" w14:textId="77777777" w:rsidR="003F5418" w:rsidRDefault="002A6C25">
            <w:pPr>
              <w:pStyle w:val="P68B1DB1-Normal4"/>
              <w:spacing w:before="120" w:after="160" w:line="259" w:lineRule="auto"/>
              <w:contextualSpacing/>
              <w:rPr>
                <w:rFonts w:cs="Arial"/>
                <w:noProof/>
              </w:rPr>
            </w:pPr>
            <w:r>
              <w:rPr>
                <w:noProof/>
              </w:rPr>
              <w:t>További kritikus ágazatok:</w:t>
            </w:r>
          </w:p>
          <w:p w14:paraId="1D02BA2A" w14:textId="77777777" w:rsidR="003F5418" w:rsidRDefault="002A6C25">
            <w:pPr>
              <w:pStyle w:val="P68B1DB1-ListParagraph5"/>
              <w:numPr>
                <w:ilvl w:val="0"/>
                <w:numId w:val="124"/>
              </w:numPr>
              <w:spacing w:before="0" w:after="0" w:line="259" w:lineRule="auto"/>
              <w:ind w:left="399"/>
              <w:jc w:val="left"/>
              <w:rPr>
                <w:rFonts w:cs="Arial"/>
                <w:noProof/>
              </w:rPr>
            </w:pPr>
            <w:r>
              <w:rPr>
                <w:noProof/>
              </w:rPr>
              <w:t xml:space="preserve">Munkaügyi jogszabályok és szociális biztonság </w:t>
            </w:r>
          </w:p>
          <w:p w14:paraId="0CAC9E73" w14:textId="77777777" w:rsidR="003F5418" w:rsidRDefault="002A6C25">
            <w:pPr>
              <w:pStyle w:val="P68B1DB1-ListParagraph5"/>
              <w:numPr>
                <w:ilvl w:val="0"/>
                <w:numId w:val="123"/>
              </w:numPr>
              <w:spacing w:before="0" w:after="0" w:line="259" w:lineRule="auto"/>
              <w:ind w:left="399"/>
              <w:jc w:val="left"/>
              <w:rPr>
                <w:rFonts w:cs="Arial"/>
                <w:noProof/>
              </w:rPr>
            </w:pPr>
            <w:r>
              <w:rPr>
                <w:noProof/>
              </w:rPr>
              <w:t xml:space="preserve">Turizmus </w:t>
            </w:r>
          </w:p>
          <w:p w14:paraId="5547564D" w14:textId="77777777" w:rsidR="003F5418" w:rsidRDefault="002A6C25">
            <w:pPr>
              <w:pStyle w:val="P68B1DB1-ListParagraph5"/>
              <w:numPr>
                <w:ilvl w:val="0"/>
                <w:numId w:val="122"/>
              </w:numPr>
              <w:spacing w:before="0" w:after="0" w:line="259" w:lineRule="auto"/>
              <w:ind w:left="399"/>
              <w:jc w:val="left"/>
              <w:rPr>
                <w:rFonts w:cs="Arial"/>
                <w:noProof/>
              </w:rPr>
            </w:pPr>
            <w:r>
              <w:rPr>
                <w:noProof/>
              </w:rPr>
              <w:t>Agrár-élelmiszeripar</w:t>
            </w:r>
          </w:p>
          <w:p w14:paraId="2CC6AE7A" w14:textId="77777777" w:rsidR="003F5418" w:rsidRDefault="002A6C25">
            <w:pPr>
              <w:pStyle w:val="P68B1DB1-Normal4"/>
              <w:spacing w:before="120" w:after="160" w:line="259" w:lineRule="auto"/>
              <w:contextualSpacing/>
              <w:rPr>
                <w:rFonts w:cs="Arial"/>
                <w:noProof/>
              </w:rPr>
            </w:pPr>
            <w:r>
              <w:rPr>
                <w:noProof/>
              </w:rPr>
              <w:t xml:space="preserve">A kiválasztott állami és regionális eljárások a következő főbb területeken foglalhatók össze: </w:t>
            </w:r>
          </w:p>
          <w:p w14:paraId="5D204460" w14:textId="77777777" w:rsidR="003F5418" w:rsidRDefault="002A6C25">
            <w:pPr>
              <w:pStyle w:val="P68B1DB1-ListParagraph5"/>
              <w:numPr>
                <w:ilvl w:val="0"/>
                <w:numId w:val="121"/>
              </w:numPr>
              <w:spacing w:before="0" w:after="0" w:line="259" w:lineRule="auto"/>
              <w:jc w:val="left"/>
              <w:rPr>
                <w:rFonts w:cs="Arial"/>
                <w:noProof/>
              </w:rPr>
            </w:pPr>
            <w:r>
              <w:rPr>
                <w:noProof/>
              </w:rPr>
              <w:t xml:space="preserve">Környezetvédelmi és energetikai engedélyek: </w:t>
            </w:r>
          </w:p>
          <w:p w14:paraId="39EC10B6" w14:textId="77777777" w:rsidR="003F5418" w:rsidRDefault="002A6C25">
            <w:pPr>
              <w:pStyle w:val="P68B1DB1-ListParagraph5"/>
              <w:numPr>
                <w:ilvl w:val="0"/>
                <w:numId w:val="116"/>
              </w:numPr>
              <w:spacing w:before="0" w:after="0" w:line="259" w:lineRule="auto"/>
              <w:jc w:val="left"/>
              <w:rPr>
                <w:rFonts w:cs="Arial"/>
                <w:noProof/>
              </w:rPr>
            </w:pPr>
            <w:r>
              <w:rPr>
                <w:noProof/>
              </w:rPr>
              <w:t>Állami környezeti hatásvizsgálati eljá</w:t>
            </w:r>
            <w:r>
              <w:rPr>
                <w:noProof/>
              </w:rPr>
              <w:t xml:space="preserve">rás </w:t>
            </w:r>
          </w:p>
          <w:p w14:paraId="3049D6EE"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Regionális környezeti hatásvizsgálati eljárás </w:t>
            </w:r>
          </w:p>
          <w:p w14:paraId="1BC746E0"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Környezeti kármentesítési engedélyek </w:t>
            </w:r>
          </w:p>
          <w:p w14:paraId="46F6ADC1"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Stratégiai környezeti értékelés </w:t>
            </w:r>
          </w:p>
          <w:p w14:paraId="0074AFAA"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Integrált szennyezésmegelőzés és -csökkentés (IPPC) </w:t>
            </w:r>
          </w:p>
          <w:p w14:paraId="1783CB7A"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A megújuló energiaforrásokra vonatkozó engedélyezési eljárások </w:t>
            </w:r>
          </w:p>
          <w:p w14:paraId="3621BC12"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Átalakítási, </w:t>
            </w:r>
            <w:r>
              <w:rPr>
                <w:noProof/>
              </w:rPr>
              <w:t>átalakítási és újrakoptatási eljárások</w:t>
            </w:r>
          </w:p>
          <w:p w14:paraId="4738DF16" w14:textId="77777777" w:rsidR="003F5418" w:rsidRDefault="002A6C25">
            <w:pPr>
              <w:pStyle w:val="P68B1DB1-ListParagraph5"/>
              <w:numPr>
                <w:ilvl w:val="0"/>
                <w:numId w:val="116"/>
              </w:numPr>
              <w:spacing w:before="0" w:after="0" w:line="259" w:lineRule="auto"/>
              <w:jc w:val="left"/>
              <w:rPr>
                <w:rFonts w:cs="Arial"/>
                <w:noProof/>
              </w:rPr>
            </w:pPr>
            <w:r>
              <w:rPr>
                <w:noProof/>
              </w:rPr>
              <w:t xml:space="preserve">Az energetikai infrastruktúrákra vonatkozó engedélyezési eljárások </w:t>
            </w:r>
          </w:p>
          <w:p w14:paraId="6BD3175F" w14:textId="77777777" w:rsidR="003F5418" w:rsidRDefault="002A6C25">
            <w:pPr>
              <w:pStyle w:val="P68B1DB1-ListParagraph5"/>
              <w:numPr>
                <w:ilvl w:val="0"/>
                <w:numId w:val="116"/>
              </w:numPr>
              <w:spacing w:before="0" w:after="0" w:line="259" w:lineRule="auto"/>
              <w:jc w:val="left"/>
              <w:rPr>
                <w:rFonts w:cs="Arial"/>
                <w:noProof/>
              </w:rPr>
            </w:pPr>
            <w:r>
              <w:rPr>
                <w:noProof/>
              </w:rPr>
              <w:t>Hulladékkal kapcsolatos engedélyek</w:t>
            </w:r>
          </w:p>
          <w:p w14:paraId="1C348330" w14:textId="77777777" w:rsidR="003F5418" w:rsidRDefault="002A6C25">
            <w:pPr>
              <w:pStyle w:val="P68B1DB1-ListParagraph5"/>
              <w:numPr>
                <w:ilvl w:val="0"/>
                <w:numId w:val="120"/>
              </w:numPr>
              <w:spacing w:before="0" w:after="0" w:line="259" w:lineRule="auto"/>
              <w:jc w:val="left"/>
              <w:rPr>
                <w:rFonts w:cs="Arial"/>
                <w:noProof/>
              </w:rPr>
            </w:pPr>
            <w:r>
              <w:rPr>
                <w:noProof/>
              </w:rPr>
              <w:t>Építés és városátalakítás:</w:t>
            </w:r>
          </w:p>
          <w:p w14:paraId="25997CAA" w14:textId="77777777" w:rsidR="003F5418" w:rsidRDefault="002A6C25">
            <w:pPr>
              <w:pStyle w:val="P68B1DB1-ListParagraph5"/>
              <w:numPr>
                <w:ilvl w:val="0"/>
                <w:numId w:val="115"/>
              </w:numPr>
              <w:spacing w:before="0" w:after="0" w:line="259" w:lineRule="auto"/>
              <w:jc w:val="left"/>
              <w:rPr>
                <w:rFonts w:cs="Arial"/>
                <w:noProof/>
              </w:rPr>
            </w:pPr>
            <w:r>
              <w:rPr>
                <w:noProof/>
              </w:rPr>
              <w:t>Energiamegtakarítás és energiafelhasználás racionalizálási eljárások (megfelelőségi elj</w:t>
            </w:r>
            <w:r>
              <w:rPr>
                <w:noProof/>
              </w:rPr>
              <w:t xml:space="preserve">árások stb.) </w:t>
            </w:r>
          </w:p>
          <w:p w14:paraId="0C505064" w14:textId="77777777" w:rsidR="003F5418" w:rsidRDefault="002A6C25">
            <w:pPr>
              <w:pStyle w:val="P68B1DB1-ListParagraph5"/>
              <w:numPr>
                <w:ilvl w:val="0"/>
                <w:numId w:val="115"/>
              </w:numPr>
              <w:spacing w:before="0" w:after="0" w:line="259" w:lineRule="auto"/>
              <w:jc w:val="left"/>
              <w:rPr>
                <w:rFonts w:cs="Arial"/>
                <w:noProof/>
              </w:rPr>
            </w:pPr>
            <w:r>
              <w:rPr>
                <w:noProof/>
              </w:rPr>
              <w:t xml:space="preserve"> Szolgáltatási konferencia</w:t>
            </w:r>
          </w:p>
          <w:p w14:paraId="0028BC83" w14:textId="77777777" w:rsidR="003F5418" w:rsidRDefault="002A6C25">
            <w:pPr>
              <w:pStyle w:val="P68B1DB1-ListParagraph5"/>
              <w:numPr>
                <w:ilvl w:val="0"/>
                <w:numId w:val="119"/>
              </w:numPr>
              <w:spacing w:before="0" w:after="0" w:line="259" w:lineRule="auto"/>
              <w:jc w:val="left"/>
              <w:rPr>
                <w:rFonts w:cs="Arial"/>
                <w:noProof/>
              </w:rPr>
            </w:pPr>
            <w:r>
              <w:rPr>
                <w:noProof/>
              </w:rPr>
              <w:t xml:space="preserve">Digitális infrastruktúrák:  </w:t>
            </w:r>
          </w:p>
          <w:p w14:paraId="35D49933" w14:textId="77777777" w:rsidR="003F5418" w:rsidRDefault="002A6C25">
            <w:pPr>
              <w:pStyle w:val="P68B1DB1-ListParagraph5"/>
              <w:numPr>
                <w:ilvl w:val="0"/>
                <w:numId w:val="114"/>
              </w:numPr>
              <w:spacing w:before="0" w:after="0" w:line="259" w:lineRule="auto"/>
              <w:jc w:val="left"/>
              <w:rPr>
                <w:rFonts w:cs="Arial"/>
                <w:noProof/>
              </w:rPr>
            </w:pPr>
            <w:r>
              <w:rPr>
                <w:noProof/>
              </w:rPr>
              <w:t xml:space="preserve">A kommunikációs infrastruktúrák engedélyezése  </w:t>
            </w:r>
          </w:p>
          <w:p w14:paraId="3806086E" w14:textId="77777777" w:rsidR="003F5418" w:rsidRDefault="002A6C25">
            <w:pPr>
              <w:pStyle w:val="P68B1DB1-ListParagraph5"/>
              <w:numPr>
                <w:ilvl w:val="0"/>
                <w:numId w:val="118"/>
              </w:numPr>
              <w:spacing w:before="0" w:after="0" w:line="259" w:lineRule="auto"/>
              <w:jc w:val="left"/>
              <w:rPr>
                <w:rFonts w:cs="Arial"/>
                <w:noProof/>
              </w:rPr>
            </w:pPr>
            <w:r>
              <w:rPr>
                <w:noProof/>
              </w:rPr>
              <w:t xml:space="preserve">Üzleti eljárások: </w:t>
            </w:r>
          </w:p>
          <w:p w14:paraId="5A7E3016" w14:textId="77777777" w:rsidR="003F5418" w:rsidRDefault="002A6C25">
            <w:pPr>
              <w:pStyle w:val="P68B1DB1-ListParagraph5"/>
              <w:numPr>
                <w:ilvl w:val="0"/>
                <w:numId w:val="110"/>
              </w:numPr>
              <w:spacing w:before="0" w:after="0" w:line="259" w:lineRule="auto"/>
              <w:jc w:val="left"/>
              <w:rPr>
                <w:rFonts w:cs="Arial"/>
                <w:noProof/>
              </w:rPr>
            </w:pPr>
            <w:r>
              <w:rPr>
                <w:noProof/>
              </w:rPr>
              <w:t>Eljárások a kiskereskedelmi ágazatban</w:t>
            </w:r>
          </w:p>
          <w:p w14:paraId="3607AAD0" w14:textId="77777777" w:rsidR="003F5418" w:rsidRDefault="002A6C25">
            <w:pPr>
              <w:pStyle w:val="P68B1DB1-ListParagraph5"/>
              <w:numPr>
                <w:ilvl w:val="0"/>
                <w:numId w:val="110"/>
              </w:numPr>
              <w:spacing w:before="0" w:after="0" w:line="259" w:lineRule="auto"/>
              <w:jc w:val="left"/>
              <w:rPr>
                <w:rFonts w:cs="Arial"/>
                <w:noProof/>
              </w:rPr>
            </w:pPr>
            <w:r>
              <w:rPr>
                <w:noProof/>
              </w:rPr>
              <w:t>Üzleti és építési eljárások (SUAP és SUE)</w:t>
            </w:r>
          </w:p>
          <w:p w14:paraId="5F30B9D7" w14:textId="77777777" w:rsidR="003F5418" w:rsidRDefault="002A6C25">
            <w:pPr>
              <w:pStyle w:val="P68B1DB1-ListParagraph5"/>
              <w:numPr>
                <w:ilvl w:val="0"/>
                <w:numId w:val="110"/>
              </w:numPr>
              <w:spacing w:before="0" w:after="0" w:line="259" w:lineRule="auto"/>
              <w:jc w:val="left"/>
              <w:rPr>
                <w:rFonts w:cs="Arial"/>
                <w:noProof/>
              </w:rPr>
            </w:pPr>
            <w:r>
              <w:rPr>
                <w:noProof/>
              </w:rPr>
              <w:t xml:space="preserve">A vízi járművekkel kapcsolatos </w:t>
            </w:r>
            <w:r>
              <w:rPr>
                <w:noProof/>
              </w:rPr>
              <w:t>tevékenységekkel kapcsolatos eljárások</w:t>
            </w:r>
          </w:p>
          <w:p w14:paraId="6B56437F" w14:textId="77777777" w:rsidR="003F5418" w:rsidRDefault="002A6C25">
            <w:pPr>
              <w:pStyle w:val="P68B1DB1-ListParagraph5"/>
              <w:numPr>
                <w:ilvl w:val="0"/>
                <w:numId w:val="117"/>
              </w:numPr>
              <w:spacing w:before="0" w:after="0" w:line="259" w:lineRule="auto"/>
              <w:jc w:val="left"/>
              <w:rPr>
                <w:rFonts w:cs="Arial"/>
                <w:noProof/>
              </w:rPr>
            </w:pPr>
            <w:r>
              <w:rPr>
                <w:noProof/>
              </w:rPr>
              <w:t xml:space="preserve">Egyéb eljárások:  </w:t>
            </w:r>
          </w:p>
          <w:p w14:paraId="67684988" w14:textId="77777777" w:rsidR="003F5418" w:rsidRDefault="002A6C25">
            <w:pPr>
              <w:pStyle w:val="P68B1DB1-ListParagraph5"/>
              <w:numPr>
                <w:ilvl w:val="0"/>
                <w:numId w:val="113"/>
              </w:numPr>
              <w:spacing w:before="0" w:after="0" w:line="259" w:lineRule="auto"/>
              <w:jc w:val="left"/>
              <w:rPr>
                <w:rFonts w:cs="Arial"/>
                <w:noProof/>
              </w:rPr>
            </w:pPr>
            <w:r>
              <w:rPr>
                <w:noProof/>
              </w:rPr>
              <w:t xml:space="preserve">A hallgatólagos beleegyezés igazolása </w:t>
            </w:r>
          </w:p>
          <w:p w14:paraId="26D9E3EA" w14:textId="77777777" w:rsidR="003F5418" w:rsidRDefault="002A6C25">
            <w:pPr>
              <w:pStyle w:val="P68B1DB1-ListParagraph5"/>
              <w:numPr>
                <w:ilvl w:val="0"/>
                <w:numId w:val="113"/>
              </w:numPr>
              <w:spacing w:before="0" w:after="0" w:line="259" w:lineRule="auto"/>
              <w:jc w:val="left"/>
              <w:rPr>
                <w:rFonts w:cs="Arial"/>
                <w:noProof/>
              </w:rPr>
            </w:pPr>
            <w:r>
              <w:rPr>
                <w:noProof/>
              </w:rPr>
              <w:t xml:space="preserve">Helyettesítő teljesítmény </w:t>
            </w:r>
          </w:p>
          <w:p w14:paraId="10094501" w14:textId="77777777" w:rsidR="003F5418" w:rsidRDefault="002A6C25">
            <w:pPr>
              <w:pStyle w:val="P68B1DB1-ListParagraph5"/>
              <w:numPr>
                <w:ilvl w:val="0"/>
                <w:numId w:val="113"/>
              </w:numPr>
              <w:spacing w:before="0" w:after="0" w:line="259" w:lineRule="auto"/>
              <w:jc w:val="left"/>
              <w:rPr>
                <w:rFonts w:cs="Arial"/>
                <w:noProof/>
              </w:rPr>
            </w:pPr>
            <w:r>
              <w:rPr>
                <w:noProof/>
              </w:rPr>
              <w:t xml:space="preserve">Tűzvédelmi eljárások </w:t>
            </w:r>
          </w:p>
          <w:p w14:paraId="4EA8E54B" w14:textId="77777777" w:rsidR="003F5418" w:rsidRDefault="002A6C25">
            <w:pPr>
              <w:pStyle w:val="P68B1DB1-ListParagraph5"/>
              <w:numPr>
                <w:ilvl w:val="0"/>
                <w:numId w:val="113"/>
              </w:numPr>
              <w:spacing w:before="0" w:after="0" w:line="259" w:lineRule="auto"/>
              <w:jc w:val="left"/>
              <w:rPr>
                <w:rFonts w:cs="Arial"/>
                <w:noProof/>
              </w:rPr>
            </w:pPr>
            <w:r>
              <w:rPr>
                <w:noProof/>
              </w:rPr>
              <w:t xml:space="preserve">Különleges gazdasági övezetekre vonatkozó engedélyek </w:t>
            </w:r>
          </w:p>
          <w:p w14:paraId="40715559" w14:textId="77777777" w:rsidR="003F5418" w:rsidRDefault="002A6C25">
            <w:pPr>
              <w:pStyle w:val="P68B1DB1-ListParagraph5"/>
              <w:numPr>
                <w:ilvl w:val="0"/>
                <w:numId w:val="113"/>
              </w:numPr>
              <w:spacing w:before="0" w:after="0" w:line="259" w:lineRule="auto"/>
              <w:jc w:val="left"/>
              <w:rPr>
                <w:rFonts w:cs="Arial"/>
                <w:noProof/>
              </w:rPr>
            </w:pPr>
            <w:r>
              <w:rPr>
                <w:noProof/>
              </w:rPr>
              <w:t>Közbiztonsági engedélyek</w:t>
            </w:r>
          </w:p>
          <w:p w14:paraId="56E40EC6" w14:textId="77777777" w:rsidR="003F5418" w:rsidRDefault="002A6C25">
            <w:pPr>
              <w:pStyle w:val="P68B1DB1-ListParagraph5"/>
              <w:numPr>
                <w:ilvl w:val="0"/>
                <w:numId w:val="113"/>
              </w:numPr>
              <w:spacing w:before="0" w:after="0" w:line="259" w:lineRule="auto"/>
              <w:jc w:val="left"/>
              <w:rPr>
                <w:rFonts w:cs="Arial"/>
                <w:noProof/>
              </w:rPr>
            </w:pPr>
            <w:r>
              <w:rPr>
                <w:noProof/>
              </w:rPr>
              <w:t xml:space="preserve">Tájrendezési engedélyek </w:t>
            </w:r>
          </w:p>
          <w:p w14:paraId="06179ACC" w14:textId="77777777" w:rsidR="003F5418" w:rsidRDefault="002A6C25">
            <w:pPr>
              <w:pStyle w:val="P68B1DB1-ListParagraph5"/>
              <w:numPr>
                <w:ilvl w:val="0"/>
                <w:numId w:val="113"/>
              </w:numPr>
              <w:spacing w:before="0" w:after="0" w:line="259" w:lineRule="auto"/>
              <w:jc w:val="left"/>
              <w:rPr>
                <w:rFonts w:cs="Arial"/>
                <w:noProof/>
              </w:rPr>
            </w:pPr>
            <w:r>
              <w:rPr>
                <w:noProof/>
              </w:rPr>
              <w:t>Gyógys</w:t>
            </w:r>
            <w:r>
              <w:rPr>
                <w:noProof/>
              </w:rPr>
              <w:t>zerészeti és egészségügyi engedélyek</w:t>
            </w:r>
          </w:p>
          <w:p w14:paraId="529A47EB" w14:textId="77777777" w:rsidR="003F5418" w:rsidRDefault="002A6C25">
            <w:pPr>
              <w:pStyle w:val="P68B1DB1-ListParagraph5"/>
              <w:numPr>
                <w:ilvl w:val="0"/>
                <w:numId w:val="113"/>
              </w:numPr>
              <w:spacing w:after="160" w:line="257" w:lineRule="auto"/>
              <w:jc w:val="left"/>
              <w:rPr>
                <w:rFonts w:cs="Arial"/>
                <w:noProof/>
              </w:rPr>
            </w:pPr>
            <w:r>
              <w:rPr>
                <w:noProof/>
              </w:rPr>
              <w:t>Szeizmikus és hidrogeológiai eljárások/engedélyek</w:t>
            </w:r>
          </w:p>
        </w:tc>
      </w:tr>
      <w:tr w:rsidR="003F5418" w14:paraId="3A00F2E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41BCF" w14:textId="77777777" w:rsidR="003F5418" w:rsidRDefault="002A6C25">
            <w:pPr>
              <w:pStyle w:val="P68B1DB1-Normal4"/>
              <w:jc w:val="center"/>
              <w:rPr>
                <w:rFonts w:cs="Arial"/>
                <w:noProof/>
              </w:rPr>
            </w:pPr>
            <w:r>
              <w:rPr>
                <w:noProof/>
              </w:rPr>
              <w:t>M1C1–61.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3BCDBC"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50709A"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FC8C7A" w14:textId="77777777" w:rsidR="003F5418" w:rsidRDefault="002A6C25">
            <w:pPr>
              <w:pStyle w:val="P68B1DB1-Normal4"/>
              <w:jc w:val="center"/>
              <w:rPr>
                <w:rFonts w:cs="Arial"/>
                <w:noProof/>
              </w:rPr>
            </w:pPr>
            <w:r>
              <w:rPr>
                <w:noProof/>
              </w:rPr>
              <w:t xml:space="preserve"> A polgárokat közvetlenül érintő további 50 kritikus eljárás egyszerűsítése és/vagy digitalizálása (beleértve az összes felhatalmazáson alapuló jogi aktust) végrehajtásának befejezése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5F791" w14:textId="77777777" w:rsidR="003F5418" w:rsidRDefault="002A6C25">
            <w:pPr>
              <w:pStyle w:val="P68B1DB1-Normal4"/>
              <w:jc w:val="center"/>
              <w:rPr>
                <w:rFonts w:cs="Arial"/>
                <w:noProof/>
              </w:rPr>
            </w:pPr>
            <w:r>
              <w:rPr>
                <w:noProof/>
              </w:rPr>
              <w:t>A másodlagos jog hatálybalépése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1747F2"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2FF9B0"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AA8A3"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2492"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ABC716"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16CDB" w14:textId="77777777" w:rsidR="003F5418" w:rsidRDefault="002A6C25">
            <w:pPr>
              <w:pStyle w:val="P68B1DB1-Normal4"/>
              <w:spacing w:after="120"/>
              <w:contextualSpacing/>
              <w:rPr>
                <w:rFonts w:cs="Arial"/>
                <w:noProof/>
              </w:rPr>
            </w:pPr>
            <w:r>
              <w:rPr>
                <w:noProof/>
              </w:rPr>
              <w:t>Az egyszerűsít</w:t>
            </w:r>
            <w:r>
              <w:rPr>
                <w:noProof/>
              </w:rPr>
              <w:t xml:space="preserve">ett eljárások a következő területeket érintik:  </w:t>
            </w:r>
          </w:p>
          <w:p w14:paraId="69BA13E7" w14:textId="77777777" w:rsidR="003F5418" w:rsidRDefault="002A6C25">
            <w:pPr>
              <w:pStyle w:val="P68B1DB1-ListParagraph5"/>
              <w:numPr>
                <w:ilvl w:val="0"/>
                <w:numId w:val="112"/>
              </w:numPr>
              <w:spacing w:before="0" w:after="0"/>
              <w:ind w:left="173" w:hanging="141"/>
              <w:jc w:val="left"/>
              <w:rPr>
                <w:rFonts w:cs="Arial"/>
                <w:noProof/>
              </w:rPr>
            </w:pPr>
            <w:r>
              <w:rPr>
                <w:noProof/>
              </w:rPr>
              <w:t xml:space="preserve">Nyilvántartás és családi állapot  </w:t>
            </w:r>
          </w:p>
          <w:p w14:paraId="229A78FC" w14:textId="77777777" w:rsidR="003F5418" w:rsidRDefault="002A6C25">
            <w:pPr>
              <w:pStyle w:val="P68B1DB1-ListParagraph5"/>
              <w:numPr>
                <w:ilvl w:val="0"/>
                <w:numId w:val="112"/>
              </w:numPr>
              <w:spacing w:before="0" w:after="0"/>
              <w:ind w:left="173" w:hanging="141"/>
              <w:jc w:val="left"/>
              <w:rPr>
                <w:rFonts w:cs="Arial"/>
                <w:noProof/>
              </w:rPr>
            </w:pPr>
            <w:r>
              <w:rPr>
                <w:noProof/>
              </w:rPr>
              <w:t xml:space="preserve">Személyazonosság, digitális lakóhely és online szolgáltatásokhoz való hozzáférés </w:t>
            </w:r>
          </w:p>
          <w:p w14:paraId="1B201CE3" w14:textId="77777777" w:rsidR="003F5418" w:rsidRDefault="002A6C25">
            <w:pPr>
              <w:pStyle w:val="P68B1DB1-ListParagraph5"/>
              <w:numPr>
                <w:ilvl w:val="0"/>
                <w:numId w:val="112"/>
              </w:numPr>
              <w:spacing w:before="0"/>
              <w:ind w:left="173" w:hanging="141"/>
              <w:jc w:val="left"/>
              <w:rPr>
                <w:rFonts w:cs="Arial"/>
                <w:noProof/>
              </w:rPr>
            </w:pPr>
            <w:r>
              <w:rPr>
                <w:noProof/>
              </w:rPr>
              <w:t>Fogyatékosság</w:t>
            </w:r>
          </w:p>
        </w:tc>
      </w:tr>
      <w:tr w:rsidR="003F5418" w14:paraId="2E1466A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744C5B" w14:textId="77777777" w:rsidR="003F5418" w:rsidRDefault="002A6C25">
            <w:pPr>
              <w:pStyle w:val="P68B1DB1-Normal4"/>
              <w:jc w:val="center"/>
              <w:rPr>
                <w:rFonts w:cs="Arial"/>
                <w:noProof/>
              </w:rPr>
            </w:pPr>
            <w:r>
              <w:rPr>
                <w:noProof/>
              </w:rPr>
              <w:t>M1C1–62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22C3A" w14:textId="77777777" w:rsidR="003F5418" w:rsidRDefault="002A6C25">
            <w:pPr>
              <w:pStyle w:val="P68B1DB1-Normal4"/>
              <w:jc w:val="center"/>
              <w:rPr>
                <w:rFonts w:cs="Arial"/>
                <w:noProof/>
              </w:rPr>
            </w:pPr>
            <w:bookmarkStart w:id="3" w:name="_Hlk160472673"/>
            <w:r>
              <w:rPr>
                <w:noProof/>
              </w:rPr>
              <w:t>Reform: A közigazgatás reformja</w:t>
            </w:r>
            <w:bookmarkEnd w:id="3"/>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879FDC"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0C9F41" w14:textId="77777777" w:rsidR="003F5418" w:rsidRDefault="002A6C25">
            <w:pPr>
              <w:pStyle w:val="P68B1DB1-Normal4"/>
              <w:jc w:val="center"/>
              <w:rPr>
                <w:rFonts w:cs="Arial"/>
                <w:noProof/>
              </w:rPr>
            </w:pPr>
            <w:r>
              <w:rPr>
                <w:noProof/>
              </w:rPr>
              <w:t xml:space="preserve">A beruházások </w:t>
            </w:r>
            <w:r>
              <w:rPr>
                <w:noProof/>
              </w:rPr>
              <w:t>felhasználásának növelése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463C67" w14:textId="77777777" w:rsidR="003F5418" w:rsidRDefault="002A6C25">
            <w:pPr>
              <w:pStyle w:val="P68B1DB1-Normal4"/>
              <w:jc w:val="center"/>
              <w:rPr>
                <w:rFonts w:cs="Arial"/>
                <w:noProof/>
              </w:rPr>
            </w:pPr>
            <w:r>
              <w:rPr>
                <w:noProof/>
              </w:rPr>
              <w:t>Végrehajtási jelentés közzététele a Pénzügyminisztérium által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8839AC"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1957C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49FE8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B7786E"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9414EA"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F31FB5" w14:textId="77777777" w:rsidR="003F5418" w:rsidRDefault="002A6C25">
            <w:pPr>
              <w:pStyle w:val="P68B1DB1-Normal4"/>
              <w:spacing w:after="120"/>
              <w:rPr>
                <w:rFonts w:cs="Arial"/>
                <w:noProof/>
              </w:rPr>
            </w:pPr>
            <w:r>
              <w:rPr>
                <w:noProof/>
              </w:rPr>
              <w:t>Végrehajtási jelentést tesz közzé a technikai segítségnyújtást és kapacitásépítést, a nemzeti költségvetésből finanszírozott tőkekiadások terv</w:t>
            </w:r>
            <w:r>
              <w:rPr>
                <w:noProof/>
              </w:rPr>
              <w:t>ezéséhez, kezeléséhez és végrehajtásához szükséges kapacitás javítását célzó intézkedések hatásának mérése céljából, a kiegészítő alap 2024-ig allokált forrásainak jelentős mértékű felhasználását eredményezi.</w:t>
            </w:r>
          </w:p>
        </w:tc>
      </w:tr>
      <w:tr w:rsidR="003F5418" w14:paraId="582AFAE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B1FC56" w14:textId="77777777" w:rsidR="003F5418" w:rsidRDefault="002A6C25">
            <w:pPr>
              <w:pStyle w:val="P68B1DB1-Normal4"/>
              <w:jc w:val="center"/>
              <w:rPr>
                <w:rFonts w:cs="Arial"/>
                <w:noProof/>
              </w:rPr>
            </w:pPr>
            <w:r>
              <w:rPr>
                <w:noProof/>
              </w:rPr>
              <w:t>M1C1–63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2A64E1"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CEC52"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2E4CD" w14:textId="3C2AEB47" w:rsidR="003F5418" w:rsidRDefault="002A6C25">
            <w:pPr>
              <w:pStyle w:val="P68B1DB1-Normal4"/>
              <w:jc w:val="center"/>
              <w:rPr>
                <w:rFonts w:cs="Arial"/>
                <w:noProof/>
              </w:rPr>
            </w:pPr>
            <w:r>
              <w:rPr>
                <w:noProof/>
              </w:rPr>
              <w:t>Az egyszerűsítés befejezése és az összes egyszerűsített eljárás és a megfelelő közigazgatási rendszerek adattárának létrehozása, amely az ország egész területén teljes körű jogi érvényességgel rendelkezik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004C3C" w14:textId="77777777" w:rsidR="003F5418" w:rsidRDefault="002A6C25">
            <w:pPr>
              <w:pStyle w:val="P68B1DB1-Normal4"/>
              <w:jc w:val="center"/>
              <w:rPr>
                <w:rFonts w:cs="Arial"/>
                <w:noProof/>
              </w:rPr>
            </w:pPr>
            <w:r>
              <w:rPr>
                <w:noProof/>
              </w:rPr>
              <w:t xml:space="preserve">Az adattár közzététele az érintett </w:t>
            </w:r>
            <w:r>
              <w:rPr>
                <w:noProof/>
              </w:rPr>
              <w:t>szakminisztérium honlapján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7989BD"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5FFBD"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50B4AC"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302179"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80EEFA"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5CECBA" w14:textId="77777777" w:rsidR="003F5418" w:rsidRDefault="002A6C25">
            <w:pPr>
              <w:pStyle w:val="P68B1DB1-Normal4"/>
              <w:rPr>
                <w:rFonts w:cs="Arial"/>
                <w:noProof/>
              </w:rPr>
            </w:pPr>
            <w:r>
              <w:rPr>
                <w:noProof/>
              </w:rPr>
              <w:t xml:space="preserve">Az eljárási rendszerek átvilágítását minden egyszerűsített eljárás esetében el kell végezni. </w:t>
            </w:r>
          </w:p>
          <w:p w14:paraId="10F25172" w14:textId="77777777" w:rsidR="003F5418" w:rsidRDefault="002A6C25">
            <w:pPr>
              <w:pStyle w:val="P68B1DB1-Normal4"/>
              <w:rPr>
                <w:rFonts w:cs="Arial"/>
                <w:noProof/>
              </w:rPr>
            </w:pPr>
            <w:r>
              <w:rPr>
                <w:noProof/>
              </w:rPr>
              <w:t>Az alábbiak ellenőrzése és nyomon követése:</w:t>
            </w:r>
          </w:p>
          <w:p w14:paraId="3B2B4CE5" w14:textId="77777777" w:rsidR="003F5418" w:rsidRDefault="002A6C25">
            <w:pPr>
              <w:pStyle w:val="P68B1DB1-ListParagraph5"/>
              <w:numPr>
                <w:ilvl w:val="0"/>
                <w:numId w:val="128"/>
              </w:numPr>
              <w:ind w:left="313" w:hanging="283"/>
              <w:jc w:val="left"/>
              <w:rPr>
                <w:rFonts w:cs="Arial"/>
                <w:noProof/>
              </w:rPr>
            </w:pPr>
            <w:r>
              <w:rPr>
                <w:noProof/>
              </w:rPr>
              <w:t xml:space="preserve">Az egyszerűsített eljárások hatékony végrehajtása, </w:t>
            </w:r>
          </w:p>
          <w:p w14:paraId="0731B5CD" w14:textId="77777777" w:rsidR="003F5418" w:rsidRDefault="002A6C25">
            <w:pPr>
              <w:pStyle w:val="P68B1DB1-ListParagraph5"/>
              <w:numPr>
                <w:ilvl w:val="0"/>
                <w:numId w:val="128"/>
              </w:numPr>
              <w:ind w:left="313" w:hanging="283"/>
              <w:jc w:val="left"/>
              <w:rPr>
                <w:rFonts w:cs="Arial"/>
                <w:noProof/>
              </w:rPr>
            </w:pPr>
            <w:r>
              <w:rPr>
                <w:noProof/>
              </w:rPr>
              <w:t>új szabványos</w:t>
            </w:r>
            <w:r>
              <w:rPr>
                <w:noProof/>
              </w:rPr>
              <w:t xml:space="preserve">ított formanyomtatványok, valamint </w:t>
            </w:r>
          </w:p>
          <w:p w14:paraId="19182D53" w14:textId="77777777" w:rsidR="003F5418" w:rsidRDefault="002A6C25">
            <w:pPr>
              <w:pStyle w:val="P68B1DB1-ListParagraph5"/>
              <w:numPr>
                <w:ilvl w:val="0"/>
                <w:numId w:val="128"/>
              </w:numPr>
              <w:ind w:left="313" w:hanging="283"/>
              <w:jc w:val="left"/>
              <w:rPr>
                <w:rFonts w:cs="Arial"/>
                <w:noProof/>
              </w:rPr>
            </w:pPr>
            <w:r>
              <w:rPr>
                <w:noProof/>
              </w:rPr>
              <w:t>megfelelő digitalizált irányítás</w:t>
            </w:r>
          </w:p>
          <w:p w14:paraId="4F8F974D" w14:textId="77777777" w:rsidR="003F5418" w:rsidRDefault="002A6C25">
            <w:pPr>
              <w:pStyle w:val="P68B1DB1-Normal4"/>
              <w:rPr>
                <w:rFonts w:cs="Arial"/>
                <w:noProof/>
              </w:rPr>
            </w:pPr>
            <w:r>
              <w:rPr>
                <w:noProof/>
              </w:rPr>
              <w:t xml:space="preserve">biztosítani kell. </w:t>
            </w:r>
          </w:p>
          <w:p w14:paraId="52AC501F" w14:textId="77777777" w:rsidR="003F5418" w:rsidRDefault="003F5418">
            <w:pPr>
              <w:rPr>
                <w:rFonts w:ascii="Arial Narrow" w:hAnsi="Arial Narrow" w:cs="Arial"/>
                <w:noProof/>
                <w:color w:val="006100"/>
                <w:sz w:val="20"/>
              </w:rPr>
            </w:pPr>
          </w:p>
          <w:p w14:paraId="378A855C" w14:textId="77777777" w:rsidR="003F5418" w:rsidRDefault="002A6C25">
            <w:pPr>
              <w:pStyle w:val="P68B1DB1-Normal4"/>
              <w:spacing w:after="120"/>
              <w:rPr>
                <w:rFonts w:cs="Arial"/>
                <w:noProof/>
              </w:rPr>
            </w:pPr>
            <w:r>
              <w:rPr>
                <w:noProof/>
              </w:rPr>
              <w:t xml:space="preserve">Az egyszerűsítés összesen 600 kritikus eljárásra vonatkozik, beleértve az M1C1 60 és M1C1 61 mérföldkövek által lefedett eljárásokat is. </w:t>
            </w:r>
          </w:p>
        </w:tc>
      </w:tr>
      <w:tr w:rsidR="003F5418" w14:paraId="46FB93D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95481" w14:textId="77777777" w:rsidR="003F5418" w:rsidRDefault="002A6C25">
            <w:pPr>
              <w:pStyle w:val="P68B1DB1-Normal4"/>
              <w:jc w:val="center"/>
              <w:rPr>
                <w:rFonts w:cs="Arial"/>
                <w:noProof/>
              </w:rPr>
            </w:pPr>
            <w:r>
              <w:rPr>
                <w:noProof/>
              </w:rPr>
              <w:t>M1C1–64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B9CC0" w14:textId="77777777" w:rsidR="003F5418" w:rsidRDefault="002A6C25">
            <w:pPr>
              <w:pStyle w:val="P68B1DB1-Normal4"/>
              <w:jc w:val="center"/>
              <w:rPr>
                <w:rFonts w:cs="Arial"/>
                <w:noProof/>
              </w:rPr>
            </w:pPr>
            <w:r>
              <w:rPr>
                <w:noProof/>
              </w:rPr>
              <w:t>Beruházás: Technikai</w:t>
            </w:r>
            <w:r>
              <w:rPr>
                <w:noProof/>
              </w:rPr>
              <w:t xml:space="preserve"> 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993AF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778E3D" w14:textId="77777777" w:rsidR="003F5418" w:rsidRDefault="002A6C25">
            <w:pPr>
              <w:pStyle w:val="P68B1DB1-Normal4"/>
              <w:jc w:val="center"/>
              <w:rPr>
                <w:rFonts w:cs="Arial"/>
                <w:noProof/>
              </w:rPr>
            </w:pPr>
            <w:r>
              <w:rPr>
                <w:noProof/>
              </w:rPr>
              <w:t>Oktatás és képzés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988DB5"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12089"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A020F"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DCE92" w14:textId="77777777" w:rsidR="003F5418" w:rsidRDefault="002A6C25">
            <w:pPr>
              <w:pStyle w:val="P68B1DB1-Normal4"/>
              <w:jc w:val="center"/>
              <w:rPr>
                <w:rFonts w:cs="Arial"/>
                <w:noProof/>
              </w:rPr>
            </w:pPr>
            <w:r>
              <w:rPr>
                <w:noProof/>
              </w:rPr>
              <w:t>350 000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AA77B4"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F04DD"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2A6F46" w14:textId="77777777" w:rsidR="003F5418" w:rsidRDefault="002A6C25">
            <w:pPr>
              <w:pStyle w:val="P68B1DB1-Normal4"/>
              <w:spacing w:after="120"/>
              <w:rPr>
                <w:rFonts w:cs="Arial"/>
                <w:noProof/>
              </w:rPr>
            </w:pPr>
            <w:r>
              <w:rPr>
                <w:noProof/>
              </w:rPr>
              <w:t xml:space="preserve">A központi közigazgatás legalább 350000 közalkalmazottja vesz részt továbbképzési vagy </w:t>
            </w:r>
            <w:r>
              <w:rPr>
                <w:noProof/>
              </w:rPr>
              <w:t>átképzési kezdeményezésekben.</w:t>
            </w:r>
          </w:p>
        </w:tc>
      </w:tr>
      <w:tr w:rsidR="003F5418" w14:paraId="66E55A5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47168" w14:textId="77777777" w:rsidR="003F5418" w:rsidRDefault="002A6C25">
            <w:pPr>
              <w:pStyle w:val="P68B1DB1-Normal4"/>
              <w:jc w:val="center"/>
              <w:rPr>
                <w:rFonts w:cs="Arial"/>
                <w:noProof/>
              </w:rPr>
            </w:pPr>
            <w:r>
              <w:rPr>
                <w:noProof/>
              </w:rPr>
              <w:t>M1C1–65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F80BD" w14:textId="77777777" w:rsidR="003F5418" w:rsidRDefault="002A6C25">
            <w:pPr>
              <w:pStyle w:val="P68B1DB1-Normal4"/>
              <w:jc w:val="center"/>
              <w:rPr>
                <w:rFonts w:cs="Arial"/>
                <w:noProof/>
              </w:rPr>
            </w:pPr>
            <w:r>
              <w:rPr>
                <w:noProof/>
              </w:rPr>
              <w:t>Beruházás: Technikai 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ACA53"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9088C6" w14:textId="77777777" w:rsidR="003F5418" w:rsidRDefault="002A6C25">
            <w:pPr>
              <w:pStyle w:val="P68B1DB1-Normal4"/>
              <w:jc w:val="center"/>
              <w:rPr>
                <w:rFonts w:cs="Arial"/>
                <w:noProof/>
              </w:rPr>
            </w:pPr>
            <w:r>
              <w:rPr>
                <w:noProof/>
              </w:rPr>
              <w:t>Oktatás és képzés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DBFDBB"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1B4B1"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DC842"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3A4" w14:textId="77777777" w:rsidR="003F5418" w:rsidRDefault="002A6C25">
            <w:pPr>
              <w:pStyle w:val="P68B1DB1-Normal4"/>
              <w:jc w:val="center"/>
              <w:rPr>
                <w:rFonts w:cs="Arial"/>
                <w:noProof/>
              </w:rPr>
            </w:pPr>
            <w:r>
              <w:rPr>
                <w:noProof/>
              </w:rPr>
              <w:t>400 000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7EE121"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F6B74"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1A3162" w14:textId="77777777" w:rsidR="003F5418" w:rsidRDefault="002A6C25">
            <w:pPr>
              <w:pStyle w:val="P68B1DB1-Normal4"/>
              <w:spacing w:after="120"/>
              <w:rPr>
                <w:rFonts w:cs="Arial"/>
                <w:noProof/>
              </w:rPr>
            </w:pPr>
            <w:r>
              <w:rPr>
                <w:noProof/>
              </w:rPr>
              <w:t xml:space="preserve">Más közigazgatási szervek </w:t>
            </w:r>
            <w:r>
              <w:rPr>
                <w:noProof/>
              </w:rPr>
              <w:t>legalább 400000 közalkalmazottja vesz részt továbbképzési vagy átképzési kezdeményezésekben.</w:t>
            </w:r>
          </w:p>
        </w:tc>
      </w:tr>
      <w:tr w:rsidR="003F5418" w14:paraId="18113E8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C77814" w14:textId="77777777" w:rsidR="003F5418" w:rsidRDefault="002A6C25">
            <w:pPr>
              <w:pStyle w:val="P68B1DB1-Normal4"/>
              <w:jc w:val="center"/>
              <w:rPr>
                <w:rFonts w:cs="Arial"/>
                <w:noProof/>
              </w:rPr>
            </w:pPr>
            <w:r>
              <w:rPr>
                <w:noProof/>
              </w:rPr>
              <w:t>M1C1–66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563AC9" w14:textId="77777777" w:rsidR="003F5418" w:rsidRDefault="002A6C25">
            <w:pPr>
              <w:pStyle w:val="P68B1DB1-Normal4"/>
              <w:jc w:val="center"/>
              <w:rPr>
                <w:rFonts w:cs="Arial"/>
                <w:noProof/>
              </w:rPr>
            </w:pPr>
            <w:r>
              <w:rPr>
                <w:noProof/>
              </w:rPr>
              <w:t>Beruházás: Technikai 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19E83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F6757" w14:textId="77777777" w:rsidR="003F5418" w:rsidRDefault="002A6C25">
            <w:pPr>
              <w:pStyle w:val="P68B1DB1-Normal4"/>
              <w:jc w:val="center"/>
              <w:rPr>
                <w:rFonts w:cs="Arial"/>
                <w:noProof/>
              </w:rPr>
            </w:pPr>
            <w:r>
              <w:rPr>
                <w:noProof/>
              </w:rPr>
              <w:t xml:space="preserve">Oktatás és </w:t>
            </w:r>
            <w:r>
              <w:rPr>
                <w:noProof/>
              </w:rPr>
              <w:t>képzés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5C661F"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C69438"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3103D5"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6CD3E7" w14:textId="77777777" w:rsidR="003F5418" w:rsidRDefault="002A6C25">
            <w:pPr>
              <w:pStyle w:val="P68B1DB1-Normal4"/>
              <w:jc w:val="center"/>
              <w:rPr>
                <w:rFonts w:cs="Arial"/>
                <w:noProof/>
              </w:rPr>
            </w:pPr>
            <w:r>
              <w:rPr>
                <w:noProof/>
              </w:rPr>
              <w:t>245 000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0A105F"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22E2FA"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6A8230" w14:textId="77777777" w:rsidR="003F5418" w:rsidRDefault="002A6C25">
            <w:pPr>
              <w:pStyle w:val="P68B1DB1-Normal4"/>
              <w:spacing w:after="120"/>
              <w:rPr>
                <w:rFonts w:cs="Arial"/>
                <w:noProof/>
              </w:rPr>
            </w:pPr>
            <w:r>
              <w:rPr>
                <w:noProof/>
              </w:rPr>
              <w:t>A központi közigazgatás legalább 245000 (70%) köztisztviselője sikeresen végrehajtotta az M1C1–64-ben említett képzési kezdeményezéseket (hivatalos tanúsítás vagy hatásvizsgálat).</w:t>
            </w:r>
          </w:p>
        </w:tc>
      </w:tr>
      <w:tr w:rsidR="003F5418" w14:paraId="46C379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98D21A" w14:textId="77777777" w:rsidR="003F5418" w:rsidRDefault="002A6C25">
            <w:pPr>
              <w:pStyle w:val="P68B1DB1-Normal4"/>
              <w:jc w:val="center"/>
              <w:rPr>
                <w:rFonts w:cs="Arial"/>
                <w:noProof/>
              </w:rPr>
            </w:pPr>
            <w:r>
              <w:rPr>
                <w:noProof/>
              </w:rPr>
              <w:t>M1C1–67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C12276" w14:textId="77777777" w:rsidR="003F5418" w:rsidRDefault="002A6C25">
            <w:pPr>
              <w:pStyle w:val="P68B1DB1-Normal4"/>
              <w:jc w:val="center"/>
              <w:rPr>
                <w:rFonts w:cs="Arial"/>
                <w:noProof/>
              </w:rPr>
            </w:pPr>
            <w:r>
              <w:rPr>
                <w:noProof/>
              </w:rPr>
              <w:t xml:space="preserve">Beruházás: Technikai </w:t>
            </w:r>
            <w:r>
              <w:rPr>
                <w:noProof/>
              </w:rPr>
              <w:t>segítségnyújtás és kapacitásépítés megerősítése az olasz helyreállítási és rezilienciaépítési terv végrehajtásához</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3DBB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21B774" w14:textId="77777777" w:rsidR="003F5418" w:rsidRDefault="002A6C25">
            <w:pPr>
              <w:pStyle w:val="P68B1DB1-Normal4"/>
              <w:jc w:val="center"/>
              <w:rPr>
                <w:rFonts w:cs="Arial"/>
                <w:noProof/>
              </w:rPr>
            </w:pPr>
            <w:r>
              <w:rPr>
                <w:noProof/>
              </w:rPr>
              <w:t>Oktatás és képzés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87B627"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63EE47"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8FA3A"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45425" w14:textId="77777777" w:rsidR="003F5418" w:rsidRDefault="002A6C25">
            <w:pPr>
              <w:pStyle w:val="P68B1DB1-Normal4"/>
              <w:jc w:val="center"/>
              <w:rPr>
                <w:rFonts w:cs="Arial"/>
                <w:noProof/>
              </w:rPr>
            </w:pPr>
            <w:r>
              <w:rPr>
                <w:noProof/>
              </w:rPr>
              <w:t>280 000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FCD77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E21F9C"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E36C6E" w14:textId="77777777" w:rsidR="003F5418" w:rsidRDefault="002A6C25">
            <w:pPr>
              <w:pStyle w:val="P68B1DB1-Normal4"/>
              <w:spacing w:after="120"/>
              <w:rPr>
                <w:rFonts w:cs="Arial"/>
                <w:noProof/>
              </w:rPr>
            </w:pPr>
            <w:r>
              <w:rPr>
                <w:noProof/>
              </w:rPr>
              <w:t xml:space="preserve">Más közigazgatási szervek legalább 280000 (70%) közalkalmazottja sikeresen végrehajtotta </w:t>
            </w:r>
            <w:r>
              <w:rPr>
                <w:noProof/>
              </w:rPr>
              <w:t>az M1C1–65 pont szerinti képzési kezdeményezéseket (hivatalos tanúsítás vagy hatásvizsgálat).</w:t>
            </w:r>
          </w:p>
        </w:tc>
      </w:tr>
      <w:tr w:rsidR="003F5418" w14:paraId="190C551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2280A8" w14:textId="77777777" w:rsidR="003F5418" w:rsidRDefault="002A6C25">
            <w:pPr>
              <w:pStyle w:val="P68B1DB1-Normal4"/>
              <w:jc w:val="center"/>
              <w:rPr>
                <w:rFonts w:cs="Arial"/>
                <w:noProof/>
              </w:rPr>
            </w:pPr>
            <w:r>
              <w:rPr>
                <w:noProof/>
              </w:rPr>
              <w:t>M1C1–68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E98ED" w14:textId="77777777" w:rsidR="003F5418" w:rsidRDefault="002A6C25">
            <w:pPr>
              <w:pStyle w:val="P68B1DB1-Normal4"/>
              <w:jc w:val="center"/>
              <w:rPr>
                <w:rFonts w:cs="Arial"/>
                <w:noProof/>
              </w:rPr>
            </w:pPr>
            <w:r>
              <w:rPr>
                <w:noProof/>
              </w:rPr>
              <w:t>Reform: A közigazgatás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2DAB85"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19C49E" w14:textId="77777777" w:rsidR="003F5418" w:rsidRDefault="002A6C25">
            <w:pPr>
              <w:pStyle w:val="P68B1DB1-Normal4"/>
              <w:jc w:val="center"/>
              <w:rPr>
                <w:rFonts w:cs="Arial"/>
                <w:noProof/>
              </w:rPr>
            </w:pPr>
            <w:r>
              <w:rPr>
                <w:noProof/>
              </w:rPr>
              <w:t xml:space="preserve">Ellenőrzési és ellenőrzési adattári rendszer: információk a Helyreállítási és Rezilienciaépítési Eszköz </w:t>
            </w:r>
            <w:r>
              <w:rPr>
                <w:noProof/>
              </w:rPr>
              <w:t>végrehajtásának nyomon követéséhez</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9896D2" w14:textId="77777777" w:rsidR="003F5418" w:rsidRDefault="002A6C25">
            <w:pPr>
              <w:pStyle w:val="P68B1DB1-Normal4"/>
              <w:jc w:val="center"/>
              <w:rPr>
                <w:rFonts w:cs="Arial"/>
                <w:noProof/>
              </w:rPr>
            </w:pPr>
            <w:r>
              <w:rPr>
                <w:noProof/>
              </w:rPr>
              <w:t>Az adattárrendszer funkcióit megerősítő ellenőrzési jelentés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EE3AF"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91E9"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7493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21D92B"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9513F2"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B1623" w14:textId="77777777" w:rsidR="003F5418" w:rsidRDefault="002A6C25">
            <w:pPr>
              <w:pStyle w:val="P68B1DB1-Normal4"/>
              <w:spacing w:after="120"/>
              <w:rPr>
                <w:rFonts w:cs="Arial"/>
                <w:noProof/>
              </w:rPr>
            </w:pPr>
            <w:r>
              <w:rPr>
                <w:noProof/>
              </w:rPr>
              <w:t>A Helyreállítási és Rezilienciaépítési Eszköz végrehajtásának nyomon követésére szolgáló működőképes adattárrendszernek kell rendelkez</w:t>
            </w:r>
            <w:r>
              <w:rPr>
                <w:noProof/>
              </w:rPr>
              <w:t>ésre állnia.</w:t>
            </w:r>
          </w:p>
          <w:p w14:paraId="0CFD13DC" w14:textId="77777777" w:rsidR="003F5418" w:rsidRDefault="002A6C25">
            <w:pPr>
              <w:pStyle w:val="P68B1DB1-Normal4"/>
              <w:spacing w:after="120"/>
              <w:rPr>
                <w:rFonts w:cs="Arial"/>
                <w:noProof/>
              </w:rPr>
            </w:pPr>
            <w:r>
              <w:rPr>
                <w:noProof/>
              </w:rPr>
              <w:t>A rendszernek legalább a következő funkciókat kell tartalmaznia:</w:t>
            </w:r>
          </w:p>
          <w:p w14:paraId="63EF9BE9" w14:textId="77777777" w:rsidR="003F5418" w:rsidRDefault="002A6C25">
            <w:pPr>
              <w:pStyle w:val="P68B1DB1-Normal4"/>
              <w:spacing w:after="120"/>
              <w:rPr>
                <w:rFonts w:cs="Arial"/>
                <w:noProof/>
              </w:rPr>
            </w:pPr>
            <w:r>
              <w:rPr>
                <w:noProof/>
              </w:rPr>
              <w:t>adatgyűjtés, valamint a mérföldkövek és célok elérésének nyomon követése;</w:t>
            </w:r>
          </w:p>
          <w:p w14:paraId="7A3D344D" w14:textId="77777777" w:rsidR="003F5418" w:rsidRDefault="002A6C25">
            <w:pPr>
              <w:pStyle w:val="P68B1DB1-Normal4"/>
              <w:spacing w:after="120"/>
              <w:rPr>
                <w:rFonts w:cs="Arial"/>
                <w:noProof/>
              </w:rPr>
            </w:pPr>
            <w:r>
              <w:rPr>
                <w:noProof/>
              </w:rPr>
              <w:t>b) az RRF-rendelet 22. cikke (2) bekezdése d) pontjának i-iii. alpontjában előírt adatok gyűjtése, tárol</w:t>
            </w:r>
            <w:r>
              <w:rPr>
                <w:noProof/>
              </w:rPr>
              <w:t>ása és az azokhoz való hozzáférés biztosítása.</w:t>
            </w:r>
          </w:p>
        </w:tc>
      </w:tr>
      <w:tr w:rsidR="003F5418" w14:paraId="2815759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289159" w14:textId="77777777" w:rsidR="003F5418" w:rsidRDefault="002A6C25">
            <w:pPr>
              <w:pStyle w:val="P68B1DB1-Normal4"/>
              <w:jc w:val="center"/>
              <w:rPr>
                <w:rFonts w:cs="Arial"/>
                <w:noProof/>
              </w:rPr>
            </w:pPr>
            <w:r>
              <w:rPr>
                <w:noProof/>
              </w:rPr>
              <w:t>M1C1–69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5CB5D5"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8968E"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7487E5" w14:textId="77777777" w:rsidR="003F5418" w:rsidRDefault="002A6C25">
            <w:pPr>
              <w:pStyle w:val="P68B1DB1-Normal4"/>
              <w:jc w:val="center"/>
              <w:rPr>
                <w:rFonts w:cs="Arial"/>
                <w:noProof/>
              </w:rPr>
            </w:pPr>
            <w:r>
              <w:rPr>
                <w:noProof/>
              </w:rPr>
              <w:t>A közbeszerzési rendszer egyszerűsítéséről szóló rendelet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8E52E1" w14:textId="77777777" w:rsidR="003F5418" w:rsidRDefault="002A6C25">
            <w:pPr>
              <w:pStyle w:val="P68B1DB1-Normal4"/>
              <w:jc w:val="center"/>
              <w:rPr>
                <w:rFonts w:cs="Arial"/>
                <w:noProof/>
              </w:rPr>
            </w:pPr>
            <w:r>
              <w:rPr>
                <w:noProof/>
              </w:rPr>
              <w:t>A törvénynek a közbeszerzési rendszer egyszerűsítésére vonatkozó rendelet</w:t>
            </w:r>
            <w:r>
              <w:rPr>
                <w:noProof/>
              </w:rPr>
              <w:t xml:space="preserve"> hatálybalépését előíró rendelkezése.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0E50C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3E210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8727D3"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0F884C"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EC7964"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F9CA7F" w14:textId="77777777" w:rsidR="003F5418" w:rsidRDefault="002A6C25">
            <w:pPr>
              <w:pStyle w:val="P68B1DB1-Normal4"/>
              <w:spacing w:after="120"/>
              <w:rPr>
                <w:rFonts w:cs="Arial"/>
                <w:noProof/>
              </w:rPr>
            </w:pPr>
            <w:r>
              <w:rPr>
                <w:noProof/>
              </w:rPr>
              <w:t>A törvényerejű rendelet legalább a következő sürgős intézkedésekkel egyszerűsíti a közbeszerzési rendszert:</w:t>
            </w:r>
          </w:p>
          <w:p w14:paraId="36DA2375" w14:textId="77777777" w:rsidR="003F5418" w:rsidRDefault="002A6C25">
            <w:pPr>
              <w:pStyle w:val="P68B1DB1-Normal4"/>
              <w:spacing w:after="120"/>
              <w:rPr>
                <w:rFonts w:cs="Arial"/>
                <w:noProof/>
              </w:rPr>
            </w:pPr>
            <w:r>
              <w:rPr>
                <w:noProof/>
              </w:rPr>
              <w:t xml:space="preserve">I. Célokat határoz meg a közzététel és a szerződés odaítélése közötti idő </w:t>
            </w:r>
            <w:r>
              <w:rPr>
                <w:noProof/>
              </w:rPr>
              <w:t>csökkentése érdekében.</w:t>
            </w:r>
          </w:p>
          <w:p w14:paraId="698F179E" w14:textId="77777777" w:rsidR="003F5418" w:rsidRDefault="002A6C25">
            <w:pPr>
              <w:pStyle w:val="P68B1DB1-Normal4"/>
              <w:spacing w:after="120"/>
              <w:rPr>
                <w:rFonts w:cs="Arial"/>
                <w:noProof/>
              </w:rPr>
            </w:pPr>
            <w:r>
              <w:rPr>
                <w:noProof/>
              </w:rPr>
              <w:t>II. Célokat és nyomonkövetési rendszert határoz meg a szerződés odaítélése és az infrastruktúra befejezése közötti idő csökkentése érdekében („fase esecutiva”).</w:t>
            </w:r>
          </w:p>
          <w:p w14:paraId="3189F99E" w14:textId="77777777" w:rsidR="003F5418" w:rsidRDefault="002A6C25">
            <w:pPr>
              <w:pStyle w:val="P68B1DB1-Normal4"/>
              <w:spacing w:after="120"/>
              <w:rPr>
                <w:rFonts w:cs="Arial"/>
                <w:noProof/>
              </w:rPr>
            </w:pPr>
            <w:r>
              <w:rPr>
                <w:noProof/>
              </w:rPr>
              <w:t>III. Előírja, hogy valamennyi szerződés adatait nyilvántartásba kell ven</w:t>
            </w:r>
            <w:r>
              <w:rPr>
                <w:noProof/>
              </w:rPr>
              <w:t>ni a nemzeti korrupcióellenes hatóság (ANAC) korrupcióellenes adatbázisában.</w:t>
            </w:r>
          </w:p>
          <w:p w14:paraId="1539E77C" w14:textId="77777777" w:rsidR="003F5418" w:rsidRDefault="002A6C25">
            <w:pPr>
              <w:pStyle w:val="P68B1DB1-Normal4"/>
              <w:spacing w:after="120"/>
              <w:rPr>
                <w:rFonts w:cs="Arial"/>
                <w:noProof/>
              </w:rPr>
            </w:pPr>
            <w:r>
              <w:rPr>
                <w:noProof/>
              </w:rPr>
              <w:t>IV. Az alternatív vitarendezési mechanizmusok végrehajtása és ösztönzése a közbeszerzési szerződések végrehajtási szakaszában.</w:t>
            </w:r>
          </w:p>
          <w:p w14:paraId="697245A7" w14:textId="77777777" w:rsidR="003F5418" w:rsidRDefault="002A6C25">
            <w:pPr>
              <w:pStyle w:val="P68B1DB1-Normal4"/>
              <w:spacing w:after="120"/>
              <w:rPr>
                <w:rFonts w:cs="Arial"/>
                <w:noProof/>
              </w:rPr>
            </w:pPr>
            <w:r>
              <w:rPr>
                <w:noProof/>
              </w:rPr>
              <w:t>v. külön irodákat hoz létre a közbeszerzési eljáráso</w:t>
            </w:r>
            <w:r>
              <w:rPr>
                <w:noProof/>
              </w:rPr>
              <w:t>kért felelős minisztériumokban, régiókban és nagyvárosi városokban.</w:t>
            </w:r>
          </w:p>
          <w:p w14:paraId="5FE70E0E" w14:textId="77777777" w:rsidR="003F5418" w:rsidRDefault="002A6C25">
            <w:pPr>
              <w:pStyle w:val="P68B1DB1-Normal4"/>
              <w:spacing w:after="120"/>
              <w:rPr>
                <w:rFonts w:cs="Arial"/>
                <w:noProof/>
              </w:rPr>
            </w:pPr>
            <w:r>
              <w:rPr>
                <w:noProof/>
              </w:rPr>
              <w:t>További részletek:</w:t>
            </w:r>
          </w:p>
          <w:p w14:paraId="3E1308A0" w14:textId="77777777" w:rsidR="003F5418" w:rsidRDefault="002A6C25">
            <w:pPr>
              <w:pStyle w:val="P68B1DB1-Normal4"/>
              <w:spacing w:after="120"/>
              <w:rPr>
                <w:rFonts w:cs="Arial"/>
                <w:noProof/>
              </w:rPr>
            </w:pPr>
            <w:r>
              <w:rPr>
                <w:noProof/>
              </w:rPr>
              <w:t>– A központi beszerző szervek eljárásainak egyszerűsítése és digitalizálása („centrali di commitmenttenza”);</w:t>
            </w:r>
          </w:p>
          <w:p w14:paraId="7B3EBE49" w14:textId="77777777" w:rsidR="003F5418" w:rsidRDefault="002A6C25">
            <w:pPr>
              <w:pStyle w:val="P68B1DB1-Normal4"/>
              <w:spacing w:after="120"/>
              <w:rPr>
                <w:rFonts w:cs="Arial"/>
                <w:noProof/>
              </w:rPr>
            </w:pPr>
            <w:r>
              <w:rPr>
                <w:noProof/>
              </w:rPr>
              <w:t>A hatályos közbeszerzési törvénykönyv 41. és 44. cikkének vé</w:t>
            </w:r>
            <w:r>
              <w:rPr>
                <w:noProof/>
              </w:rPr>
              <w:t>grehajtása;</w:t>
            </w:r>
          </w:p>
          <w:p w14:paraId="3116E065" w14:textId="77777777" w:rsidR="003F5418" w:rsidRDefault="002A6C25">
            <w:pPr>
              <w:pStyle w:val="P68B1DB1-Normal4"/>
              <w:spacing w:after="120"/>
              <w:rPr>
                <w:rFonts w:cs="Arial"/>
                <w:noProof/>
              </w:rPr>
            </w:pPr>
            <w:r>
              <w:rPr>
                <w:noProof/>
              </w:rPr>
              <w:t>– Annak meghatározása, hogy az eljárásokat hogyan kell digitalizálni valamennyi közbeszerzési szerződés és koncesszió esetében, és meghatározza az interoperabilitásra és az összekapcsolhatóságra vonatkozó követelményeket;</w:t>
            </w:r>
          </w:p>
          <w:p w14:paraId="55AB4F7E" w14:textId="77777777" w:rsidR="003F5418" w:rsidRDefault="002A6C25">
            <w:pPr>
              <w:pStyle w:val="P68B1DB1-Normal4"/>
              <w:spacing w:after="120"/>
              <w:rPr>
                <w:rFonts w:cs="Arial"/>
                <w:noProof/>
              </w:rPr>
            </w:pPr>
            <w:r>
              <w:rPr>
                <w:noProof/>
              </w:rPr>
              <w:t>A jelenlegi közbeszerz</w:t>
            </w:r>
            <w:r>
              <w:rPr>
                <w:noProof/>
              </w:rPr>
              <w:t>ési törvénykönyv 44. cikkének végrehajtása.0</w:t>
            </w:r>
          </w:p>
        </w:tc>
      </w:tr>
      <w:tr w:rsidR="003F5418" w14:paraId="7CFFA89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4CA2AE" w14:textId="77777777" w:rsidR="003F5418" w:rsidRDefault="002A6C25">
            <w:pPr>
              <w:pStyle w:val="P68B1DB1-Normal4"/>
              <w:jc w:val="center"/>
              <w:rPr>
                <w:rFonts w:cs="Arial"/>
                <w:noProof/>
              </w:rPr>
            </w:pPr>
            <w:r>
              <w:rPr>
                <w:noProof/>
              </w:rPr>
              <w:t>M1C1–70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09C6FA"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32F87"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E30531" w14:textId="77777777" w:rsidR="003F5418" w:rsidRDefault="002A6C25">
            <w:pPr>
              <w:pStyle w:val="P68B1DB1-Normal4"/>
              <w:jc w:val="center"/>
              <w:rPr>
                <w:rFonts w:cs="Arial"/>
                <w:noProof/>
              </w:rPr>
            </w:pPr>
            <w:r>
              <w:rPr>
                <w:noProof/>
              </w:rPr>
              <w:t>A közbeszerzési törvénykönyv felülvizsgálatának hatálybalépése (D.Lgs. n. 50/2016)</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AF6A8" w14:textId="77777777" w:rsidR="003F5418" w:rsidRDefault="002A6C25">
            <w:pPr>
              <w:pStyle w:val="P68B1DB1-Normal4"/>
              <w:jc w:val="center"/>
              <w:rPr>
                <w:rFonts w:cs="Arial"/>
                <w:noProof/>
              </w:rPr>
            </w:pPr>
            <w:r>
              <w:rPr>
                <w:noProof/>
              </w:rPr>
              <w:t xml:space="preserve">A törvény azon rendelkezése, amely a felhatalmazási törvény </w:t>
            </w:r>
            <w:r>
              <w:rPr>
                <w:noProof/>
              </w:rPr>
              <w:t>hatálybalépését jelzi, amely megreformálja a közbeszerzési rendszer jelenlegi törvénykönyvét (D.Lgs. n. 50/2016)</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E533F1"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68521"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2E485D"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9AD78D"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4C05CD"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7718C" w14:textId="77777777" w:rsidR="003F5418" w:rsidRDefault="002A6C25">
            <w:pPr>
              <w:pStyle w:val="P68B1DB1-Normal4"/>
              <w:spacing w:after="120"/>
              <w:rPr>
                <w:rFonts w:cs="Arial"/>
                <w:noProof/>
              </w:rPr>
            </w:pPr>
            <w:r>
              <w:rPr>
                <w:noProof/>
              </w:rPr>
              <w:t>E törvény meghatározza a közbeszerzési törvénykönyv rendszerszintű reformjának valamennyi pontos kritériumát és alape</w:t>
            </w:r>
            <w:r>
              <w:rPr>
                <w:noProof/>
              </w:rPr>
              <w:t>lvét.</w:t>
            </w:r>
          </w:p>
          <w:p w14:paraId="6D1BED29" w14:textId="77777777" w:rsidR="003F5418" w:rsidRDefault="002A6C25">
            <w:pPr>
              <w:pStyle w:val="P68B1DB1-Normal4"/>
              <w:spacing w:after="120"/>
              <w:rPr>
                <w:rFonts w:cs="Arial"/>
                <w:noProof/>
              </w:rPr>
            </w:pPr>
            <w:r>
              <w:rPr>
                <w:noProof/>
              </w:rPr>
              <w:t>A hatáskör-átruházási törvény legalább a következő elveket és kritériumokat írja elő:</w:t>
            </w:r>
          </w:p>
          <w:p w14:paraId="63662DE9" w14:textId="77777777" w:rsidR="003F5418" w:rsidRDefault="002A6C25">
            <w:pPr>
              <w:pStyle w:val="P68B1DB1-Normal4"/>
              <w:spacing w:after="120"/>
              <w:rPr>
                <w:rFonts w:cs="Arial"/>
                <w:noProof/>
              </w:rPr>
            </w:pPr>
            <w:r>
              <w:rPr>
                <w:noProof/>
              </w:rPr>
              <w:t>I. Az ajánlatkérő szervek széttöredezettségének csökkentése (1) a minősítési rendszer alapvető elemeinek megállapítása, 2) a közbeszerzési kapacitás országos értéke</w:t>
            </w:r>
            <w:r>
              <w:rPr>
                <w:noProof/>
              </w:rPr>
              <w:t>lésében való részvétel alapvető követelményeként egy e-platform előírásának előírása, (3) a nemzeti korrupcióellenes hatóság (ANAC) arra való felhatalmazása, hogy felülvizsgálja az ajánlatkérő szervek minősítését a beszerzési kapacitás (a beszerzések típus</w:t>
            </w:r>
            <w:r>
              <w:rPr>
                <w:noProof/>
              </w:rPr>
              <w:t>ai és mennyisége) tekintetében, (4) a meglévő szakmai központi beszerző szervek igénybevételére való ösztönzés.</w:t>
            </w:r>
          </w:p>
          <w:p w14:paraId="61FC32C3" w14:textId="77777777" w:rsidR="003F5418" w:rsidRDefault="002A6C25">
            <w:pPr>
              <w:pStyle w:val="P68B1DB1-Normal4"/>
              <w:spacing w:after="120"/>
              <w:rPr>
                <w:rFonts w:cs="Arial"/>
                <w:noProof/>
              </w:rPr>
            </w:pPr>
            <w:r>
              <w:rPr>
                <w:noProof/>
              </w:rPr>
              <w:t>II. A központi beszerző szervek eljárásainak egyszerűsítése és digitalizálása („centrali di commitmenttenza”)</w:t>
            </w:r>
          </w:p>
          <w:p w14:paraId="23344AFE" w14:textId="77777777" w:rsidR="003F5418" w:rsidRDefault="002A6C25">
            <w:pPr>
              <w:pStyle w:val="P68B1DB1-Normal4"/>
              <w:spacing w:after="120"/>
              <w:rPr>
                <w:rFonts w:cs="Arial"/>
                <w:noProof/>
              </w:rPr>
            </w:pPr>
            <w:r>
              <w:rPr>
                <w:noProof/>
              </w:rPr>
              <w:t xml:space="preserve">III. Annak meghatározása, hogy az </w:t>
            </w:r>
            <w:r>
              <w:rPr>
                <w:noProof/>
              </w:rPr>
              <w:t>eljárásokat hogyan kell digitalizálni valamennyi közbeszerzési szerződés és koncesszió esetében, és meghatározza az interoperabilitásra és az összekapcsolhatóságra vonatkozó követelményeket.</w:t>
            </w:r>
          </w:p>
          <w:p w14:paraId="282DB82F" w14:textId="77777777" w:rsidR="003F5418" w:rsidRDefault="002A6C25">
            <w:pPr>
              <w:pStyle w:val="P68B1DB1-Normal4"/>
              <w:spacing w:after="120"/>
              <w:rPr>
                <w:rFonts w:cs="Arial"/>
                <w:noProof/>
              </w:rPr>
            </w:pPr>
            <w:r>
              <w:rPr>
                <w:noProof/>
              </w:rPr>
              <w:t>IV. Az alvállalkozásra vonatkozó korlátozások fokozatos csökkenté</w:t>
            </w:r>
            <w:r>
              <w:rPr>
                <w:noProof/>
              </w:rPr>
              <w:t>se.</w:t>
            </w:r>
          </w:p>
        </w:tc>
      </w:tr>
      <w:tr w:rsidR="003F5418" w14:paraId="5EA0A3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F431B9" w14:textId="77777777" w:rsidR="003F5418" w:rsidRDefault="002A6C25">
            <w:pPr>
              <w:pStyle w:val="P68B1DB1-Normal4"/>
              <w:jc w:val="center"/>
              <w:rPr>
                <w:rFonts w:cs="Arial"/>
                <w:noProof/>
              </w:rPr>
            </w:pPr>
            <w:r>
              <w:rPr>
                <w:noProof/>
              </w:rPr>
              <w:t>M1C1–71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248A4F"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DAB52B"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64FC7F" w14:textId="77777777" w:rsidR="003F5418" w:rsidRDefault="002A6C25">
            <w:pPr>
              <w:pStyle w:val="P68B1DB1-Normal4"/>
              <w:jc w:val="center"/>
              <w:rPr>
                <w:rFonts w:cs="Arial"/>
                <w:noProof/>
              </w:rPr>
            </w:pPr>
            <w:r>
              <w:rPr>
                <w:noProof/>
              </w:rPr>
              <w:t>A közbeszerzési rendszerhez szükséges valamennyi jogszabály, rendelet és végrehajtási jogi aktus (beleértve a másodlagos jogszabályokat is)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379817" w14:textId="77777777" w:rsidR="003F5418" w:rsidRDefault="002A6C25">
            <w:pPr>
              <w:pStyle w:val="P68B1DB1-Normal4"/>
              <w:jc w:val="center"/>
              <w:rPr>
                <w:rFonts w:cs="Arial"/>
                <w:noProof/>
              </w:rPr>
            </w:pPr>
            <w:r>
              <w:rPr>
                <w:noProof/>
              </w:rPr>
              <w:t xml:space="preserve">Az összes szükséges jogalkotási </w:t>
            </w:r>
            <w:r>
              <w:rPr>
                <w:noProof/>
              </w:rPr>
              <w:t>rendelet és végrehajtási jogi aktus hatálybalépése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D258E4"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A8CE9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0A4453"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EBE7A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3317B"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2E3BE3" w14:textId="77777777" w:rsidR="003F5418" w:rsidRDefault="002A6C25">
            <w:pPr>
              <w:pStyle w:val="P68B1DB1-Normal4"/>
              <w:spacing w:after="120"/>
              <w:rPr>
                <w:rFonts w:cs="Arial"/>
                <w:noProof/>
              </w:rPr>
            </w:pPr>
            <w:r>
              <w:rPr>
                <w:noProof/>
              </w:rPr>
              <w:t>Minden szükséges jogszabálynak, rendeletnek és végrehajtási jogi aktusnak (beleértve szükség esetén a másodlagos jogszabályokat is) a következő eredményeket kell elérnie:</w:t>
            </w:r>
          </w:p>
          <w:p w14:paraId="23BC4537" w14:textId="77777777" w:rsidR="003F5418" w:rsidRDefault="002A6C25">
            <w:pPr>
              <w:pStyle w:val="P68B1DB1-Normal4"/>
              <w:spacing w:after="120"/>
              <w:rPr>
                <w:rFonts w:cs="Arial"/>
                <w:noProof/>
              </w:rPr>
            </w:pPr>
            <w:r>
              <w:rPr>
                <w:noProof/>
              </w:rPr>
              <w:t>I. A köz</w:t>
            </w:r>
            <w:r>
              <w:rPr>
                <w:noProof/>
              </w:rPr>
              <w:t>beszerzési politikát koordináló egységes testületnek megfelelő (az operatív megállapodásban meghatározandó) személyzeti és pénzügyi erőforrásokkal kell rendelkeznie ahhoz, hogy teljes mértékben működőképes legyen, többek között az ANAC erre a célra létreho</w:t>
            </w:r>
            <w:r>
              <w:rPr>
                <w:noProof/>
              </w:rPr>
              <w:t>zott struktúrája által nyújtott támogatás miatt.</w:t>
            </w:r>
          </w:p>
          <w:p w14:paraId="08B808FB" w14:textId="77777777" w:rsidR="003F5418" w:rsidRDefault="002A6C25">
            <w:pPr>
              <w:pStyle w:val="P68B1DB1-Normal4"/>
              <w:spacing w:after="120"/>
              <w:rPr>
                <w:rFonts w:cs="Arial"/>
                <w:noProof/>
              </w:rPr>
            </w:pPr>
            <w:r>
              <w:rPr>
                <w:noProof/>
              </w:rPr>
              <w:t>II. A közbeszerzési politikával foglalkozó egységes koordinációs testület az ANAC és a Nemzeti Közigazgatási Iskola támogatásával elfogadja a professzionalizálási stratégiát (vö. az olasz NRPP 2.1.6. reformj</w:t>
            </w:r>
            <w:r>
              <w:rPr>
                <w:noProof/>
              </w:rPr>
              <w:t>ával kapcsolatban), amely tartalmazza a különböző szintű képzések típusait, a speciális tanácsadást és az operatív iránymutatások kidolgozását.</w:t>
            </w:r>
          </w:p>
          <w:p w14:paraId="173D28ED" w14:textId="77777777" w:rsidR="003F5418" w:rsidRDefault="002A6C25">
            <w:pPr>
              <w:pStyle w:val="P68B1DB1-Normal4"/>
              <w:spacing w:after="120"/>
              <w:rPr>
                <w:rFonts w:cs="Arial"/>
                <w:noProof/>
              </w:rPr>
            </w:pPr>
            <w:r>
              <w:rPr>
                <w:noProof/>
              </w:rPr>
              <w:t xml:space="preserve">III. A dinamikus beszerzési rendszereket a Consip bocsátja rendelkezésre, és összhangban vannak a közbeszerzési </w:t>
            </w:r>
            <w:r>
              <w:rPr>
                <w:noProof/>
              </w:rPr>
              <w:t>irányelvekkel.</w:t>
            </w:r>
          </w:p>
          <w:p w14:paraId="2057D83A" w14:textId="77777777" w:rsidR="003F5418" w:rsidRDefault="002A6C25">
            <w:pPr>
              <w:pStyle w:val="P68B1DB1-Normal4"/>
              <w:spacing w:after="120"/>
              <w:rPr>
                <w:rFonts w:cs="Arial"/>
                <w:noProof/>
              </w:rPr>
            </w:pPr>
            <w:r>
              <w:rPr>
                <w:noProof/>
              </w:rPr>
              <w:t>IV. Az ANAC a közbeszerzési törvénykönyv 38. cikkének végrehajtását követően befejezi az ajánlatkérő szervek közbeszerzési kapacitás tekintetében történő minősítésének gyakorlását.</w:t>
            </w:r>
          </w:p>
          <w:p w14:paraId="650EF186" w14:textId="77777777" w:rsidR="003F5418" w:rsidRDefault="002A6C25">
            <w:pPr>
              <w:pStyle w:val="P68B1DB1-Normal4"/>
              <w:spacing w:after="120"/>
              <w:rPr>
                <w:rFonts w:cs="Arial"/>
                <w:noProof/>
              </w:rPr>
            </w:pPr>
            <w:r>
              <w:rPr>
                <w:noProof/>
              </w:rPr>
              <w:t>V. A szerződés odaítélése és az infrastrukturális munkálatok</w:t>
            </w:r>
            <w:r>
              <w:rPr>
                <w:noProof/>
              </w:rPr>
              <w:t xml:space="preserve"> befejezése közötti időszakra vonatkozó nyomonkövetési rendszer működőképes.</w:t>
            </w:r>
          </w:p>
          <w:p w14:paraId="09549453" w14:textId="77777777" w:rsidR="003F5418" w:rsidRDefault="002A6C25">
            <w:pPr>
              <w:pStyle w:val="P68B1DB1-Normal4"/>
              <w:spacing w:after="120"/>
              <w:rPr>
                <w:rFonts w:cs="Arial"/>
                <w:noProof/>
              </w:rPr>
            </w:pPr>
            <w:r>
              <w:rPr>
                <w:noProof/>
              </w:rPr>
              <w:t>VI. Valamennyi szerződés adatait rögzítik a nemzeti korrupcióellenes hatóság (ANAC) korrupcióellenes adatbázisában.</w:t>
            </w:r>
          </w:p>
          <w:p w14:paraId="0CCAE42F" w14:textId="77777777" w:rsidR="003F5418" w:rsidRDefault="002A6C25">
            <w:pPr>
              <w:pStyle w:val="P68B1DB1-Normal4"/>
              <w:spacing w:after="120"/>
              <w:rPr>
                <w:rFonts w:cs="Arial"/>
                <w:noProof/>
              </w:rPr>
            </w:pPr>
            <w:r>
              <w:rPr>
                <w:noProof/>
              </w:rPr>
              <w:t>VII. A minisztériumok, régiók és nagyvárosi városok közbeszerzé</w:t>
            </w:r>
            <w:r>
              <w:rPr>
                <w:noProof/>
              </w:rPr>
              <w:t>si eljárásokért felelős valamennyi kijelölt irodája.</w:t>
            </w:r>
          </w:p>
        </w:tc>
      </w:tr>
      <w:tr w:rsidR="003F5418" w14:paraId="656EDC0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9E4050" w14:textId="77777777" w:rsidR="003F5418" w:rsidRDefault="002A6C25">
            <w:pPr>
              <w:pStyle w:val="P68B1DB1-Normal4"/>
              <w:jc w:val="center"/>
              <w:rPr>
                <w:rFonts w:cs="Arial"/>
                <w:noProof/>
              </w:rPr>
            </w:pPr>
            <w:r>
              <w:rPr>
                <w:noProof/>
              </w:rPr>
              <w:t>M1C1–72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16206A"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7D2A"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5C9B70" w14:textId="77777777" w:rsidR="003F5418" w:rsidRDefault="002A6C25">
            <w:pPr>
              <w:pStyle w:val="P68B1DB1-Normal4"/>
              <w:jc w:val="center"/>
              <w:rPr>
                <w:rFonts w:cs="Arial"/>
                <w:noProof/>
              </w:rPr>
            </w:pPr>
            <w:r>
              <w:rPr>
                <w:noProof/>
              </w:rPr>
              <w:t xml:space="preserve">A közigazgatási szervek által a vállalkozásoknak teljesített késedelmes kifizetések </w:t>
            </w:r>
            <w:r>
              <w:rPr>
                <w:noProof/>
              </w:rPr>
              <w:t>csökkentésére irányuló intézkedések jóváhagyása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C3CFBC" w14:textId="77777777" w:rsidR="003F5418" w:rsidRDefault="002A6C25">
            <w:pPr>
              <w:pStyle w:val="P68B1DB1-Normal4"/>
              <w:jc w:val="center"/>
              <w:rPr>
                <w:rFonts w:cs="Arial"/>
                <w:noProof/>
              </w:rPr>
            </w:pPr>
            <w:r>
              <w:rPr>
                <w:noProof/>
              </w:rPr>
              <w:t>A törvény azon rendelkezése, amely a kifizető ügynökség vállalkozásoknak történő késedelmes kifizetéseinek csökkentésére vonatkozó szabályok hatálybalépését írja elő</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5340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4E2E"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861FCB"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7E6380"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BBD42F"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C7D446" w14:textId="77777777" w:rsidR="003F5418" w:rsidRDefault="002A6C25">
            <w:pPr>
              <w:pStyle w:val="P68B1DB1-Normal4"/>
              <w:spacing w:after="120"/>
              <w:rPr>
                <w:rFonts w:cs="Arial"/>
                <w:noProof/>
              </w:rPr>
            </w:pPr>
            <w:r>
              <w:rPr>
                <w:noProof/>
              </w:rPr>
              <w:t>Új szabályok hat</w:t>
            </w:r>
            <w:r>
              <w:rPr>
                <w:noProof/>
              </w:rPr>
              <w:t>álybalépése a közigazgatás által a vállalkozások felé teljesített késedelmes kifizetések csökkentése érdekében.</w:t>
            </w:r>
          </w:p>
          <w:p w14:paraId="45273E45" w14:textId="77777777" w:rsidR="003F5418" w:rsidRDefault="002A6C25">
            <w:pPr>
              <w:pStyle w:val="P68B1DB1-Normal4"/>
              <w:spacing w:after="120"/>
              <w:rPr>
                <w:rFonts w:cs="Arial"/>
                <w:noProof/>
              </w:rPr>
            </w:pPr>
            <w:r>
              <w:rPr>
                <w:noProof/>
              </w:rPr>
              <w:t>Az intézkedéseknek legalább a következő kulcsfontosságú elemeket kell tartalmazniuk:</w:t>
            </w:r>
          </w:p>
          <w:p w14:paraId="0D8CC9CA" w14:textId="77777777" w:rsidR="003F5418" w:rsidRDefault="002A6C25">
            <w:pPr>
              <w:pStyle w:val="P68B1DB1-Normal6"/>
              <w:spacing w:after="120"/>
              <w:rPr>
                <w:rFonts w:cs="Arial"/>
                <w:noProof/>
                <w:color w:val="006100"/>
              </w:rPr>
            </w:pPr>
            <w:r>
              <w:rPr>
                <w:noProof/>
                <w:color w:val="006100"/>
              </w:rPr>
              <w:t>I. A</w:t>
            </w:r>
            <w:r>
              <w:rPr>
                <w:noProof/>
              </w:rPr>
              <w:t xml:space="preserve"> </w:t>
            </w:r>
            <w:r>
              <w:rPr>
                <w:noProof/>
                <w:color w:val="006100"/>
              </w:rPr>
              <w:t>rendszer InIT-et a központi közigazgatásban kell bevez</w:t>
            </w:r>
            <w:r>
              <w:rPr>
                <w:noProof/>
                <w:color w:val="006100"/>
              </w:rPr>
              <w:t>etni a gazdasági és pénzügyi számvitel, valamint a közkiadások végrehajtásának támogatása érdekében.</w:t>
            </w:r>
          </w:p>
          <w:p w14:paraId="6D26135C" w14:textId="77777777" w:rsidR="003F5418" w:rsidRDefault="002A6C25">
            <w:pPr>
              <w:pStyle w:val="P68B1DB1-Normal6"/>
              <w:spacing w:after="120"/>
              <w:rPr>
                <w:rFonts w:cs="Arial"/>
                <w:noProof/>
                <w:color w:val="006100"/>
              </w:rPr>
            </w:pPr>
            <w:r>
              <w:rPr>
                <w:noProof/>
                <w:color w:val="006100"/>
              </w:rPr>
              <w:t>II.</w:t>
            </w:r>
            <w:r>
              <w:rPr>
                <w:noProof/>
              </w:rPr>
              <w:t xml:space="preserve"> </w:t>
            </w:r>
            <w:r>
              <w:rPr>
                <w:noProof/>
                <w:color w:val="006100"/>
              </w:rPr>
              <w:t>Késedelmes kifizetések: a Pénzügyminisztérium informatikai rendszerének adatbázisán (kereskedelmi hitelplatform – PCC) alapuló mutatók a hatóságok váll</w:t>
            </w:r>
            <w:r>
              <w:rPr>
                <w:noProof/>
                <w:color w:val="006100"/>
              </w:rPr>
              <w:t>alkozások felé teljesített fizetési idejének súlyozott átlaga és a hatóságok vállalkozásoknak történő fizetési késedelme súlyozott átlaga a közigazgatás következő szintjei esetében:</w:t>
            </w:r>
          </w:p>
          <w:p w14:paraId="68C1AD7A" w14:textId="77777777" w:rsidR="003F5418" w:rsidRDefault="002A6C25">
            <w:pPr>
              <w:pStyle w:val="P68B1DB1-Normal4"/>
              <w:numPr>
                <w:ilvl w:val="0"/>
                <w:numId w:val="83"/>
              </w:numPr>
              <w:spacing w:after="120"/>
              <w:ind w:left="341" w:hanging="283"/>
              <w:rPr>
                <w:rFonts w:cs="Arial"/>
                <w:noProof/>
              </w:rPr>
            </w:pPr>
            <w:r>
              <w:rPr>
                <w:noProof/>
              </w:rPr>
              <w:t>központi hatóságok (Amministrazioni dello Stato, enti pubblici nazionali e</w:t>
            </w:r>
            <w:r>
              <w:rPr>
                <w:noProof/>
              </w:rPr>
              <w:t xml:space="preserve"> altri enti)</w:t>
            </w:r>
          </w:p>
          <w:p w14:paraId="6929014D" w14:textId="77777777" w:rsidR="003F5418" w:rsidRDefault="002A6C25">
            <w:pPr>
              <w:pStyle w:val="P68B1DB1-Normal4"/>
              <w:numPr>
                <w:ilvl w:val="0"/>
                <w:numId w:val="83"/>
              </w:numPr>
              <w:spacing w:after="120"/>
              <w:ind w:left="341" w:hanging="283"/>
              <w:rPr>
                <w:rFonts w:cs="Arial"/>
                <w:noProof/>
              </w:rPr>
            </w:pPr>
            <w:r>
              <w:rPr>
                <w:noProof/>
              </w:rPr>
              <w:t>regionális hatóságok (Regioni és Land Autonome),</w:t>
            </w:r>
          </w:p>
          <w:p w14:paraId="6523DAF6" w14:textId="77777777" w:rsidR="003F5418" w:rsidRDefault="002A6C25">
            <w:pPr>
              <w:pStyle w:val="P68B1DB1-Normal4"/>
              <w:numPr>
                <w:ilvl w:val="0"/>
                <w:numId w:val="83"/>
              </w:numPr>
              <w:spacing w:after="120"/>
              <w:ind w:left="341" w:hanging="283"/>
              <w:rPr>
                <w:rFonts w:cs="Arial"/>
                <w:noProof/>
              </w:rPr>
            </w:pPr>
            <w:r>
              <w:rPr>
                <w:noProof/>
              </w:rPr>
              <w:t>helyi önkormányzatok (enti locali)</w:t>
            </w:r>
          </w:p>
          <w:p w14:paraId="2B93F01A" w14:textId="77777777" w:rsidR="003F5418" w:rsidRDefault="002A6C25">
            <w:pPr>
              <w:pStyle w:val="P68B1DB1-Normal4"/>
              <w:numPr>
                <w:ilvl w:val="0"/>
                <w:numId w:val="83"/>
              </w:numPr>
              <w:spacing w:after="120"/>
              <w:ind w:left="341" w:hanging="283"/>
              <w:rPr>
                <w:rFonts w:cs="Arial"/>
                <w:noProof/>
              </w:rPr>
            </w:pPr>
            <w:r>
              <w:rPr>
                <w:noProof/>
              </w:rPr>
              <w:t>közegészségügyi hatóságok (enti del Servizio sanitario nazionale).</w:t>
            </w:r>
          </w:p>
        </w:tc>
      </w:tr>
      <w:tr w:rsidR="003F5418" w14:paraId="269BE09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FBD66D" w14:textId="77777777" w:rsidR="003F5418" w:rsidRDefault="002A6C25">
            <w:pPr>
              <w:pStyle w:val="P68B1DB1-Normal4"/>
              <w:jc w:val="center"/>
              <w:rPr>
                <w:rFonts w:cs="Arial"/>
                <w:noProof/>
              </w:rPr>
            </w:pPr>
            <w:r>
              <w:rPr>
                <w:noProof/>
              </w:rPr>
              <w:t>M1C1–72a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E044B" w14:textId="77777777" w:rsidR="003F5418" w:rsidRDefault="002A6C25">
            <w:pPr>
              <w:pStyle w:val="P68B1DB1-Normal4"/>
              <w:jc w:val="center"/>
              <w:rPr>
                <w:rFonts w:cs="Arial"/>
                <w:noProof/>
              </w:rPr>
            </w:pPr>
            <w:r>
              <w:rPr>
                <w:noProof/>
              </w:rPr>
              <w:t xml:space="preserve">Reform: A közigazgatási és egészségügyi hatóságok késedelmes kifizetéseinek </w:t>
            </w:r>
            <w:r>
              <w:rPr>
                <w:noProof/>
              </w:rPr>
              <w:t>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76BEA"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53D277" w14:textId="77777777" w:rsidR="003F5418" w:rsidRDefault="002A6C25">
            <w:pPr>
              <w:pStyle w:val="P68B1DB1-Normal4"/>
              <w:jc w:val="center"/>
              <w:rPr>
                <w:rFonts w:cs="Arial"/>
                <w:noProof/>
              </w:rPr>
            </w:pPr>
            <w:r>
              <w:rPr>
                <w:noProof/>
              </w:rPr>
              <w:t>Jogalkotási és konkrét intézkedések a késedelmes fizetések csökkentésére központi/helyi szinten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DECA2" w14:textId="77777777" w:rsidR="003F5418" w:rsidRDefault="002A6C25">
            <w:pPr>
              <w:pStyle w:val="P68B1DB1-Normal4"/>
              <w:jc w:val="center"/>
              <w:rPr>
                <w:rFonts w:cs="Arial"/>
                <w:noProof/>
              </w:rPr>
            </w:pPr>
            <w:r>
              <w:rPr>
                <w:noProof/>
              </w:rPr>
              <w:t xml:space="preserve">Az elsődleges jogszabályok hatálybalépését és a kifizető ügynökség vállalkozásoknak történő késedelmes kifizetéseinek csökkentését célzó </w:t>
            </w:r>
            <w:r>
              <w:rPr>
                <w:noProof/>
              </w:rPr>
              <w:t>intézkedések elfogadását előíró jogszabályi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2BCEAE"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4BC28"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D3274A"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73D25"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116033"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A4615D" w14:textId="77777777" w:rsidR="003F5418" w:rsidRDefault="002A6C25">
            <w:pPr>
              <w:pStyle w:val="P68B1DB1-Normal4"/>
              <w:spacing w:after="120"/>
              <w:rPr>
                <w:rFonts w:cs="Arial"/>
                <w:noProof/>
              </w:rPr>
            </w:pPr>
            <w:r>
              <w:rPr>
                <w:noProof/>
              </w:rPr>
              <w:t>A következő jogalkotási és egyedi intézkedések lépnek hatályba:</w:t>
            </w:r>
          </w:p>
          <w:p w14:paraId="0A3808A7" w14:textId="77777777" w:rsidR="003F5418" w:rsidRDefault="002A6C25">
            <w:pPr>
              <w:pStyle w:val="P68B1DB1-Normal4"/>
              <w:spacing w:after="120"/>
              <w:rPr>
                <w:rFonts w:cs="Arial"/>
                <w:noProof/>
              </w:rPr>
            </w:pPr>
            <w:r>
              <w:rPr>
                <w:noProof/>
              </w:rPr>
              <w:t>a késedelmes fizetésekről szóló irányelvvel összhangban a kereskedelmi és nem kereskedelmi ügyletek körét tisz</w:t>
            </w:r>
            <w:r>
              <w:rPr>
                <w:noProof/>
              </w:rPr>
              <w:t xml:space="preserve">tázó iránymutatások; </w:t>
            </w:r>
          </w:p>
          <w:p w14:paraId="22B0964F" w14:textId="77777777" w:rsidR="003F5418" w:rsidRDefault="002A6C25">
            <w:pPr>
              <w:pStyle w:val="P68B1DB1-Normal4"/>
              <w:spacing w:after="120"/>
              <w:rPr>
                <w:rFonts w:cs="Arial"/>
                <w:noProof/>
              </w:rPr>
            </w:pPr>
            <w:r>
              <w:rPr>
                <w:noProof/>
              </w:rPr>
              <w:t>– a késedelmes fizetésekről szóló irányelv 4. cikke (6) bekezdésének hatályát pontosító iránymutatások, az utóbbival összhangban;</w:t>
            </w:r>
          </w:p>
          <w:p w14:paraId="6B830B8B" w14:textId="77777777" w:rsidR="003F5418" w:rsidRDefault="002A6C25">
            <w:pPr>
              <w:pStyle w:val="P68B1DB1-Normal4"/>
              <w:spacing w:after="120"/>
              <w:rPr>
                <w:rFonts w:cs="Arial"/>
                <w:noProof/>
              </w:rPr>
            </w:pPr>
            <w:r>
              <w:rPr>
                <w:noProof/>
              </w:rPr>
              <w:t>olyan jogszabályok, amelyek biztosítják, hogy a helyi és regionális önkormányzatok a központi szinttől i</w:t>
            </w:r>
            <w:r>
              <w:rPr>
                <w:noProof/>
              </w:rPr>
              <w:t>dőben megkapják a számlák fogadásához szükséges forrásokat;</w:t>
            </w:r>
          </w:p>
          <w:p w14:paraId="1D5ED234" w14:textId="77777777" w:rsidR="003F5418" w:rsidRDefault="002A6C25">
            <w:pPr>
              <w:pStyle w:val="P68B1DB1-Normal4"/>
              <w:spacing w:after="120"/>
              <w:rPr>
                <w:rFonts w:cs="Arial"/>
                <w:noProof/>
              </w:rPr>
            </w:pPr>
            <w:r>
              <w:rPr>
                <w:noProof/>
              </w:rPr>
              <w:t>olyan jogszabályok, amelyek előírják a hatóságok számára, hogy éves pénzforgalmi terveket fogadjanak el, amelyek biztosítják a törvényes fizetési határidők betartását;</w:t>
            </w:r>
          </w:p>
          <w:p w14:paraId="59B2CE5C" w14:textId="77777777" w:rsidR="003F5418" w:rsidRDefault="002A6C25">
            <w:pPr>
              <w:pStyle w:val="P68B1DB1-Normal4"/>
              <w:spacing w:after="120"/>
              <w:rPr>
                <w:rFonts w:cs="Arial"/>
                <w:noProof/>
              </w:rPr>
            </w:pPr>
            <w:r>
              <w:rPr>
                <w:noProof/>
              </w:rPr>
              <w:t>– a minisztériumok és régiók</w:t>
            </w:r>
            <w:r>
              <w:rPr>
                <w:noProof/>
              </w:rPr>
              <w:t xml:space="preserve"> belső ellenőrzési és ellenőrzési képességei a ki nem fizetett számlák helyzetének nyomon követésére.</w:t>
            </w:r>
          </w:p>
          <w:p w14:paraId="3BA3857A" w14:textId="77777777" w:rsidR="003F5418" w:rsidRDefault="002A6C25">
            <w:pPr>
              <w:pStyle w:val="P68B1DB1-Normal4"/>
              <w:spacing w:after="120"/>
              <w:rPr>
                <w:rFonts w:cs="Arial"/>
                <w:noProof/>
              </w:rPr>
            </w:pPr>
            <w:r>
              <w:rPr>
                <w:noProof/>
              </w:rPr>
              <w:t>A következő konkrét intézkedéseket kell tenni:</w:t>
            </w:r>
          </w:p>
          <w:p w14:paraId="0B445BEF" w14:textId="77777777" w:rsidR="003F5418" w:rsidRDefault="002A6C25">
            <w:pPr>
              <w:pStyle w:val="P68B1DB1-Normal8"/>
              <w:rPr>
                <w:rFonts w:cs="Arial"/>
                <w:noProof/>
              </w:rPr>
            </w:pPr>
            <w:r>
              <w:rPr>
                <w:noProof/>
              </w:rPr>
              <w:t xml:space="preserve">Központi szint: </w:t>
            </w:r>
          </w:p>
          <w:p w14:paraId="5887A5A8" w14:textId="5590E8C5" w:rsidR="003F5418" w:rsidRDefault="002A6C25">
            <w:pPr>
              <w:pStyle w:val="P68B1DB1-Normal4"/>
              <w:spacing w:after="120"/>
              <w:rPr>
                <w:rFonts w:cs="Arial"/>
                <w:noProof/>
              </w:rPr>
            </w:pPr>
            <w:r>
              <w:rPr>
                <w:noProof/>
              </w:rPr>
              <w:t>– Tegyen lépéseket annak biztosítására, hogy az olasz hatóságok által 2023 végéig struktur</w:t>
            </w:r>
            <w:r>
              <w:rPr>
                <w:noProof/>
              </w:rPr>
              <w:t xml:space="preserve">álisan késedelmes fizető félként azonosított minisztériumok és központi közigazgatások (például a Mezőgazdasági, Igazságügyi, Védelmi, Belügyi és Infrastrukturális Minisztérium) a 30 napos határidőn belül egyénileg fizessenek; </w:t>
            </w:r>
          </w:p>
          <w:p w14:paraId="66EB02F5" w14:textId="77777777" w:rsidR="003F5418" w:rsidRDefault="002A6C25">
            <w:pPr>
              <w:pStyle w:val="P68B1DB1-Normal4"/>
              <w:spacing w:after="120"/>
              <w:rPr>
                <w:rFonts w:cs="Arial"/>
                <w:noProof/>
              </w:rPr>
            </w:pPr>
            <w:r>
              <w:rPr>
                <w:noProof/>
              </w:rPr>
              <w:t>– E minisztériumok negyedéve</w:t>
            </w:r>
            <w:r>
              <w:rPr>
                <w:noProof/>
              </w:rPr>
              <w:t>nte frissített hátralékállományának közzététele;</w:t>
            </w:r>
          </w:p>
          <w:p w14:paraId="60DD648B" w14:textId="77777777" w:rsidR="003F5418" w:rsidRDefault="002A6C25">
            <w:pPr>
              <w:pStyle w:val="P68B1DB1-Normal4"/>
              <w:spacing w:after="120"/>
              <w:rPr>
                <w:rFonts w:cs="Arial"/>
                <w:noProof/>
              </w:rPr>
            </w:pPr>
            <w:r>
              <w:rPr>
                <w:noProof/>
              </w:rPr>
              <w:t xml:space="preserve">– Adott esetben munkacsoportok megerősítése, valamint olyan munkacsoportok létrehozása, ahol még nem aktiválták őket; a munkacsoportok automatikusabb aktiválásának biztosítása a strukturálisan késői fizetők esetében. </w:t>
            </w:r>
          </w:p>
          <w:p w14:paraId="286705C9" w14:textId="4930E13E" w:rsidR="003F5418" w:rsidRDefault="002A6C25">
            <w:pPr>
              <w:pStyle w:val="P68B1DB1-Normal4"/>
              <w:spacing w:after="120"/>
              <w:rPr>
                <w:rFonts w:cs="Arial"/>
                <w:b/>
                <w:noProof/>
              </w:rPr>
            </w:pPr>
            <w:r>
              <w:rPr>
                <w:b/>
                <w:noProof/>
              </w:rPr>
              <w:t>Helyi szinten</w:t>
            </w:r>
            <w:r w:rsidR="007554DF">
              <w:rPr>
                <w:b/>
                <w:noProof/>
              </w:rPr>
              <w:t xml:space="preserve"> </w:t>
            </w:r>
            <w:r>
              <w:rPr>
                <w:noProof/>
              </w:rPr>
              <w:t>a következő egyedi intéz</w:t>
            </w:r>
            <w:r>
              <w:rPr>
                <w:noProof/>
              </w:rPr>
              <w:t>kedéseket kell meghozni:</w:t>
            </w:r>
            <w:r>
              <w:rPr>
                <w:b/>
                <w:noProof/>
              </w:rPr>
              <w:t xml:space="preserve"> </w:t>
            </w:r>
          </w:p>
          <w:p w14:paraId="1355A8F8" w14:textId="3630DB9D" w:rsidR="003F5418" w:rsidRDefault="002A6C25">
            <w:pPr>
              <w:pStyle w:val="P68B1DB1-Normal4"/>
              <w:spacing w:after="120"/>
              <w:rPr>
                <w:rFonts w:cs="Arial"/>
                <w:noProof/>
              </w:rPr>
            </w:pPr>
            <w:r>
              <w:rPr>
                <w:noProof/>
              </w:rPr>
              <w:t xml:space="preserve">– Tegyen lépéseket annak biztosítására, hogy az olasz hatóságok által strukturálisan késedelmesen fizető félként (például Nápoly, Lecce és Salerno települések) 2023 végéig 30 napos határidőn belül fizessenek; </w:t>
            </w:r>
          </w:p>
          <w:p w14:paraId="583FE75E" w14:textId="77777777" w:rsidR="003F5418" w:rsidRDefault="002A6C25">
            <w:pPr>
              <w:pStyle w:val="P68B1DB1-Normal4"/>
              <w:spacing w:after="120"/>
              <w:rPr>
                <w:rFonts w:cs="Arial"/>
                <w:noProof/>
              </w:rPr>
            </w:pPr>
            <w:r>
              <w:rPr>
                <w:noProof/>
              </w:rPr>
              <w:t>– Az említett hatósá</w:t>
            </w:r>
            <w:r>
              <w:rPr>
                <w:noProof/>
              </w:rPr>
              <w:t>gok negyedévente frissített hátralékállományának közzététele.</w:t>
            </w:r>
          </w:p>
        </w:tc>
      </w:tr>
      <w:tr w:rsidR="003F5418" w14:paraId="6DB6E42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0483E2" w14:textId="77777777" w:rsidR="003F5418" w:rsidRDefault="002A6C25">
            <w:pPr>
              <w:pStyle w:val="P68B1DB1-Normal4"/>
              <w:jc w:val="center"/>
              <w:rPr>
                <w:rFonts w:cs="Arial"/>
                <w:noProof/>
              </w:rPr>
            </w:pPr>
            <w:r>
              <w:rPr>
                <w:noProof/>
              </w:rPr>
              <w:t>M1C1–72ter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44C51"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0A9C0"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ECFAEC" w14:textId="77777777" w:rsidR="003F5418" w:rsidRDefault="002A6C25">
            <w:pPr>
              <w:pStyle w:val="P68B1DB1-Normal4"/>
              <w:jc w:val="center"/>
              <w:rPr>
                <w:rFonts w:cs="Arial"/>
                <w:noProof/>
              </w:rPr>
            </w:pPr>
            <w:r>
              <w:rPr>
                <w:noProof/>
              </w:rPr>
              <w:t>A késedelmes kifizetésekkel foglalkozó emberi erőforrások növelése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31736" w14:textId="77777777" w:rsidR="003F5418" w:rsidRDefault="002A6C25">
            <w:pPr>
              <w:pStyle w:val="P68B1DB1-Normal4"/>
              <w:jc w:val="center"/>
              <w:rPr>
                <w:rFonts w:cs="Arial"/>
                <w:noProof/>
              </w:rPr>
            </w:pPr>
            <w:r>
              <w:rPr>
                <w:noProof/>
              </w:rPr>
              <w:t xml:space="preserve">A késedelmes </w:t>
            </w:r>
            <w:r>
              <w:rPr>
                <w:noProof/>
              </w:rPr>
              <w:t>fizetésekkel foglalkozó emberi erőforrások növelését célzó jogszabályok hatálybalépését jelző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7E468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4E065"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014861"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4261DF"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5712"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603B7" w14:textId="0B65E6BD" w:rsidR="003F5418" w:rsidRDefault="002A6C25">
            <w:pPr>
              <w:pStyle w:val="P68B1DB1-Normal4"/>
              <w:spacing w:after="120"/>
              <w:rPr>
                <w:rFonts w:cs="Arial"/>
                <w:noProof/>
              </w:rPr>
            </w:pPr>
            <w:r>
              <w:rPr>
                <w:noProof/>
              </w:rPr>
              <w:t>A kifizetésekkel foglalkozó emberi erőforrások növelését előíró jogi aktusok hatálybalépése a következő területeken:</w:t>
            </w:r>
          </w:p>
          <w:p w14:paraId="1AA94379" w14:textId="77777777" w:rsidR="003F5418" w:rsidRDefault="002A6C25">
            <w:pPr>
              <w:pStyle w:val="P68B1DB1-Normal4"/>
              <w:spacing w:after="120"/>
              <w:rPr>
                <w:rFonts w:cs="Arial"/>
                <w:noProof/>
              </w:rPr>
            </w:pPr>
            <w:r>
              <w:rPr>
                <w:noProof/>
              </w:rPr>
              <w:t>Miniszt</w:t>
            </w:r>
            <w:r>
              <w:rPr>
                <w:noProof/>
              </w:rPr>
              <w:t>ériumok és központi közigazgatások, az érintett központi közigazgatás sajátos szervezeti igényeitől függően;</w:t>
            </w:r>
          </w:p>
          <w:p w14:paraId="6A8E3C94" w14:textId="5F5185D3" w:rsidR="003F5418" w:rsidRDefault="002A6C25">
            <w:pPr>
              <w:pStyle w:val="P68B1DB1-Normal4"/>
              <w:spacing w:after="120"/>
              <w:rPr>
                <w:rFonts w:cs="Arial"/>
                <w:noProof/>
              </w:rPr>
            </w:pPr>
            <w:r>
              <w:rPr>
                <w:noProof/>
              </w:rPr>
              <w:t>– helyi közigazgatás, az érintett helyi közigazgatás sajátos szervezeti igényeitől függően.</w:t>
            </w:r>
          </w:p>
        </w:tc>
      </w:tr>
      <w:tr w:rsidR="003F5418" w14:paraId="4873FA7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5A866E" w14:textId="77777777" w:rsidR="003F5418" w:rsidRDefault="002A6C25">
            <w:pPr>
              <w:pStyle w:val="P68B1DB1-Normal4"/>
              <w:jc w:val="center"/>
              <w:rPr>
                <w:rFonts w:cs="Arial"/>
                <w:noProof/>
              </w:rPr>
            </w:pPr>
            <w:r>
              <w:rPr>
                <w:noProof/>
              </w:rPr>
              <w:t>M1C1–72quater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E3E587" w14:textId="77777777" w:rsidR="003F5418" w:rsidRDefault="002A6C25">
            <w:pPr>
              <w:pStyle w:val="P68B1DB1-Normal4"/>
              <w:jc w:val="center"/>
              <w:rPr>
                <w:rFonts w:cs="Arial"/>
                <w:noProof/>
              </w:rPr>
            </w:pPr>
            <w:r>
              <w:rPr>
                <w:noProof/>
              </w:rPr>
              <w:t xml:space="preserve">Reform: A közigazgatási és egészségügyi </w:t>
            </w:r>
            <w:r>
              <w:rPr>
                <w:noProof/>
              </w:rPr>
              <w:t>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E9556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7DC600" w14:textId="77777777" w:rsidR="003F5418" w:rsidRDefault="002A6C25">
            <w:pPr>
              <w:pStyle w:val="P68B1DB1-Normal4"/>
              <w:rPr>
                <w:rFonts w:cs="Arial"/>
                <w:noProof/>
              </w:rPr>
            </w:pPr>
            <w:r>
              <w:rPr>
                <w:noProof/>
              </w:rPr>
              <w:t>Harmadik felekre történő engedményezés bevezetése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21E4B0" w14:textId="77777777" w:rsidR="003F5418" w:rsidRDefault="002A6C25">
            <w:pPr>
              <w:pStyle w:val="P68B1DB1-Normal4"/>
              <w:jc w:val="center"/>
              <w:rPr>
                <w:rFonts w:cs="Arial"/>
                <w:noProof/>
              </w:rPr>
            </w:pPr>
            <w:r>
              <w:rPr>
                <w:noProof/>
              </w:rPr>
              <w:t>Az elsődleges jog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F02FD"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326F9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EFB8DE"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93DB4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07A07"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6637B6" w14:textId="5587CD16" w:rsidR="003F5418" w:rsidRDefault="002A6C25">
            <w:pPr>
              <w:pStyle w:val="P68B1DB1-Normal4"/>
              <w:spacing w:after="120"/>
              <w:rPr>
                <w:rFonts w:cs="Arial"/>
                <w:noProof/>
              </w:rPr>
            </w:pPr>
            <w:r>
              <w:rPr>
                <w:noProof/>
              </w:rPr>
              <w:t xml:space="preserve">Olyan jogszabály hatálybalépése, amely olyan </w:t>
            </w:r>
            <w:r>
              <w:rPr>
                <w:noProof/>
              </w:rPr>
              <w:t>rendelkezéseket vezet be, amelyek lehetővé teszik, hogy a közigazgatási szervek 30 napos hallgatása vagy tétlensége után harmadik felekre engedményezzék a hiteleket</w:t>
            </w:r>
          </w:p>
        </w:tc>
      </w:tr>
      <w:tr w:rsidR="003F5418" w14:paraId="594A617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B72CE" w14:textId="77777777" w:rsidR="003F5418" w:rsidRDefault="002A6C25">
            <w:pPr>
              <w:pStyle w:val="P68B1DB1-Normal4"/>
              <w:jc w:val="center"/>
              <w:rPr>
                <w:rFonts w:cs="Arial"/>
                <w:noProof/>
              </w:rPr>
            </w:pPr>
            <w:bookmarkStart w:id="4" w:name="_Hlk160473292"/>
            <w:r>
              <w:rPr>
                <w:noProof/>
              </w:rPr>
              <w:t>M1C1–72 quinquies</w:t>
            </w:r>
            <w:bookmarkEnd w:id="4"/>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5013B0" w14:textId="77777777" w:rsidR="003F5418" w:rsidRDefault="002A6C25">
            <w:pPr>
              <w:pStyle w:val="P68B1DB1-Normal4"/>
              <w:jc w:val="center"/>
              <w:rPr>
                <w:rFonts w:cs="Arial"/>
                <w:noProof/>
              </w:rPr>
            </w:pPr>
            <w:bookmarkStart w:id="5" w:name="_Hlk160473280"/>
            <w:r>
              <w:rPr>
                <w:noProof/>
              </w:rPr>
              <w:t xml:space="preserve">Reform: A közigazgatási és egészségügyi hatóságok késedelmes </w:t>
            </w:r>
            <w:r>
              <w:rPr>
                <w:noProof/>
              </w:rPr>
              <w:t>kifizetéseinek csökkentése</w:t>
            </w:r>
            <w:bookmarkEnd w:id="5"/>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03263"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9C594" w14:textId="55D3B23D" w:rsidR="003F5418" w:rsidRDefault="002A6C25">
            <w:pPr>
              <w:pStyle w:val="P68B1DB1-Normal4"/>
              <w:jc w:val="center"/>
              <w:rPr>
                <w:rFonts w:cs="Arial"/>
                <w:noProof/>
              </w:rPr>
            </w:pPr>
            <w:r>
              <w:rPr>
                <w:noProof/>
              </w:rPr>
              <w:t>Kifizetések teljesítése az InIT rendszerben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CD686C" w14:textId="3569A18E" w:rsidR="003F5418" w:rsidRDefault="002A6C25">
            <w:pPr>
              <w:pStyle w:val="P68B1DB1-Normal4"/>
              <w:jc w:val="center"/>
              <w:rPr>
                <w:rFonts w:cs="Arial"/>
                <w:noProof/>
              </w:rPr>
            </w:pPr>
            <w:r>
              <w:rPr>
                <w:noProof/>
              </w:rPr>
              <w:t>Az INIT rendszer működőképes a kifizetések végrehajtására.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2BF724"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B4D5F4"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0BC1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DB9DF"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9053DC" w14:textId="3067A4CC"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EE136F" w14:textId="1329E248" w:rsidR="003F5418" w:rsidRDefault="002A6C25">
            <w:pPr>
              <w:pStyle w:val="P68B1DB1-Normal4"/>
              <w:spacing w:after="120"/>
              <w:rPr>
                <w:rFonts w:cs="Arial"/>
                <w:noProof/>
              </w:rPr>
            </w:pPr>
            <w:r>
              <w:rPr>
                <w:noProof/>
              </w:rPr>
              <w:t>Az InIT-rendszer teljes mértékben működőképes, és a következő képességekkel rendelkezik:</w:t>
            </w:r>
          </w:p>
          <w:p w14:paraId="136C748D" w14:textId="77777777" w:rsidR="003F5418" w:rsidRDefault="002A6C25">
            <w:pPr>
              <w:pStyle w:val="P68B1DB1-Normal4"/>
              <w:spacing w:after="120"/>
              <w:rPr>
                <w:rFonts w:cs="Arial"/>
                <w:noProof/>
              </w:rPr>
            </w:pPr>
            <w:r>
              <w:rPr>
                <w:noProof/>
              </w:rPr>
              <w:t>Lehetővé teszi a fizetések teljesítését anélkül, hogy a kifizetések feldolgozása során a régi platformokkal való interoperabilitásra támaszkodna.</w:t>
            </w:r>
          </w:p>
          <w:p w14:paraId="42BFF5ED" w14:textId="475950E4" w:rsidR="003F5418" w:rsidRDefault="002A6C25">
            <w:pPr>
              <w:pStyle w:val="P68B1DB1-Normal4"/>
              <w:spacing w:after="120"/>
              <w:rPr>
                <w:rFonts w:cs="Arial"/>
                <w:noProof/>
              </w:rPr>
            </w:pPr>
            <w:r>
              <w:rPr>
                <w:noProof/>
              </w:rPr>
              <w:t>–A minisztériumok és az olasz Számvevőszék ellenőrzési és ellenőrzési tevékenységeinek támogatásához biztosítj</w:t>
            </w:r>
            <w:r>
              <w:rPr>
                <w:noProof/>
              </w:rPr>
              <w:t>a a kifizetési adatok rendelkezésre állását, beleértve a késedelmeket is.</w:t>
            </w:r>
          </w:p>
        </w:tc>
      </w:tr>
      <w:tr w:rsidR="003F5418" w14:paraId="7FA6EBE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8AAA77" w14:textId="77777777" w:rsidR="003F5418" w:rsidRDefault="002A6C25">
            <w:pPr>
              <w:pStyle w:val="P68B1DB1-Normal4"/>
              <w:jc w:val="center"/>
              <w:rPr>
                <w:rFonts w:cs="Arial"/>
                <w:noProof/>
              </w:rPr>
            </w:pPr>
            <w:r>
              <w:rPr>
                <w:noProof/>
              </w:rPr>
              <w:t>M1C1–72szixek</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BA5799"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BF3D2F"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AFB2F" w14:textId="77777777" w:rsidR="003F5418" w:rsidRDefault="002A6C25">
            <w:pPr>
              <w:pStyle w:val="P68B1DB1-Normal4"/>
              <w:jc w:val="center"/>
              <w:rPr>
                <w:rFonts w:cs="Arial"/>
                <w:noProof/>
              </w:rPr>
            </w:pPr>
            <w:r>
              <w:rPr>
                <w:noProof/>
              </w:rPr>
              <w:t xml:space="preserve">Horizontális intézkedések a kifizető ügynökség vállalkozásoknak </w:t>
            </w:r>
            <w:r>
              <w:rPr>
                <w:noProof/>
              </w:rPr>
              <w:t>történő késedelmes kifizetéseinek csökkentésére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A2FC03" w14:textId="77777777" w:rsidR="003F5418" w:rsidRDefault="002A6C25">
            <w:pPr>
              <w:pStyle w:val="P68B1DB1-Normal4"/>
              <w:jc w:val="center"/>
              <w:rPr>
                <w:rFonts w:cs="Arial"/>
                <w:noProof/>
              </w:rPr>
            </w:pPr>
            <w:r>
              <w:rPr>
                <w:noProof/>
              </w:rPr>
              <w:t>A platform működik</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AAD2EF"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AFE7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B17E7D"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E5807" w14:textId="2AABE2F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3E8FC" w14:textId="1F2EDE05"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5DE516" w14:textId="77777777" w:rsidR="003F5418" w:rsidRDefault="002A6C25">
            <w:pPr>
              <w:pStyle w:val="P68B1DB1-Normal4"/>
              <w:spacing w:after="120"/>
              <w:rPr>
                <w:rFonts w:cs="Arial"/>
                <w:noProof/>
              </w:rPr>
            </w:pPr>
            <w:r>
              <w:rPr>
                <w:noProof/>
              </w:rPr>
              <w:t>A kereskedelmi hitelekre vonatkozó, a hitelező társaságok és az adós közigazgatási szervek számára külön erre a célra létrehozott platformnak kell működnie. A plat</w:t>
            </w:r>
            <w:r>
              <w:rPr>
                <w:noProof/>
              </w:rPr>
              <w:t>formnak legalább a következőket kell biztosítania:</w:t>
            </w:r>
          </w:p>
          <w:p w14:paraId="6D2A5927" w14:textId="77777777" w:rsidR="003F5418" w:rsidRDefault="002A6C25">
            <w:pPr>
              <w:pStyle w:val="P68B1DB1-Normal4"/>
              <w:spacing w:after="120"/>
              <w:rPr>
                <w:rFonts w:cs="Arial"/>
                <w:noProof/>
              </w:rPr>
            </w:pPr>
            <w:r>
              <w:rPr>
                <w:noProof/>
              </w:rPr>
              <w:t>a vállalatok (hitelezők) tájékoztatása a közigazgatásnak nyújtott hitelek jogi keretéről, a hitelező társaság jogairól, a késedelmes fizetés esetén tehető jogi lépésekről, a beszállítók fizetési mechanizmu</w:t>
            </w:r>
            <w:r>
              <w:rPr>
                <w:noProof/>
              </w:rPr>
              <w:t xml:space="preserve">sának működéséről, a hitelező társaságok kapcsolattartó pontjáról. </w:t>
            </w:r>
          </w:p>
          <w:p w14:paraId="0CAB170C" w14:textId="77777777" w:rsidR="003F5418" w:rsidRDefault="002A6C25">
            <w:pPr>
              <w:pStyle w:val="P68B1DB1-Normal4"/>
              <w:spacing w:after="120"/>
              <w:rPr>
                <w:rFonts w:cs="Arial"/>
                <w:noProof/>
              </w:rPr>
            </w:pPr>
            <w:r>
              <w:rPr>
                <w:noProof/>
              </w:rPr>
              <w:t>A közigazgatási szervek (adósok) tájékoztatása a kereskedelmi tartozások kifizetésére vonatkozó jogi követelményekről, adminisztratív iránymutatás, a közigazgatás rendelkezésére álló ellen</w:t>
            </w:r>
            <w:r>
              <w:rPr>
                <w:noProof/>
              </w:rPr>
              <w:t>őrzési eszközök és a fizetési teljesítmény javítását szolgáló lehetséges bevált gyakorlatok.</w:t>
            </w:r>
          </w:p>
          <w:p w14:paraId="1A9FCDCD" w14:textId="77777777" w:rsidR="003F5418" w:rsidRDefault="002A6C25">
            <w:pPr>
              <w:pStyle w:val="P68B1DB1-Normal4"/>
              <w:spacing w:after="120"/>
              <w:rPr>
                <w:rFonts w:cs="Arial"/>
                <w:noProof/>
              </w:rPr>
            </w:pPr>
            <w:r>
              <w:rPr>
                <w:noProof/>
              </w:rPr>
              <w:t>–Valamennyi minisztériumi honlapnak rendelkeznie kell e platformra mutató linkkel.</w:t>
            </w:r>
          </w:p>
        </w:tc>
      </w:tr>
      <w:tr w:rsidR="003F5418" w14:paraId="6BB55D8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B563EC" w14:textId="77777777" w:rsidR="003F5418" w:rsidRDefault="002A6C25">
            <w:pPr>
              <w:pStyle w:val="P68B1DB1-Normal4"/>
              <w:jc w:val="center"/>
              <w:rPr>
                <w:rFonts w:cs="Arial"/>
                <w:noProof/>
              </w:rPr>
            </w:pPr>
            <w:r>
              <w:rPr>
                <w:noProof/>
              </w:rPr>
              <w:t>M1C1–73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C72E92"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528F14"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7A54B" w14:textId="77777777" w:rsidR="003F5418" w:rsidRDefault="002A6C25">
            <w:pPr>
              <w:pStyle w:val="P68B1DB1-Normal4"/>
              <w:jc w:val="center"/>
              <w:rPr>
                <w:rFonts w:cs="Arial"/>
                <w:noProof/>
              </w:rPr>
            </w:pPr>
            <w:r>
              <w:rPr>
                <w:noProof/>
              </w:rPr>
              <w:t xml:space="preserve">A közbeszerzési </w:t>
            </w:r>
            <w:r>
              <w:rPr>
                <w:noProof/>
              </w:rPr>
              <w:t>törvénykönyv reformjának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9CFC79" w14:textId="77777777" w:rsidR="003F5418" w:rsidRDefault="002A6C25">
            <w:pPr>
              <w:pStyle w:val="P68B1DB1-Normal4"/>
              <w:jc w:val="center"/>
              <w:rPr>
                <w:rFonts w:cs="Arial"/>
                <w:noProof/>
              </w:rPr>
            </w:pPr>
            <w:r>
              <w:rPr>
                <w:noProof/>
              </w:rPr>
              <w:t>A törvény azon rendelkezése, amely a közbeszerzési törvénykönyv reformjáról szóló hatáskör-átruházási törvény valamennyi rendelkezésének végrehajtására vonatkozó törvényerejű rendelet hatálybalépését jelzi.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E90B7"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527F64" w14:textId="77777777" w:rsidR="003F5418" w:rsidRDefault="002A6C25">
            <w:pPr>
              <w:pStyle w:val="P68B1DB1-Normal4"/>
              <w:jc w:val="center"/>
              <w:rPr>
                <w:rFonts w:cs="Arial"/>
                <w:noProof/>
              </w:rPr>
            </w:pPr>
            <w:r>
              <w:rPr>
                <w:noProof/>
              </w:rPr>
              <w:t>NIN</w:t>
            </w:r>
            <w:r>
              <w:rPr>
                <w:noProof/>
              </w:rPr>
              <w:t>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EE0109"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AA8AB8"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985D29"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A96BC" w14:textId="77777777" w:rsidR="003F5418" w:rsidRDefault="002A6C25">
            <w:pPr>
              <w:pStyle w:val="P68B1DB1-Normal4"/>
              <w:spacing w:before="100" w:beforeAutospacing="1" w:after="120"/>
              <w:rPr>
                <w:rFonts w:cs="Arial"/>
                <w:noProof/>
              </w:rPr>
            </w:pPr>
            <w:r>
              <w:rPr>
                <w:noProof/>
              </w:rPr>
              <w:t>A közbeszerzési törvénykönyv reformjára vonatkozó hatáskör-átruházási törvény valamennyi rendelkezésének végrehajtásáról szóló törvényerejű rendelet hatálybalépése.</w:t>
            </w:r>
          </w:p>
        </w:tc>
      </w:tr>
      <w:tr w:rsidR="003F5418" w14:paraId="0A6D205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D2A6FE" w14:textId="77777777" w:rsidR="003F5418" w:rsidRDefault="002A6C25">
            <w:pPr>
              <w:pStyle w:val="P68B1DB1-Normal4"/>
              <w:jc w:val="center"/>
              <w:rPr>
                <w:rFonts w:cs="Arial"/>
                <w:noProof/>
              </w:rPr>
            </w:pPr>
            <w:r>
              <w:rPr>
                <w:noProof/>
              </w:rPr>
              <w:t>M1C1–74 INTÉZKEDÉS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D1DBD"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AAFBB"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446B22" w14:textId="77777777" w:rsidR="003F5418" w:rsidRDefault="002A6C25">
            <w:pPr>
              <w:pStyle w:val="P68B1DB1-Normal4"/>
              <w:jc w:val="center"/>
              <w:rPr>
                <w:rFonts w:cs="Arial"/>
                <w:noProof/>
              </w:rPr>
            </w:pPr>
            <w:r>
              <w:rPr>
                <w:noProof/>
              </w:rPr>
              <w:t>A közbeszerzési kódex egyszerűsítését célzó reformhoz szükséges valamennyi végrehajtási intézkedés és másodlagos jogszabály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EB4CA" w14:textId="77777777" w:rsidR="003F5418" w:rsidRDefault="002A6C25">
            <w:pPr>
              <w:pStyle w:val="P68B1DB1-Normal4"/>
              <w:jc w:val="center"/>
              <w:rPr>
                <w:rFonts w:cs="Arial"/>
                <w:noProof/>
              </w:rPr>
            </w:pPr>
            <w:r>
              <w:rPr>
                <w:noProof/>
              </w:rPr>
              <w:t>Az összes szükséges végrehajtási intézkedés és másodlagos jog hatálybalépése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FAA77D"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F834DD"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10BC94"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1F5FBE"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A8DE1C"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5D82BB" w14:textId="77777777" w:rsidR="003F5418" w:rsidRDefault="002A6C25">
            <w:pPr>
              <w:pStyle w:val="P68B1DB1-Normal4"/>
              <w:spacing w:before="100" w:beforeAutospacing="1" w:after="120"/>
              <w:rPr>
                <w:rFonts w:cs="Arial"/>
                <w:noProof/>
              </w:rPr>
            </w:pPr>
            <w:r>
              <w:rPr>
                <w:noProof/>
              </w:rPr>
              <w:t>A közbeszerzés</w:t>
            </w:r>
            <w:r>
              <w:rPr>
                <w:noProof/>
              </w:rPr>
              <w:t>i rendszer reformjához/egyszerűsítéséhez szükséges valamennyi végrehajtási intézkedés és másodlagos jog hatálybalépése (amely szintén a közbeszerzési törvénykönyv felülvizsgálatából ered).</w:t>
            </w:r>
          </w:p>
        </w:tc>
      </w:tr>
      <w:tr w:rsidR="003F5418" w14:paraId="24687CB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F8739" w14:textId="77777777" w:rsidR="003F5418" w:rsidRDefault="002A6C25">
            <w:pPr>
              <w:pStyle w:val="P68B1DB1-Normal4"/>
              <w:jc w:val="center"/>
              <w:rPr>
                <w:rFonts w:cs="Arial"/>
                <w:noProof/>
              </w:rPr>
            </w:pPr>
            <w:r>
              <w:rPr>
                <w:noProof/>
              </w:rPr>
              <w:t>M1C1–73a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35DB7"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EFE4F"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F0BD1" w14:textId="77777777" w:rsidR="003F5418" w:rsidRDefault="002A6C25">
            <w:pPr>
              <w:pStyle w:val="P68B1DB1-Normal4"/>
              <w:spacing w:before="100" w:beforeAutospacing="1" w:after="120"/>
              <w:jc w:val="center"/>
              <w:rPr>
                <w:rFonts w:cs="Arial"/>
                <w:noProof/>
              </w:rPr>
            </w:pPr>
            <w:r>
              <w:rPr>
                <w:noProof/>
              </w:rPr>
              <w:t>Az ajánlatkérő szervek minősítési rendszerének végrehajtására vonatkozó iránymutatások elfogadása.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053926" w14:textId="77777777" w:rsidR="003F5418" w:rsidRDefault="002A6C25">
            <w:pPr>
              <w:pStyle w:val="P68B1DB1-Normal4"/>
              <w:spacing w:before="100" w:beforeAutospacing="1" w:after="120"/>
              <w:jc w:val="center"/>
              <w:rPr>
                <w:rFonts w:cs="Arial"/>
                <w:noProof/>
              </w:rPr>
            </w:pPr>
            <w:r>
              <w:rPr>
                <w:noProof/>
              </w:rPr>
              <w:t>Az ajánlatkérő szervek közbeszerzési kódexe minősítési rendszerének végrehajtására vonatkozó iránymutatások elfogadása.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6E5A1E"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41FA5"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EC240"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EEBC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1781DD"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DD606" w14:textId="77777777" w:rsidR="003F5418" w:rsidRDefault="002A6C25">
            <w:pPr>
              <w:pStyle w:val="P68B1DB1-Normal4"/>
              <w:spacing w:before="100" w:beforeAutospacing="1" w:after="120"/>
              <w:rPr>
                <w:rFonts w:cs="Arial"/>
                <w:noProof/>
              </w:rPr>
            </w:pPr>
            <w:r>
              <w:rPr>
                <w:noProof/>
              </w:rPr>
              <w:t>Az ANAC-kal folytatott konzultációt követően körlevél elfogadása, amely iránymutatásokat tartalmaz a jelenleg alkalmazandó szabályok rendszerezéséhez, valamint annak kifejtéséhez, hogy a küszöbérték alatti odaítélések esetében is lehetséges és tanácsos a m</w:t>
            </w:r>
            <w:r>
              <w:rPr>
                <w:noProof/>
              </w:rPr>
              <w:t>inősítés, valamint a (minősített) központi beszerző szervek alkalmazásának ösztönzése érdekében, amennyiben a minősítés nem áll rendelkezésre vagy nem lehetséges (a 36/2023. sz. felhatalmazáson alapuló törvényerejű rendelet 62. cikke (6) bekezdésének a) po</w:t>
            </w:r>
            <w:r>
              <w:rPr>
                <w:noProof/>
              </w:rPr>
              <w:t>ntja)</w:t>
            </w:r>
          </w:p>
        </w:tc>
      </w:tr>
      <w:tr w:rsidR="003F5418" w14:paraId="5A1DE00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8679B0" w14:textId="77777777" w:rsidR="003F5418" w:rsidRDefault="002A6C25">
            <w:pPr>
              <w:pStyle w:val="P68B1DB1-Normal4"/>
              <w:jc w:val="center"/>
              <w:rPr>
                <w:rFonts w:cs="Arial"/>
                <w:noProof/>
              </w:rPr>
            </w:pPr>
            <w:r>
              <w:rPr>
                <w:noProof/>
              </w:rPr>
              <w:t>M1C1–73ter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F727A8"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B94641" w14:textId="77777777" w:rsidR="003F5418" w:rsidRDefault="002A6C25">
            <w:pPr>
              <w:pStyle w:val="P68B1DB1-Normal4"/>
              <w:spacing w:before="100" w:beforeAutospacing="1" w:after="120"/>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C8E682" w14:textId="77777777" w:rsidR="003F5418" w:rsidRDefault="002A6C25">
            <w:pPr>
              <w:pStyle w:val="P68B1DB1-Normal4"/>
              <w:spacing w:before="100" w:beforeAutospacing="1" w:after="120"/>
              <w:jc w:val="center"/>
              <w:rPr>
                <w:rFonts w:cs="Arial"/>
                <w:noProof/>
              </w:rPr>
            </w:pPr>
            <w:r>
              <w:rPr>
                <w:noProof/>
              </w:rPr>
              <w:t>Az ajánlatkérő szervek képesítésére és professzionalizálására irányuló ösztönzők.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FDA39" w14:textId="77777777" w:rsidR="003F5418" w:rsidRDefault="002A6C25">
            <w:pPr>
              <w:pStyle w:val="P68B1DB1-Normal4"/>
              <w:spacing w:before="100" w:beforeAutospacing="1" w:after="120"/>
              <w:jc w:val="center"/>
              <w:rPr>
                <w:rFonts w:cs="Arial"/>
                <w:noProof/>
              </w:rPr>
            </w:pPr>
            <w:r>
              <w:rPr>
                <w:noProof/>
              </w:rPr>
              <w:t xml:space="preserve">A jogszabályok hatálybalépését jelző végrehajtási intézkedések és jogszabályi rendelkezések </w:t>
            </w:r>
            <w:r>
              <w:rPr>
                <w:noProof/>
              </w:rPr>
              <w:t>elfogadása.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A3A41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DB931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A7FB01"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54109"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ACD0C8"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D272AD" w14:textId="77777777" w:rsidR="003F5418" w:rsidRDefault="002A6C25">
            <w:pPr>
              <w:pStyle w:val="P68B1DB1-Normal4"/>
              <w:spacing w:before="100" w:beforeAutospacing="1" w:after="120"/>
              <w:rPr>
                <w:rFonts w:cs="Arial"/>
                <w:noProof/>
              </w:rPr>
            </w:pPr>
            <w:r>
              <w:rPr>
                <w:noProof/>
              </w:rPr>
              <w:t xml:space="preserve">A közbeszerzési törvénykönyv korábbi 221. cikke szerinti, az ANAC-kal folytatott konzultációt követően a Cabina di Regia értékelése a közbeszerzési kódex végrehajtásának az alábbiakra gyakorolt hatásáról: </w:t>
            </w:r>
          </w:p>
          <w:p w14:paraId="1A8657E0" w14:textId="77777777" w:rsidR="003F5418" w:rsidRDefault="002A6C25">
            <w:pPr>
              <w:pStyle w:val="P68B1DB1-ListParagraph5"/>
              <w:numPr>
                <w:ilvl w:val="0"/>
                <w:numId w:val="129"/>
              </w:numPr>
              <w:spacing w:before="100" w:beforeAutospacing="1"/>
              <w:jc w:val="left"/>
              <w:rPr>
                <w:rFonts w:cs="Arial"/>
                <w:noProof/>
              </w:rPr>
            </w:pPr>
            <w:r>
              <w:rPr>
                <w:noProof/>
              </w:rPr>
              <w:t>a minősített</w:t>
            </w:r>
            <w:r>
              <w:rPr>
                <w:noProof/>
              </w:rPr>
              <w:t xml:space="preserve"> ajánlatkérő szervek és központi beszerző szervek száma; </w:t>
            </w:r>
          </w:p>
          <w:p w14:paraId="2EE5FE20" w14:textId="77777777" w:rsidR="003F5418" w:rsidRDefault="002A6C25">
            <w:pPr>
              <w:pStyle w:val="P68B1DB1-ListParagraph5"/>
              <w:numPr>
                <w:ilvl w:val="0"/>
                <w:numId w:val="129"/>
              </w:numPr>
              <w:spacing w:before="100" w:beforeAutospacing="1"/>
              <w:jc w:val="left"/>
              <w:rPr>
                <w:rFonts w:cs="Arial"/>
                <w:noProof/>
              </w:rPr>
            </w:pPr>
            <w:r>
              <w:rPr>
                <w:noProof/>
              </w:rPr>
              <w:t xml:space="preserve">a saját nevükben és a nem minősített szervezetek nevében általuk kezelt közbeszerzési szerződések száma és értéke; </w:t>
            </w:r>
          </w:p>
          <w:p w14:paraId="4852CB9F" w14:textId="77777777" w:rsidR="003F5418" w:rsidRDefault="002A6C25">
            <w:pPr>
              <w:pStyle w:val="P68B1DB1-ListParagraph5"/>
              <w:numPr>
                <w:ilvl w:val="0"/>
                <w:numId w:val="129"/>
              </w:numPr>
              <w:spacing w:before="100" w:beforeAutospacing="1"/>
              <w:jc w:val="left"/>
              <w:rPr>
                <w:rFonts w:cs="Arial"/>
                <w:noProof/>
              </w:rPr>
            </w:pPr>
            <w:r>
              <w:rPr>
                <w:noProof/>
              </w:rPr>
              <w:t>a rendszer hatása a szerződések odaítélésének időzítésére és a közbeszerzési szerz</w:t>
            </w:r>
            <w:r>
              <w:rPr>
                <w:noProof/>
              </w:rPr>
              <w:t xml:space="preserve">ődések teljesítésére.  </w:t>
            </w:r>
          </w:p>
          <w:p w14:paraId="2B5A5CDE" w14:textId="77777777" w:rsidR="003F5418" w:rsidRDefault="002A6C25">
            <w:pPr>
              <w:pStyle w:val="P68B1DB1-Normal4"/>
              <w:spacing w:before="100" w:beforeAutospacing="1" w:after="120"/>
              <w:rPr>
                <w:rFonts w:cs="Arial"/>
                <w:noProof/>
              </w:rPr>
            </w:pPr>
            <w:r>
              <w:rPr>
                <w:noProof/>
              </w:rPr>
              <w:t xml:space="preserve">A nem minősített szervezetek kapacitásépítési tevékenységekben való részvételének feltérképezése eredményeinek közzététele. </w:t>
            </w:r>
          </w:p>
          <w:p w14:paraId="44A97CC7" w14:textId="77777777" w:rsidR="003F5418" w:rsidRDefault="002A6C25">
            <w:pPr>
              <w:pStyle w:val="P68B1DB1-Normal4"/>
              <w:spacing w:before="100" w:beforeAutospacing="1" w:after="120"/>
              <w:rPr>
                <w:rFonts w:cs="Arial"/>
                <w:noProof/>
              </w:rPr>
            </w:pPr>
            <w:r>
              <w:rPr>
                <w:noProof/>
              </w:rPr>
              <w:t>Az ANAC-val folytatott konzultációt követően további kezdeményezéseket kell elfogadni, amelyek célja az ajá</w:t>
            </w:r>
            <w:r>
              <w:rPr>
                <w:noProof/>
              </w:rPr>
              <w:t>nlatkérő szervek minősítésének ösztönzése, a széttöredezettség csökkentése és a nem minősített szervezetek professzionalizálása.</w:t>
            </w:r>
          </w:p>
          <w:p w14:paraId="3524A6C0" w14:textId="77777777" w:rsidR="003F5418" w:rsidRDefault="002A6C25">
            <w:pPr>
              <w:pStyle w:val="P68B1DB1-Normal4"/>
              <w:spacing w:before="100" w:beforeAutospacing="1" w:after="120"/>
              <w:rPr>
                <w:rFonts w:cs="Arial"/>
                <w:noProof/>
              </w:rPr>
            </w:pPr>
            <w:r>
              <w:rPr>
                <w:noProof/>
              </w:rPr>
              <w:t>Amennyiben a központosítás nem áll rendelkezésre vagy nem megvalósítható, további eszközöket kell elfogadni a helyi vagy nem mi</w:t>
            </w:r>
            <w:r>
              <w:rPr>
                <w:noProof/>
              </w:rPr>
              <w:t>nősített ajánlatkérő szervek technikai/adminisztratív támogatására, és azoknak működőképesnek kell lenniük.</w:t>
            </w:r>
          </w:p>
        </w:tc>
      </w:tr>
      <w:tr w:rsidR="003F5418" w14:paraId="25D0EEB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2842EF" w14:textId="77777777" w:rsidR="003F5418" w:rsidRDefault="002A6C25">
            <w:pPr>
              <w:pStyle w:val="P68B1DB1-Normal4"/>
              <w:jc w:val="center"/>
              <w:rPr>
                <w:rFonts w:cs="Arial"/>
                <w:noProof/>
              </w:rPr>
            </w:pPr>
            <w:r>
              <w:rPr>
                <w:noProof/>
              </w:rPr>
              <w:t>M1C1–73quater</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B538"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E122DA"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02C243" w14:textId="77777777" w:rsidR="003F5418" w:rsidRDefault="002A6C25">
            <w:pPr>
              <w:pStyle w:val="P68B1DB1-Normal4"/>
              <w:spacing w:before="100" w:beforeAutospacing="1" w:after="120"/>
              <w:jc w:val="center"/>
              <w:rPr>
                <w:rFonts w:cs="Arial"/>
                <w:noProof/>
              </w:rPr>
            </w:pPr>
            <w:r>
              <w:rPr>
                <w:noProof/>
              </w:rPr>
              <w:t xml:space="preserve">Az uniós értékhatár alatti közbeszerzésekre vonatkozó iránymutatások </w:t>
            </w:r>
            <w:r>
              <w:rPr>
                <w:noProof/>
              </w:rPr>
              <w:t>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35F9A" w14:textId="77777777" w:rsidR="003F5418" w:rsidRDefault="002A6C25">
            <w:pPr>
              <w:pStyle w:val="P68B1DB1-Normal4"/>
              <w:spacing w:before="100" w:beforeAutospacing="1" w:after="120"/>
              <w:jc w:val="center"/>
              <w:rPr>
                <w:rFonts w:cs="Arial"/>
                <w:noProof/>
              </w:rPr>
            </w:pPr>
            <w:r>
              <w:rPr>
                <w:noProof/>
              </w:rPr>
              <w:t>Az uniós értékhatár alatti közbeszerzésekre vonatkozó iránymutatások hatálybalépése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D779EC"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6D50E9"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5F65B"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88B04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DEE4D1"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CDDAC" w14:textId="77777777" w:rsidR="003F5418" w:rsidRDefault="002A6C25">
            <w:pPr>
              <w:pStyle w:val="P68B1DB1-Normal4"/>
              <w:spacing w:before="100" w:beforeAutospacing="1" w:after="120"/>
              <w:rPr>
                <w:rFonts w:cs="Arial"/>
                <w:noProof/>
              </w:rPr>
            </w:pPr>
            <w:r>
              <w:rPr>
                <w:noProof/>
              </w:rPr>
              <w:t>Az uniós értékhatár alatti közbeszerzésekről szóló körlevél elfogadása és közzététele az Olasz Hivatalos Lapban. A körlevélben egyé</w:t>
            </w:r>
            <w:r>
              <w:rPr>
                <w:noProof/>
              </w:rPr>
              <w:t>rtelművé kell tenni, hogy az ajánlatkérő szervek nyílt és meghívásos eljárásokat alkalmazhatnak az uniós értékhatár alatti közbeszerzések esetében.</w:t>
            </w:r>
          </w:p>
        </w:tc>
      </w:tr>
      <w:tr w:rsidR="003F5418" w14:paraId="199F234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62F484" w14:textId="77777777" w:rsidR="003F5418" w:rsidRDefault="002A6C25">
            <w:pPr>
              <w:pStyle w:val="P68B1DB1-Normal4"/>
              <w:jc w:val="center"/>
              <w:rPr>
                <w:rFonts w:cs="Arial"/>
                <w:noProof/>
              </w:rPr>
            </w:pPr>
            <w:r>
              <w:rPr>
                <w:noProof/>
              </w:rPr>
              <w:t>M1C1–73quinquies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4B4677"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B2D41"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63F159" w14:textId="77777777" w:rsidR="003F5418" w:rsidRDefault="002A6C25">
            <w:pPr>
              <w:pStyle w:val="P68B1DB1-Normal4"/>
              <w:spacing w:before="100" w:beforeAutospacing="1" w:after="120"/>
              <w:jc w:val="center"/>
              <w:rPr>
                <w:rFonts w:cs="Arial"/>
                <w:noProof/>
              </w:rPr>
            </w:pPr>
            <w:r>
              <w:rPr>
                <w:noProof/>
              </w:rPr>
              <w:t xml:space="preserve">A projektfinanszírozásra vonatkozó </w:t>
            </w:r>
            <w:r>
              <w:rPr>
                <w:noProof/>
              </w:rPr>
              <w:t>új jogi rendelkezések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2EE243" w14:textId="77777777" w:rsidR="003F5418" w:rsidRDefault="002A6C25">
            <w:pPr>
              <w:pStyle w:val="P68B1DB1-Normal4"/>
              <w:spacing w:before="100" w:beforeAutospacing="1" w:after="120"/>
              <w:jc w:val="center"/>
              <w:rPr>
                <w:rFonts w:cs="Arial"/>
                <w:noProof/>
              </w:rPr>
            </w:pPr>
            <w:r>
              <w:rPr>
                <w:noProof/>
              </w:rPr>
              <w:t>Az új jogszabályi rendelkezések hatálybalépését feltüntető törvényi rendelkezés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AAF2C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31100B"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41359C"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B283AD"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72742B"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DF53D0" w14:textId="77777777" w:rsidR="003F5418" w:rsidRDefault="002A6C25">
            <w:pPr>
              <w:pStyle w:val="P68B1DB1-Normal4"/>
              <w:spacing w:before="100" w:beforeAutospacing="1" w:after="120"/>
              <w:rPr>
                <w:rFonts w:cs="Arial"/>
                <w:noProof/>
              </w:rPr>
            </w:pPr>
            <w:r>
              <w:rPr>
                <w:noProof/>
              </w:rPr>
              <w:t>A projektfinanszírozásra vonatkozó új jogi rendelkezések hatálybalépése, amelyek célja a hatékonyság és a verseny</w:t>
            </w:r>
            <w:r>
              <w:rPr>
                <w:noProof/>
              </w:rPr>
              <w:t xml:space="preserve"> fokozása, különösen a koncessziók megtámadhatóságának növelése.</w:t>
            </w:r>
          </w:p>
        </w:tc>
      </w:tr>
      <w:tr w:rsidR="003F5418" w14:paraId="1B155E5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188CDF" w14:textId="77777777" w:rsidR="003F5418" w:rsidRDefault="002A6C25">
            <w:pPr>
              <w:pStyle w:val="P68B1DB1-Normal4"/>
              <w:jc w:val="center"/>
              <w:rPr>
                <w:rFonts w:cs="Arial"/>
                <w:noProof/>
              </w:rPr>
            </w:pPr>
            <w:r>
              <w:rPr>
                <w:noProof/>
              </w:rPr>
              <w:t>M1C1–75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0FE16"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058E1" w14:textId="640839CF"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E5CC5" w14:textId="77777777" w:rsidR="003F5418" w:rsidRDefault="002A6C25">
            <w:pPr>
              <w:pStyle w:val="P68B1DB1-Normal4"/>
              <w:jc w:val="center"/>
              <w:rPr>
                <w:rFonts w:cs="Arial"/>
                <w:noProof/>
              </w:rPr>
            </w:pPr>
            <w:r>
              <w:rPr>
                <w:noProof/>
              </w:rPr>
              <w:t>A nemzeti e-közbeszerzési rendszer teljes körű működése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99D1C6" w14:textId="77777777" w:rsidR="003F5418" w:rsidRDefault="002A6C25">
            <w:pPr>
              <w:pStyle w:val="P68B1DB1-Normal4"/>
              <w:jc w:val="center"/>
              <w:rPr>
                <w:rFonts w:cs="Arial"/>
                <w:noProof/>
              </w:rPr>
            </w:pPr>
            <w:r>
              <w:rPr>
                <w:noProof/>
              </w:rPr>
              <w:t xml:space="preserve">A megvalósíthatósági tanulmányban (1. projektfeladatként kidolgozandó) </w:t>
            </w:r>
            <w:r>
              <w:rPr>
                <w:noProof/>
              </w:rPr>
              <w:t>meghatározott funkciók rendelkezésre állása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117B75"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BA323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261605"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778C9"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518EFD"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73CD4" w14:textId="77777777" w:rsidR="003F5418" w:rsidRDefault="002A6C25">
            <w:pPr>
              <w:pStyle w:val="P68B1DB1-Normal4"/>
              <w:spacing w:before="100" w:beforeAutospacing="1" w:after="120"/>
              <w:rPr>
                <w:rFonts w:cs="Arial"/>
                <w:noProof/>
              </w:rPr>
            </w:pPr>
            <w:r>
              <w:rPr>
                <w:noProof/>
              </w:rPr>
              <w:t xml:space="preserve">A nemzeti e-közbeszerzési rendszernek működőképesnek kell lennie és teljes mértékben összhangban kell lennie az uniós közbeszerzési irányelvekkel, és magában kell foglalnia az eljárások </w:t>
            </w:r>
            <w:r>
              <w:rPr>
                <w:noProof/>
              </w:rPr>
              <w:t>teljes körű digitalizálását a szerződés teljesítéséig (intelligens közbeszerzés), interoperábilisnak kell lennie a közigazgatás irányítási rendszereivel, tartalmaznia kell a termelői szervezet digitális habilitációját, az aukciókat, a tendenciák észlelésér</w:t>
            </w:r>
            <w:r>
              <w:rPr>
                <w:noProof/>
              </w:rPr>
              <w:t>e szolgáló gépi tanulást, a csevegőrobotokkal rendelkező CRM-eket, a digitális szerepvállalást és a státuszláncot.</w:t>
            </w:r>
          </w:p>
        </w:tc>
      </w:tr>
      <w:tr w:rsidR="003F5418" w14:paraId="5419180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D11AD5" w14:textId="77777777" w:rsidR="003F5418" w:rsidRDefault="002A6C25">
            <w:pPr>
              <w:pStyle w:val="P68B1DB1-Normal4"/>
              <w:jc w:val="center"/>
              <w:rPr>
                <w:rFonts w:cs="Arial"/>
                <w:noProof/>
              </w:rPr>
            </w:pPr>
            <w:r>
              <w:rPr>
                <w:noProof/>
              </w:rPr>
              <w:t>M1C1–75a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F0E14" w14:textId="77777777" w:rsidR="003F5418" w:rsidRDefault="002A6C25">
            <w:pPr>
              <w:pStyle w:val="P68B1DB1-Normal4"/>
              <w:jc w:val="center"/>
              <w:rPr>
                <w:rFonts w:cs="Arial"/>
                <w:noProof/>
              </w:rPr>
            </w:pPr>
            <w:r>
              <w:rPr>
                <w:noProof/>
              </w:rPr>
              <w:t>Beruházás: A minősítés és az e-közbeszerzés támogatása</w:t>
            </w:r>
          </w:p>
          <w:p w14:paraId="48CC1804" w14:textId="77777777" w:rsidR="003F5418" w:rsidRDefault="003F541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229F1"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CFF03F" w14:textId="77777777" w:rsidR="003F5418" w:rsidRDefault="002A6C25">
            <w:pPr>
              <w:pStyle w:val="P68B1DB1-Normal4"/>
              <w:jc w:val="center"/>
              <w:rPr>
                <w:rFonts w:cs="Arial"/>
                <w:noProof/>
              </w:rPr>
            </w:pPr>
            <w:r>
              <w:rPr>
                <w:noProof/>
              </w:rPr>
              <w:t>A minősítés és az e-közbeszerzés támogatása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4077BA" w14:textId="77777777" w:rsidR="003F5418" w:rsidRDefault="002A6C25">
            <w:pPr>
              <w:pStyle w:val="P68B1DB1-Normal4"/>
              <w:jc w:val="center"/>
              <w:rPr>
                <w:rFonts w:cs="Arial"/>
                <w:noProof/>
              </w:rPr>
            </w:pPr>
            <w:r>
              <w:rPr>
                <w:noProof/>
              </w:rPr>
              <w:t xml:space="preserve">A beszerzéstámogató funkció üzembe helyezése </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E086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D5AF49"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B26920"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7AFC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FB6F1"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3A353D" w14:textId="77777777" w:rsidR="003F5418" w:rsidRDefault="002A6C25">
            <w:pPr>
              <w:pStyle w:val="P68B1DB1-Normal4"/>
              <w:spacing w:before="100" w:beforeAutospacing="1" w:after="120"/>
              <w:rPr>
                <w:rFonts w:cs="Arial"/>
                <w:noProof/>
              </w:rPr>
            </w:pPr>
            <w:r>
              <w:rPr>
                <w:noProof/>
              </w:rPr>
              <w:t>A közbeszerzést támogató funkciót a közbeszerzők professzionalizálási stratégiájának keretében kell létrehozni. A közbeszerzést támogató funkciót az ajánlatkérő szervek számára kell bi</w:t>
            </w:r>
            <w:r>
              <w:rPr>
                <w:noProof/>
              </w:rPr>
              <w:t>ztosítani, hogy teljesítsék a közbeszerzési törvénykönyv II. mellékletének 4. pontjában foglalt követelményeket, és támogassák őket az e-közbeszerzési folyamatban, támogassák a digitális készségek elsajátítását, és technikai támogatást nyújtsanak a közbesz</w:t>
            </w:r>
            <w:r>
              <w:rPr>
                <w:noProof/>
              </w:rPr>
              <w:t>erzés digitalizálásának elfogadásához, beleértve a dinamikus beszerzési rendszerek használatát is.</w:t>
            </w:r>
          </w:p>
        </w:tc>
      </w:tr>
      <w:tr w:rsidR="003F5418" w14:paraId="672C543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BBF7EC" w14:textId="77777777" w:rsidR="003F5418" w:rsidRDefault="002A6C25">
            <w:pPr>
              <w:pStyle w:val="P68B1DB1-Normal4"/>
              <w:jc w:val="center"/>
              <w:rPr>
                <w:rFonts w:cs="Arial"/>
                <w:noProof/>
              </w:rPr>
            </w:pPr>
            <w:r>
              <w:rPr>
                <w:noProof/>
              </w:rPr>
              <w:t>M1C1–76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22FB1F"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087454"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3B0D5" w14:textId="77777777" w:rsidR="003F5418" w:rsidRDefault="002A6C25">
            <w:pPr>
              <w:pStyle w:val="P68B1DB1-Normal4"/>
              <w:jc w:val="center"/>
              <w:rPr>
                <w:rFonts w:cs="Arial"/>
                <w:noProof/>
              </w:rPr>
            </w:pPr>
            <w:r>
              <w:rPr>
                <w:noProof/>
              </w:rPr>
              <w:t xml:space="preserve">Csökken a központi közigazgatási szervek által a </w:t>
            </w:r>
            <w:r>
              <w:rPr>
                <w:noProof/>
              </w:rPr>
              <w:t>vállalkozásoknak fizetett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39E96"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67DE13" w14:textId="77777777" w:rsidR="003F5418" w:rsidRDefault="002A6C25">
            <w:pPr>
              <w:pStyle w:val="P68B1DB1-Normal4"/>
              <w:jc w:val="center"/>
              <w:rPr>
                <w:rFonts w:cs="Arial"/>
                <w:noProof/>
              </w:rPr>
            </w:pPr>
            <w:r>
              <w:rPr>
                <w:noProof/>
              </w:rPr>
              <w:t>Súlyozott átlagos fizetési idő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BF42DD"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74E875"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6B7F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CCEC1B"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8A8C12" w14:textId="77777777" w:rsidR="003F5418" w:rsidRDefault="002A6C25">
            <w:pPr>
              <w:pStyle w:val="P68B1DB1-Normal4"/>
              <w:spacing w:before="100" w:beforeAutospacing="1" w:after="120"/>
              <w:rPr>
                <w:rFonts w:cs="Arial"/>
                <w:noProof/>
              </w:rPr>
            </w:pPr>
            <w:r>
              <w:rPr>
                <w:noProof/>
              </w:rPr>
              <w:t>A kereskedelmi hitelplatform (PCC) alapján a központi hatóságok (Aministrazioni</w:t>
            </w:r>
            <w:r>
              <w:rPr>
                <w:i/>
                <w:noProof/>
              </w:rPr>
              <w:t>dello Stato, enti pubblici nazionali e altri enti</w:t>
            </w:r>
            <w:r>
              <w:rPr>
                <w:noProof/>
              </w:rPr>
              <w:t>) súlyozott átlagos fizetési</w:t>
            </w:r>
            <w:r>
              <w:rPr>
                <w:noProof/>
              </w:rPr>
              <w:t xml:space="preserve"> ideje („tempo di pagamento”) legfeljebb 30 nap lehet.</w:t>
            </w:r>
          </w:p>
        </w:tc>
      </w:tr>
      <w:tr w:rsidR="003F5418" w14:paraId="51ED819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A7E5B3" w14:textId="77777777" w:rsidR="003F5418" w:rsidRDefault="002A6C25">
            <w:pPr>
              <w:pStyle w:val="P68B1DB1-Normal4"/>
              <w:jc w:val="center"/>
              <w:rPr>
                <w:rFonts w:cs="Arial"/>
                <w:noProof/>
              </w:rPr>
            </w:pPr>
            <w:r>
              <w:rPr>
                <w:noProof/>
              </w:rPr>
              <w:t>M1C1–77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23D973"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9C6F4"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323EA2" w14:textId="77777777" w:rsidR="003F5418" w:rsidRDefault="002A6C25">
            <w:pPr>
              <w:pStyle w:val="P68B1DB1-Normal4"/>
              <w:jc w:val="center"/>
              <w:rPr>
                <w:rFonts w:cs="Arial"/>
                <w:noProof/>
              </w:rPr>
            </w:pPr>
            <w:r>
              <w:rPr>
                <w:noProof/>
              </w:rPr>
              <w:t xml:space="preserve">A regionális közigazgatási szervek által a vállalkozások számára fizetett napok átlagos száma </w:t>
            </w:r>
            <w:r>
              <w:rPr>
                <w:noProof/>
              </w:rPr>
              <w:t>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984F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8F202C" w14:textId="77777777" w:rsidR="003F5418" w:rsidRDefault="002A6C25">
            <w:pPr>
              <w:pStyle w:val="P68B1DB1-Normal4"/>
              <w:jc w:val="center"/>
              <w:rPr>
                <w:rFonts w:cs="Arial"/>
                <w:noProof/>
              </w:rPr>
            </w:pPr>
            <w:r>
              <w:rPr>
                <w:noProof/>
              </w:rPr>
              <w:t>Súlyozott átlagos fizetési idő (napokban)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D1F80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25C9D0"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BC0828"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91A6F7"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BF5A07" w14:textId="77777777" w:rsidR="003F5418" w:rsidRDefault="002A6C25">
            <w:pPr>
              <w:pStyle w:val="P68B1DB1-Normal4"/>
              <w:spacing w:before="100" w:beforeAutospacing="1" w:after="120"/>
              <w:rPr>
                <w:rFonts w:cs="Arial"/>
                <w:noProof/>
              </w:rPr>
            </w:pPr>
            <w:r>
              <w:rPr>
                <w:noProof/>
              </w:rPr>
              <w:t>A kereskedelmi hitelplatform (PCC) alapján a regionális közigazgatási szervek (Régi</w:t>
            </w:r>
            <w:r>
              <w:rPr>
                <w:i/>
                <w:noProof/>
              </w:rPr>
              <w:t xml:space="preserve">és tartomány autonómiája) súlyozott átlagos fizetési ideje („tempo di pagamento”) legfeljebb 30 nap </w:t>
            </w:r>
            <w:r>
              <w:rPr>
                <w:i/>
                <w:noProof/>
              </w:rPr>
              <w:t>lehet</w:t>
            </w:r>
            <w:r>
              <w:rPr>
                <w:noProof/>
              </w:rPr>
              <w:t>.</w:t>
            </w:r>
          </w:p>
        </w:tc>
      </w:tr>
      <w:tr w:rsidR="003F5418" w14:paraId="0B6E355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91E097" w14:textId="77777777" w:rsidR="003F5418" w:rsidRDefault="002A6C25">
            <w:pPr>
              <w:pStyle w:val="P68B1DB1-Normal4"/>
              <w:jc w:val="center"/>
              <w:rPr>
                <w:rFonts w:cs="Arial"/>
                <w:noProof/>
              </w:rPr>
            </w:pPr>
            <w:r>
              <w:rPr>
                <w:noProof/>
              </w:rPr>
              <w:t>M1C1–78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1CD0F"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487DF"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D6488" w14:textId="77777777" w:rsidR="003F5418" w:rsidRDefault="002A6C25">
            <w:pPr>
              <w:pStyle w:val="P68B1DB1-Normal4"/>
              <w:jc w:val="center"/>
              <w:rPr>
                <w:rFonts w:cs="Arial"/>
                <w:noProof/>
              </w:rPr>
            </w:pPr>
            <w:r>
              <w:rPr>
                <w:noProof/>
              </w:rPr>
              <w:t>A helyi közigazgatási szervek által a vállalkozásoknak fizetett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68C2D"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1C5ADC" w14:textId="77777777" w:rsidR="003F5418" w:rsidRDefault="002A6C25">
            <w:pPr>
              <w:pStyle w:val="P68B1DB1-Normal4"/>
              <w:jc w:val="center"/>
              <w:rPr>
                <w:rFonts w:eastAsiaTheme="minorEastAsia" w:cs="Arial"/>
                <w:noProof/>
              </w:rPr>
            </w:pPr>
            <w:r>
              <w:rPr>
                <w:noProof/>
              </w:rPr>
              <w:t>Súlyozott átlagos fizetési idő</w:t>
            </w:r>
          </w:p>
          <w:p w14:paraId="24D692D3"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CB6784"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4F1C00"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21F29"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A26F10"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8BACB9" w14:textId="77777777" w:rsidR="003F5418" w:rsidRDefault="002A6C25">
            <w:pPr>
              <w:pStyle w:val="P68B1DB1-Normal4"/>
              <w:spacing w:before="100" w:beforeAutospacing="1" w:after="120"/>
              <w:rPr>
                <w:rFonts w:cs="Arial"/>
                <w:noProof/>
              </w:rPr>
            </w:pPr>
            <w:r>
              <w:rPr>
                <w:noProof/>
              </w:rPr>
              <w:t>A kereskedelmi hitelplatform (PCC) alapján a helyi hatóságok (</w:t>
            </w:r>
            <w:r>
              <w:rPr>
                <w:i/>
                <w:noProof/>
              </w:rPr>
              <w:t>enti locali</w:t>
            </w:r>
            <w:r>
              <w:rPr>
                <w:noProof/>
              </w:rPr>
              <w:t>) súlyozott átlagos fizetési ideje („tempo di pagamento”) legfeljebb 30 nap lehet.</w:t>
            </w:r>
          </w:p>
        </w:tc>
      </w:tr>
      <w:tr w:rsidR="003F5418" w14:paraId="199CEEB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0EEF3" w14:textId="77777777" w:rsidR="003F5418" w:rsidRDefault="002A6C25">
            <w:pPr>
              <w:pStyle w:val="P68B1DB1-Normal4"/>
              <w:jc w:val="center"/>
              <w:rPr>
                <w:rFonts w:cs="Arial"/>
                <w:noProof/>
              </w:rPr>
            </w:pPr>
            <w:r>
              <w:rPr>
                <w:noProof/>
              </w:rPr>
              <w:t>M1C1–79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DB976D" w14:textId="77777777" w:rsidR="003F5418" w:rsidRDefault="002A6C25">
            <w:pPr>
              <w:pStyle w:val="P68B1DB1-Normal4"/>
              <w:jc w:val="center"/>
              <w:rPr>
                <w:rFonts w:cs="Arial"/>
                <w:noProof/>
              </w:rPr>
            </w:pPr>
            <w:r>
              <w:rPr>
                <w:noProof/>
              </w:rPr>
              <w:t xml:space="preserve">Reform: A közigazgatási és egészségügyi hatóságok késedelmes kifizetéseinek </w:t>
            </w:r>
            <w:r>
              <w:rPr>
                <w:noProof/>
              </w:rPr>
              <w:t>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CFE73"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CA510C" w14:textId="77777777" w:rsidR="003F5418" w:rsidRDefault="002A6C25">
            <w:pPr>
              <w:pStyle w:val="P68B1DB1-Normal4"/>
              <w:jc w:val="center"/>
              <w:rPr>
                <w:rFonts w:cs="Arial"/>
                <w:noProof/>
              </w:rPr>
            </w:pPr>
            <w:r>
              <w:rPr>
                <w:noProof/>
              </w:rPr>
              <w:t>A közegészségügyi hatóságok számára a vállalkozások fizetésére rendelkezésre álló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94404F"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73CF6C" w14:textId="77777777" w:rsidR="003F5418" w:rsidRDefault="002A6C25">
            <w:pPr>
              <w:pStyle w:val="P68B1DB1-Normal4"/>
              <w:jc w:val="center"/>
              <w:rPr>
                <w:rFonts w:eastAsiaTheme="minorEastAsia" w:cs="Arial"/>
                <w:noProof/>
              </w:rPr>
            </w:pPr>
            <w:r>
              <w:rPr>
                <w:noProof/>
              </w:rPr>
              <w:t>Súlyozott átlagos fizetési idő</w:t>
            </w:r>
          </w:p>
          <w:p w14:paraId="06E928F8"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5778E"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5844AC" w14:textId="77777777" w:rsidR="003F5418" w:rsidRDefault="002A6C25">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4F5C44"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3781D"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73E174" w14:textId="77777777" w:rsidR="003F5418" w:rsidRDefault="002A6C25">
            <w:pPr>
              <w:pStyle w:val="P68B1DB1-Normal4"/>
              <w:spacing w:before="100" w:beforeAutospacing="1" w:after="120"/>
              <w:rPr>
                <w:rFonts w:cs="Arial"/>
                <w:noProof/>
              </w:rPr>
            </w:pPr>
            <w:r>
              <w:rPr>
                <w:noProof/>
              </w:rPr>
              <w:t xml:space="preserve">A kereskedelmi hitelplatform (PCC) alapján a közegészségügyi </w:t>
            </w:r>
            <w:r>
              <w:rPr>
                <w:noProof/>
              </w:rPr>
              <w:t>hatóságok (</w:t>
            </w:r>
            <w:r>
              <w:rPr>
                <w:i/>
                <w:noProof/>
              </w:rPr>
              <w:t>enti del Servizio sanitario nazionale</w:t>
            </w:r>
            <w:r>
              <w:rPr>
                <w:noProof/>
              </w:rPr>
              <w:t>) súlyozott átlagos fizetési ideje („tempo di pagamento”) legfeljebb 60 nap lehet.</w:t>
            </w:r>
          </w:p>
        </w:tc>
      </w:tr>
      <w:tr w:rsidR="003F5418" w14:paraId="58BC907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7EB893" w14:textId="77777777" w:rsidR="003F5418" w:rsidRDefault="002A6C25">
            <w:pPr>
              <w:pStyle w:val="P68B1DB1-Normal4"/>
              <w:jc w:val="center"/>
              <w:rPr>
                <w:rFonts w:cs="Arial"/>
                <w:noProof/>
              </w:rPr>
            </w:pPr>
            <w:r>
              <w:rPr>
                <w:noProof/>
              </w:rPr>
              <w:t>M1C1–80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BADED"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C44BA"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54F23" w14:textId="77777777" w:rsidR="003F5418" w:rsidRDefault="002A6C25">
            <w:pPr>
              <w:pStyle w:val="P68B1DB1-Normal4"/>
              <w:jc w:val="center"/>
              <w:rPr>
                <w:rFonts w:cs="Arial"/>
                <w:noProof/>
              </w:rPr>
            </w:pPr>
            <w:r>
              <w:rPr>
                <w:noProof/>
              </w:rPr>
              <w:t>Csökken a központi közigazgatási szervek által a vállalkozások fizetésére fordított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69DB11"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5DD7D" w14:textId="77777777" w:rsidR="003F5418" w:rsidRDefault="002A6C25">
            <w:pPr>
              <w:pStyle w:val="P68B1DB1-Normal4"/>
              <w:jc w:val="center"/>
              <w:rPr>
                <w:rFonts w:eastAsiaTheme="minorEastAsia" w:cs="Arial"/>
                <w:noProof/>
              </w:rPr>
            </w:pPr>
            <w:r>
              <w:rPr>
                <w:noProof/>
              </w:rPr>
              <w:t>Súlyozott átlagos fizetési késedelem</w:t>
            </w:r>
          </w:p>
          <w:p w14:paraId="6D0ED4BB" w14:textId="77777777" w:rsidR="003F5418" w:rsidRDefault="002A6C25">
            <w:pPr>
              <w:pStyle w:val="P68B1DB1-Normal4"/>
              <w:jc w:val="center"/>
              <w:rPr>
                <w:rFonts w:eastAsiaTheme="minorEastAsia"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03FF58"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67C516"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00A90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61F2D9"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AE3F3C" w14:textId="77777777" w:rsidR="003F5418" w:rsidRDefault="002A6C25">
            <w:pPr>
              <w:pStyle w:val="P68B1DB1-Normal4"/>
              <w:spacing w:before="100" w:beforeAutospacing="1" w:after="120"/>
              <w:rPr>
                <w:rFonts w:eastAsiaTheme="minorEastAsia" w:cs="Arial"/>
                <w:noProof/>
              </w:rPr>
            </w:pPr>
            <w:r>
              <w:rPr>
                <w:noProof/>
              </w:rPr>
              <w:t>A kereskedelmi hitelplatform (PCC) alapján a központi hatóságok (Aministrazioni</w:t>
            </w:r>
            <w:r>
              <w:rPr>
                <w:i/>
                <w:noProof/>
              </w:rPr>
              <w:t>dello Stato, enti pubblici nazionali e altri enti</w:t>
            </w:r>
            <w:r>
              <w:rPr>
                <w:noProof/>
              </w:rPr>
              <w:t>) súlyozott átlagos fizetési késedelme („tempo di ritardo”) legfeljebb 0 nap lehet.</w:t>
            </w:r>
          </w:p>
        </w:tc>
      </w:tr>
      <w:tr w:rsidR="003F5418" w14:paraId="7CC3AE9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E79B2" w14:textId="77777777" w:rsidR="003F5418" w:rsidRDefault="002A6C25">
            <w:pPr>
              <w:pStyle w:val="P68B1DB1-Normal4"/>
              <w:jc w:val="center"/>
              <w:rPr>
                <w:rFonts w:cs="Arial"/>
                <w:noProof/>
              </w:rPr>
            </w:pPr>
            <w:r>
              <w:rPr>
                <w:noProof/>
              </w:rPr>
              <w:t>M1C1–81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8F8D69"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30D6A0"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A69E07" w14:textId="77777777" w:rsidR="003F5418" w:rsidRDefault="002A6C25">
            <w:pPr>
              <w:pStyle w:val="P68B1DB1-Normal4"/>
              <w:jc w:val="center"/>
              <w:rPr>
                <w:rFonts w:cs="Arial"/>
                <w:noProof/>
              </w:rPr>
            </w:pPr>
            <w:r>
              <w:rPr>
                <w:noProof/>
              </w:rPr>
              <w:t>A regionális közigazgatási szervek számára a vállalkozások kifizetésével kapcsolatban eltelt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94D95"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F21B34" w14:textId="77777777" w:rsidR="003F5418" w:rsidRDefault="002A6C25">
            <w:pPr>
              <w:pStyle w:val="P68B1DB1-Normal4"/>
              <w:jc w:val="center"/>
              <w:rPr>
                <w:rFonts w:eastAsiaTheme="minorEastAsia" w:cs="Arial"/>
                <w:noProof/>
              </w:rPr>
            </w:pPr>
            <w:r>
              <w:rPr>
                <w:noProof/>
              </w:rPr>
              <w:t>Súlyozott átlagos fizetési késedelem</w:t>
            </w:r>
          </w:p>
          <w:p w14:paraId="380A7E12" w14:textId="77777777" w:rsidR="003F5418" w:rsidRDefault="002A6C25">
            <w:pPr>
              <w:pStyle w:val="P68B1DB1-Normal4"/>
              <w:jc w:val="center"/>
              <w:rPr>
                <w:rFonts w:eastAsiaTheme="minorEastAsia"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934CC3"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48E9B"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FD23D"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012071"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463DF5" w14:textId="77777777" w:rsidR="003F5418" w:rsidRDefault="002A6C25">
            <w:pPr>
              <w:pStyle w:val="P68B1DB1-Normal4"/>
              <w:spacing w:before="100" w:beforeAutospacing="1" w:after="120"/>
              <w:rPr>
                <w:rFonts w:eastAsiaTheme="minorEastAsia" w:cs="Arial"/>
                <w:noProof/>
              </w:rPr>
            </w:pPr>
            <w:r>
              <w:rPr>
                <w:noProof/>
              </w:rPr>
              <w:t>A Kereskedelmi Hitelplatform (PCC) alapján a regionális hatóságok</w:t>
            </w:r>
            <w:r>
              <w:rPr>
                <w:noProof/>
              </w:rPr>
              <w:t xml:space="preserve"> (Régi</w:t>
            </w:r>
            <w:r>
              <w:rPr>
                <w:i/>
                <w:noProof/>
              </w:rPr>
              <w:t>és tartomány autonómiája) vállalkozásoknak történő fizetési késedelem súlyozott átlaga („tempo di ritardo</w:t>
            </w:r>
            <w:r>
              <w:rPr>
                <w:noProof/>
              </w:rPr>
              <w:t>”) legfeljebb 0 nap lehet.</w:t>
            </w:r>
          </w:p>
        </w:tc>
      </w:tr>
      <w:tr w:rsidR="003F5418" w14:paraId="2D5F3DC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0E3889" w14:textId="77777777" w:rsidR="003F5418" w:rsidRDefault="002A6C25">
            <w:pPr>
              <w:pStyle w:val="P68B1DB1-Normal4"/>
              <w:jc w:val="center"/>
              <w:rPr>
                <w:rFonts w:cs="Arial"/>
                <w:noProof/>
              </w:rPr>
            </w:pPr>
            <w:r>
              <w:rPr>
                <w:noProof/>
              </w:rPr>
              <w:t>M1C1–82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9BE3DF"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819E7B"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A99E90" w14:textId="77777777" w:rsidR="003F5418" w:rsidRDefault="002A6C25">
            <w:pPr>
              <w:pStyle w:val="P68B1DB1-Normal4"/>
              <w:jc w:val="center"/>
              <w:rPr>
                <w:rFonts w:cs="Arial"/>
                <w:noProof/>
              </w:rPr>
            </w:pPr>
            <w:r>
              <w:rPr>
                <w:noProof/>
              </w:rPr>
              <w:t xml:space="preserve">A helyi </w:t>
            </w:r>
            <w:r>
              <w:rPr>
                <w:noProof/>
              </w:rPr>
              <w:t>közigazgatási szervek számára a vállalkozások kifizetésével kapcsolatban eltelt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34D7E6"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B675F" w14:textId="77777777" w:rsidR="003F5418" w:rsidRDefault="002A6C25">
            <w:pPr>
              <w:pStyle w:val="P68B1DB1-Normal4"/>
              <w:jc w:val="center"/>
              <w:rPr>
                <w:rFonts w:eastAsiaTheme="minorEastAsia" w:cs="Arial"/>
                <w:noProof/>
              </w:rPr>
            </w:pPr>
            <w:r>
              <w:rPr>
                <w:noProof/>
              </w:rPr>
              <w:t>Súlyozott átlagos fizetési késedelem</w:t>
            </w:r>
          </w:p>
          <w:p w14:paraId="0BC99908" w14:textId="77777777" w:rsidR="003F5418" w:rsidRDefault="002A6C25">
            <w:pPr>
              <w:pStyle w:val="P68B1DB1-Normal4"/>
              <w:jc w:val="center"/>
              <w:rPr>
                <w:rFonts w:eastAsiaTheme="minorEastAsia"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008293"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9E23DC"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D27C52"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F847FB"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EE3B20" w14:textId="77777777" w:rsidR="003F5418" w:rsidRDefault="002A6C25">
            <w:pPr>
              <w:pStyle w:val="P68B1DB1-Normal4"/>
              <w:spacing w:before="100" w:beforeAutospacing="1" w:after="120"/>
              <w:rPr>
                <w:rFonts w:eastAsiaTheme="minorEastAsia" w:cs="Arial"/>
                <w:noProof/>
              </w:rPr>
            </w:pPr>
            <w:r>
              <w:rPr>
                <w:noProof/>
              </w:rPr>
              <w:t>A kereskedelmi hitelplatform (PCC) alapján a helyi hatóságok (</w:t>
            </w:r>
            <w:r>
              <w:rPr>
                <w:i/>
                <w:noProof/>
              </w:rPr>
              <w:t>enti locali</w:t>
            </w:r>
            <w:r>
              <w:rPr>
                <w:noProof/>
              </w:rPr>
              <w:t>) vál</w:t>
            </w:r>
            <w:r>
              <w:rPr>
                <w:noProof/>
              </w:rPr>
              <w:t>lalkozásoknak történő fizetési késedelme súlyozott átlaga legfeljebb 0 nap lehet.</w:t>
            </w:r>
          </w:p>
        </w:tc>
      </w:tr>
      <w:tr w:rsidR="003F5418" w14:paraId="373AD45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D0C3CB" w14:textId="77777777" w:rsidR="003F5418" w:rsidRDefault="002A6C25">
            <w:pPr>
              <w:pStyle w:val="P68B1DB1-Normal4"/>
              <w:jc w:val="center"/>
              <w:rPr>
                <w:rFonts w:cs="Arial"/>
                <w:noProof/>
              </w:rPr>
            </w:pPr>
            <w:r>
              <w:rPr>
                <w:noProof/>
              </w:rPr>
              <w:t>M1C1–83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F422CF"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E80D6E"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81193" w14:textId="77777777" w:rsidR="003F5418" w:rsidRDefault="002A6C25">
            <w:pPr>
              <w:pStyle w:val="P68B1DB1-Normal4"/>
              <w:jc w:val="center"/>
              <w:rPr>
                <w:rFonts w:cs="Arial"/>
                <w:noProof/>
              </w:rPr>
            </w:pPr>
            <w:r>
              <w:rPr>
                <w:noProof/>
              </w:rPr>
              <w:t xml:space="preserve">Csökken az egészségügyi közigazgatási szervek által a vállalkozások </w:t>
            </w:r>
            <w:r>
              <w:rPr>
                <w:noProof/>
              </w:rPr>
              <w:t>fizetésére fordított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6FB5C"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5D2C9" w14:textId="77777777" w:rsidR="003F5418" w:rsidRDefault="002A6C25">
            <w:pPr>
              <w:pStyle w:val="P68B1DB1-Normal4"/>
              <w:jc w:val="center"/>
              <w:rPr>
                <w:rFonts w:eastAsiaTheme="minorEastAsia" w:cs="Arial"/>
                <w:noProof/>
              </w:rPr>
            </w:pPr>
            <w:r>
              <w:rPr>
                <w:noProof/>
              </w:rPr>
              <w:t>Súlyozott átlagos fizetési késedelem</w:t>
            </w:r>
          </w:p>
          <w:p w14:paraId="3974451B" w14:textId="77777777" w:rsidR="003F5418" w:rsidRDefault="002A6C25">
            <w:pPr>
              <w:pStyle w:val="P68B1DB1-Normal4"/>
              <w:jc w:val="center"/>
              <w:rPr>
                <w:rFonts w:eastAsiaTheme="minorEastAsia"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8BFFB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DDE054"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F3CFF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7EA560"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9B41DF" w14:textId="77777777" w:rsidR="003F5418" w:rsidRDefault="002A6C25">
            <w:pPr>
              <w:pStyle w:val="P68B1DB1-Normal4"/>
              <w:spacing w:before="100" w:beforeAutospacing="1" w:after="120"/>
              <w:rPr>
                <w:rFonts w:eastAsiaTheme="minorEastAsia" w:cs="Arial"/>
                <w:noProof/>
              </w:rPr>
            </w:pPr>
            <w:r>
              <w:rPr>
                <w:noProof/>
              </w:rPr>
              <w:t>A kereskedelmi hitelplatform (PCC) alapján a közegészségügyi hatóságok (</w:t>
            </w:r>
            <w:r>
              <w:rPr>
                <w:i/>
                <w:noProof/>
              </w:rPr>
              <w:t>enti del Servizio sanitario nazionale</w:t>
            </w:r>
            <w:r>
              <w:rPr>
                <w:noProof/>
              </w:rPr>
              <w:t xml:space="preserve">) súlyozott átlagos fizetési </w:t>
            </w:r>
            <w:r>
              <w:rPr>
                <w:noProof/>
              </w:rPr>
              <w:t>késedelme („tempo di ritardo”) legfeljebb 0 nap lehet.</w:t>
            </w:r>
          </w:p>
        </w:tc>
      </w:tr>
      <w:tr w:rsidR="003F5418" w14:paraId="4D749DD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1D125" w14:textId="77777777" w:rsidR="003F5418" w:rsidRDefault="002A6C25">
            <w:pPr>
              <w:pStyle w:val="P68B1DB1-Normal4"/>
              <w:jc w:val="center"/>
              <w:rPr>
                <w:rFonts w:cs="Arial"/>
                <w:noProof/>
              </w:rPr>
            </w:pPr>
            <w:r>
              <w:rPr>
                <w:noProof/>
              </w:rPr>
              <w:t>M1C1–84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F15EB7"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CB905B"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6DF941" w14:textId="77777777" w:rsidR="003F5418" w:rsidRDefault="002A6C25">
            <w:pPr>
              <w:pStyle w:val="P68B1DB1-Normal4"/>
              <w:jc w:val="center"/>
              <w:rPr>
                <w:rFonts w:cs="Arial"/>
                <w:noProof/>
              </w:rPr>
            </w:pPr>
            <w:r>
              <w:rPr>
                <w:noProof/>
              </w:rPr>
              <w:t>A közzététel és a szerződés odaítélése között eltelt átlagos idő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0018B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1FA9A"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B7CE06" w14:textId="77777777" w:rsidR="003F5418" w:rsidRDefault="002A6C25">
            <w:pPr>
              <w:pStyle w:val="P68B1DB1-Normal4"/>
              <w:jc w:val="center"/>
              <w:rPr>
                <w:rFonts w:cs="Arial"/>
                <w:noProof/>
              </w:rPr>
            </w:pPr>
            <w:r>
              <w:rPr>
                <w:noProof/>
              </w:rPr>
              <w:t>139</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677B32" w14:textId="77777777" w:rsidR="003F5418" w:rsidRDefault="002A6C25">
            <w:pPr>
              <w:pStyle w:val="P68B1DB1-Normal4"/>
              <w:jc w:val="center"/>
              <w:rPr>
                <w:rFonts w:cs="Arial"/>
                <w:noProof/>
              </w:rPr>
            </w:pPr>
            <w:r>
              <w:rPr>
                <w:noProof/>
              </w:rPr>
              <w:t>100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DFDCA"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2DF2F0"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CDE91C" w14:textId="77777777" w:rsidR="003F5418" w:rsidRDefault="002A6C25">
            <w:pPr>
              <w:pStyle w:val="P68B1DB1-Normal4"/>
              <w:spacing w:before="100" w:beforeAutospacing="1" w:after="120"/>
              <w:rPr>
                <w:rFonts w:cs="Arial"/>
                <w:noProof/>
              </w:rPr>
            </w:pPr>
            <w:r>
              <w:rPr>
                <w:noProof/>
              </w:rPr>
              <w:t xml:space="preserve">Az Európai Unió Hivatalos Lapja (TED adatbázis) </w:t>
            </w:r>
            <w:r>
              <w:rPr>
                <w:noProof/>
              </w:rPr>
              <w:t xml:space="preserve">által elfogadott módszerek alapján, az ANAC által kezelt nemzeti közbeszerzési informatikai adatbázisból (BDNCP) származó adatok felhasználásával az ajánlatok benyújtási határideje és a szerződés odaítélése közötti átlagos idő 100 nap alá csökken az uniós </w:t>
            </w:r>
            <w:r>
              <w:rPr>
                <w:noProof/>
              </w:rPr>
              <w:t xml:space="preserve">közbeszerzési irányelvekben meghatározott értékhatárokat meghaladó szerződések esetében. </w:t>
            </w:r>
          </w:p>
        </w:tc>
      </w:tr>
      <w:tr w:rsidR="003F5418" w14:paraId="7A36C40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7B2DF" w14:textId="77777777" w:rsidR="003F5418" w:rsidRDefault="002A6C25">
            <w:pPr>
              <w:pStyle w:val="P68B1DB1-Normal4"/>
              <w:jc w:val="center"/>
              <w:rPr>
                <w:rFonts w:cs="Arial"/>
                <w:noProof/>
              </w:rPr>
            </w:pPr>
            <w:r>
              <w:rPr>
                <w:noProof/>
              </w:rPr>
              <w:t>M1C1–84bis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5DB39"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D4C0"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D9A8B0" w14:textId="77777777" w:rsidR="003F5418" w:rsidRDefault="002A6C25">
            <w:pPr>
              <w:pStyle w:val="P68B1DB1-Normal4"/>
              <w:jc w:val="center"/>
              <w:rPr>
                <w:rFonts w:cs="Arial"/>
                <w:noProof/>
              </w:rPr>
            </w:pPr>
            <w:r>
              <w:rPr>
                <w:noProof/>
              </w:rPr>
              <w:t xml:space="preserve">Az ajánlatkérő szervek szerződés-odaítélése során a döntéshozatal gyorsaságának javítását célzó </w:t>
            </w:r>
            <w:r>
              <w:rPr>
                <w:noProof/>
              </w:rPr>
              <w:t>intézkedések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2920BB" w14:textId="77777777" w:rsidR="003F5418" w:rsidRDefault="002A6C25">
            <w:pPr>
              <w:pStyle w:val="P68B1DB1-Normal4"/>
              <w:jc w:val="center"/>
              <w:rPr>
                <w:rFonts w:cs="Arial"/>
                <w:noProof/>
              </w:rPr>
            </w:pPr>
            <w:r>
              <w:rPr>
                <w:noProof/>
              </w:rPr>
              <w:t>Végrehajtási intézkedések elfogadása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D999FF"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5B36A"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B2F1"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0D7B5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410CB2"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90F7EE" w14:textId="77777777" w:rsidR="003F5418" w:rsidRDefault="002A6C25">
            <w:pPr>
              <w:pStyle w:val="P68B1DB1-Normal4"/>
              <w:spacing w:before="100" w:beforeAutospacing="1" w:after="120"/>
              <w:rPr>
                <w:rFonts w:cs="Arial"/>
                <w:noProof/>
              </w:rPr>
            </w:pPr>
            <w:r>
              <w:rPr>
                <w:noProof/>
              </w:rPr>
              <w:t>Annak érdekében, hogy a közbeszerzés digitalizálása és az ajánlatkérő szervek professzionalizálása révén javuljon a döntéshozatal gyorsasága, és felgyorsuljon a közbeszerzési törvé</w:t>
            </w:r>
            <w:r>
              <w:rPr>
                <w:noProof/>
              </w:rPr>
              <w:t>nykönyv reformja által elindított folyamat, a közbeszerzési törvénykönyv korábbi 221. cikke, a Cabina di regia az ANAC-kal folytatott konzultációt követően:</w:t>
            </w:r>
          </w:p>
          <w:p w14:paraId="1A845BA0" w14:textId="77777777" w:rsidR="003F5418" w:rsidRDefault="002A6C25">
            <w:pPr>
              <w:pStyle w:val="P68B1DB1-Normal4"/>
              <w:spacing w:before="100" w:beforeAutospacing="1" w:after="120"/>
              <w:rPr>
                <w:rFonts w:cs="Arial"/>
                <w:noProof/>
              </w:rPr>
            </w:pPr>
            <w:r>
              <w:rPr>
                <w:noProof/>
              </w:rPr>
              <w:t>–elemzés az e-közbeszerzésnek a szerződés odaítélésének időzítésére gyakorolt hatásáról a szerződés</w:t>
            </w:r>
            <w:r>
              <w:rPr>
                <w:noProof/>
              </w:rPr>
              <w:t xml:space="preserve"> megkötéséig;</w:t>
            </w:r>
          </w:p>
          <w:p w14:paraId="62BBCDD5" w14:textId="77777777" w:rsidR="003F5418" w:rsidRDefault="002A6C25">
            <w:pPr>
              <w:pStyle w:val="P68B1DB1-Normal4"/>
              <w:spacing w:before="100" w:beforeAutospacing="1" w:after="120"/>
              <w:rPr>
                <w:rFonts w:cs="Arial"/>
                <w:noProof/>
              </w:rPr>
            </w:pPr>
            <w:r>
              <w:rPr>
                <w:noProof/>
              </w:rPr>
              <w:t xml:space="preserve">a döntéshozatal gyorsaságának értékelése a technika jelenlegi állása szerint; </w:t>
            </w:r>
          </w:p>
          <w:p w14:paraId="59D453DF" w14:textId="77777777" w:rsidR="003F5418" w:rsidRDefault="002A6C25">
            <w:pPr>
              <w:pStyle w:val="P68B1DB1-Normal4"/>
              <w:spacing w:before="100" w:beforeAutospacing="1" w:after="120"/>
              <w:rPr>
                <w:rFonts w:cs="Arial"/>
                <w:noProof/>
              </w:rPr>
            </w:pPr>
            <w:r>
              <w:rPr>
                <w:noProof/>
              </w:rPr>
              <w:t xml:space="preserve">az ajánlatkérő szervek bevált gyakorlatainak nyomon követése a szerződés-odaítélési idő lerövidítése érdekében; </w:t>
            </w:r>
          </w:p>
          <w:p w14:paraId="41A276A4" w14:textId="77777777" w:rsidR="003F5418" w:rsidRDefault="002A6C25">
            <w:pPr>
              <w:pStyle w:val="P68B1DB1-Normal4"/>
              <w:spacing w:before="100" w:beforeAutospacing="1" w:after="120"/>
              <w:rPr>
                <w:rFonts w:cs="Arial"/>
                <w:noProof/>
              </w:rPr>
            </w:pPr>
            <w:r>
              <w:rPr>
                <w:noProof/>
              </w:rPr>
              <w:t>a jogalkotási keret elemzése, amelynek célja a sze</w:t>
            </w:r>
            <w:r>
              <w:rPr>
                <w:noProof/>
              </w:rPr>
              <w:t>rződés-odaítélési eljárások során felmerülő kritikus kérdések azonosítása, valamint – az elemzés alapján – a határozathozatal gyorsaságának csökkentése érdekében véglegesített kezdeményezésekre vonatkozó javaslat.</w:t>
            </w:r>
          </w:p>
          <w:p w14:paraId="10AE493F" w14:textId="77777777" w:rsidR="003F5418" w:rsidRDefault="002A6C25">
            <w:pPr>
              <w:pStyle w:val="P68B1DB1-Normal4"/>
              <w:spacing w:before="100" w:beforeAutospacing="1" w:after="120"/>
              <w:rPr>
                <w:rFonts w:cs="Arial"/>
                <w:noProof/>
              </w:rPr>
            </w:pPr>
            <w:r>
              <w:rPr>
                <w:noProof/>
              </w:rPr>
              <w:t>Az ANAC a 2024. évi adatoktól kezdődően év</w:t>
            </w:r>
            <w:r>
              <w:rPr>
                <w:noProof/>
              </w:rPr>
              <w:t xml:space="preserve">ente nyomon követi az ajánlatkérő szervek átlagos döntéshozatali sebességét a közbeszerzési törvénykönyv 222. cikke által ráruházott hatáskörök alapján. </w:t>
            </w:r>
          </w:p>
          <w:p w14:paraId="093CBD4C" w14:textId="77777777" w:rsidR="003F5418" w:rsidRDefault="002A6C25">
            <w:pPr>
              <w:pStyle w:val="P68B1DB1-Normal4"/>
              <w:spacing w:before="100" w:beforeAutospacing="1" w:after="120"/>
              <w:rPr>
                <w:rFonts w:cs="Arial"/>
                <w:noProof/>
              </w:rPr>
            </w:pPr>
            <w:r>
              <w:rPr>
                <w:noProof/>
              </w:rPr>
              <w:t>Azoknak az ajánlatkérő szerveknek, amelyek átlagos döntéshozatali sebessége a TED-ben meghaladja a 160</w:t>
            </w:r>
            <w:r>
              <w:rPr>
                <w:noProof/>
              </w:rPr>
              <w:t xml:space="preserve"> napot, részt kell venniük a minősítési és professzionalizálási gyakorlatban.</w:t>
            </w:r>
          </w:p>
        </w:tc>
      </w:tr>
      <w:tr w:rsidR="003F5418" w14:paraId="06F96D6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0C36D0" w14:textId="77777777" w:rsidR="003F5418" w:rsidRDefault="002A6C25">
            <w:pPr>
              <w:pStyle w:val="P68B1DB1-Normal4"/>
              <w:jc w:val="center"/>
              <w:rPr>
                <w:rFonts w:cs="Arial"/>
                <w:noProof/>
              </w:rPr>
            </w:pPr>
            <w:r>
              <w:rPr>
                <w:noProof/>
              </w:rPr>
              <w:t>M1C1–85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9F886D"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41A6A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A2FB1B" w14:textId="77777777" w:rsidR="003F5418" w:rsidRDefault="002A6C25">
            <w:pPr>
              <w:pStyle w:val="P68B1DB1-Normal4"/>
              <w:jc w:val="center"/>
              <w:rPr>
                <w:rFonts w:cs="Arial"/>
                <w:noProof/>
              </w:rPr>
            </w:pPr>
            <w:r>
              <w:rPr>
                <w:noProof/>
              </w:rPr>
              <w:t>A szerződés odaítélése és az infrastruktúra megvalósítása között eltelt átlagos idő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881B9D"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849F2"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9C90B"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8275D9" w14:textId="77777777" w:rsidR="003F5418" w:rsidRDefault="002A6C25">
            <w:pPr>
              <w:pStyle w:val="P68B1DB1-Normal4"/>
              <w:jc w:val="center"/>
              <w:rPr>
                <w:rFonts w:cs="Arial"/>
                <w:noProof/>
              </w:rPr>
            </w:pPr>
            <w:r>
              <w:rPr>
                <w:noProof/>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EFF147"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081CEA"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4A1AF9" w14:textId="77777777" w:rsidR="003F5418" w:rsidRDefault="002A6C25">
            <w:pPr>
              <w:pStyle w:val="P68B1DB1-Normal4"/>
              <w:spacing w:before="100" w:beforeAutospacing="1" w:after="120"/>
              <w:rPr>
                <w:rFonts w:cs="Arial"/>
                <w:noProof/>
              </w:rPr>
            </w:pPr>
            <w:r>
              <w:rPr>
                <w:noProof/>
              </w:rPr>
              <w:t xml:space="preserve">A </w:t>
            </w:r>
            <w:r>
              <w:rPr>
                <w:noProof/>
              </w:rPr>
              <w:t>szerződés odaítélése és az infrastruktúra megvalósítása között eltelt átlagos időt („fase esecutiva”) legalább 10%-kal csökkenteni kell.</w:t>
            </w:r>
          </w:p>
        </w:tc>
      </w:tr>
      <w:tr w:rsidR="003F5418" w14:paraId="1BBD3A2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E6723E" w14:textId="77777777" w:rsidR="003F5418" w:rsidRDefault="002A6C25">
            <w:pPr>
              <w:pStyle w:val="P68B1DB1-Normal4"/>
              <w:jc w:val="center"/>
              <w:rPr>
                <w:noProof/>
              </w:rPr>
            </w:pPr>
            <w:r>
              <w:rPr>
                <w:noProof/>
              </w:rPr>
              <w:t>M1C1–86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970FF" w14:textId="77777777" w:rsidR="003F5418" w:rsidRDefault="002A6C25">
            <w:pPr>
              <w:pStyle w:val="P68B1DB1-Normal4"/>
              <w:jc w:val="center"/>
              <w:rPr>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308A27" w14:textId="77777777" w:rsidR="003F5418" w:rsidRDefault="002A6C25">
            <w:pPr>
              <w:pStyle w:val="P68B1DB1-Normal4"/>
              <w:jc w:val="center"/>
              <w:rPr>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0D7C1" w14:textId="77777777" w:rsidR="003F5418" w:rsidRDefault="002A6C25">
            <w:pPr>
              <w:pStyle w:val="P68B1DB1-Normal4"/>
              <w:jc w:val="center"/>
              <w:rPr>
                <w:noProof/>
              </w:rPr>
            </w:pPr>
            <w:r>
              <w:rPr>
                <w:noProof/>
              </w:rPr>
              <w:t xml:space="preserve">A közbeszerzők professzionalizálási stratégiája keretében </w:t>
            </w:r>
            <w:r>
              <w:rPr>
                <w:noProof/>
              </w:rPr>
              <w:t>kiképzett köztisztviselők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D1DBEF" w14:textId="77777777" w:rsidR="003F5418" w:rsidRDefault="002A6C25">
            <w:pPr>
              <w:pStyle w:val="P68B1DB1-Normal4"/>
              <w:jc w:val="center"/>
              <w:rPr>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EF2AF9" w14:textId="2A9EABCB" w:rsidR="003F5418" w:rsidRDefault="002A6C25">
            <w:pPr>
              <w:pStyle w:val="P68B1DB1-Normal4"/>
              <w:jc w:val="center"/>
              <w:rPr>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099C7" w14:textId="77777777" w:rsidR="003F5418" w:rsidRDefault="002A6C25">
            <w:pPr>
              <w:pStyle w:val="P68B1DB1-Normal4"/>
              <w:jc w:val="center"/>
              <w:rPr>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2842EE" w14:textId="7973350B" w:rsidR="003F5418" w:rsidRDefault="002A6C25">
            <w:pPr>
              <w:pStyle w:val="P68B1DB1-Normal4"/>
              <w:jc w:val="center"/>
              <w:rPr>
                <w:noProof/>
              </w:rPr>
            </w:pPr>
            <w:r>
              <w:rPr>
                <w:noProof/>
              </w:rPr>
              <w:t>20 000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C83EB" w14:textId="77777777" w:rsidR="003F5418" w:rsidRDefault="002A6C25">
            <w:pPr>
              <w:pStyle w:val="P68B1DB1-Normal4"/>
              <w:jc w:val="center"/>
              <w:rPr>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DB7F2" w14:textId="77777777" w:rsidR="003F5418" w:rsidRDefault="002A6C25">
            <w:pPr>
              <w:pStyle w:val="P68B1DB1-Normal4"/>
              <w:jc w:val="center"/>
              <w:rPr>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069634" w14:textId="164F339B" w:rsidR="003F5418" w:rsidRDefault="002A6C25">
            <w:pPr>
              <w:pStyle w:val="P68B1DB1-Normal4"/>
              <w:spacing w:before="100" w:beforeAutospacing="1" w:after="120"/>
              <w:rPr>
                <w:noProof/>
              </w:rPr>
            </w:pPr>
            <w:r>
              <w:rPr>
                <w:noProof/>
              </w:rPr>
              <w:t xml:space="preserve">Legalább 20000 köztisztviselő részesült képzésben a közbeszerzők professzionalizálási stratégiája keretében. </w:t>
            </w:r>
          </w:p>
        </w:tc>
      </w:tr>
      <w:tr w:rsidR="003F5418" w14:paraId="6BFE38D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6DE920" w14:textId="77777777" w:rsidR="003F5418" w:rsidRDefault="002A6C25">
            <w:pPr>
              <w:pStyle w:val="P68B1DB1-Normal4"/>
              <w:jc w:val="center"/>
              <w:rPr>
                <w:rFonts w:cs="Arial"/>
                <w:noProof/>
              </w:rPr>
            </w:pPr>
            <w:r>
              <w:rPr>
                <w:noProof/>
              </w:rPr>
              <w:t>M1C1–87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5587A"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7010B9"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3E38DD" w14:textId="77777777" w:rsidR="003F5418" w:rsidRDefault="002A6C25">
            <w:pPr>
              <w:pStyle w:val="P68B1DB1-Normal4"/>
              <w:jc w:val="center"/>
              <w:rPr>
                <w:rFonts w:cs="Arial"/>
                <w:noProof/>
              </w:rPr>
            </w:pPr>
            <w:r>
              <w:rPr>
                <w:noProof/>
              </w:rPr>
              <w:t xml:space="preserve">Dinamikus beszerzési rendszereket </w:t>
            </w:r>
            <w:r>
              <w:rPr>
                <w:noProof/>
              </w:rPr>
              <w:t>alkalmazó ajánlatkérő szervek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83DD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094CDB"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D628AE"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35ABF" w14:textId="77777777" w:rsidR="003F5418" w:rsidRDefault="002A6C25">
            <w:pPr>
              <w:pStyle w:val="P68B1DB1-Normal4"/>
              <w:jc w:val="center"/>
              <w:rPr>
                <w:rFonts w:cs="Arial"/>
                <w:noProof/>
              </w:rPr>
            </w:pPr>
            <w:r>
              <w:rPr>
                <w:noProof/>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1D52CB"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FDDD88"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28958D" w14:textId="77777777" w:rsidR="003F5418" w:rsidRDefault="002A6C25">
            <w:pPr>
              <w:pStyle w:val="P68B1DB1-Normal4"/>
              <w:spacing w:before="100" w:beforeAutospacing="1" w:after="120"/>
              <w:rPr>
                <w:rFonts w:cs="Arial"/>
                <w:noProof/>
              </w:rPr>
            </w:pPr>
            <w:r>
              <w:rPr>
                <w:noProof/>
              </w:rPr>
              <w:t>Az ajánlatkérő szervek legalább 15%-a alkalmaz dinamikus beszerzési rendszereket a 2014/24/EU irányelv szerint (kétéves megfigyelési időkeret, és figyelembe véve, hogy Olaszországban a dinamikus bes</w:t>
            </w:r>
            <w:r>
              <w:rPr>
                <w:noProof/>
              </w:rPr>
              <w:t>zerzési rendszer használata főként a küszöbérték feletti beszerzésekre irányul, mivel a küszöbérték alattiakat főként eMarketplaces használatával hajtják végre). A cél a központi kormányzati ajánlatkérő szervekre vonatkozik (a 2021. április 30-án nyilvánta</w:t>
            </w:r>
            <w:r>
              <w:rPr>
                <w:noProof/>
              </w:rPr>
              <w:t>rtásba vett 250 PA, a MEF nevében a Consip által kezelt nemzeti e-közbeszerzési rendszer).</w:t>
            </w:r>
          </w:p>
        </w:tc>
      </w:tr>
      <w:tr w:rsidR="003F5418" w14:paraId="322F67C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D731E7" w14:textId="77777777" w:rsidR="003F5418" w:rsidRDefault="002A6C25">
            <w:pPr>
              <w:pStyle w:val="P68B1DB1-Normal4"/>
              <w:jc w:val="center"/>
              <w:rPr>
                <w:rFonts w:cs="Arial"/>
                <w:noProof/>
              </w:rPr>
            </w:pPr>
            <w:r>
              <w:rPr>
                <w:noProof/>
              </w:rPr>
              <w:t>M1C1–88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A21B65"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01DF89"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E96F8C" w14:textId="77777777" w:rsidR="003F5418" w:rsidRDefault="002A6C25">
            <w:pPr>
              <w:pStyle w:val="P68B1DB1-Normal4"/>
              <w:jc w:val="center"/>
              <w:rPr>
                <w:rFonts w:cs="Arial"/>
                <w:noProof/>
              </w:rPr>
            </w:pPr>
            <w:r>
              <w:rPr>
                <w:noProof/>
              </w:rPr>
              <w:t xml:space="preserve">Csökken a központi közigazgatási szervek által a </w:t>
            </w:r>
            <w:r>
              <w:rPr>
                <w:noProof/>
              </w:rPr>
              <w:t>vállalkozásoknak fizetett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93376"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E81B64" w14:textId="77777777" w:rsidR="003F5418" w:rsidRDefault="002A6C25">
            <w:pPr>
              <w:pStyle w:val="P68B1DB1-Normal4"/>
              <w:jc w:val="center"/>
              <w:rPr>
                <w:rFonts w:cs="Arial"/>
                <w:noProof/>
              </w:rPr>
            </w:pPr>
            <w:r>
              <w:rPr>
                <w:noProof/>
              </w:rPr>
              <w:t>Súlyozott átlagos fizetési idő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6FD041" w14:textId="77777777" w:rsidR="003F5418" w:rsidRDefault="002A6C25">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950A15"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B09182"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CB05D0"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AAD162" w14:textId="77777777" w:rsidR="003F5418" w:rsidRDefault="002A6C25">
            <w:pPr>
              <w:pStyle w:val="P68B1DB1-Normal4"/>
              <w:spacing w:before="100" w:beforeAutospacing="1" w:after="120"/>
              <w:rPr>
                <w:rFonts w:cs="Arial"/>
                <w:noProof/>
              </w:rPr>
            </w:pPr>
            <w:r>
              <w:rPr>
                <w:noProof/>
              </w:rPr>
              <w:t>A kereskedelmi hitelplatform (PCC) alapján a központi hatóságok (Aministrazioni</w:t>
            </w:r>
            <w:r>
              <w:rPr>
                <w:i/>
                <w:noProof/>
              </w:rPr>
              <w:t>dello Stato, enti pubblici nazionali e altri enti</w:t>
            </w:r>
            <w:r>
              <w:rPr>
                <w:noProof/>
              </w:rPr>
              <w:t>) súlyozott átlagos fizetési id</w:t>
            </w:r>
            <w:r>
              <w:rPr>
                <w:noProof/>
              </w:rPr>
              <w:t>eje („tempo di pagamento”) legfeljebb 30 nap lehet.</w:t>
            </w:r>
          </w:p>
        </w:tc>
      </w:tr>
      <w:tr w:rsidR="003F5418" w14:paraId="62251A3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C3812" w14:textId="77777777" w:rsidR="003F5418" w:rsidRDefault="002A6C25">
            <w:pPr>
              <w:pStyle w:val="P68B1DB1-Normal4"/>
              <w:jc w:val="center"/>
              <w:rPr>
                <w:rFonts w:cs="Arial"/>
                <w:noProof/>
              </w:rPr>
            </w:pPr>
            <w:r>
              <w:rPr>
                <w:noProof/>
              </w:rPr>
              <w:t>M1C1–89.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EFE606"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86C11"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93A1" w14:textId="77777777" w:rsidR="003F5418" w:rsidRDefault="002A6C25">
            <w:pPr>
              <w:pStyle w:val="P68B1DB1-Normal4"/>
              <w:jc w:val="center"/>
              <w:rPr>
                <w:rFonts w:cs="Arial"/>
                <w:noProof/>
              </w:rPr>
            </w:pPr>
            <w:r>
              <w:rPr>
                <w:noProof/>
              </w:rPr>
              <w:t>A regionális közigazgatási szervek által a vállalkozások számára fizetett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CA5DF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834B01" w14:textId="77777777" w:rsidR="003F5418" w:rsidRDefault="002A6C25">
            <w:pPr>
              <w:pStyle w:val="P68B1DB1-Normal4"/>
              <w:jc w:val="center"/>
              <w:rPr>
                <w:rFonts w:cs="Arial"/>
                <w:noProof/>
              </w:rPr>
            </w:pPr>
            <w:r>
              <w:rPr>
                <w:noProof/>
              </w:rPr>
              <w:t>Súlyozott átlagos fizetési idő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15ED2" w14:textId="77777777" w:rsidR="003F5418" w:rsidRDefault="002A6C25">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FF8910"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39FE81"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E596F3"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C93F7" w14:textId="77777777" w:rsidR="003F5418" w:rsidRDefault="002A6C25">
            <w:pPr>
              <w:pStyle w:val="P68B1DB1-Normal4"/>
              <w:spacing w:before="100" w:beforeAutospacing="1" w:after="120"/>
              <w:rPr>
                <w:rFonts w:cs="Arial"/>
                <w:noProof/>
              </w:rPr>
            </w:pPr>
            <w:r>
              <w:rPr>
                <w:noProof/>
              </w:rPr>
              <w:t>A kereskedelmi hitelplatform (PCC) alapján a regionális közigazgatási szervek (Régi</w:t>
            </w:r>
            <w:r>
              <w:rPr>
                <w:i/>
                <w:noProof/>
              </w:rPr>
              <w:t>és tartomány autonómiája) súlyozott átlagos fizetési ideje („tempo di pagamento”) legfeljebb 30 nap lehet</w:t>
            </w:r>
            <w:r>
              <w:rPr>
                <w:noProof/>
              </w:rPr>
              <w:t>.</w:t>
            </w:r>
          </w:p>
        </w:tc>
      </w:tr>
      <w:tr w:rsidR="003F5418" w14:paraId="3338CC9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6C4FC8" w14:textId="77777777" w:rsidR="003F5418" w:rsidRDefault="002A6C25">
            <w:pPr>
              <w:pStyle w:val="P68B1DB1-Normal4"/>
              <w:jc w:val="center"/>
              <w:rPr>
                <w:rFonts w:cs="Arial"/>
                <w:noProof/>
              </w:rPr>
            </w:pPr>
            <w:r>
              <w:rPr>
                <w:noProof/>
              </w:rPr>
              <w:t>M1C1–90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3D7949"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629FE3"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9CB46A" w14:textId="77777777" w:rsidR="003F5418" w:rsidRDefault="002A6C25">
            <w:pPr>
              <w:pStyle w:val="P68B1DB1-Normal4"/>
              <w:jc w:val="center"/>
              <w:rPr>
                <w:rFonts w:cs="Arial"/>
                <w:noProof/>
              </w:rPr>
            </w:pPr>
            <w:r>
              <w:rPr>
                <w:noProof/>
              </w:rPr>
              <w:t>A helyi közigazgatási szervek által a vállalkozásoknak fizetett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C1FE2D"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102FA" w14:textId="77777777" w:rsidR="003F5418" w:rsidRDefault="002A6C25">
            <w:pPr>
              <w:pStyle w:val="P68B1DB1-Normal4"/>
              <w:jc w:val="center"/>
              <w:rPr>
                <w:rFonts w:cs="Arial"/>
                <w:noProof/>
              </w:rPr>
            </w:pPr>
            <w:r>
              <w:rPr>
                <w:noProof/>
              </w:rPr>
              <w:t>Súlyozott átlagos fizetési idő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1C09C3" w14:textId="77777777" w:rsidR="003F5418" w:rsidRDefault="002A6C25">
            <w:pPr>
              <w:pStyle w:val="P68B1DB1-Normal4"/>
              <w:jc w:val="center"/>
              <w:rPr>
                <w:rFonts w:cs="Arial"/>
                <w:noProof/>
              </w:rPr>
            </w:pPr>
            <w:r>
              <w:rPr>
                <w:noProof/>
              </w:rPr>
              <w:t>30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AF489E" w14:textId="77777777" w:rsidR="003F5418" w:rsidRDefault="002A6C25">
            <w:pPr>
              <w:pStyle w:val="P68B1DB1-Normal4"/>
              <w:jc w:val="center"/>
              <w:rPr>
                <w:rFonts w:cs="Arial"/>
                <w:noProof/>
              </w:rPr>
            </w:pPr>
            <w:r>
              <w:rPr>
                <w:noProof/>
              </w:rPr>
              <w:t>30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81B9E0"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C4B678"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E93F" w14:textId="77777777" w:rsidR="003F5418" w:rsidRDefault="002A6C25">
            <w:pPr>
              <w:pStyle w:val="P68B1DB1-Normal4"/>
              <w:spacing w:before="100" w:beforeAutospacing="1" w:after="120"/>
              <w:rPr>
                <w:rFonts w:cs="Arial"/>
                <w:noProof/>
              </w:rPr>
            </w:pPr>
            <w:r>
              <w:rPr>
                <w:noProof/>
              </w:rPr>
              <w:t xml:space="preserve">A kereskedelmi </w:t>
            </w:r>
            <w:r>
              <w:rPr>
                <w:noProof/>
              </w:rPr>
              <w:t>hitelplatform (PCC) alapján a helyi hatóságok (</w:t>
            </w:r>
            <w:r>
              <w:rPr>
                <w:i/>
                <w:noProof/>
              </w:rPr>
              <w:t>enti locali</w:t>
            </w:r>
            <w:r>
              <w:rPr>
                <w:noProof/>
              </w:rPr>
              <w:t>) súlyozott átlagos fizetési ideje („tempo di pagamento”) legfeljebb 30 nap lehet.</w:t>
            </w:r>
          </w:p>
        </w:tc>
      </w:tr>
      <w:tr w:rsidR="003F5418" w14:paraId="3CA0DF6F"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60E6" w14:textId="77777777" w:rsidR="003F5418" w:rsidRDefault="002A6C25">
            <w:pPr>
              <w:pStyle w:val="P68B1DB1-Normal4"/>
              <w:jc w:val="center"/>
              <w:rPr>
                <w:rFonts w:cs="Arial"/>
                <w:noProof/>
              </w:rPr>
            </w:pPr>
            <w:r>
              <w:rPr>
                <w:noProof/>
              </w:rPr>
              <w:t>M1C1–91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B1932"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24B23"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94B7D" w14:textId="77777777" w:rsidR="003F5418" w:rsidRDefault="002A6C25">
            <w:pPr>
              <w:pStyle w:val="P68B1DB1-Normal4"/>
              <w:jc w:val="center"/>
              <w:rPr>
                <w:rFonts w:cs="Arial"/>
                <w:noProof/>
              </w:rPr>
            </w:pPr>
            <w:r>
              <w:rPr>
                <w:noProof/>
              </w:rPr>
              <w:t xml:space="preserve">A </w:t>
            </w:r>
            <w:r>
              <w:rPr>
                <w:noProof/>
              </w:rPr>
              <w:t>közegészségügyi hatóságok számára a vállalkozások fizetésére rendelkezésre álló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31E915"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C7890C" w14:textId="77777777" w:rsidR="003F5418" w:rsidRDefault="002A6C25">
            <w:pPr>
              <w:pStyle w:val="P68B1DB1-Normal4"/>
              <w:jc w:val="center"/>
              <w:rPr>
                <w:rFonts w:cs="Arial"/>
                <w:noProof/>
              </w:rPr>
            </w:pPr>
            <w:r>
              <w:rPr>
                <w:noProof/>
              </w:rPr>
              <w:t>Súlyozott átlagos fizetési idő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E15099" w14:textId="77777777" w:rsidR="003F5418" w:rsidRDefault="002A6C25">
            <w:pPr>
              <w:pStyle w:val="P68B1DB1-Normal4"/>
              <w:jc w:val="center"/>
              <w:rPr>
                <w:rFonts w:cs="Arial"/>
                <w:noProof/>
              </w:rPr>
            </w:pPr>
            <w:r>
              <w:rPr>
                <w:noProof/>
              </w:rPr>
              <w:t>60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DDE31C" w14:textId="77777777" w:rsidR="003F5418" w:rsidRDefault="002A6C25">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E87BB"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9F39D"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53B058" w14:textId="77777777" w:rsidR="003F5418" w:rsidRDefault="002A6C25">
            <w:pPr>
              <w:pStyle w:val="P68B1DB1-Normal4"/>
              <w:spacing w:before="100" w:beforeAutospacing="1" w:after="120"/>
              <w:rPr>
                <w:rFonts w:cs="Arial"/>
                <w:noProof/>
              </w:rPr>
            </w:pPr>
            <w:r>
              <w:rPr>
                <w:noProof/>
              </w:rPr>
              <w:t>A kereskedelmi hitelplatform (PCC) alapján a közegészségügyi hatóságok (</w:t>
            </w:r>
            <w:r>
              <w:rPr>
                <w:i/>
                <w:noProof/>
              </w:rPr>
              <w:t>enti del Servizio sanitar</w:t>
            </w:r>
            <w:r>
              <w:rPr>
                <w:i/>
                <w:noProof/>
              </w:rPr>
              <w:t>io nazionale</w:t>
            </w:r>
            <w:r>
              <w:rPr>
                <w:noProof/>
              </w:rPr>
              <w:t>) súlyozott átlagos fizetési ideje („tempo di pagamento”) legfeljebb 60 nap lehet.</w:t>
            </w:r>
          </w:p>
        </w:tc>
      </w:tr>
      <w:tr w:rsidR="003F5418" w14:paraId="3C86207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87966" w14:textId="77777777" w:rsidR="003F5418" w:rsidRDefault="002A6C25">
            <w:pPr>
              <w:pStyle w:val="P68B1DB1-Normal4"/>
              <w:jc w:val="center"/>
              <w:rPr>
                <w:rFonts w:cs="Arial"/>
                <w:noProof/>
              </w:rPr>
            </w:pPr>
            <w:r>
              <w:rPr>
                <w:noProof/>
              </w:rPr>
              <w:t>M1C1–92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4600E5"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9D0591"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B7B3F" w14:textId="77777777" w:rsidR="003F5418" w:rsidRDefault="002A6C25">
            <w:pPr>
              <w:pStyle w:val="P68B1DB1-Normal4"/>
              <w:jc w:val="center"/>
              <w:rPr>
                <w:rFonts w:cs="Arial"/>
                <w:noProof/>
              </w:rPr>
            </w:pPr>
            <w:r>
              <w:rPr>
                <w:noProof/>
              </w:rPr>
              <w:t xml:space="preserve">Csökken a központi közigazgatási szervek által a </w:t>
            </w:r>
            <w:r>
              <w:rPr>
                <w:noProof/>
              </w:rPr>
              <w:t>vállalkozások fizetésére fordított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3E51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D9A9CF" w14:textId="77777777" w:rsidR="003F5418" w:rsidRDefault="002A6C25">
            <w:pPr>
              <w:pStyle w:val="P68B1DB1-Normal4"/>
              <w:jc w:val="center"/>
              <w:rPr>
                <w:rFonts w:eastAsiaTheme="minorEastAsia" w:cs="Arial"/>
                <w:noProof/>
              </w:rPr>
            </w:pPr>
            <w:r>
              <w:rPr>
                <w:noProof/>
              </w:rPr>
              <w:t>Súlyozott átlagos fizetési késedelem</w:t>
            </w:r>
          </w:p>
          <w:p w14:paraId="2054320F"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112457"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C14F8"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AD2F22"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F5F84F"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3A7B9" w14:textId="77777777" w:rsidR="003F5418" w:rsidRDefault="002A6C25">
            <w:pPr>
              <w:pStyle w:val="P68B1DB1-Normal4"/>
              <w:spacing w:before="100" w:beforeAutospacing="1" w:after="120"/>
              <w:rPr>
                <w:rFonts w:cs="Arial"/>
                <w:noProof/>
              </w:rPr>
            </w:pPr>
            <w:r>
              <w:rPr>
                <w:noProof/>
              </w:rPr>
              <w:t>A kereskedelmi hitelplatform (PCC) alapján a központi hatóságok (Amministrazioni dello Stato, enti pubblici nazionali e altri enti) súl</w:t>
            </w:r>
            <w:r>
              <w:rPr>
                <w:noProof/>
              </w:rPr>
              <w:t>yozott átlagos fizetési késedelme („tempo di ritardo”) legfeljebb 0 nap lehet.</w:t>
            </w:r>
          </w:p>
        </w:tc>
      </w:tr>
      <w:tr w:rsidR="003F5418" w14:paraId="24E27BC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97B71E" w14:textId="77777777" w:rsidR="003F5418" w:rsidRDefault="002A6C25">
            <w:pPr>
              <w:pStyle w:val="P68B1DB1-Normal4"/>
              <w:jc w:val="center"/>
              <w:rPr>
                <w:rFonts w:cs="Arial"/>
                <w:noProof/>
              </w:rPr>
            </w:pPr>
            <w:r>
              <w:rPr>
                <w:noProof/>
              </w:rPr>
              <w:t>M1C1–93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58BD7C"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6A11BF"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378735" w14:textId="77777777" w:rsidR="003F5418" w:rsidRDefault="002A6C25">
            <w:pPr>
              <w:pStyle w:val="P68B1DB1-Normal4"/>
              <w:jc w:val="center"/>
              <w:rPr>
                <w:rFonts w:cs="Arial"/>
                <w:noProof/>
              </w:rPr>
            </w:pPr>
            <w:r>
              <w:rPr>
                <w:noProof/>
              </w:rPr>
              <w:t xml:space="preserve">A regionális közigazgatási szervek számára a vállalkozások kifizetésével </w:t>
            </w:r>
            <w:r>
              <w:rPr>
                <w:noProof/>
              </w:rPr>
              <w:t>kapcsolatban eltelt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4AC64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A5BAAE" w14:textId="77777777" w:rsidR="003F5418" w:rsidRDefault="002A6C25">
            <w:pPr>
              <w:pStyle w:val="P68B1DB1-Normal4"/>
              <w:jc w:val="center"/>
              <w:rPr>
                <w:rFonts w:eastAsiaTheme="minorEastAsia" w:cs="Arial"/>
                <w:noProof/>
              </w:rPr>
            </w:pPr>
            <w:r>
              <w:rPr>
                <w:noProof/>
              </w:rPr>
              <w:t>Súlyozott átlagos fizetési késedelem</w:t>
            </w:r>
          </w:p>
          <w:p w14:paraId="5AF78F3C"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3ECB88"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131F57"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5F48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A34B38"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896B34" w14:textId="77777777" w:rsidR="003F5418" w:rsidRDefault="002A6C25">
            <w:pPr>
              <w:pStyle w:val="P68B1DB1-Normal4"/>
              <w:spacing w:before="100" w:beforeAutospacing="1" w:after="120"/>
              <w:rPr>
                <w:rFonts w:cs="Arial"/>
                <w:noProof/>
              </w:rPr>
            </w:pPr>
            <w:r>
              <w:rPr>
                <w:noProof/>
              </w:rPr>
              <w:t>A kereskedelmi hitelplatform (PCC) alapján a regionális hatóságok (Regioni és Land Autonome) súlyozott átlagos fizetési késedelme („tempo di r</w:t>
            </w:r>
            <w:r>
              <w:rPr>
                <w:noProof/>
              </w:rPr>
              <w:t>itardo”) legfeljebb 0 nap lehet.</w:t>
            </w:r>
          </w:p>
        </w:tc>
      </w:tr>
      <w:tr w:rsidR="003F5418" w14:paraId="4B4CAE6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B3BC51" w14:textId="77777777" w:rsidR="003F5418" w:rsidRDefault="002A6C25">
            <w:pPr>
              <w:pStyle w:val="P68B1DB1-Normal4"/>
              <w:jc w:val="center"/>
              <w:rPr>
                <w:rFonts w:cs="Arial"/>
                <w:noProof/>
              </w:rPr>
            </w:pPr>
            <w:r>
              <w:rPr>
                <w:noProof/>
              </w:rPr>
              <w:t>M1C1–94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C314A"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BB0C1"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8EA40" w14:textId="77777777" w:rsidR="003F5418" w:rsidRDefault="002A6C25">
            <w:pPr>
              <w:pStyle w:val="P68B1DB1-Normal4"/>
              <w:jc w:val="center"/>
              <w:rPr>
                <w:rFonts w:cs="Arial"/>
                <w:noProof/>
              </w:rPr>
            </w:pPr>
            <w:r>
              <w:rPr>
                <w:noProof/>
              </w:rPr>
              <w:t>A helyi közigazgatási szervek számára a vállalkozások kifizetésével kapcsolatban eltelt napok átlagos száma csökken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8F891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C2514" w14:textId="77777777" w:rsidR="003F5418" w:rsidRDefault="002A6C25">
            <w:pPr>
              <w:pStyle w:val="P68B1DB1-Normal4"/>
              <w:jc w:val="center"/>
              <w:rPr>
                <w:rFonts w:eastAsiaTheme="minorEastAsia" w:cs="Arial"/>
                <w:noProof/>
              </w:rPr>
            </w:pPr>
            <w:r>
              <w:rPr>
                <w:noProof/>
              </w:rPr>
              <w:t>Súlyozott átlagos fizetési késedelem</w:t>
            </w:r>
          </w:p>
          <w:p w14:paraId="717760A8"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C3F88F"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232C3C"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64F307"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CC4FD9"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01EDB" w14:textId="77777777" w:rsidR="003F5418" w:rsidRDefault="002A6C25">
            <w:pPr>
              <w:pStyle w:val="P68B1DB1-Normal4"/>
              <w:spacing w:before="100" w:beforeAutospacing="1" w:after="120"/>
              <w:rPr>
                <w:rFonts w:cs="Arial"/>
                <w:noProof/>
              </w:rPr>
            </w:pPr>
            <w:r>
              <w:rPr>
                <w:noProof/>
              </w:rPr>
              <w:t>A kereskedelmi hitelplatform (PCC) alapján a helyi hatóságok (enti locali) vállalkozásoknak történő fizetési késedelem súlyozott átlaga („tempo di ritardo”) legfeljebb 0 nap lehet.</w:t>
            </w:r>
          </w:p>
        </w:tc>
      </w:tr>
      <w:tr w:rsidR="003F5418" w14:paraId="4D62C83D"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CB35AD" w14:textId="77777777" w:rsidR="003F5418" w:rsidRDefault="002A6C25">
            <w:pPr>
              <w:pStyle w:val="P68B1DB1-Normal4"/>
              <w:jc w:val="center"/>
              <w:rPr>
                <w:rFonts w:cs="Arial"/>
                <w:noProof/>
              </w:rPr>
            </w:pPr>
            <w:r>
              <w:rPr>
                <w:noProof/>
              </w:rPr>
              <w:t>M1C1–95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717A6" w14:textId="77777777" w:rsidR="003F5418" w:rsidRDefault="002A6C25">
            <w:pPr>
              <w:pStyle w:val="P68B1DB1-Normal4"/>
              <w:jc w:val="center"/>
              <w:rPr>
                <w:rFonts w:cs="Arial"/>
                <w:noProof/>
              </w:rPr>
            </w:pPr>
            <w:r>
              <w:rPr>
                <w:noProof/>
              </w:rPr>
              <w:t>Reform: A közigazgatási és egészségügyi hatóságok késedelmes kifizetéseinek csökkentése</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30110"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CA0C5" w14:textId="77777777" w:rsidR="003F5418" w:rsidRDefault="002A6C25">
            <w:pPr>
              <w:pStyle w:val="P68B1DB1-Normal4"/>
              <w:jc w:val="center"/>
              <w:rPr>
                <w:rFonts w:cs="Arial"/>
                <w:noProof/>
              </w:rPr>
            </w:pPr>
            <w:r>
              <w:rPr>
                <w:noProof/>
              </w:rPr>
              <w:t>Csökken az egészségügyi közigazgatási szervek által a vállalkozások fizetésére fordított napok átlagos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F09D39"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C96FC" w14:textId="77777777" w:rsidR="003F5418" w:rsidRDefault="002A6C25">
            <w:pPr>
              <w:pStyle w:val="P68B1DB1-Normal4"/>
              <w:jc w:val="center"/>
              <w:rPr>
                <w:rFonts w:eastAsiaTheme="minorEastAsia" w:cs="Arial"/>
                <w:noProof/>
              </w:rPr>
            </w:pPr>
            <w:r>
              <w:rPr>
                <w:noProof/>
              </w:rPr>
              <w:t>Súlyozott átlagos fizetési késedelem</w:t>
            </w:r>
          </w:p>
          <w:p w14:paraId="29C8FE04" w14:textId="77777777" w:rsidR="003F5418" w:rsidRDefault="002A6C25">
            <w:pPr>
              <w:pStyle w:val="P68B1DB1-Normal4"/>
              <w:jc w:val="center"/>
              <w:rPr>
                <w:rFonts w:cs="Arial"/>
                <w:noProof/>
              </w:rPr>
            </w:pPr>
            <w:r>
              <w:rPr>
                <w:noProof/>
              </w:rPr>
              <w:t>(napokban)</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C5A956"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DFF77" w14:textId="77777777" w:rsidR="003F5418" w:rsidRDefault="002A6C25">
            <w:pPr>
              <w:pStyle w:val="P68B1DB1-Normal4"/>
              <w:jc w:val="center"/>
              <w:rPr>
                <w:rFonts w:cs="Arial"/>
                <w:noProof/>
              </w:rPr>
            </w:pPr>
            <w:r>
              <w:rPr>
                <w:noProof/>
              </w:rPr>
              <w:t>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3E4D0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1EB6E0"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5A9069" w14:textId="77777777" w:rsidR="003F5418" w:rsidRDefault="002A6C25">
            <w:pPr>
              <w:pStyle w:val="P68B1DB1-Normal4"/>
              <w:spacing w:before="100" w:beforeAutospacing="1" w:after="120"/>
              <w:rPr>
                <w:rFonts w:cs="Arial"/>
                <w:noProof/>
              </w:rPr>
            </w:pPr>
            <w:r>
              <w:rPr>
                <w:noProof/>
              </w:rPr>
              <w:t>A kereskedelmi hitelplatform (PCC) alapján a közegészségügyi hatóságok (enti del Servizio sanitario nazionale) súlyozott átlagos fizetési késedelme („tempo di ritardo”) legfeljebb 0 nap lehet.</w:t>
            </w:r>
          </w:p>
        </w:tc>
      </w:tr>
      <w:tr w:rsidR="003F5418" w14:paraId="2F23DCF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A8998F" w14:textId="77777777" w:rsidR="003F5418" w:rsidRDefault="002A6C25">
            <w:pPr>
              <w:pStyle w:val="P68B1DB1-Normal4"/>
              <w:jc w:val="center"/>
              <w:rPr>
                <w:rFonts w:cs="Arial"/>
                <w:noProof/>
              </w:rPr>
            </w:pPr>
            <w:r>
              <w:rPr>
                <w:noProof/>
              </w:rPr>
              <w:t>M1C1–96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17F524"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43906"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AC77F1" w14:textId="77777777" w:rsidR="003F5418" w:rsidRDefault="002A6C25">
            <w:pPr>
              <w:pStyle w:val="P68B1DB1-Normal4"/>
              <w:jc w:val="center"/>
              <w:rPr>
                <w:rFonts w:cs="Arial"/>
                <w:noProof/>
              </w:rPr>
            </w:pPr>
            <w:r>
              <w:rPr>
                <w:noProof/>
              </w:rPr>
              <w:t>A közzététel és a szerződés odaítélése között eltelt átlagos idő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822D72"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6408A"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6A49B" w14:textId="77777777" w:rsidR="003F5418" w:rsidRDefault="002A6C25">
            <w:pPr>
              <w:pStyle w:val="P68B1DB1-Normal4"/>
              <w:jc w:val="center"/>
              <w:rPr>
                <w:rFonts w:cs="Arial"/>
                <w:noProof/>
              </w:rPr>
            </w:pPr>
            <w:r>
              <w:rPr>
                <w:noProof/>
              </w:rPr>
              <w:t>193</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5AA2C" w14:textId="77777777" w:rsidR="003F5418" w:rsidRDefault="002A6C25">
            <w:pPr>
              <w:pStyle w:val="P68B1DB1-Normal4"/>
              <w:jc w:val="center"/>
              <w:rPr>
                <w:rFonts w:cs="Arial"/>
                <w:noProof/>
              </w:rPr>
            </w:pPr>
            <w:r>
              <w:rPr>
                <w:noProof/>
              </w:rPr>
              <w:t>115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EE3EFE"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F3440D"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6A640" w14:textId="77777777" w:rsidR="003F5418" w:rsidRDefault="002A6C25">
            <w:pPr>
              <w:pStyle w:val="P68B1DB1-Normal4"/>
              <w:spacing w:before="100" w:beforeAutospacing="1" w:after="120"/>
              <w:rPr>
                <w:rFonts w:cs="Arial"/>
                <w:noProof/>
              </w:rPr>
            </w:pPr>
            <w:r>
              <w:rPr>
                <w:noProof/>
              </w:rPr>
              <w:t xml:space="preserve">Az Európai Unió Hivatalos Lapjának (TED adatbázisa) adatai alapján az ajánlatok benyújtásának határideje és a szerződés aláírásának időpontja közötti átlagos </w:t>
            </w:r>
            <w:r>
              <w:rPr>
                <w:noProof/>
              </w:rPr>
              <w:t>idő legfeljebb 115 napra csökken az uniós közbeszerzési irányelvekben meghatározott értékhatárokat meghaladó szerződések esetében.</w:t>
            </w:r>
          </w:p>
          <w:p w14:paraId="3FA4C4EF" w14:textId="77777777" w:rsidR="003F5418" w:rsidRDefault="002A6C25">
            <w:pPr>
              <w:pStyle w:val="P68B1DB1-Normal4"/>
              <w:spacing w:before="100" w:beforeAutospacing="1" w:after="120"/>
              <w:rPr>
                <w:rFonts w:cs="Arial"/>
                <w:noProof/>
              </w:rPr>
            </w:pPr>
            <w:r>
              <w:rPr>
                <w:noProof/>
              </w:rPr>
              <w:t>Annak biztosítása, hogy a szerződés megkötésére vonatkozó adatoknak a TED-ben és a BDNCP-ben (ANAC) való közzététele között t</w:t>
            </w:r>
            <w:r>
              <w:rPr>
                <w:noProof/>
              </w:rPr>
              <w:t>eljes összhang és időbeli eltérés ne legyen.</w:t>
            </w:r>
          </w:p>
        </w:tc>
      </w:tr>
      <w:tr w:rsidR="003F5418" w14:paraId="7B7383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FD468" w14:textId="77777777" w:rsidR="003F5418" w:rsidRDefault="002A6C25">
            <w:pPr>
              <w:pStyle w:val="P68B1DB1-Normal4"/>
              <w:jc w:val="center"/>
              <w:rPr>
                <w:rFonts w:cs="Arial"/>
                <w:noProof/>
              </w:rPr>
            </w:pPr>
            <w:r>
              <w:rPr>
                <w:noProof/>
              </w:rPr>
              <w:t>M1C1–97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E45EDD"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183041"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002401" w14:textId="77777777" w:rsidR="003F5418" w:rsidRDefault="002A6C25">
            <w:pPr>
              <w:pStyle w:val="P68B1DB1-Normal4"/>
              <w:jc w:val="center"/>
              <w:rPr>
                <w:rFonts w:cs="Arial"/>
                <w:noProof/>
              </w:rPr>
            </w:pPr>
            <w:r>
              <w:rPr>
                <w:noProof/>
              </w:rPr>
              <w:t>A szerződés odaítélése és az infrastruktúra megvalósítása között eltelt átlagos idő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71ED8A"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2A34C"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2F5E1F"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3A97FE" w14:textId="77777777" w:rsidR="003F5418" w:rsidRDefault="002A6C25">
            <w:pPr>
              <w:pStyle w:val="P68B1DB1-Normal4"/>
              <w:jc w:val="center"/>
              <w:rPr>
                <w:rFonts w:cs="Arial"/>
                <w:noProof/>
              </w:rPr>
            </w:pPr>
            <w:r>
              <w:rPr>
                <w:noProof/>
              </w:rPr>
              <w:t>88</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5B5C1"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7A75B7"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02EE0F" w14:textId="77777777" w:rsidR="003F5418" w:rsidRDefault="002A6C25">
            <w:pPr>
              <w:pStyle w:val="P68B1DB1-Normal4"/>
              <w:spacing w:before="100" w:beforeAutospacing="1" w:after="120"/>
              <w:rPr>
                <w:rFonts w:cs="Arial"/>
                <w:noProof/>
              </w:rPr>
            </w:pPr>
            <w:r>
              <w:rPr>
                <w:noProof/>
              </w:rPr>
              <w:t xml:space="preserve">A szerződés odaítélése és az </w:t>
            </w:r>
            <w:r>
              <w:rPr>
                <w:noProof/>
              </w:rPr>
              <w:t>infrastruktúra megvalósítása között eltelt átlagos időt („fase esecutiva”) legalább 12%-kal csökkenteni kell.</w:t>
            </w:r>
          </w:p>
        </w:tc>
      </w:tr>
      <w:tr w:rsidR="003F5418" w14:paraId="10DF495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8C6FBB" w14:textId="77777777" w:rsidR="003F5418" w:rsidRDefault="002A6C25">
            <w:pPr>
              <w:pStyle w:val="P68B1DB1-Normal4"/>
              <w:jc w:val="center"/>
              <w:rPr>
                <w:rFonts w:cs="Arial"/>
                <w:noProof/>
              </w:rPr>
            </w:pPr>
            <w:r>
              <w:rPr>
                <w:noProof/>
              </w:rPr>
              <w:t>M1C1–97bis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7292F"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3B828"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1CA655" w14:textId="77777777" w:rsidR="003F5418" w:rsidRDefault="002A6C25">
            <w:pPr>
              <w:pStyle w:val="P68B1DB1-Normal4"/>
              <w:jc w:val="center"/>
              <w:rPr>
                <w:rFonts w:cs="Arial"/>
                <w:noProof/>
              </w:rPr>
            </w:pPr>
            <w:r>
              <w:rPr>
                <w:noProof/>
              </w:rPr>
              <w:t>A szerződés odaítélése és az infrastruktúra megvalósítása között eltelt átlagos idő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5CF8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96BD1E"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E1EA48" w14:textId="77777777" w:rsidR="003F5418" w:rsidRDefault="002A6C25">
            <w:pPr>
              <w:pStyle w:val="P68B1DB1-Normal4"/>
              <w:jc w:val="center"/>
              <w:rPr>
                <w:rFonts w:cs="Arial"/>
                <w:noProof/>
              </w:rPr>
            </w:pPr>
            <w:r>
              <w:rPr>
                <w:noProof/>
              </w:rPr>
              <w:t>100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E5C9CF" w14:textId="77777777" w:rsidR="003F5418" w:rsidRDefault="002A6C25">
            <w:pPr>
              <w:pStyle w:val="P68B1DB1-Normal4"/>
              <w:jc w:val="center"/>
              <w:rPr>
                <w:rFonts w:cs="Arial"/>
                <w:noProof/>
              </w:rPr>
            </w:pPr>
            <w:r>
              <w:rPr>
                <w:noProof/>
              </w:rPr>
              <w:t>85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7BFB90"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6EBCC5"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CBC43" w14:textId="77777777" w:rsidR="003F5418" w:rsidRDefault="002A6C25">
            <w:pPr>
              <w:pStyle w:val="P68B1DB1-Normal4"/>
              <w:spacing w:before="100" w:beforeAutospacing="1" w:after="120"/>
              <w:rPr>
                <w:rFonts w:cs="Arial"/>
                <w:noProof/>
              </w:rPr>
            </w:pPr>
            <w:r>
              <w:rPr>
                <w:noProof/>
              </w:rPr>
              <w:t>A szerződés odaítélése és az infrastruktúra megvalósítása között eltelt átlagos időt („fase esecutiva”) legalább 15%-kal csökkenteni kell.</w:t>
            </w:r>
          </w:p>
        </w:tc>
      </w:tr>
      <w:tr w:rsidR="003F5418" w14:paraId="5F2F783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0DFB01" w14:textId="77777777" w:rsidR="003F5418" w:rsidRDefault="002A6C25">
            <w:pPr>
              <w:pStyle w:val="P68B1DB1-Normal4"/>
              <w:jc w:val="center"/>
              <w:rPr>
                <w:rFonts w:cs="Arial"/>
                <w:noProof/>
              </w:rPr>
            </w:pPr>
            <w:r>
              <w:rPr>
                <w:noProof/>
              </w:rPr>
              <w:t>M1C1–98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63321F"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6CA8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142283" w14:textId="77777777" w:rsidR="003F5418" w:rsidRDefault="002A6C25">
            <w:pPr>
              <w:pStyle w:val="P68B1DB1-Normal4"/>
              <w:jc w:val="center"/>
              <w:rPr>
                <w:rFonts w:cs="Arial"/>
                <w:noProof/>
              </w:rPr>
            </w:pPr>
            <w:r>
              <w:rPr>
                <w:noProof/>
              </w:rPr>
              <w:t xml:space="preserve">A közbeszerzők </w:t>
            </w:r>
            <w:r>
              <w:rPr>
                <w:noProof/>
              </w:rPr>
              <w:t>professzionalizálási stratégiája keretében kiképzett köztisztviselők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7CDF65"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92FD6F"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1159B4" w14:textId="77777777" w:rsidR="003F5418" w:rsidRDefault="002A6C25">
            <w:pPr>
              <w:pStyle w:val="P68B1DB1-Normal4"/>
              <w:jc w:val="center"/>
              <w:rPr>
                <w:rFonts w:cs="Arial"/>
                <w:noProof/>
              </w:rPr>
            </w:pPr>
            <w:r>
              <w:rPr>
                <w:noProof/>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AB01B7" w14:textId="77777777" w:rsidR="003F5418" w:rsidRDefault="002A6C25">
            <w:pPr>
              <w:pStyle w:val="P68B1DB1-Normal4"/>
              <w:jc w:val="center"/>
              <w:rPr>
                <w:rFonts w:cs="Arial"/>
                <w:noProof/>
              </w:rPr>
            </w:pPr>
            <w:r>
              <w:rPr>
                <w:noProof/>
              </w:rPr>
              <w:t>40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DB394"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8F1666"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B1488" w14:textId="77777777" w:rsidR="003F5418" w:rsidRDefault="002A6C25">
            <w:pPr>
              <w:pStyle w:val="P68B1DB1-Normal6"/>
              <w:spacing w:before="100" w:beforeAutospacing="1" w:after="120"/>
              <w:rPr>
                <w:rFonts w:cs="Arial"/>
                <w:noProof/>
                <w:color w:val="006100"/>
              </w:rPr>
            </w:pPr>
            <w:r>
              <w:rPr>
                <w:noProof/>
                <w:color w:val="006100"/>
              </w:rPr>
              <w:t>A köztisztviselők legalább 40%-a a közbeszerzők professzionalizálási stratégiája keretében képzésben részesült</w:t>
            </w:r>
            <w:r>
              <w:rPr>
                <w:noProof/>
              </w:rPr>
              <w:t xml:space="preserve"> képesítés megszerzése </w:t>
            </w:r>
            <w:r>
              <w:rPr>
                <w:noProof/>
                <w:color w:val="006100"/>
              </w:rPr>
              <w:t>céljából. Ez a százalékos</w:t>
            </w:r>
            <w:r>
              <w:rPr>
                <w:noProof/>
                <w:color w:val="006100"/>
              </w:rPr>
              <w:t xml:space="preserve"> arány figyelembe veszi a közbeszerzésben aktívan részt vevő köztisztviselők teljes számát, azaz 100000 közbeszerzőt, akiket 2021. április 30-án a MEF nevében a Consip által kezelt nemzeti e-közbeszerzési rendszerben vettek nyilvántartásba.</w:t>
            </w:r>
          </w:p>
        </w:tc>
      </w:tr>
      <w:tr w:rsidR="003F5418" w14:paraId="2438C6D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331B7" w14:textId="77777777" w:rsidR="003F5418" w:rsidRDefault="002A6C25">
            <w:pPr>
              <w:pStyle w:val="P68B1DB1-Normal4"/>
              <w:jc w:val="center"/>
              <w:rPr>
                <w:rFonts w:cs="Arial"/>
                <w:noProof/>
              </w:rPr>
            </w:pPr>
            <w:r>
              <w:rPr>
                <w:noProof/>
              </w:rPr>
              <w:t>M1C1–98bis</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37169E"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6B7CC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9E7571" w14:textId="77777777" w:rsidR="003F5418" w:rsidRDefault="002A6C25">
            <w:pPr>
              <w:pStyle w:val="P68B1DB1-Normal4"/>
              <w:jc w:val="center"/>
              <w:rPr>
                <w:rFonts w:cs="Arial"/>
                <w:noProof/>
              </w:rPr>
            </w:pPr>
            <w:r>
              <w:rPr>
                <w:noProof/>
              </w:rPr>
              <w:t>A közbeszerzők professzionalizálási stratégiája keretében kiképzett köztisztviselők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C7533"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F8F6D3"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21D990" w14:textId="77777777" w:rsidR="003F5418" w:rsidRDefault="002A6C25">
            <w:pPr>
              <w:pStyle w:val="P68B1DB1-Normal4"/>
              <w:jc w:val="center"/>
              <w:rPr>
                <w:rFonts w:cs="Arial"/>
                <w:noProof/>
              </w:rPr>
            </w:pPr>
            <w:r>
              <w:rPr>
                <w:noProof/>
              </w:rPr>
              <w:t>20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A44C25" w14:textId="77777777" w:rsidR="003F5418" w:rsidRDefault="002A6C25">
            <w:pPr>
              <w:pStyle w:val="P68B1DB1-Normal4"/>
              <w:jc w:val="center"/>
              <w:rPr>
                <w:rFonts w:cs="Arial"/>
                <w:noProof/>
              </w:rPr>
            </w:pPr>
            <w:r>
              <w:rPr>
                <w:noProof/>
              </w:rPr>
              <w:t>60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F15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BB45F"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C39BB2" w14:textId="77777777" w:rsidR="003F5418" w:rsidRDefault="002A6C25">
            <w:pPr>
              <w:pStyle w:val="P68B1DB1-Normal4"/>
              <w:spacing w:before="100" w:beforeAutospacing="1" w:after="120"/>
              <w:rPr>
                <w:rFonts w:cs="Arial"/>
                <w:noProof/>
              </w:rPr>
            </w:pPr>
            <w:r>
              <w:rPr>
                <w:noProof/>
              </w:rPr>
              <w:t>A köztisztviselők legalább 60%-a a közbeszerzők professzionalizálási</w:t>
            </w:r>
            <w:r>
              <w:rPr>
                <w:noProof/>
              </w:rPr>
              <w:t xml:space="preserve"> stratégiája keretében képzésben részesült képesítés megszerzése céljából. Ez a százalékos arány figyelembe veszi a közbeszerzésben aktívan részt vevő köztisztviselők teljes számát, azaz 100000 közbeszerzőt, akiket 2021. április 30-án a MEF nevében a Consi</w:t>
            </w:r>
            <w:r>
              <w:rPr>
                <w:noProof/>
              </w:rPr>
              <w:t>p által kezelt nemzeti e-közbeszerzési rendszerben vettek nyilvántartásba.</w:t>
            </w:r>
          </w:p>
        </w:tc>
      </w:tr>
      <w:tr w:rsidR="003F5418" w14:paraId="6F4C72D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3020E2" w14:textId="77777777" w:rsidR="003F5418" w:rsidRDefault="002A6C25">
            <w:pPr>
              <w:pStyle w:val="P68B1DB1-Normal4"/>
              <w:jc w:val="center"/>
              <w:rPr>
                <w:rFonts w:cs="Arial"/>
                <w:noProof/>
              </w:rPr>
            </w:pPr>
            <w:r>
              <w:rPr>
                <w:noProof/>
              </w:rPr>
              <w:t>M1C1–99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6A5997" w14:textId="77777777" w:rsidR="003F5418" w:rsidRDefault="002A6C25">
            <w:pPr>
              <w:pStyle w:val="P68B1DB1-Normal4"/>
              <w:jc w:val="center"/>
              <w:rPr>
                <w:rFonts w:cs="Arial"/>
                <w:noProof/>
              </w:rPr>
            </w:pPr>
            <w:r>
              <w:rPr>
                <w:noProof/>
              </w:rPr>
              <w:t>Reform: A közbeszerzési jogi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FBC760"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1C9FB2" w14:textId="77777777" w:rsidR="003F5418" w:rsidRDefault="002A6C25">
            <w:pPr>
              <w:pStyle w:val="P68B1DB1-Normal4"/>
              <w:jc w:val="center"/>
              <w:rPr>
                <w:rFonts w:cs="Arial"/>
                <w:noProof/>
              </w:rPr>
            </w:pPr>
            <w:r>
              <w:rPr>
                <w:noProof/>
              </w:rPr>
              <w:t>Dinamikus beszerzési rendszereket alkalmazó ajánlatkérő szervek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271FD9" w14:textId="77777777" w:rsidR="003F5418" w:rsidRDefault="002A6C25">
            <w:pPr>
              <w:pStyle w:val="P68B1DB1-Normal4"/>
              <w:jc w:val="center"/>
              <w:rPr>
                <w:rFonts w:cs="Arial"/>
                <w:noProof/>
              </w:rPr>
            </w:pPr>
            <w:r>
              <w:rPr>
                <w:noProof/>
              </w:rPr>
              <w:t xml:space="preserve">A 2014/24/EU irányelv szerinti dinamikus beszerzési </w:t>
            </w:r>
            <w:r>
              <w:rPr>
                <w:noProof/>
              </w:rPr>
              <w:t>rendszereket használó központi kormányzati ajánlatkérő szervek százalékos aránya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D7370"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284F3" w14:textId="77777777" w:rsidR="003F5418" w:rsidRDefault="002A6C25">
            <w:pPr>
              <w:pStyle w:val="P68B1DB1-Normal4"/>
              <w:jc w:val="center"/>
              <w:rPr>
                <w:rFonts w:cs="Arial"/>
                <w:noProof/>
              </w:rPr>
            </w:pPr>
            <w:r>
              <w:rPr>
                <w:noProof/>
              </w:rPr>
              <w:t>15</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F34261" w14:textId="77777777" w:rsidR="003F5418" w:rsidRDefault="002A6C25">
            <w:pPr>
              <w:pStyle w:val="P68B1DB1-Normal4"/>
              <w:jc w:val="center"/>
              <w:rPr>
                <w:rFonts w:cs="Arial"/>
                <w:noProof/>
              </w:rPr>
            </w:pPr>
            <w:r>
              <w:rPr>
                <w:noProof/>
              </w:rPr>
              <w:t>20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4676DB"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A6D72"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5AFF8" w14:textId="77777777" w:rsidR="003F5418" w:rsidRDefault="002A6C25">
            <w:pPr>
              <w:pStyle w:val="P68B1DB1-Normal4"/>
              <w:spacing w:before="100" w:beforeAutospacing="1" w:after="120"/>
              <w:rPr>
                <w:rFonts w:cs="Arial"/>
                <w:noProof/>
              </w:rPr>
            </w:pPr>
            <w:r>
              <w:rPr>
                <w:noProof/>
              </w:rPr>
              <w:t>Az ajánlatkérő szervek legalább 20%-a alkalmaz dinamikus beszerzési rendszereket a 2014/24 irányelv szerint (kétéves megfigyelési időkeret, és figyelemb</w:t>
            </w:r>
            <w:r>
              <w:rPr>
                <w:noProof/>
              </w:rPr>
              <w:t xml:space="preserve">e véve, hogy Olaszországban a dinamikus beszerzési rendszer használata főként a küszöbérték feletti beszerzésekre irányul, mivel a küszöbérték alattiakat főként eMarketplaces használatával hajtják végre). A cél a központi kormányzati ajánlatkérő szervekre </w:t>
            </w:r>
            <w:r>
              <w:rPr>
                <w:noProof/>
              </w:rPr>
              <w:t>vonatkozik (a 2021. április 30-án nyilvántartásba vett 250 PA, a MEF nevében a Consip által kezelt nemzeti e-közbeszerzési rendszer).</w:t>
            </w:r>
          </w:p>
        </w:tc>
      </w:tr>
      <w:tr w:rsidR="003F5418" w14:paraId="0AEE2F62"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D9ED4" w14:textId="77777777" w:rsidR="003F5418" w:rsidRDefault="002A6C25">
            <w:pPr>
              <w:pStyle w:val="P68B1DB1-Normal4"/>
              <w:jc w:val="center"/>
              <w:rPr>
                <w:rFonts w:cs="Arial"/>
                <w:noProof/>
              </w:rPr>
            </w:pPr>
            <w:r>
              <w:rPr>
                <w:noProof/>
              </w:rPr>
              <w:t>M1C1–99a</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32239" w14:textId="77777777" w:rsidR="003F5418" w:rsidRDefault="002A6C25">
            <w:pPr>
              <w:pStyle w:val="P68B1DB1-Normal4"/>
              <w:jc w:val="center"/>
              <w:rPr>
                <w:rFonts w:cs="Arial"/>
                <w:noProof/>
              </w:rPr>
            </w:pPr>
            <w:r>
              <w:rPr>
                <w:noProof/>
              </w:rPr>
              <w:t>Reform: A közbeszerzési jogi keret reformja</w:t>
            </w:r>
          </w:p>
          <w:p w14:paraId="3DE4E489" w14:textId="77777777" w:rsidR="003F5418" w:rsidRDefault="003F5418">
            <w:pPr>
              <w:jc w:val="center"/>
              <w:rPr>
                <w:rFonts w:ascii="Arial Narrow" w:hAnsi="Arial Narrow" w:cs="Arial"/>
                <w:noProof/>
                <w:color w:val="006100"/>
                <w:sz w:val="20"/>
              </w:rPr>
            </w:pPr>
          </w:p>
          <w:p w14:paraId="1120311E" w14:textId="77777777" w:rsidR="003F5418" w:rsidRDefault="002A6C25">
            <w:pPr>
              <w:pStyle w:val="P68B1DB1-Normal4"/>
              <w:jc w:val="center"/>
              <w:rPr>
                <w:rFonts w:cs="Arial"/>
                <w:noProof/>
              </w:rPr>
            </w:pPr>
            <w:r>
              <w:rPr>
                <w:noProof/>
              </w:rPr>
              <w:t xml:space="preserve">Beruházás: A képesítéshez és az e-közbeszerzéshez nyújtott </w:t>
            </w:r>
            <w:r>
              <w:rPr>
                <w:noProof/>
              </w:rPr>
              <w:t>támogatás</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08FB1B"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95FEEB" w14:textId="77777777" w:rsidR="003F5418" w:rsidRDefault="002A6C25">
            <w:pPr>
              <w:pStyle w:val="P68B1DB1-Normal4"/>
              <w:jc w:val="center"/>
              <w:rPr>
                <w:rFonts w:cs="Arial"/>
                <w:noProof/>
              </w:rPr>
            </w:pPr>
            <w:r>
              <w:rPr>
                <w:noProof/>
              </w:rPr>
              <w:t xml:space="preserve">Az ajánlatkérő szervek digitális kompetenciái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615B7C" w14:textId="77777777" w:rsidR="003F5418" w:rsidRDefault="002A6C25">
            <w:pPr>
              <w:pStyle w:val="P68B1DB1-Normal4"/>
              <w:jc w:val="center"/>
              <w:rPr>
                <w:rFonts w:cs="Arial"/>
                <w:noProof/>
              </w:rPr>
            </w:pPr>
            <w:r>
              <w:rPr>
                <w:noProof/>
              </w:rPr>
              <w:t>A digitálisan illetékes helyi önkormányzati ajánlatkérő szervek százalékos aránya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F5CEB"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9C780A"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B5FB36" w14:textId="77777777" w:rsidR="003F5418" w:rsidRDefault="002A6C25">
            <w:pPr>
              <w:pStyle w:val="P68B1DB1-Normal4"/>
              <w:jc w:val="center"/>
              <w:rPr>
                <w:rFonts w:cs="Arial"/>
                <w:noProof/>
              </w:rPr>
            </w:pPr>
            <w:r>
              <w:rPr>
                <w:noProof/>
              </w:rPr>
              <w:t>50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732FE4"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11F89"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239F36" w14:textId="77777777" w:rsidR="003F5418" w:rsidRDefault="002A6C25">
            <w:pPr>
              <w:pStyle w:val="P68B1DB1-Normal4"/>
              <w:spacing w:before="100" w:beforeAutospacing="1" w:after="120"/>
              <w:rPr>
                <w:rFonts w:cs="Arial"/>
                <w:noProof/>
              </w:rPr>
            </w:pPr>
            <w:r>
              <w:rPr>
                <w:noProof/>
              </w:rPr>
              <w:t>A helyi ajánlatkérő szervek legalább 50%-a rendelkezik a képesítéshez szükséges digitális k</w:t>
            </w:r>
            <w:r>
              <w:rPr>
                <w:noProof/>
              </w:rPr>
              <w:t>ompetenciákkal.</w:t>
            </w:r>
          </w:p>
          <w:p w14:paraId="219FCFA8" w14:textId="77777777" w:rsidR="003F5418" w:rsidRDefault="002A6C25">
            <w:pPr>
              <w:pStyle w:val="P68B1DB1-Normal4"/>
              <w:spacing w:before="100" w:beforeAutospacing="1" w:after="120"/>
              <w:rPr>
                <w:rFonts w:cs="Arial"/>
                <w:noProof/>
              </w:rPr>
            </w:pPr>
            <w:r>
              <w:rPr>
                <w:noProof/>
              </w:rPr>
              <w:t>Azokat az ajánlatkérő szerveket is figyelembe kell venni a cél elérése céljából, amelyek központosított beszerző szervek révén teljesítik ugyanazokat a követelményeket.</w:t>
            </w:r>
          </w:p>
        </w:tc>
      </w:tr>
      <w:tr w:rsidR="003F5418" w14:paraId="03833D3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9C83C9" w14:textId="77777777" w:rsidR="003F5418" w:rsidRDefault="002A6C25">
            <w:pPr>
              <w:pStyle w:val="P68B1DB1-Normal4"/>
              <w:jc w:val="center"/>
              <w:rPr>
                <w:rFonts w:cs="Arial"/>
                <w:noProof/>
              </w:rPr>
            </w:pPr>
            <w:r>
              <w:rPr>
                <w:noProof/>
              </w:rPr>
              <w:t>M1C1–100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78B746"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1BB8A6"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875EF7" w14:textId="77777777" w:rsidR="003F5418" w:rsidRDefault="002A6C25">
            <w:pPr>
              <w:pStyle w:val="P68B1DB1-Normal4"/>
              <w:jc w:val="center"/>
              <w:rPr>
                <w:rFonts w:cs="Arial"/>
                <w:noProof/>
              </w:rPr>
            </w:pPr>
            <w:r>
              <w:rPr>
                <w:noProof/>
              </w:rPr>
              <w:t>A kiadások felülvizsgálatának hatékonyságát javító jogszabályi rendelkezések hatálybalépése – A Pénzügyminisztérium megerősítése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531F72" w14:textId="77777777" w:rsidR="003F5418" w:rsidRDefault="002A6C25">
            <w:pPr>
              <w:pStyle w:val="P68B1DB1-Normal4"/>
              <w:jc w:val="center"/>
              <w:rPr>
                <w:rFonts w:cs="Arial"/>
                <w:noProof/>
              </w:rPr>
            </w:pPr>
            <w:r>
              <w:rPr>
                <w:noProof/>
              </w:rPr>
              <w:t>A jogszabály hatálybalépésére vonatkozó rendelkezés a jogszabályban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A309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577C21"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41E551"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071A68"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8CFAA6"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78773E" w14:textId="77777777" w:rsidR="003F5418" w:rsidRDefault="002A6C25">
            <w:pPr>
              <w:pStyle w:val="P68B1DB1-Normal4"/>
              <w:spacing w:before="100" w:beforeAutospacing="1" w:after="120"/>
              <w:rPr>
                <w:rFonts w:cs="Arial"/>
                <w:noProof/>
              </w:rPr>
            </w:pPr>
            <w:r>
              <w:rPr>
                <w:noProof/>
              </w:rPr>
              <w:t xml:space="preserve">A központi </w:t>
            </w:r>
            <w:r>
              <w:rPr>
                <w:noProof/>
              </w:rPr>
              <w:t>államigazgatások (minisztériumok) kiadásainak felülvizsgálatára vonatkozó felülvizsgált keret a Gazdasági és Pénzügyminisztérium szerepének megerősítése révén javítja annak hatékonyságát. Biztosítja különösen a Gazdasági és Pénzügyminisztérium szerepének m</w:t>
            </w:r>
            <w:r>
              <w:rPr>
                <w:noProof/>
              </w:rPr>
              <w:t>egerősítését az előzetes értékelésben, a nyomonkövetési folyamatokban és az utólagos értékelésben, lehetővé téve a felülvizsgálatok alapos végrehajtását és a kitűzött célok elérését.</w:t>
            </w:r>
          </w:p>
        </w:tc>
      </w:tr>
      <w:tr w:rsidR="003F5418" w14:paraId="7A8213D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CF7F6E" w14:textId="77777777" w:rsidR="003F5418" w:rsidRDefault="002A6C25">
            <w:pPr>
              <w:pStyle w:val="P68B1DB1-Normal4"/>
              <w:jc w:val="center"/>
              <w:rPr>
                <w:rFonts w:cs="Arial"/>
                <w:noProof/>
              </w:rPr>
            </w:pPr>
            <w:r>
              <w:rPr>
                <w:noProof/>
              </w:rPr>
              <w:t>M1C1–101.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5877C1" w14:textId="77777777" w:rsidR="003F5418" w:rsidRDefault="002A6C25">
            <w:pPr>
              <w:pStyle w:val="P68B1DB1-Normal4"/>
              <w:jc w:val="center"/>
              <w:rPr>
                <w:rFonts w:cs="Arial"/>
                <w:noProof/>
              </w:rPr>
            </w:pPr>
            <w:r>
              <w:rPr>
                <w:noProof/>
              </w:rPr>
              <w:t>Reform:</w:t>
            </w:r>
          </w:p>
          <w:p w14:paraId="1FF6E3F5" w14:textId="77777777" w:rsidR="003F5418" w:rsidRDefault="002A6C25">
            <w:pPr>
              <w:pStyle w:val="P68B1DB1-Normal4"/>
              <w:jc w:val="center"/>
              <w:rPr>
                <w:rFonts w:cs="Arial"/>
                <w:noProof/>
              </w:rPr>
            </w:pPr>
            <w:r>
              <w:rPr>
                <w:noProof/>
              </w:rPr>
              <w:t>Az adóhatóság reformja</w:t>
            </w:r>
          </w:p>
          <w:p w14:paraId="5D93F45C" w14:textId="77777777" w:rsidR="003F5418" w:rsidRDefault="003F5418">
            <w:pPr>
              <w:jc w:val="center"/>
              <w:rPr>
                <w:rFonts w:ascii="Arial Narrow" w:hAnsi="Arial Narrow" w:cs="Arial"/>
                <w:noProof/>
                <w:color w:val="006100"/>
                <w:sz w:val="20"/>
              </w:rPr>
            </w:pP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125CC5"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7DA1E6" w14:textId="77777777" w:rsidR="003F5418" w:rsidRDefault="002A6C25">
            <w:pPr>
              <w:pStyle w:val="P68B1DB1-Normal4"/>
              <w:jc w:val="center"/>
              <w:rPr>
                <w:rFonts w:cs="Arial"/>
                <w:noProof/>
              </w:rPr>
            </w:pPr>
            <w:r>
              <w:rPr>
                <w:noProof/>
              </w:rPr>
              <w:t xml:space="preserve">Az adócsalás </w:t>
            </w:r>
            <w:r>
              <w:rPr>
                <w:noProof/>
              </w:rPr>
              <w:t>csökkentését célzó lehetséges intézkedések felülvizsgálatának elfogadása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B8AE1A" w14:textId="77777777" w:rsidR="003F5418" w:rsidRDefault="002A6C25">
            <w:pPr>
              <w:pStyle w:val="P68B1DB1-Normal4"/>
              <w:jc w:val="center"/>
              <w:rPr>
                <w:rFonts w:cs="Arial"/>
                <w:noProof/>
              </w:rPr>
            </w:pPr>
            <w:r>
              <w:rPr>
                <w:noProof/>
              </w:rPr>
              <w:t>A felülvizsgálat közzététele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FBE21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1DE44C"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CC242E"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E594"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385C0B" w14:textId="77777777" w:rsidR="003F5418" w:rsidRDefault="002A6C25">
            <w:pPr>
              <w:pStyle w:val="P68B1DB1-Normal4"/>
              <w:jc w:val="center"/>
              <w:rPr>
                <w:rFonts w:cs="Arial"/>
                <w:noProof/>
              </w:rPr>
            </w:pPr>
            <w:r>
              <w:rPr>
                <w:noProof/>
              </w:rPr>
              <w:t>2021</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3006D0" w14:textId="77777777" w:rsidR="003F5418" w:rsidRDefault="002A6C25">
            <w:pPr>
              <w:pStyle w:val="P68B1DB1-Normal4"/>
              <w:spacing w:before="100" w:beforeAutospacing="1" w:after="120"/>
              <w:rPr>
                <w:rFonts w:cs="Arial"/>
                <w:noProof/>
              </w:rPr>
            </w:pPr>
            <w:r>
              <w:rPr>
                <w:noProof/>
              </w:rPr>
              <w:t>Fogadjon el jelentést a kihagyott számlázásból eredő adókijátszás csökkentésére irányuló kormányzati intézkedések megalapozása é</w:t>
            </w:r>
            <w:r>
              <w:rPr>
                <w:noProof/>
              </w:rPr>
              <w:t>rdekében, különösen az adókijátszásnak leginkább kitett ágazatokban, többek között a fogyasztóknak nyújtott célzott ösztönzők révén.</w:t>
            </w:r>
          </w:p>
        </w:tc>
      </w:tr>
      <w:tr w:rsidR="003F5418" w14:paraId="3A468C3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09E89" w14:textId="77777777" w:rsidR="003F5418" w:rsidRDefault="002A6C25">
            <w:pPr>
              <w:pStyle w:val="P68B1DB1-Normal4"/>
              <w:jc w:val="center"/>
              <w:rPr>
                <w:rFonts w:cs="Arial"/>
                <w:noProof/>
              </w:rPr>
            </w:pPr>
            <w:r>
              <w:rPr>
                <w:noProof/>
              </w:rPr>
              <w:t>M1C1–102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ECFDA"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8AF32"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75D233" w14:textId="77777777" w:rsidR="003F5418" w:rsidRDefault="002A6C25">
            <w:pPr>
              <w:pStyle w:val="P68B1DB1-Normal4"/>
              <w:jc w:val="center"/>
              <w:rPr>
                <w:rFonts w:cs="Arial"/>
                <w:noProof/>
              </w:rPr>
            </w:pPr>
            <w:r>
              <w:rPr>
                <w:noProof/>
              </w:rPr>
              <w:t xml:space="preserve">Jelentés elfogadása a kiválasztott </w:t>
            </w:r>
            <w:r>
              <w:rPr>
                <w:noProof/>
              </w:rPr>
              <w:t>közigazgatási szervek által a megtakarítási tervek kidolgozása és végrehajtása során alkalmazott gyakorlatok hatékonyságáról</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0DE1D7" w14:textId="77777777" w:rsidR="003F5418" w:rsidRDefault="002A6C25">
            <w:pPr>
              <w:pStyle w:val="P68B1DB1-Normal4"/>
              <w:jc w:val="center"/>
              <w:rPr>
                <w:rFonts w:cs="Arial"/>
                <w:noProof/>
              </w:rPr>
            </w:pPr>
            <w:r>
              <w:rPr>
                <w:noProof/>
              </w:rPr>
              <w:t>A jelentés közzététele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9DE3D9"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3AE782"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D01A60"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90BEE6"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85838"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5D2DF2" w14:textId="77777777" w:rsidR="003F5418" w:rsidRDefault="002A6C25">
            <w:pPr>
              <w:pStyle w:val="P68B1DB1-Normal4"/>
              <w:spacing w:before="100" w:beforeAutospacing="1" w:after="120"/>
              <w:rPr>
                <w:rFonts w:cs="Arial"/>
                <w:noProof/>
              </w:rPr>
            </w:pPr>
            <w:r>
              <w:rPr>
                <w:noProof/>
              </w:rPr>
              <w:t>A jelentést a Pénzügyminisztérium számviteli osztálya a kiválasztott közigazgatási</w:t>
            </w:r>
            <w:r>
              <w:rPr>
                <w:noProof/>
              </w:rPr>
              <w:t xml:space="preserve"> szervekkel együttműködve készíti el a következők érdekében:</w:t>
            </w:r>
          </w:p>
          <w:p w14:paraId="3FB848F9" w14:textId="77777777" w:rsidR="003F5418" w:rsidRDefault="002A6C25">
            <w:pPr>
              <w:pStyle w:val="P68B1DB1-ListParagraph5"/>
              <w:numPr>
                <w:ilvl w:val="0"/>
                <w:numId w:val="76"/>
              </w:numPr>
              <w:ind w:left="324" w:hanging="283"/>
              <w:jc w:val="left"/>
              <w:rPr>
                <w:rFonts w:cs="Arial"/>
                <w:noProof/>
              </w:rPr>
            </w:pPr>
            <w:r>
              <w:rPr>
                <w:noProof/>
              </w:rPr>
              <w:t>Értékeljék a megtakarítási tervek kidolgozása és végrehajtása során alkalmazott gyakorlataikat.</w:t>
            </w:r>
          </w:p>
          <w:p w14:paraId="1BD44ACE" w14:textId="77777777" w:rsidR="003F5418" w:rsidRDefault="002A6C25">
            <w:pPr>
              <w:pStyle w:val="P68B1DB1-ListParagraph5"/>
              <w:numPr>
                <w:ilvl w:val="0"/>
                <w:numId w:val="76"/>
              </w:numPr>
              <w:ind w:left="324" w:hanging="283"/>
              <w:jc w:val="left"/>
              <w:rPr>
                <w:rFonts w:cs="Arial"/>
                <w:noProof/>
              </w:rPr>
            </w:pPr>
            <w:r>
              <w:rPr>
                <w:noProof/>
              </w:rPr>
              <w:t>Iránymutatásokat határoz meg valamennyi közigazgatási szerv számára.</w:t>
            </w:r>
          </w:p>
        </w:tc>
      </w:tr>
      <w:tr w:rsidR="003F5418" w14:paraId="024262A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7DE97B" w14:textId="5C94CB55" w:rsidR="003F5418" w:rsidRDefault="002A6C25">
            <w:pPr>
              <w:pStyle w:val="P68B1DB1-Normal4"/>
              <w:jc w:val="center"/>
              <w:rPr>
                <w:rFonts w:cs="Arial"/>
                <w:noProof/>
              </w:rPr>
            </w:pPr>
            <w:r>
              <w:rPr>
                <w:noProof/>
              </w:rPr>
              <w:t>M1C1–103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2E2CE" w14:textId="77777777" w:rsidR="003F5418" w:rsidRDefault="002A6C25">
            <w:pPr>
              <w:pStyle w:val="P68B1DB1-Normal4"/>
              <w:jc w:val="center"/>
              <w:rPr>
                <w:rFonts w:cs="Arial"/>
                <w:noProof/>
              </w:rPr>
            </w:pPr>
            <w:r>
              <w:rPr>
                <w:noProof/>
              </w:rPr>
              <w:t>Reform:</w:t>
            </w:r>
            <w:r>
              <w:rPr>
                <w:noProof/>
              </w:rPr>
              <w:t xml:space="preserve">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73F1D8"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11D2B9" w14:textId="77777777" w:rsidR="003F5418" w:rsidRDefault="002A6C25">
            <w:pPr>
              <w:pStyle w:val="P68B1DB1-Normal4"/>
              <w:jc w:val="center"/>
              <w:rPr>
                <w:rFonts w:cs="Arial"/>
                <w:noProof/>
              </w:rPr>
            </w:pPr>
            <w:r>
              <w:rPr>
                <w:noProof/>
              </w:rPr>
              <w:t>Az elsődleges és másodlagos jogszabályok és szabályozási rendelkezések hatálybalépése, valamint az adózási fegyelem ösztönzését, valamint az auditok és kontrollok javítását célzó közigazgatási eljárások lezárása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DC239" w14:textId="77777777" w:rsidR="003F5418" w:rsidRDefault="002A6C25">
            <w:pPr>
              <w:pStyle w:val="P68B1DB1-Normal4"/>
              <w:jc w:val="center"/>
              <w:rPr>
                <w:rFonts w:cs="Arial"/>
                <w:noProof/>
              </w:rPr>
            </w:pPr>
            <w:r>
              <w:rPr>
                <w:noProof/>
              </w:rPr>
              <w:t xml:space="preserve">A </w:t>
            </w:r>
            <w:r>
              <w:rPr>
                <w:noProof/>
              </w:rPr>
              <w:t>hatálybalépésre utaló törvényi és rendeleti rendelkezések</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7A0D555"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24EDF0"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C90066"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20E993"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D7FCB"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0C9550" w14:textId="77777777" w:rsidR="003F5418" w:rsidRDefault="002A6C25">
            <w:pPr>
              <w:pStyle w:val="P68B1DB1-Normal4"/>
              <w:spacing w:after="120"/>
              <w:rPr>
                <w:rFonts w:cs="Arial"/>
                <w:noProof/>
              </w:rPr>
            </w:pPr>
            <w:r>
              <w:rPr>
                <w:noProof/>
              </w:rPr>
              <w:t>A rendelkezések a következőket foglalják magukban:</w:t>
            </w:r>
          </w:p>
          <w:p w14:paraId="72C926F4" w14:textId="77777777" w:rsidR="003F5418" w:rsidRDefault="002A6C25">
            <w:pPr>
              <w:pStyle w:val="P68B1DB1-Normal4"/>
              <w:spacing w:after="120"/>
              <w:rPr>
                <w:rFonts w:cs="Arial"/>
                <w:noProof/>
              </w:rPr>
            </w:pPr>
            <w:r>
              <w:rPr>
                <w:noProof/>
              </w:rPr>
              <w:t>az adatbázis és az előzetesen kitöltött héabevallás kiadásához szükséges informatikai infrastruktúra teljes körű működőké</w:t>
            </w:r>
            <w:r>
              <w:rPr>
                <w:noProof/>
              </w:rPr>
              <w:t>pessé tétele a 127/2015. sz. törvényerejű rendelet 4. cikkének (1) bekezdésében előírtak szerint.</w:t>
            </w:r>
          </w:p>
          <w:p w14:paraId="29E85973" w14:textId="77777777" w:rsidR="003F5418" w:rsidRDefault="002A6C25">
            <w:pPr>
              <w:pStyle w:val="P68B1DB1-Normal4"/>
              <w:spacing w:after="120"/>
              <w:rPr>
                <w:rFonts w:cs="Arial"/>
                <w:noProof/>
              </w:rPr>
            </w:pPr>
            <w:r>
              <w:rPr>
                <w:noProof/>
              </w:rPr>
              <w:t>a hamis pozitív esetek számának csökkentése és az adófizetőknek küldött értesítések számának növelése érdekében továbbfejlesztik a „megfelelési levelek” adatb</w:t>
            </w:r>
            <w:r>
              <w:rPr>
                <w:noProof/>
              </w:rPr>
              <w:t>ázisát (amely korai tájékoztatást nyújt az adófizetőknek, ha szabálytalanságokat észlelnek).</w:t>
            </w:r>
          </w:p>
          <w:p w14:paraId="51BC5F87" w14:textId="77777777" w:rsidR="003F5418" w:rsidRDefault="002A6C25">
            <w:pPr>
              <w:pStyle w:val="P68B1DB1-Normal4"/>
              <w:spacing w:after="120"/>
              <w:rPr>
                <w:rFonts w:cs="Arial"/>
                <w:noProof/>
              </w:rPr>
            </w:pPr>
            <w:r>
              <w:rPr>
                <w:noProof/>
              </w:rPr>
              <w:t>a megreformált jogszabályok hatálybalépése annak érdekében, hogy hatékony közigazgatási szankciókat biztosítsanak arra az esetre, ha a magánszolgáltatók megtagadjá</w:t>
            </w:r>
            <w:r>
              <w:rPr>
                <w:noProof/>
              </w:rPr>
              <w:t>k az elektronikus fizetések elfogadását (a 124/2019. sz. törvényerejű rendelet eredeti 23. cikke, amelyet jogszabályba való átültetéskor hatályon kívül helyeztek, referenciaként szolgál).</w:t>
            </w:r>
          </w:p>
          <w:p w14:paraId="42A99436" w14:textId="77777777" w:rsidR="003F5418" w:rsidRDefault="002A6C25">
            <w:pPr>
              <w:pStyle w:val="P68B1DB1-Normal4"/>
              <w:spacing w:after="120"/>
              <w:rPr>
                <w:rFonts w:cs="Arial"/>
                <w:noProof/>
              </w:rPr>
            </w:pPr>
            <w:r>
              <w:rPr>
                <w:noProof/>
              </w:rPr>
              <w:t>iv. Az adatok álnevesítésének a 160/2019. sz. törvény 1. cikkének 68</w:t>
            </w:r>
            <w:r>
              <w:rPr>
                <w:noProof/>
              </w:rPr>
              <w:t>1–686. bekezdésében előírt folyamatának lezárása, valamint a teljes mértékben álnevesített adatbázisok interoperabilitása révén generált nagy adathalmazok elemzésére szolgáló digitális infrastruktúra létrehozása a kiválasztási folyamat alapjául szolgáló ko</w:t>
            </w:r>
            <w:r>
              <w:rPr>
                <w:noProof/>
              </w:rPr>
              <w:t>ckázatelemzés hatékonyságának növelése érdekében.</w:t>
            </w:r>
          </w:p>
          <w:p w14:paraId="7EA7B11B" w14:textId="77777777" w:rsidR="003F5418" w:rsidRDefault="002A6C25">
            <w:pPr>
              <w:pStyle w:val="P68B1DB1-Normal4"/>
              <w:spacing w:after="120"/>
              <w:rPr>
                <w:rFonts w:cs="Arial"/>
                <w:noProof/>
              </w:rPr>
            </w:pPr>
            <w:r>
              <w:rPr>
                <w:noProof/>
              </w:rPr>
              <w:t>v. A kihagyott számlázásból eredő adócsalás csökkentését célzó lehetséges intézkedések felülvizsgálatának eredményein alapuló további hatékony intézkedéseket végrehajtó elsődleges és másodlagos jogszabályok</w:t>
            </w:r>
            <w:r>
              <w:rPr>
                <w:noProof/>
              </w:rPr>
              <w:t xml:space="preserve"> hatálybalépése.</w:t>
            </w:r>
          </w:p>
        </w:tc>
      </w:tr>
      <w:tr w:rsidR="003F5418" w14:paraId="43CA269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D06914" w14:textId="77777777" w:rsidR="003F5418" w:rsidRDefault="002A6C25">
            <w:pPr>
              <w:pStyle w:val="P68B1DB1-Normal4"/>
              <w:jc w:val="center"/>
              <w:rPr>
                <w:rFonts w:cs="Arial"/>
                <w:noProof/>
              </w:rPr>
            </w:pPr>
            <w:r>
              <w:rPr>
                <w:noProof/>
              </w:rPr>
              <w:t>M1C1–104.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5C0321"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F0D1D1"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AE2E0B" w14:textId="77777777" w:rsidR="003F5418" w:rsidRDefault="002A6C25">
            <w:pPr>
              <w:pStyle w:val="P68B1DB1-Normal4"/>
              <w:jc w:val="center"/>
              <w:rPr>
                <w:rFonts w:cs="Arial"/>
                <w:noProof/>
              </w:rPr>
            </w:pPr>
            <w:r>
              <w:rPr>
                <w:noProof/>
              </w:rPr>
              <w:t>A 2023–2025-ös időszakra vonatkozó kiadási felülvizsgálatokra vonatkozó megtakarítási célok elfogadása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294426" w14:textId="77777777" w:rsidR="003F5418" w:rsidRDefault="002A6C25">
            <w:pPr>
              <w:pStyle w:val="P68B1DB1-Normal4"/>
              <w:jc w:val="center"/>
              <w:rPr>
                <w:rFonts w:cs="Arial"/>
                <w:noProof/>
              </w:rPr>
            </w:pPr>
            <w:r>
              <w:rPr>
                <w:noProof/>
              </w:rPr>
              <w:t xml:space="preserve">A gazdasági és pénzügyi dokumentumban meghatározott, </w:t>
            </w:r>
            <w:r>
              <w:rPr>
                <w:noProof/>
              </w:rPr>
              <w:t>az összesített központi államigazgatási szervekre vonatkozó mennyiségi megtakarítási cél – euróban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82BDC"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2790C1"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E9234B"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FBAC4B"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D8DFE"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0D0D75" w14:textId="77777777" w:rsidR="003F5418" w:rsidRDefault="002A6C25">
            <w:pPr>
              <w:pStyle w:val="P68B1DB1-Normal4"/>
              <w:spacing w:before="100" w:beforeAutospacing="1" w:after="120"/>
              <w:rPr>
                <w:rFonts w:cs="Arial"/>
                <w:noProof/>
              </w:rPr>
            </w:pPr>
            <w:r>
              <w:rPr>
                <w:noProof/>
              </w:rPr>
              <w:t>A 2016. évi 90. és 93. törvényerejű rendelet, valamint a 163/2016. sz. törvény alapján a gazdasági pénzügyi dokumentumban az összes</w:t>
            </w:r>
            <w:r>
              <w:rPr>
                <w:noProof/>
              </w:rPr>
              <w:t>ített központi államigazgatások kiadásainak éves felülvizsgálatára vonatkozó célokat határoztak meg a 2023., 2024. és 2025. évre vonatkozóan. A megtakarítási céloknak megfelelő ambíciószintet kell tükrözniük.</w:t>
            </w:r>
          </w:p>
        </w:tc>
      </w:tr>
      <w:tr w:rsidR="003F5418" w14:paraId="281EC5D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6FD3E" w14:textId="77777777" w:rsidR="003F5418" w:rsidRDefault="002A6C25">
            <w:pPr>
              <w:pStyle w:val="P68B1DB1-Normal4"/>
              <w:jc w:val="center"/>
              <w:rPr>
                <w:rFonts w:cs="Arial"/>
                <w:noProof/>
              </w:rPr>
            </w:pPr>
            <w:r>
              <w:rPr>
                <w:noProof/>
              </w:rPr>
              <w:t>M1C1–105.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9E0892"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BB82BC"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933AE5" w14:textId="77777777" w:rsidR="003F5418" w:rsidRDefault="002A6C25">
            <w:pPr>
              <w:pStyle w:val="P68B1DB1-Normal4"/>
              <w:jc w:val="center"/>
              <w:rPr>
                <w:rFonts w:cs="Arial"/>
                <w:noProof/>
              </w:rPr>
            </w:pPr>
            <w:r>
              <w:rPr>
                <w:noProof/>
              </w:rPr>
              <w:t>A</w:t>
            </w:r>
            <w:r>
              <w:rPr>
                <w:noProof/>
              </w:rPr>
              <w:t xml:space="preserve"> „megfelelési levelek” nagyobb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4724F0"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610728"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C7B46" w14:textId="77777777" w:rsidR="003F5418" w:rsidRDefault="002A6C25">
            <w:pPr>
              <w:pStyle w:val="P68B1DB1-Normal4"/>
              <w:jc w:val="center"/>
              <w:rPr>
                <w:rFonts w:cs="Arial"/>
                <w:noProof/>
              </w:rPr>
            </w:pPr>
            <w:r>
              <w:rPr>
                <w:noProof/>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F1FC14" w14:textId="77777777" w:rsidR="003F5418" w:rsidRDefault="002A6C25">
            <w:pPr>
              <w:pStyle w:val="P68B1DB1-Normal4"/>
              <w:jc w:val="center"/>
              <w:rPr>
                <w:rFonts w:cs="Arial"/>
                <w:noProof/>
              </w:rPr>
            </w:pPr>
            <w:r>
              <w:rPr>
                <w:noProof/>
              </w:rPr>
              <w:t>2 581 090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606854"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8F28EC"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21A75F" w14:textId="77777777" w:rsidR="003F5418" w:rsidRDefault="002A6C25">
            <w:pPr>
              <w:pStyle w:val="P68B1DB1-Normal4"/>
              <w:spacing w:before="100" w:beforeAutospacing="1" w:after="120"/>
              <w:rPr>
                <w:rFonts w:cs="Arial"/>
                <w:noProof/>
              </w:rPr>
            </w:pPr>
            <w:r>
              <w:rPr>
                <w:noProof/>
              </w:rPr>
              <w:t>2019-hez képest legalább 20%-kal növelni kell azon „megfelelési levelek” számát, amelyek korai tájékoztatást nyújtanak az adófizetőknek, amennyiben szabálytalanságokat állapítottak</w:t>
            </w:r>
            <w:r>
              <w:rPr>
                <w:noProof/>
              </w:rPr>
              <w:t xml:space="preserve"> meg.</w:t>
            </w:r>
          </w:p>
        </w:tc>
      </w:tr>
      <w:tr w:rsidR="003F5418" w14:paraId="32C8704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98E39C" w14:textId="77777777" w:rsidR="003F5418" w:rsidRDefault="002A6C25">
            <w:pPr>
              <w:pStyle w:val="P68B1DB1-Normal4"/>
              <w:jc w:val="center"/>
              <w:rPr>
                <w:rFonts w:cs="Arial"/>
                <w:noProof/>
              </w:rPr>
            </w:pPr>
            <w:r>
              <w:rPr>
                <w:noProof/>
              </w:rPr>
              <w:t>M1C1–1006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609FFA"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61E8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2DD951" w14:textId="77777777" w:rsidR="003F5418" w:rsidRDefault="002A6C25">
            <w:pPr>
              <w:pStyle w:val="P68B1DB1-Normal4"/>
              <w:jc w:val="center"/>
              <w:rPr>
                <w:rFonts w:cs="Arial"/>
                <w:noProof/>
              </w:rPr>
            </w:pPr>
            <w:r>
              <w:rPr>
                <w:noProof/>
              </w:rPr>
              <w:t>A hamis pozitív „megfelelési levelek” számának csökkentése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F6BBB6"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8C1ECE"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86935C" w14:textId="77777777" w:rsidR="003F5418" w:rsidRDefault="002A6C25">
            <w:pPr>
              <w:pStyle w:val="P68B1DB1-Normal4"/>
              <w:jc w:val="center"/>
              <w:rPr>
                <w:rFonts w:cs="Arial"/>
                <w:noProof/>
              </w:rPr>
            </w:pPr>
            <w:r>
              <w:rPr>
                <w:noProof/>
              </w:rPr>
              <w:t>126 500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D0180D" w14:textId="77777777" w:rsidR="003F5418" w:rsidRDefault="002A6C25">
            <w:pPr>
              <w:pStyle w:val="P68B1DB1-Normal4"/>
              <w:jc w:val="center"/>
              <w:rPr>
                <w:rFonts w:cs="Arial"/>
                <w:noProof/>
              </w:rPr>
            </w:pPr>
            <w:r>
              <w:rPr>
                <w:noProof/>
              </w:rPr>
              <w:t>132 825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376637"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592E5D"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546C38" w14:textId="77777777" w:rsidR="003F5418" w:rsidRDefault="002A6C25">
            <w:pPr>
              <w:pStyle w:val="P68B1DB1-Normal4"/>
              <w:spacing w:before="100" w:beforeAutospacing="1" w:after="120"/>
              <w:rPr>
                <w:rFonts w:cs="Arial"/>
                <w:noProof/>
              </w:rPr>
            </w:pPr>
            <w:r>
              <w:rPr>
                <w:noProof/>
              </w:rPr>
              <w:t xml:space="preserve">2019-hez képest legalább 5%-kal csökkenteni kell a hamis pozitív „megfeleltetési levelek” számát (amely korai </w:t>
            </w:r>
            <w:r>
              <w:rPr>
                <w:noProof/>
              </w:rPr>
              <w:t>tájékoztatást nyújt az adófizetőknek, amelyek esetében szabálytalanságokat tártak fel, de amelyek esetében nem tárnak fel utólag csalást).</w:t>
            </w:r>
          </w:p>
        </w:tc>
      </w:tr>
      <w:tr w:rsidR="003F5418" w14:paraId="74ECCBC1"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8BFD1" w14:textId="77777777" w:rsidR="003F5418" w:rsidRDefault="002A6C25">
            <w:pPr>
              <w:pStyle w:val="P68B1DB1-Normal4"/>
              <w:jc w:val="center"/>
              <w:rPr>
                <w:rFonts w:cs="Arial"/>
                <w:noProof/>
              </w:rPr>
            </w:pPr>
            <w:r>
              <w:rPr>
                <w:noProof/>
              </w:rPr>
              <w:t>M1C1–107.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339535"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EFFBC1"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99EB5D" w14:textId="77777777" w:rsidR="003F5418" w:rsidRDefault="002A6C25">
            <w:pPr>
              <w:pStyle w:val="P68B1DB1-Normal4"/>
              <w:jc w:val="center"/>
              <w:rPr>
                <w:rFonts w:cs="Arial"/>
                <w:noProof/>
              </w:rPr>
            </w:pPr>
            <w:r>
              <w:rPr>
                <w:noProof/>
              </w:rPr>
              <w:t>A „megfelelési levelek” által generált adóbevételek növekedése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E716DE"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651272" w14:textId="77777777" w:rsidR="003F5418" w:rsidRDefault="002A6C25">
            <w:pPr>
              <w:pStyle w:val="P68B1DB1-Normal4"/>
              <w:jc w:val="center"/>
              <w:rPr>
                <w:rFonts w:cs="Arial"/>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818A69" w14:textId="77777777" w:rsidR="003F5418" w:rsidRDefault="002A6C25">
            <w:pPr>
              <w:pStyle w:val="P68B1DB1-Normal4"/>
              <w:jc w:val="center"/>
              <w:rPr>
                <w:rFonts w:cs="Arial"/>
                <w:noProof/>
              </w:rPr>
            </w:pPr>
            <w:r>
              <w:rPr>
                <w:noProof/>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A7C6AC" w14:textId="77777777" w:rsidR="003F5418" w:rsidRDefault="002A6C25">
            <w:pPr>
              <w:pStyle w:val="P68B1DB1-Normal4"/>
              <w:jc w:val="center"/>
              <w:rPr>
                <w:rFonts w:cs="Arial"/>
                <w:noProof/>
              </w:rPr>
            </w:pPr>
            <w:r>
              <w:rPr>
                <w:noProof/>
              </w:rPr>
              <w:t>2 449 500 000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D76DF"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46204D" w14:textId="77777777" w:rsidR="003F5418" w:rsidRDefault="002A6C25">
            <w:pPr>
              <w:pStyle w:val="P68B1DB1-Normal4"/>
              <w:jc w:val="center"/>
              <w:rPr>
                <w:rFonts w:cs="Arial"/>
                <w:noProof/>
              </w:rPr>
            </w:pPr>
            <w:r>
              <w:rPr>
                <w:noProof/>
              </w:rPr>
              <w:t>2022</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521B43" w14:textId="77777777" w:rsidR="003F5418" w:rsidRDefault="002A6C25">
            <w:pPr>
              <w:pStyle w:val="P68B1DB1-Normal4"/>
              <w:spacing w:before="100" w:beforeAutospacing="1" w:after="120"/>
              <w:rPr>
                <w:rFonts w:cs="Arial"/>
                <w:noProof/>
              </w:rPr>
            </w:pPr>
            <w:r>
              <w:rPr>
                <w:noProof/>
              </w:rPr>
              <w:t>A „megfelelési levelek” által generált adóbevétel 2019-hez képest 15%-kal nő.</w:t>
            </w:r>
          </w:p>
        </w:tc>
      </w:tr>
      <w:tr w:rsidR="003F5418" w14:paraId="0A66D7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1930A" w14:textId="77777777" w:rsidR="003F5418" w:rsidRDefault="002A6C25">
            <w:pPr>
              <w:pStyle w:val="P68B1DB1-Normal4"/>
              <w:jc w:val="center"/>
              <w:rPr>
                <w:rFonts w:cs="Arial"/>
                <w:noProof/>
              </w:rPr>
            </w:pPr>
            <w:r>
              <w:rPr>
                <w:noProof/>
              </w:rPr>
              <w:t>M1C1–108.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82BE13" w14:textId="77777777" w:rsidR="003F5418" w:rsidRDefault="002A6C25">
            <w:pPr>
              <w:pStyle w:val="P68B1DB1-Normal4"/>
              <w:jc w:val="center"/>
              <w:rPr>
                <w:rFonts w:cs="Arial"/>
                <w:noProof/>
              </w:rPr>
            </w:pPr>
            <w:r>
              <w:rPr>
                <w:noProof/>
              </w:rPr>
              <w:t>Reform: Az államháztartási számviteli szabályok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C2B7C5"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10C461" w14:textId="77777777" w:rsidR="003F5418" w:rsidRDefault="002A6C25">
            <w:pPr>
              <w:pStyle w:val="P68B1DB1-Normal4"/>
              <w:jc w:val="center"/>
              <w:rPr>
                <w:rFonts w:cs="Arial"/>
                <w:noProof/>
              </w:rPr>
            </w:pPr>
            <w:r>
              <w:rPr>
                <w:noProof/>
              </w:rPr>
              <w:t xml:space="preserve">A koncepcionális keret, az eredményszemléletű számviteli </w:t>
            </w:r>
            <w:r>
              <w:rPr>
                <w:noProof/>
              </w:rPr>
              <w:t>standardok és a többdimenziós számlaábra jóváhagyása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4A7F7A" w14:textId="77777777" w:rsidR="003F5418" w:rsidRDefault="002A6C25">
            <w:pPr>
              <w:pStyle w:val="P68B1DB1-Normal4"/>
              <w:jc w:val="center"/>
              <w:rPr>
                <w:rFonts w:cs="Arial"/>
                <w:noProof/>
              </w:rPr>
            </w:pPr>
            <w:r>
              <w:rPr>
                <w:noProof/>
              </w:rPr>
              <w:t>A Pénzügyminisztérium számviteli osztályának állásfoglalása az eredményszemléletű számviteli irányítási struktúra jóváhagyásáról</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0934AD"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136A404"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3F1F20"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99B0CA"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202EFE"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B7989E" w14:textId="77777777" w:rsidR="003F5418" w:rsidRDefault="002A6C25">
            <w:pPr>
              <w:spacing w:before="100" w:beforeAutospacing="1" w:after="120"/>
              <w:rPr>
                <w:rFonts w:ascii="Arial Narrow" w:hAnsi="Arial Narrow" w:cs="Arial"/>
                <w:noProof/>
                <w:color w:val="006100"/>
                <w:sz w:val="20"/>
              </w:rPr>
            </w:pPr>
            <w:r>
              <w:rPr>
                <w:rFonts w:ascii="Arial Narrow" w:hAnsi="Arial Narrow"/>
                <w:noProof/>
                <w:color w:val="006100"/>
                <w:sz w:val="20"/>
              </w:rPr>
              <w:t>Az eredményszemléletű számviteli rendszerre vona</w:t>
            </w:r>
            <w:r>
              <w:rPr>
                <w:rFonts w:ascii="Arial Narrow" w:hAnsi="Arial Narrow"/>
                <w:noProof/>
                <w:color w:val="006100"/>
                <w:sz w:val="20"/>
              </w:rPr>
              <w:t>tkozó koncepcionális keret kidolgozása az Eurostat (EPSAS-munkacsoport) által meghatározott minőségi jellemzőknek megfelelően;</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xml:space="preserve"> Eredményszemléletű számviteli standardok meghatározása az IPSAS/EPSAS alapján; A számlák többdimenziós és többszintű grafikonj</w:t>
            </w:r>
            <w:r>
              <w:rPr>
                <w:rFonts w:ascii="Arial Narrow" w:hAnsi="Arial Narrow"/>
                <w:noProof/>
                <w:color w:val="006100"/>
                <w:sz w:val="20"/>
              </w:rPr>
              <w:t>ának kidolgozása.</w:t>
            </w:r>
          </w:p>
        </w:tc>
      </w:tr>
      <w:tr w:rsidR="003F5418" w14:paraId="1EF3ECB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584F94" w14:textId="77777777" w:rsidR="003F5418" w:rsidRDefault="002A6C25">
            <w:pPr>
              <w:pStyle w:val="P68B1DB1-Normal4"/>
              <w:jc w:val="center"/>
              <w:rPr>
                <w:rFonts w:cs="Arial"/>
                <w:noProof/>
              </w:rPr>
            </w:pPr>
            <w:r>
              <w:rPr>
                <w:noProof/>
              </w:rPr>
              <w:t>M1C1–109.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F1AFE4"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6F59079"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B45935" w14:textId="77777777" w:rsidR="003F5418" w:rsidRDefault="002A6C25">
            <w:pPr>
              <w:pStyle w:val="P68B1DB1-Normal4"/>
              <w:jc w:val="center"/>
              <w:rPr>
                <w:rFonts w:cs="Arial"/>
                <w:noProof/>
              </w:rPr>
            </w:pPr>
            <w:r>
              <w:rPr>
                <w:noProof/>
              </w:rPr>
              <w:t>Az első előre kitöltött héabevallások megküldése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F2BA2"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9B68E"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6D0AC0"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24530" w14:textId="77777777" w:rsidR="003F5418" w:rsidRDefault="002A6C25">
            <w:pPr>
              <w:pStyle w:val="P68B1DB1-Normal4"/>
              <w:jc w:val="center"/>
              <w:rPr>
                <w:rFonts w:cs="Arial"/>
                <w:noProof/>
              </w:rPr>
            </w:pPr>
            <w:r>
              <w:rPr>
                <w:noProof/>
              </w:rPr>
              <w:t>2 300 000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6514C9"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DB2E66"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FCE8D" w14:textId="77777777" w:rsidR="003F5418" w:rsidRDefault="002A6C25">
            <w:pPr>
              <w:pStyle w:val="P68B1DB1-Normal4"/>
              <w:spacing w:before="100" w:beforeAutospacing="1" w:after="120"/>
              <w:rPr>
                <w:rFonts w:cs="Arial"/>
                <w:noProof/>
              </w:rPr>
            </w:pPr>
            <w:r>
              <w:rPr>
                <w:noProof/>
              </w:rPr>
              <w:t>Legalább 2300000 adózónak kell előzetesen kitöltött héabevallást kapnia a 2022-es adóévre vonatkozóan.</w:t>
            </w:r>
          </w:p>
        </w:tc>
      </w:tr>
      <w:tr w:rsidR="003F5418" w14:paraId="44EDFE4E"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CD4C4" w14:textId="77777777" w:rsidR="003F5418" w:rsidRDefault="002A6C25">
            <w:pPr>
              <w:pStyle w:val="P68B1DB1-Normal4"/>
              <w:jc w:val="center"/>
              <w:rPr>
                <w:rFonts w:cs="Arial"/>
                <w:noProof/>
              </w:rPr>
            </w:pPr>
            <w:r>
              <w:rPr>
                <w:noProof/>
              </w:rPr>
              <w:t>M1C1–110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B2417"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746BBC"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55DBEC" w14:textId="77777777" w:rsidR="003F5418" w:rsidRDefault="002A6C25">
            <w:pPr>
              <w:pStyle w:val="P68B1DB1-Normal4"/>
              <w:jc w:val="center"/>
              <w:rPr>
                <w:rFonts w:cs="Arial"/>
                <w:noProof/>
              </w:rPr>
            </w:pPr>
            <w:r>
              <w:rPr>
                <w:noProof/>
              </w:rPr>
              <w:t>Az általános állami költségvetés átsorolása a környezetvédelmi kiadások és a nemek közötti egyenlőséget előmozdító kiadások tekintetében</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E2B14C" w14:textId="77777777" w:rsidR="003F5418" w:rsidRDefault="002A6C25">
            <w:pPr>
              <w:pStyle w:val="P68B1DB1-Normal4"/>
              <w:jc w:val="center"/>
              <w:rPr>
                <w:rFonts w:cs="Arial"/>
                <w:noProof/>
              </w:rPr>
            </w:pPr>
            <w:r>
              <w:rPr>
                <w:noProof/>
              </w:rPr>
              <w:t>Az általános állami költségvetés átsorolásának</w:t>
            </w:r>
            <w:r>
              <w:rPr>
                <w:noProof/>
              </w:rPr>
              <w:t xml:space="preserve"> beillesztése a környezetvédelmi kiadások és a nemek közötti egyenlőséget előmozdító kiadások tekintetében a 2024. évi költségvetési törvénybe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B86BCE"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0C845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3DFAE2"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CEA4EB"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9985AB" w14:textId="77777777"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A9B0BC" w14:textId="77777777" w:rsidR="003F5418" w:rsidRDefault="002A6C25">
            <w:pPr>
              <w:pStyle w:val="P68B1DB1-Normal4"/>
              <w:spacing w:before="100" w:beforeAutospacing="1" w:after="120"/>
              <w:rPr>
                <w:rFonts w:cs="Arial"/>
                <w:noProof/>
              </w:rPr>
            </w:pPr>
            <w:r>
              <w:rPr>
                <w:noProof/>
              </w:rPr>
              <w:t>A 2024. évi költségvetési törvény fenntartható fejlődési költségvetést biztosít a Parla</w:t>
            </w:r>
            <w:r>
              <w:rPr>
                <w:noProof/>
              </w:rPr>
              <w:t xml:space="preserve">ment számára, amely az általános állami költségvetésnek a környezetvédelmi kiadások és a nemek közötti egyenlőséget előmozdító kiadások szerinti osztályozásából áll. Az osztályozásnak összhangban kell lennie a fenntartható fejlődési célok meghatározásának </w:t>
            </w:r>
            <w:r>
              <w:rPr>
                <w:noProof/>
              </w:rPr>
              <w:t>alapjául szolgáló kritériumokkal és a 2030-ig tartó időszakra szóló menetrend céljaival.</w:t>
            </w:r>
          </w:p>
        </w:tc>
      </w:tr>
      <w:tr w:rsidR="003F5418" w14:paraId="41C9554A"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41C049" w14:textId="77777777" w:rsidR="003F5418" w:rsidRDefault="002A6C25">
            <w:pPr>
              <w:pStyle w:val="P68B1DB1-Normal4"/>
              <w:jc w:val="center"/>
              <w:rPr>
                <w:rFonts w:cs="Arial"/>
                <w:noProof/>
              </w:rPr>
            </w:pPr>
            <w:r>
              <w:rPr>
                <w:noProof/>
              </w:rPr>
              <w:t>M1C1–111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7ABB6F"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75888A"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03C93D" w14:textId="77777777" w:rsidR="003F5418" w:rsidRDefault="002A6C25">
            <w:pPr>
              <w:pStyle w:val="P68B1DB1-Normal4"/>
              <w:jc w:val="center"/>
              <w:rPr>
                <w:rFonts w:cs="Arial"/>
                <w:noProof/>
              </w:rPr>
            </w:pPr>
            <w:r>
              <w:rPr>
                <w:noProof/>
              </w:rPr>
              <w:t xml:space="preserve">A kiadások 2023-ra vonatkozó éves felülvizsgálatának lezárása, hivatkozva a 2022-ben </w:t>
            </w:r>
            <w:r>
              <w:rPr>
                <w:noProof/>
              </w:rPr>
              <w:t>2023-ra kitűzött megtakarítási célra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4BD7FE" w14:textId="77777777" w:rsidR="003F5418" w:rsidRDefault="002A6C25">
            <w:pPr>
              <w:pStyle w:val="P68B1DB1-Normal4"/>
              <w:jc w:val="center"/>
              <w:rPr>
                <w:rFonts w:cs="Arial"/>
                <w:noProof/>
              </w:rPr>
            </w:pPr>
            <w:r>
              <w:rPr>
                <w:noProof/>
              </w:rPr>
              <w:t>A 2023. évi kiadások felülvizsgálatáról szóló pénzügyminisztériumi jelentés elfogadása, amely tanúsítja a folyamat befejezését és a cél elérését.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A9FE67"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1B6BF"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1C84A4"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7197DD0"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FC86AF"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78D2F" w14:textId="77777777" w:rsidR="003F5418" w:rsidRDefault="002A6C25">
            <w:pPr>
              <w:pStyle w:val="P68B1DB1-Normal4"/>
              <w:spacing w:after="120"/>
              <w:rPr>
                <w:rFonts w:cs="Arial"/>
                <w:noProof/>
              </w:rPr>
            </w:pPr>
            <w:r>
              <w:rPr>
                <w:noProof/>
              </w:rPr>
              <w:t>A 2016. évi 90. és 93. törvényerejű rendelet, v</w:t>
            </w:r>
            <w:r>
              <w:rPr>
                <w:noProof/>
              </w:rPr>
              <w:t>alamint a 163/2016. sz. törvény értelmében a Minisztertanács részére továbbítandó Pénzügyminisztériumi jelentés:</w:t>
            </w:r>
          </w:p>
          <w:p w14:paraId="6B804B51" w14:textId="77777777" w:rsidR="003F5418" w:rsidRDefault="002A6C25">
            <w:pPr>
              <w:pStyle w:val="P68B1DB1-Normal4"/>
              <w:spacing w:after="120"/>
              <w:rPr>
                <w:rFonts w:cs="Arial"/>
                <w:noProof/>
              </w:rPr>
            </w:pPr>
            <w:r>
              <w:rPr>
                <w:noProof/>
              </w:rPr>
              <w:t>a kiadások felülvizsgálatára vonatkozó keretre vonatkozó rendelkezés tekintetében igazolja a kiadások 2023. évi felülvizsgálati folyamatának be</w:t>
            </w:r>
            <w:r>
              <w:rPr>
                <w:noProof/>
              </w:rPr>
              <w:t>fejezését.</w:t>
            </w:r>
          </w:p>
          <w:p w14:paraId="33D65D62" w14:textId="77777777" w:rsidR="003F5418" w:rsidRDefault="002A6C25">
            <w:pPr>
              <w:pStyle w:val="P68B1DB1-Normal4"/>
              <w:spacing w:after="120"/>
              <w:rPr>
                <w:rFonts w:cs="Arial"/>
                <w:noProof/>
              </w:rPr>
            </w:pPr>
            <w:r>
              <w:rPr>
                <w:noProof/>
              </w:rPr>
              <w:t>igazolja a 2022-ben kitűzött cél elérését.</w:t>
            </w:r>
          </w:p>
        </w:tc>
      </w:tr>
      <w:tr w:rsidR="003F5418" w14:paraId="56700CCB"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D9C5CE" w14:textId="77777777" w:rsidR="003F5418" w:rsidRDefault="002A6C25">
            <w:pPr>
              <w:pStyle w:val="P68B1DB1-Normal4"/>
              <w:jc w:val="center"/>
              <w:rPr>
                <w:rFonts w:cs="Arial"/>
                <w:noProof/>
              </w:rPr>
            </w:pPr>
            <w:r>
              <w:rPr>
                <w:noProof/>
              </w:rPr>
              <w:t>M1C1–112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866C71"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B0784"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5C0BF9" w14:textId="77777777" w:rsidR="003F5418" w:rsidRDefault="002A6C25">
            <w:pPr>
              <w:pStyle w:val="P68B1DB1-Normal4"/>
              <w:jc w:val="center"/>
              <w:rPr>
                <w:rFonts w:cs="Arial"/>
                <w:noProof/>
              </w:rPr>
            </w:pPr>
            <w:r>
              <w:rPr>
                <w:noProof/>
              </w:rPr>
              <w:t>Az adóhatóság működési kapacitásának javítása az Adóhivatal „2021–2023-as teljesítménytervében” foglaltak szerint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443211"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416B26" w14:textId="77777777" w:rsidR="003F5418" w:rsidRDefault="002A6C25">
            <w:pPr>
              <w:pStyle w:val="P68B1DB1-Normal4"/>
              <w:jc w:val="center"/>
              <w:rPr>
                <w:rFonts w:cs="Arial"/>
                <w:noProof/>
              </w:rPr>
            </w:pPr>
            <w:r>
              <w:rPr>
                <w:noProof/>
              </w:rPr>
              <w:t>Munkaerő-felvételek száma</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B87AC1"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4A11CF" w14:textId="77777777" w:rsidR="003F5418" w:rsidRDefault="002A6C25">
            <w:pPr>
              <w:pStyle w:val="P68B1DB1-Normal4"/>
              <w:jc w:val="center"/>
              <w:rPr>
                <w:rFonts w:cs="Arial"/>
                <w:noProof/>
              </w:rPr>
            </w:pPr>
            <w:r>
              <w:rPr>
                <w:noProof/>
              </w:rPr>
              <w:t>4 113</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A07EB"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E946A" w14:textId="77777777" w:rsidR="003F5418" w:rsidRDefault="002A6C25">
            <w:pPr>
              <w:pStyle w:val="P68B1DB1-Normal4"/>
              <w:jc w:val="center"/>
              <w:rPr>
                <w:rFonts w:cs="Arial"/>
                <w:noProof/>
              </w:rPr>
            </w:pPr>
            <w:r>
              <w:rPr>
                <w:noProof/>
              </w:rPr>
              <w:t>2024</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00A2BC" w14:textId="77777777" w:rsidR="003F5418" w:rsidRDefault="002A6C25">
            <w:pPr>
              <w:pStyle w:val="P68B1DB1-Normal4"/>
              <w:spacing w:before="100" w:beforeAutospacing="1" w:after="120"/>
              <w:rPr>
                <w:rFonts w:cs="Arial"/>
                <w:noProof/>
              </w:rPr>
            </w:pPr>
            <w:r>
              <w:rPr>
                <w:noProof/>
              </w:rPr>
              <w:t>Az Adóhivatal személyzetét a „2021–2023-as teljesítménytervben” foglaltak szerint 4113 egységgel kell növelni.</w:t>
            </w:r>
          </w:p>
        </w:tc>
      </w:tr>
      <w:tr w:rsidR="003F5418" w14:paraId="0908759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7A363" w14:textId="77777777" w:rsidR="003F5418" w:rsidRDefault="002A6C25">
            <w:pPr>
              <w:pStyle w:val="P68B1DB1-Normal4"/>
              <w:jc w:val="center"/>
              <w:rPr>
                <w:rFonts w:cs="Arial"/>
                <w:noProof/>
              </w:rPr>
            </w:pPr>
            <w:r>
              <w:rPr>
                <w:noProof/>
              </w:rPr>
              <w:t>M1C1–113</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33C60F"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421705"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7A187A" w14:textId="77777777" w:rsidR="003F5418" w:rsidRDefault="002A6C25">
            <w:pPr>
              <w:pStyle w:val="P68B1DB1-Normal4"/>
              <w:jc w:val="center"/>
              <w:rPr>
                <w:rFonts w:cs="Arial"/>
                <w:noProof/>
              </w:rPr>
            </w:pPr>
            <w:r>
              <w:rPr>
                <w:noProof/>
              </w:rPr>
              <w:t>A „megfelelési levelek” nagyobb száma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09A4E2"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076485" w14:textId="77777777" w:rsidR="003F5418" w:rsidRDefault="002A6C25">
            <w:pPr>
              <w:pStyle w:val="P68B1DB1-Normal4"/>
              <w:jc w:val="center"/>
              <w:rPr>
                <w:rFonts w:cs="Arial"/>
                <w:noProof/>
              </w:rPr>
            </w:pPr>
            <w:r>
              <w:rPr>
                <w:noProof/>
              </w:rPr>
              <w:t>Szám</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803CD" w14:textId="77777777" w:rsidR="003F5418" w:rsidRDefault="002A6C25">
            <w:pPr>
              <w:pStyle w:val="P68B1DB1-Normal4"/>
              <w:jc w:val="center"/>
              <w:rPr>
                <w:rFonts w:cs="Arial"/>
                <w:noProof/>
              </w:rPr>
            </w:pPr>
            <w:r>
              <w:rPr>
                <w:noProof/>
              </w:rPr>
              <w:t>2 150 908</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A6C63B" w14:textId="77777777" w:rsidR="003F5418" w:rsidRDefault="002A6C25">
            <w:pPr>
              <w:pStyle w:val="P68B1DB1-Normal4"/>
              <w:jc w:val="center"/>
              <w:rPr>
                <w:rFonts w:cs="Arial"/>
                <w:noProof/>
              </w:rPr>
            </w:pPr>
            <w:r>
              <w:rPr>
                <w:noProof/>
              </w:rPr>
              <w:t>3 011 271</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0FC1D1" w14:textId="5A0A88D9" w:rsidR="003F5418" w:rsidRDefault="002A6C25">
            <w:pPr>
              <w:pStyle w:val="P68B1DB1-Normal4"/>
              <w:jc w:val="center"/>
              <w:rPr>
                <w:rFonts w:cs="Arial"/>
                <w:noProof/>
              </w:rPr>
            </w:pPr>
            <w:r>
              <w:rPr>
                <w:noProof/>
              </w:rPr>
              <w:t xml:space="preserve"> 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8B367B" w14:textId="6130DCB3"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B5F86E" w14:textId="77777777" w:rsidR="003F5418" w:rsidRDefault="002A6C25">
            <w:pPr>
              <w:pStyle w:val="P68B1DB1-Normal4"/>
              <w:spacing w:before="100" w:beforeAutospacing="1" w:after="120"/>
              <w:rPr>
                <w:rFonts w:cs="Arial"/>
                <w:noProof/>
              </w:rPr>
            </w:pPr>
            <w:r>
              <w:rPr>
                <w:noProof/>
              </w:rPr>
              <w:t xml:space="preserve">2019-hez képest </w:t>
            </w:r>
            <w:r>
              <w:rPr>
                <w:noProof/>
              </w:rPr>
              <w:t>legalább 40%-kal növelni kell azon „megfelelési levelek” számát, amelyek korai tájékoztatást nyújtanak az adófizetőknek, amennyiben szabálytalanságokat állapítottak meg.</w:t>
            </w:r>
          </w:p>
        </w:tc>
      </w:tr>
      <w:tr w:rsidR="003F5418" w14:paraId="2A3B73A7"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9415B2" w14:textId="77777777" w:rsidR="003F5418" w:rsidRDefault="002A6C25">
            <w:pPr>
              <w:pStyle w:val="P68B1DB1-Normal4"/>
              <w:jc w:val="center"/>
              <w:rPr>
                <w:rFonts w:cs="Arial"/>
                <w:noProof/>
              </w:rPr>
            </w:pPr>
            <w:r>
              <w:rPr>
                <w:noProof/>
              </w:rPr>
              <w:t>M1C1–114</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112075"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171DB2"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DAEC6F" w14:textId="77777777" w:rsidR="003F5418" w:rsidRDefault="002A6C25">
            <w:pPr>
              <w:pStyle w:val="P68B1DB1-Normal4"/>
              <w:jc w:val="center"/>
              <w:rPr>
                <w:rFonts w:cs="Arial"/>
                <w:noProof/>
              </w:rPr>
            </w:pPr>
            <w:r>
              <w:rPr>
                <w:noProof/>
              </w:rPr>
              <w:t xml:space="preserve">A „megfelelési levelek” által generált </w:t>
            </w:r>
            <w:r>
              <w:rPr>
                <w:noProof/>
              </w:rPr>
              <w:t>adóbevételek növekedése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AD5610"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B617A" w14:textId="77777777" w:rsidR="003F5418" w:rsidRDefault="002A6C25">
            <w:pPr>
              <w:pStyle w:val="P68B1DB1-Normal4"/>
              <w:jc w:val="center"/>
              <w:rPr>
                <w:rFonts w:cs="Arial"/>
                <w:noProof/>
              </w:rPr>
            </w:pPr>
            <w:r>
              <w:rPr>
                <w:noProof/>
              </w:rPr>
              <w:t>Euro</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6771F7" w14:textId="77777777" w:rsidR="003F5418" w:rsidRDefault="002A6C25">
            <w:pPr>
              <w:pStyle w:val="P68B1DB1-Normal4"/>
              <w:jc w:val="center"/>
              <w:rPr>
                <w:rFonts w:cs="Arial"/>
                <w:noProof/>
              </w:rPr>
            </w:pPr>
            <w:r>
              <w:rPr>
                <w:noProof/>
              </w:rPr>
              <w:t>2 130 000 000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8C101B" w14:textId="77777777" w:rsidR="003F5418" w:rsidRDefault="002A6C25">
            <w:pPr>
              <w:pStyle w:val="P68B1DB1-Normal4"/>
              <w:jc w:val="center"/>
              <w:rPr>
                <w:rFonts w:cs="Arial"/>
                <w:noProof/>
              </w:rPr>
            </w:pPr>
            <w:r>
              <w:rPr>
                <w:noProof/>
              </w:rPr>
              <w:t>2 769 000 000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52D3EB" w14:textId="2A8FA023" w:rsidR="003F5418" w:rsidRDefault="002A6C25">
            <w:pPr>
              <w:pStyle w:val="P68B1DB1-Normal4"/>
              <w:jc w:val="center"/>
              <w:rPr>
                <w:rFonts w:cs="Arial"/>
                <w:noProof/>
              </w:rPr>
            </w:pPr>
            <w:r>
              <w:rPr>
                <w:noProof/>
              </w:rPr>
              <w:t xml:space="preserve"> 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698BECF" w14:textId="62FF21C6" w:rsidR="003F5418" w:rsidRDefault="002A6C25">
            <w:pPr>
              <w:pStyle w:val="P68B1DB1-Normal4"/>
              <w:jc w:val="center"/>
              <w:rPr>
                <w:rFonts w:cs="Arial"/>
                <w:noProof/>
              </w:rPr>
            </w:pPr>
            <w:r>
              <w:rPr>
                <w:noProof/>
              </w:rPr>
              <w:t>2023</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DCB5E9" w14:textId="77777777" w:rsidR="003F5418" w:rsidRDefault="002A6C25">
            <w:pPr>
              <w:pStyle w:val="P68B1DB1-Normal4"/>
              <w:spacing w:before="100" w:beforeAutospacing="1" w:after="120"/>
              <w:rPr>
                <w:rFonts w:cs="Arial"/>
                <w:noProof/>
              </w:rPr>
            </w:pPr>
            <w:r>
              <w:rPr>
                <w:noProof/>
              </w:rPr>
              <w:t>A „megfelelési levelek” által generált adóbevétel 2019-hez képest 30%-kal nő.</w:t>
            </w:r>
          </w:p>
        </w:tc>
      </w:tr>
      <w:tr w:rsidR="003F5418" w14:paraId="5FED8225"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D09680" w14:textId="77777777" w:rsidR="003F5418" w:rsidRDefault="002A6C25">
            <w:pPr>
              <w:pStyle w:val="P68B1DB1-Normal4"/>
              <w:jc w:val="center"/>
              <w:rPr>
                <w:rFonts w:cs="Arial"/>
                <w:noProof/>
              </w:rPr>
            </w:pPr>
            <w:r>
              <w:rPr>
                <w:noProof/>
              </w:rPr>
              <w:t>M1C1–115</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2A7541" w14:textId="77777777" w:rsidR="003F5418" w:rsidRDefault="002A6C25">
            <w:pPr>
              <w:pStyle w:val="P68B1DB1-Normal4"/>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E126C3"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98F342" w14:textId="77777777" w:rsidR="003F5418" w:rsidRDefault="002A6C25">
            <w:pPr>
              <w:pStyle w:val="P68B1DB1-Normal4"/>
              <w:jc w:val="center"/>
              <w:rPr>
                <w:rFonts w:cs="Arial"/>
                <w:noProof/>
              </w:rPr>
            </w:pPr>
            <w:r>
              <w:rPr>
                <w:noProof/>
              </w:rPr>
              <w:t xml:space="preserve">A 2024. évi kiadások </w:t>
            </w:r>
            <w:r>
              <w:rPr>
                <w:noProof/>
              </w:rPr>
              <w:t>éves felülvizsgálatának lezárása, hivatkozással a 2022-ben és 2023-ban 2024-re kitűzött megtakarítási célra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B924E3" w14:textId="77777777" w:rsidR="003F5418" w:rsidRDefault="002A6C25">
            <w:pPr>
              <w:pStyle w:val="P68B1DB1-Normal4"/>
              <w:jc w:val="center"/>
              <w:rPr>
                <w:rFonts w:cs="Arial"/>
                <w:noProof/>
              </w:rPr>
            </w:pPr>
            <w:r>
              <w:rPr>
                <w:noProof/>
              </w:rPr>
              <w:t>A 2024. évi kiadások felülvizsgálatáról szóló pénzügyminisztériumi jelentés elfogadása, amely tanúsítja a folyamat befejezését és a cél elérését.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C8E052" w14:textId="77777777" w:rsidR="003F5418" w:rsidRDefault="002A6C25">
            <w:pPr>
              <w:pStyle w:val="P68B1DB1-Normal4"/>
              <w:jc w:val="center"/>
              <w:rPr>
                <w:rFonts w:cs="Arial"/>
                <w:noProof/>
              </w:rPr>
            </w:pPr>
            <w:r>
              <w:rPr>
                <w:noProof/>
              </w:rPr>
              <w:t>NI</w:t>
            </w:r>
            <w:r>
              <w:rPr>
                <w:noProof/>
              </w:rPr>
              <w:t>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528B0B"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AD1C5B"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25B688"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D879C3"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C41F6E" w14:textId="77777777" w:rsidR="003F5418" w:rsidRDefault="002A6C25">
            <w:pPr>
              <w:pStyle w:val="P68B1DB1-Normal4"/>
              <w:spacing w:after="120"/>
              <w:rPr>
                <w:rFonts w:cs="Arial"/>
                <w:noProof/>
              </w:rPr>
            </w:pPr>
            <w:r>
              <w:rPr>
                <w:noProof/>
              </w:rPr>
              <w:t>A 2016. évi 90. és 93. törvényerejű rendelet, valamint a 163/2016. sz. törvény értelmében a Minisztertanács részére továbbítandó Pénzügyminisztériumi jelentés:</w:t>
            </w:r>
          </w:p>
          <w:p w14:paraId="5CF6A6E3" w14:textId="77777777" w:rsidR="003F5418" w:rsidRDefault="002A6C25">
            <w:pPr>
              <w:pStyle w:val="P68B1DB1-Normal4"/>
              <w:spacing w:after="120"/>
              <w:rPr>
                <w:rFonts w:cs="Arial"/>
                <w:noProof/>
              </w:rPr>
            </w:pPr>
            <w:r>
              <w:rPr>
                <w:noProof/>
              </w:rPr>
              <w:t>– igazolja, hogy a kiadások felülvizsgálati keretére vonatkozó rendelkez</w:t>
            </w:r>
            <w:r>
              <w:rPr>
                <w:noProof/>
              </w:rPr>
              <w:t>és tekintetében lezárult a 2024. évi kiadások felülvizsgálati folyamata.</w:t>
            </w:r>
          </w:p>
          <w:p w14:paraId="7D6D29E7" w14:textId="77777777" w:rsidR="003F5418" w:rsidRDefault="002A6C25">
            <w:pPr>
              <w:pStyle w:val="P68B1DB1-Normal4"/>
              <w:spacing w:after="120"/>
              <w:rPr>
                <w:rFonts w:cs="Arial"/>
                <w:noProof/>
              </w:rPr>
            </w:pPr>
            <w:r>
              <w:rPr>
                <w:noProof/>
              </w:rPr>
              <w:t>– igazolja a 2022-ben és 2023-ban kitűzött cél elérését.</w:t>
            </w:r>
          </w:p>
        </w:tc>
      </w:tr>
      <w:tr w:rsidR="003F5418" w14:paraId="03B31873"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A6AFC4" w14:textId="77777777" w:rsidR="003F5418" w:rsidRDefault="002A6C25">
            <w:pPr>
              <w:pStyle w:val="P68B1DB1-Normal4"/>
              <w:jc w:val="center"/>
              <w:rPr>
                <w:rFonts w:cs="Arial"/>
                <w:noProof/>
              </w:rPr>
            </w:pPr>
            <w:r>
              <w:rPr>
                <w:noProof/>
              </w:rPr>
              <w:t>M1C1–116</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6B1C260" w14:textId="77777777" w:rsidR="003F5418" w:rsidRDefault="002A6C25">
            <w:pPr>
              <w:pStyle w:val="P68B1DB1-Normal4"/>
              <w:jc w:val="center"/>
              <w:rPr>
                <w:rFonts w:cs="Arial"/>
                <w:noProof/>
              </w:rPr>
            </w:pPr>
            <w:r>
              <w:rPr>
                <w:noProof/>
              </w:rPr>
              <w:t>Reform: 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7AC459"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CB849E" w14:textId="77777777" w:rsidR="003F5418" w:rsidRDefault="002A6C25">
            <w:pPr>
              <w:pStyle w:val="P68B1DB1-Normal4"/>
              <w:jc w:val="center"/>
              <w:rPr>
                <w:rFonts w:cs="Arial"/>
                <w:noProof/>
              </w:rPr>
            </w:pPr>
            <w:r>
              <w:rPr>
                <w:noProof/>
              </w:rPr>
              <w:t xml:space="preserve">Az adókijátszás csökkentése az „elkerülésre való törekvés” mutató meghatározása </w:t>
            </w:r>
            <w:r>
              <w:rPr>
                <w:noProof/>
              </w:rPr>
              <w:t>szerint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AB65A8"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67CA14"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C03869"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40D123" w14:textId="77777777" w:rsidR="003F5418" w:rsidRDefault="002A6C25">
            <w:pPr>
              <w:pStyle w:val="P68B1DB1-Normal4"/>
              <w:jc w:val="center"/>
              <w:rPr>
                <w:rFonts w:cs="Arial"/>
                <w:noProof/>
              </w:rPr>
            </w:pPr>
            <w:r>
              <w:rPr>
                <w:noProof/>
              </w:rPr>
              <w:t>–5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A40003" w14:textId="77777777" w:rsidR="003F5418" w:rsidRDefault="002A6C25">
            <w:pPr>
              <w:pStyle w:val="P68B1DB1-Normal4"/>
              <w:jc w:val="center"/>
              <w:rPr>
                <w:rFonts w:cs="Arial"/>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A133D3" w14:textId="77777777" w:rsidR="003F5418" w:rsidRDefault="002A6C25">
            <w:pPr>
              <w:pStyle w:val="P68B1DB1-Normal4"/>
              <w:jc w:val="center"/>
              <w:rPr>
                <w:rFonts w:cs="Arial"/>
                <w:noProof/>
              </w:rPr>
            </w:pPr>
            <w:r>
              <w:rPr>
                <w:noProof/>
              </w:rPr>
              <w:t>2025</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F4E2375" w14:textId="77777777" w:rsidR="003F5418" w:rsidRDefault="002A6C25">
            <w:pPr>
              <w:pStyle w:val="P68B1DB1-Normal4"/>
              <w:spacing w:before="100" w:beforeAutospacing="1" w:after="120"/>
              <w:rPr>
                <w:rFonts w:cs="Arial"/>
                <w:noProof/>
              </w:rPr>
            </w:pPr>
            <w:r>
              <w:rPr>
                <w:noProof/>
              </w:rPr>
              <w:t>Az ingatlanadók (Imposta Municipale Unica) és a jövedéki adók kivételével az „elkerülési arány” 2023-ban a 2019. évi alapforgatókönyv 5%-ával alacsonyabb lesz 2019-hez képest. A 2019. évi referenciabecslést bele kell fog</w:t>
            </w:r>
            <w:r>
              <w:rPr>
                <w:noProof/>
              </w:rPr>
              <w:t>lalni az árnyékgazdaságról szóló, 2021 novemberében közzéteendő aktualizált kormányzati jelentésbe a 160/2015. sz. törvényerejű rendelet 2. cikkében foglalt rendelkezéseknek megfelelően. Az 5%-os csökkentést ugyanazon jelentésnek a 2023-as adóévre vonatkoz</w:t>
            </w:r>
            <w:r>
              <w:rPr>
                <w:noProof/>
              </w:rPr>
              <w:t>ó adatok alapján 2025 novemberében közzéteendő aktualizált évjáratában szereplő becslések alapján kell betartani.</w:t>
            </w:r>
          </w:p>
        </w:tc>
      </w:tr>
      <w:tr w:rsidR="003F5418" w14:paraId="1BFDB91C"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8BD9832" w14:textId="77777777" w:rsidR="003F5418" w:rsidRDefault="002A6C25">
            <w:pPr>
              <w:pStyle w:val="P68B1DB1-Normal4"/>
              <w:jc w:val="center"/>
              <w:rPr>
                <w:rFonts w:cs="Arial"/>
                <w:noProof/>
              </w:rPr>
            </w:pPr>
            <w:r>
              <w:rPr>
                <w:noProof/>
              </w:rPr>
              <w:t>M1C1–117</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847447" w14:textId="77777777" w:rsidR="003F5418" w:rsidRDefault="002A6C25">
            <w:pPr>
              <w:pStyle w:val="P68B1DB1-Normal4"/>
              <w:spacing w:line="276" w:lineRule="auto"/>
              <w:jc w:val="center"/>
              <w:rPr>
                <w:rFonts w:cs="Arial"/>
                <w:noProof/>
              </w:rPr>
            </w:pPr>
            <w:r>
              <w:rPr>
                <w:noProof/>
              </w:rPr>
              <w:t>Reform:</w:t>
            </w:r>
          </w:p>
          <w:p w14:paraId="306DB7E3" w14:textId="77777777" w:rsidR="003F5418" w:rsidRDefault="002A6C25">
            <w:pPr>
              <w:pStyle w:val="P68B1DB1-Normal4"/>
              <w:spacing w:line="276" w:lineRule="auto"/>
              <w:jc w:val="center"/>
              <w:rPr>
                <w:rFonts w:cs="Arial"/>
                <w:noProof/>
              </w:rPr>
            </w:pPr>
            <w:r>
              <w:rPr>
                <w:noProof/>
              </w:rPr>
              <w:t>Az államháztartási számviteli szabályok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344F1C"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CBE898" w14:textId="654C3156" w:rsidR="003F5418" w:rsidRDefault="002A6C25">
            <w:pPr>
              <w:pStyle w:val="P68B1DB1-Normal4"/>
              <w:jc w:val="center"/>
              <w:rPr>
                <w:rFonts w:cs="Arial"/>
                <w:noProof/>
              </w:rPr>
            </w:pPr>
            <w:r>
              <w:rPr>
                <w:noProof/>
              </w:rPr>
              <w:t>Az új eredményszemléletű számviteli rendszerre való átállásra kiképzett</w:t>
            </w:r>
            <w:r>
              <w:rPr>
                <w:noProof/>
              </w:rPr>
              <w:t xml:space="preserve"> közintézmények képviselői</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A7002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BD0E5D" w14:textId="370D92B3" w:rsidR="003F5418" w:rsidRDefault="002A6C25">
            <w:pPr>
              <w:pStyle w:val="P68B1DB1-Normal4"/>
              <w:jc w:val="center"/>
              <w:rPr>
                <w:rFonts w:cs="Arial"/>
                <w:noProof/>
              </w:rPr>
            </w:pPr>
            <w:r>
              <w:rPr>
                <w:noProof/>
              </w:rPr>
              <w:t xml:space="preserve">Százalék </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DCE2D9"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7693C" w14:textId="6C35BC53" w:rsidR="003F5418" w:rsidRDefault="002A6C25">
            <w:pPr>
              <w:pStyle w:val="P68B1DB1-Normal4"/>
              <w:jc w:val="center"/>
              <w:rPr>
                <w:rFonts w:cs="Arial"/>
                <w:noProof/>
              </w:rPr>
            </w:pPr>
            <w:r>
              <w:rPr>
                <w:noProof/>
              </w:rPr>
              <w:t>90</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8D0ACD"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E41273"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46D32" w14:textId="5B3AB9C0" w:rsidR="003F5418" w:rsidRDefault="002A6C25">
            <w:pPr>
              <w:pStyle w:val="P68B1DB1-Normal4"/>
              <w:rPr>
                <w:rFonts w:cs="Arial"/>
                <w:noProof/>
              </w:rPr>
            </w:pPr>
            <w:r>
              <w:rPr>
                <w:noProof/>
              </w:rPr>
              <w:t xml:space="preserve">A közszektorbeli intézmények képviselői számára az új eredményszemléletű számviteli rendszerre való áttérésre irányuló képzés első fordulójának vége, amely a teljes közszektor elsődleges kiadásainak </w:t>
            </w:r>
            <w:r>
              <w:rPr>
                <w:noProof/>
              </w:rPr>
              <w:t>legalább 90%-át fedezi.</w:t>
            </w:r>
          </w:p>
        </w:tc>
      </w:tr>
      <w:tr w:rsidR="003F5418" w14:paraId="66B33479"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B32583" w14:textId="77777777" w:rsidR="003F5418" w:rsidRDefault="002A6C25">
            <w:pPr>
              <w:pStyle w:val="P68B1DB1-Normal4"/>
              <w:jc w:val="center"/>
              <w:rPr>
                <w:rFonts w:cs="Arial"/>
                <w:noProof/>
              </w:rPr>
            </w:pPr>
            <w:r>
              <w:rPr>
                <w:noProof/>
              </w:rPr>
              <w:t>M1C1–118</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2FCBA" w14:textId="77777777" w:rsidR="003F5418" w:rsidRDefault="002A6C25">
            <w:pPr>
              <w:pStyle w:val="P68B1DB1-Normal4"/>
              <w:spacing w:line="276" w:lineRule="auto"/>
              <w:jc w:val="center"/>
              <w:rPr>
                <w:rFonts w:cs="Arial"/>
                <w:noProof/>
              </w:rPr>
            </w:pPr>
            <w:bookmarkStart w:id="6" w:name="_Hlk160472732"/>
            <w:r>
              <w:rPr>
                <w:noProof/>
              </w:rPr>
              <w:t>Reform:</w:t>
            </w:r>
          </w:p>
          <w:p w14:paraId="5B963D9E" w14:textId="77777777" w:rsidR="003F5418" w:rsidRDefault="002A6C25">
            <w:pPr>
              <w:pStyle w:val="P68B1DB1-Normal4"/>
              <w:spacing w:line="276" w:lineRule="auto"/>
              <w:jc w:val="center"/>
              <w:rPr>
                <w:rFonts w:cs="Arial"/>
                <w:noProof/>
              </w:rPr>
            </w:pPr>
            <w:r>
              <w:rPr>
                <w:noProof/>
              </w:rPr>
              <w:t>Az államháztartási számviteli szabályok reformja</w:t>
            </w:r>
            <w:bookmarkEnd w:id="6"/>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6AC45"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CB8CB0" w14:textId="1EC1AA6E" w:rsidR="003F5418" w:rsidRDefault="002A6C25">
            <w:pPr>
              <w:pStyle w:val="P68B1DB1-Normal4"/>
              <w:jc w:val="center"/>
              <w:rPr>
                <w:rFonts w:cs="Arial"/>
                <w:noProof/>
              </w:rPr>
            </w:pPr>
            <w:r>
              <w:rPr>
                <w:noProof/>
              </w:rPr>
              <w:t xml:space="preserve">Pénzügyi kimutatások kibocsátása és a </w:t>
            </w:r>
            <w:r>
              <w:rPr>
                <w:noProof/>
              </w:rPr>
              <w:t xml:space="preserve">közszektorbeli intézményekre vonatkozó eredményszemléletű számvitelről szóló jogalkotási aktus hatálybalépése, amely a teljes közszektor elsődleges kiadásainak legalább 90%-át fedezi. </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10990" w14:textId="1F2CB6E3" w:rsidR="003F5418" w:rsidRDefault="002A6C25">
            <w:pPr>
              <w:pStyle w:val="P68B1DB1-Normal4"/>
              <w:jc w:val="center"/>
              <w:rPr>
                <w:rFonts w:cs="Arial"/>
                <w:noProof/>
              </w:rPr>
            </w:pPr>
            <w:r>
              <w:rPr>
                <w:noProof/>
              </w:rPr>
              <w:t>A jogalkotási aktusban szereplő, a jogalkotási aktus hatálybalépését fe</w:t>
            </w:r>
            <w:r>
              <w:rPr>
                <w:noProof/>
              </w:rPr>
              <w:t>ltüntető rendelkezés. A közszektorbeli intézmények eredményszemléletű elszámolására vonatkozó valamennyi végrehajtási intézkedés (beleértve az iránymutatásokat, a működési kézikönyveket és a képzési programot) hatálybalépése, amely a teljes közszektor első</w:t>
            </w:r>
            <w:r>
              <w:rPr>
                <w:noProof/>
              </w:rPr>
              <w:t>dleges kiadásainak legalább 90%-át fedezi.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438BA0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4624F0"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040F6F"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10617"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E3886E"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5C943" w14:textId="0BAA0D1B" w:rsidR="003F5418" w:rsidRDefault="002A6C25">
            <w:pPr>
              <w:pStyle w:val="P68B1DB1-Normal4"/>
              <w:spacing w:after="120"/>
              <w:rPr>
                <w:rFonts w:cs="Arial"/>
                <w:noProof/>
              </w:rPr>
            </w:pPr>
            <w:r>
              <w:rPr>
                <w:noProof/>
              </w:rPr>
              <w:t>Az államháztartási számviteli szabályokról szóló jogalkotási aktus kísérleti szakaszaként a közszektorbeli intézmények számára a teljes közszféra elsődleges kiadásainak legalább 90%-át le</w:t>
            </w:r>
            <w:r>
              <w:rPr>
                <w:noProof/>
              </w:rPr>
              <w:t>fedő közigazgatási pénzügyi kimutatásokat kell kiadni.</w:t>
            </w:r>
          </w:p>
          <w:p w14:paraId="5B36FF5B" w14:textId="4D05BDA5" w:rsidR="003F5418" w:rsidRDefault="002A6C25">
            <w:pPr>
              <w:spacing w:after="120"/>
              <w:rPr>
                <w:rFonts w:ascii="Arial Narrow" w:hAnsi="Arial Narrow" w:cs="Arial"/>
                <w:noProof/>
                <w:color w:val="006100"/>
                <w:sz w:val="20"/>
              </w:rPr>
            </w:pPr>
            <w:r>
              <w:rPr>
                <w:rFonts w:ascii="Arial Narrow" w:hAnsi="Arial Narrow"/>
                <w:noProof/>
                <w:color w:val="006100"/>
                <w:sz w:val="20"/>
              </w:rPr>
              <w:t>Hatályba lép továbbá egy olyan jogalkotási aktus, amely előírja, hogy 2027-től a teljes közszektor elsődleges kiadásainak legalább 90%-át lefedő új eredményszemléletű számviteli rendszert kell bevezetn</w:t>
            </w:r>
            <w:r>
              <w:rPr>
                <w:rFonts w:ascii="Arial Narrow" w:hAnsi="Arial Narrow"/>
                <w:noProof/>
                <w:color w:val="006100"/>
                <w:sz w:val="20"/>
              </w:rPr>
              <w:t>i a közszektorbeli intézmények számára.</w:t>
            </w:r>
            <w:r>
              <w:rPr>
                <w:noProof/>
              </w:rPr>
              <w:t xml:space="preserve"> </w:t>
            </w:r>
            <w:r>
              <w:rPr>
                <w:noProof/>
              </w:rPr>
              <w:br/>
            </w:r>
          </w:p>
          <w:p w14:paraId="67EF351A" w14:textId="59338309" w:rsidR="003F5418" w:rsidRDefault="002A6C25">
            <w:pPr>
              <w:pStyle w:val="P68B1DB1-Normal4"/>
              <w:spacing w:after="120"/>
              <w:rPr>
                <w:rFonts w:cs="Arial"/>
                <w:noProof/>
              </w:rPr>
            </w:pPr>
            <w:r>
              <w:rPr>
                <w:noProof/>
              </w:rPr>
              <w:t xml:space="preserve">Ezen túlmenően a következő végrehajtási intézkedések lépnek hatályba: </w:t>
            </w:r>
          </w:p>
          <w:p w14:paraId="2D927585" w14:textId="5A5B4446" w:rsidR="003F5418" w:rsidRDefault="002A6C25">
            <w:pPr>
              <w:spacing w:after="120"/>
              <w:rPr>
                <w:rFonts w:ascii="Arial Narrow" w:hAnsi="Arial Narrow" w:cs="Arial"/>
                <w:noProof/>
                <w:color w:val="006100"/>
                <w:sz w:val="20"/>
              </w:rPr>
            </w:pPr>
            <w:r>
              <w:rPr>
                <w:rFonts w:ascii="Arial Narrow" w:hAnsi="Arial Narrow"/>
                <w:noProof/>
                <w:color w:val="006100"/>
                <w:sz w:val="20"/>
              </w:rPr>
              <w:t>(1) A számviteli standardok alkalmazására vonatkozó iránymutatás(ok) és működési kézikönyv(ek), a gazdasági szereplőket támogató példákkal és g</w:t>
            </w:r>
            <w:r>
              <w:rPr>
                <w:rFonts w:ascii="Arial Narrow" w:hAnsi="Arial Narrow"/>
                <w:noProof/>
                <w:color w:val="006100"/>
                <w:sz w:val="20"/>
              </w:rPr>
              <w:t xml:space="preserve">yakorlati észrevételekkel együtt; és </w:t>
            </w:r>
            <w:r>
              <w:rPr>
                <w:noProof/>
              </w:rPr>
              <w:t xml:space="preserve"> </w:t>
            </w:r>
            <w:r>
              <w:rPr>
                <w:noProof/>
              </w:rPr>
              <w:br/>
            </w:r>
            <w:r>
              <w:rPr>
                <w:rFonts w:ascii="Arial Narrow" w:hAnsi="Arial Narrow"/>
                <w:noProof/>
                <w:color w:val="006100"/>
                <w:sz w:val="20"/>
              </w:rPr>
              <w:t>Képzési program: képzési programok létrehozása az új eredményszemléletű számviteli rendszerre való áttérés érdekében.</w:t>
            </w:r>
          </w:p>
        </w:tc>
      </w:tr>
      <w:tr w:rsidR="003F5418" w14:paraId="1408A2D0"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3F0F8E7" w14:textId="11908C33" w:rsidR="003F5418" w:rsidRDefault="002A6C25">
            <w:pPr>
              <w:pStyle w:val="P68B1DB1-Normal4"/>
              <w:jc w:val="center"/>
              <w:rPr>
                <w:rFonts w:cs="Arial"/>
                <w:noProof/>
              </w:rPr>
            </w:pPr>
            <w:r>
              <w:rPr>
                <w:noProof/>
              </w:rPr>
              <w:t>M1C1–119</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895B75" w14:textId="77777777" w:rsidR="003F5418" w:rsidRDefault="002A6C25">
            <w:pPr>
              <w:pStyle w:val="P68B1DB1-Normal4"/>
              <w:spacing w:line="276" w:lineRule="auto"/>
              <w:jc w:val="center"/>
              <w:rPr>
                <w:rFonts w:cs="Arial"/>
                <w:noProof/>
              </w:rPr>
            </w:pPr>
            <w:r>
              <w:rPr>
                <w:noProof/>
              </w:rPr>
              <w:t>Reform:</w:t>
            </w:r>
          </w:p>
          <w:p w14:paraId="0686716C" w14:textId="77777777" w:rsidR="003F5418" w:rsidRDefault="002A6C25">
            <w:pPr>
              <w:pStyle w:val="P68B1DB1-Normal4"/>
              <w:spacing w:line="276" w:lineRule="auto"/>
              <w:jc w:val="center"/>
              <w:rPr>
                <w:rFonts w:cs="Arial"/>
                <w:noProof/>
              </w:rPr>
            </w:pPr>
            <w:r>
              <w:rPr>
                <w:noProof/>
              </w:rPr>
              <w:t>A szubnacionális költségvetési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B9EE82"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FFECDB" w14:textId="77777777" w:rsidR="003F5418" w:rsidRDefault="002A6C25">
            <w:pPr>
              <w:pStyle w:val="P68B1DB1-Normal4"/>
              <w:jc w:val="center"/>
              <w:rPr>
                <w:rFonts w:cs="Arial"/>
                <w:noProof/>
              </w:rPr>
            </w:pPr>
            <w:r>
              <w:rPr>
                <w:noProof/>
              </w:rPr>
              <w:t xml:space="preserve">A regionális fiskális </w:t>
            </w:r>
            <w:r>
              <w:rPr>
                <w:noProof/>
              </w:rPr>
              <w:t>föderalizmus végrehajtását célzó elsődleges és másodlagos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2E82AD" w14:textId="77777777" w:rsidR="003F5418" w:rsidRDefault="002A6C25">
            <w:pPr>
              <w:pStyle w:val="P68B1DB1-Normal4"/>
              <w:jc w:val="center"/>
              <w:rPr>
                <w:rFonts w:cs="Arial"/>
                <w:noProof/>
              </w:rPr>
            </w:pPr>
            <w:r>
              <w:rPr>
                <w:noProof/>
              </w:rPr>
              <w:t>A törvény azon rendelkezése, amely a költségvetési föderalizmus hatálybalépését írja elő a rendes jogállású régiókban.</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57D6BB"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D57A09"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B76449"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F8F4D7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9C8FC0"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437C6A" w14:textId="77777777" w:rsidR="003F5418" w:rsidRDefault="002A6C25">
            <w:pPr>
              <w:pStyle w:val="P68B1DB1-Normal4"/>
              <w:spacing w:after="120"/>
              <w:rPr>
                <w:rFonts w:cs="Arial"/>
                <w:noProof/>
              </w:rPr>
            </w:pPr>
            <w:r>
              <w:rPr>
                <w:noProof/>
              </w:rPr>
              <w:t>A költségvetési föderaliz</w:t>
            </w:r>
            <w:r>
              <w:rPr>
                <w:noProof/>
              </w:rPr>
              <w:t>mus („Federalismo fiscale”) szabályozási keretének hatálybalépése a hatályos 42/2009. sz. hatáskör-átruházási törvényben előírtak szerint. Az elsődleges és a másodlagos jog meghatározza a legutóbb a 176/2020. sz. törvénnyel módosított 68/2011. sz. törvénye</w:t>
            </w:r>
            <w:r>
              <w:rPr>
                <w:noProof/>
              </w:rPr>
              <w:t>rejű rendeletben (1–15. cikk) meghatározott rendes jogállású régiók költségvetési föderalizmusának végrehajtásához szükséges paramétereket (31. cikk).</w:t>
            </w:r>
          </w:p>
        </w:tc>
      </w:tr>
      <w:tr w:rsidR="003F5418" w14:paraId="0E15F6A6"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5AB0CC" w14:textId="77777777" w:rsidR="003F5418" w:rsidRDefault="002A6C25">
            <w:pPr>
              <w:pStyle w:val="P68B1DB1-Normal4"/>
              <w:jc w:val="center"/>
              <w:rPr>
                <w:rFonts w:cs="Arial"/>
                <w:noProof/>
              </w:rPr>
            </w:pPr>
            <w:r>
              <w:rPr>
                <w:noProof/>
              </w:rPr>
              <w:t>M1C1–120</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3D5487" w14:textId="77777777" w:rsidR="003F5418" w:rsidRDefault="002A6C25">
            <w:pPr>
              <w:pStyle w:val="P68B1DB1-Normal4"/>
              <w:spacing w:line="276" w:lineRule="auto"/>
              <w:jc w:val="center"/>
              <w:rPr>
                <w:rFonts w:cs="Arial"/>
                <w:noProof/>
              </w:rPr>
            </w:pPr>
            <w:r>
              <w:rPr>
                <w:noProof/>
              </w:rPr>
              <w:t>Reform:</w:t>
            </w:r>
          </w:p>
          <w:p w14:paraId="6FE0B7C0" w14:textId="77777777" w:rsidR="003F5418" w:rsidRDefault="002A6C25">
            <w:pPr>
              <w:pStyle w:val="P68B1DB1-Normal4"/>
              <w:spacing w:line="276" w:lineRule="auto"/>
              <w:jc w:val="center"/>
              <w:rPr>
                <w:rFonts w:cs="Arial"/>
                <w:noProof/>
              </w:rPr>
            </w:pPr>
            <w:r>
              <w:rPr>
                <w:noProof/>
              </w:rPr>
              <w:t>A szubnacionális költségvetési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AF63292"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EBB37" w14:textId="77777777" w:rsidR="003F5418" w:rsidRDefault="002A6C25">
            <w:pPr>
              <w:pStyle w:val="P68B1DB1-Normal4"/>
              <w:jc w:val="center"/>
              <w:rPr>
                <w:rFonts w:cs="Arial"/>
                <w:noProof/>
              </w:rPr>
            </w:pPr>
            <w:r>
              <w:rPr>
                <w:noProof/>
              </w:rPr>
              <w:t xml:space="preserve">A regionális fiskális </w:t>
            </w:r>
            <w:r>
              <w:rPr>
                <w:noProof/>
              </w:rPr>
              <w:t>föderalizmus végrehajtását célzó elsődleges és másodlagos jogszabályok hatálybalépése</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2550" w14:textId="77777777" w:rsidR="003F5418" w:rsidRDefault="002A6C25">
            <w:pPr>
              <w:pStyle w:val="P68B1DB1-Normal4"/>
              <w:jc w:val="center"/>
              <w:rPr>
                <w:rFonts w:cs="Arial"/>
                <w:noProof/>
              </w:rPr>
            </w:pPr>
            <w:r>
              <w:rPr>
                <w:noProof/>
              </w:rPr>
              <w:t>A törvény azon rendelkezése, amely a tartományok és nagyvárosok esetében a fiskális föderalizmus hatálybalépését jelzi.</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E1637A"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B20B00"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CC402"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D865BC" w14:textId="77777777" w:rsidR="003F5418" w:rsidRDefault="002A6C25">
            <w:pPr>
              <w:pStyle w:val="P68B1DB1-Normal4"/>
              <w:jc w:val="center"/>
              <w:rPr>
                <w:rFonts w:cs="Arial"/>
                <w:noProof/>
              </w:rPr>
            </w:pPr>
            <w:r>
              <w:rPr>
                <w:noProof/>
              </w:rPr>
              <w:t>Q1</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C38B14"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BB576E" w14:textId="2836C6DA" w:rsidR="003F5418" w:rsidRDefault="002A6C25">
            <w:pPr>
              <w:pStyle w:val="P68B1DB1-Normal4"/>
              <w:rPr>
                <w:rFonts w:cs="Arial"/>
                <w:noProof/>
              </w:rPr>
            </w:pPr>
            <w:r>
              <w:rPr>
                <w:noProof/>
              </w:rPr>
              <w:t xml:space="preserve">A költségvetési </w:t>
            </w:r>
            <w:r>
              <w:rPr>
                <w:noProof/>
              </w:rPr>
              <w:t>föderalizmus („Federalismo fiscale”) szabályozási keretének hatálybalépése a hatályos 42/2009. sz. hatáskör-átruházási törvényben előírtak szerint. Különösen az elsődleges és másodlagos jog határozza meg a legutóbb a 178/2020. sz. törvénnyel (1. cikk) módo</w:t>
            </w:r>
            <w:r>
              <w:rPr>
                <w:noProof/>
              </w:rPr>
              <w:t>sított 68/2011. sz. törvényerejű rendeletben (1–15. cikk) meghatározott, a tartományokra és nagyvárosokra vonatkozó költségvetési föderalizmus végrehajtásához szükséges releváns paramétereket (1. cikk, 783. cikk).</w:t>
            </w:r>
          </w:p>
        </w:tc>
      </w:tr>
      <w:tr w:rsidR="003F5418" w14:paraId="72C01A98"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A3F00E" w14:textId="77777777" w:rsidR="003F5418" w:rsidRDefault="002A6C25">
            <w:pPr>
              <w:pStyle w:val="P68B1DB1-Normal4"/>
              <w:jc w:val="center"/>
              <w:rPr>
                <w:rFonts w:cs="Arial"/>
                <w:noProof/>
              </w:rPr>
            </w:pPr>
            <w:r>
              <w:rPr>
                <w:noProof/>
              </w:rPr>
              <w:t>M1C1–121</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3D3A4D" w14:textId="77777777" w:rsidR="003F5418" w:rsidRDefault="002A6C25">
            <w:pPr>
              <w:pStyle w:val="P68B1DB1-Normal4"/>
              <w:spacing w:line="276" w:lineRule="auto"/>
              <w:jc w:val="center"/>
              <w:rPr>
                <w:rFonts w:cs="Arial"/>
                <w:noProof/>
              </w:rPr>
            </w:pPr>
            <w:r>
              <w:rPr>
                <w:noProof/>
              </w:rPr>
              <w:t>Reform:</w:t>
            </w:r>
          </w:p>
          <w:p w14:paraId="56F2877E" w14:textId="77777777" w:rsidR="003F5418" w:rsidRDefault="002A6C25">
            <w:pPr>
              <w:pStyle w:val="P68B1DB1-Normal4"/>
              <w:spacing w:line="276" w:lineRule="auto"/>
              <w:jc w:val="center"/>
              <w:rPr>
                <w:rFonts w:cs="Arial"/>
                <w:noProof/>
              </w:rPr>
            </w:pPr>
            <w:r>
              <w:rPr>
                <w:noProof/>
              </w:rPr>
              <w:t>Az adóhatóság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4DFB7" w14:textId="77777777" w:rsidR="003F5418" w:rsidRDefault="002A6C25">
            <w:pPr>
              <w:pStyle w:val="P68B1DB1-Normal4"/>
              <w:jc w:val="center"/>
              <w:rPr>
                <w:rFonts w:cs="Arial"/>
                <w:noProof/>
              </w:rPr>
            </w:pPr>
            <w:r>
              <w:rPr>
                <w:noProof/>
              </w:rPr>
              <w:t>Cél</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473B62" w14:textId="77777777" w:rsidR="003F5418" w:rsidRDefault="002A6C25">
            <w:pPr>
              <w:pStyle w:val="P68B1DB1-Normal4"/>
              <w:jc w:val="center"/>
              <w:rPr>
                <w:rFonts w:cs="Arial"/>
                <w:noProof/>
              </w:rPr>
            </w:pPr>
            <w:r>
              <w:rPr>
                <w:noProof/>
              </w:rPr>
              <w:t>Az adókijátszás csökkentése az „elkerülésre való törekvés” mutató meghatározása szerint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DF884" w14:textId="77777777" w:rsidR="003F5418" w:rsidRDefault="002A6C25">
            <w:pPr>
              <w:pStyle w:val="P68B1DB1-Normal4"/>
              <w:jc w:val="center"/>
              <w:rPr>
                <w:rFonts w:cs="Arial"/>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7F3B897" w14:textId="77777777" w:rsidR="003F5418" w:rsidRDefault="002A6C25">
            <w:pPr>
              <w:pStyle w:val="P68B1DB1-Normal4"/>
              <w:jc w:val="center"/>
              <w:rPr>
                <w:rFonts w:cs="Arial"/>
                <w:noProof/>
              </w:rPr>
            </w:pPr>
            <w:r>
              <w:rPr>
                <w:noProof/>
              </w:rPr>
              <w:t>Százalék</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FD747E" w14:textId="77777777" w:rsidR="003F5418" w:rsidRDefault="002A6C25">
            <w:pPr>
              <w:pStyle w:val="P68B1DB1-Normal4"/>
              <w:jc w:val="center"/>
              <w:rPr>
                <w:rFonts w:cs="Arial"/>
                <w:noProof/>
              </w:rPr>
            </w:pPr>
            <w:r>
              <w:rPr>
                <w:noProof/>
              </w:rPr>
              <w:t>0</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6AAE03" w14:textId="77777777" w:rsidR="003F5418" w:rsidRDefault="002A6C25">
            <w:pPr>
              <w:pStyle w:val="P68B1DB1-Normal4"/>
              <w:jc w:val="center"/>
              <w:rPr>
                <w:rFonts w:cs="Arial"/>
                <w:noProof/>
              </w:rPr>
            </w:pPr>
            <w:r>
              <w:rPr>
                <w:noProof/>
              </w:rPr>
              <w:t>–15</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A27152"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E23486"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05DB6F" w14:textId="77777777" w:rsidR="003F5418" w:rsidRDefault="002A6C25">
            <w:pPr>
              <w:pStyle w:val="P68B1DB1-Normal4"/>
              <w:spacing w:after="120"/>
              <w:rPr>
                <w:rFonts w:cs="Arial"/>
                <w:noProof/>
              </w:rPr>
            </w:pPr>
            <w:r>
              <w:rPr>
                <w:noProof/>
              </w:rPr>
              <w:t>Az ingatlanadók (Imposta Municipale Unica) és a jövedéki adók kivételével az „elkerülési arány” 2024-ben a 2019. évi alapforgatókönyv 1</w:t>
            </w:r>
            <w:r>
              <w:rPr>
                <w:noProof/>
              </w:rPr>
              <w:t>5%-ával alacsonyabb lesz 2019-hez képest. A 2019. évi referenciabecslést bele kell foglalni az árnyékgazdaságról szóló, 2021 novemberében közzéteendő aktualizált kormányzati jelentésbe a 160/2015. sz. törvényerejű rendelet 2. cikkében foglalt rendelkezések</w:t>
            </w:r>
            <w:r>
              <w:rPr>
                <w:noProof/>
              </w:rPr>
              <w:t>nek megfelelően. A 15%-os csökkentést a pénzügyminisztérium által 2026 júniusáig elkészítendő, a 160/2015. sz. törvényerejű rendelet 2. cikkében előírt jelentéshez használt módszertan alapján készített, a 2024-es adóévre vonatkozó becslésre való hivatkozás</w:t>
            </w:r>
            <w:r>
              <w:rPr>
                <w:noProof/>
              </w:rPr>
              <w:t>sal kell betartani.</w:t>
            </w:r>
          </w:p>
        </w:tc>
      </w:tr>
      <w:tr w:rsidR="003F5418" w14:paraId="722B61B4" w14:textId="77777777">
        <w:trPr>
          <w:trHeight w:val="309"/>
        </w:trPr>
        <w:tc>
          <w:tcPr>
            <w:tcW w:w="125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C9414A" w14:textId="77777777" w:rsidR="003F5418" w:rsidRDefault="002A6C25">
            <w:pPr>
              <w:pStyle w:val="P68B1DB1-Normal4"/>
              <w:jc w:val="center"/>
              <w:rPr>
                <w:rFonts w:cs="Arial"/>
                <w:noProof/>
              </w:rPr>
            </w:pPr>
            <w:r>
              <w:rPr>
                <w:noProof/>
              </w:rPr>
              <w:t>M1C1–122</w:t>
            </w:r>
          </w:p>
        </w:tc>
        <w:tc>
          <w:tcPr>
            <w:tcW w:w="156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DA8854" w14:textId="77777777" w:rsidR="003F5418" w:rsidRDefault="002A6C25">
            <w:pPr>
              <w:pStyle w:val="P68B1DB1-Normal4"/>
              <w:spacing w:line="276" w:lineRule="auto"/>
              <w:jc w:val="center"/>
              <w:rPr>
                <w:rFonts w:cs="Arial"/>
                <w:noProof/>
              </w:rPr>
            </w:pPr>
            <w:r>
              <w:rPr>
                <w:noProof/>
              </w:rPr>
              <w:t>Reform: A kiadások felülvizsgálatára vonatkozó keret reformja</w:t>
            </w:r>
          </w:p>
        </w:tc>
        <w:tc>
          <w:tcPr>
            <w:tcW w:w="114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ACCD30" w14:textId="77777777" w:rsidR="003F5418" w:rsidRDefault="002A6C25">
            <w:pPr>
              <w:pStyle w:val="P68B1DB1-Normal4"/>
              <w:jc w:val="center"/>
              <w:rPr>
                <w:rFonts w:cs="Arial"/>
                <w:noProof/>
              </w:rPr>
            </w:pPr>
            <w:r>
              <w:rPr>
                <w:noProof/>
              </w:rPr>
              <w:t>Mérföldkő</w:t>
            </w:r>
          </w:p>
        </w:tc>
        <w:tc>
          <w:tcPr>
            <w:tcW w:w="147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48A000" w14:textId="77777777" w:rsidR="003F5418" w:rsidRDefault="002A6C25">
            <w:pPr>
              <w:pStyle w:val="P68B1DB1-Normal4"/>
              <w:jc w:val="center"/>
              <w:rPr>
                <w:rFonts w:cs="Arial"/>
                <w:noProof/>
              </w:rPr>
            </w:pPr>
            <w:r>
              <w:rPr>
                <w:noProof/>
              </w:rPr>
              <w:t>A kiadások 2025-re vonatkozó éves felülvizsgálatának lezárása, hivatkozva a 2022-ben, 2023-ban és 2024-ben 2025-re kitűzött megtakarítási célra.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EF9B1" w14:textId="77777777" w:rsidR="003F5418" w:rsidRDefault="002A6C25">
            <w:pPr>
              <w:pStyle w:val="P68B1DB1-Normal4"/>
              <w:jc w:val="center"/>
              <w:rPr>
                <w:rFonts w:cs="Arial"/>
                <w:noProof/>
              </w:rPr>
            </w:pPr>
            <w:r>
              <w:rPr>
                <w:noProof/>
              </w:rPr>
              <w:t>A 2025-ös</w:t>
            </w:r>
            <w:r>
              <w:rPr>
                <w:noProof/>
              </w:rPr>
              <w:t xml:space="preserve"> kiadások felülvizsgálatáról szóló pénzügyminisztériumi jelentés elfogadása, amely igazolja a folyamat befejezését és a cél elérését.</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2DBF09" w14:textId="77777777" w:rsidR="003F5418" w:rsidRDefault="002A6C25">
            <w:pPr>
              <w:pStyle w:val="P68B1DB1-Normal4"/>
              <w:jc w:val="center"/>
              <w:rPr>
                <w:rFonts w:cs="Arial"/>
                <w:noProof/>
              </w:rPr>
            </w:pPr>
            <w:r>
              <w:rPr>
                <w:noProof/>
              </w:rPr>
              <w:t>NINCS</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069DE7" w14:textId="77777777" w:rsidR="003F5418" w:rsidRDefault="002A6C25">
            <w:pPr>
              <w:pStyle w:val="P68B1DB1-Normal4"/>
              <w:jc w:val="center"/>
              <w:rPr>
                <w:rFonts w:cs="Arial"/>
                <w:noProof/>
              </w:rPr>
            </w:pPr>
            <w:r>
              <w:rPr>
                <w:noProof/>
              </w:rPr>
              <w:t>NINCS</w:t>
            </w:r>
          </w:p>
        </w:tc>
        <w:tc>
          <w:tcPr>
            <w:tcW w:w="14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E47465" w14:textId="77777777" w:rsidR="003F5418" w:rsidRDefault="002A6C25">
            <w:pPr>
              <w:pStyle w:val="P68B1DB1-Normal4"/>
              <w:jc w:val="center"/>
              <w:rPr>
                <w:rFonts w:cs="Arial"/>
                <w:noProof/>
              </w:rPr>
            </w:pPr>
            <w:r>
              <w:rPr>
                <w:noProof/>
              </w:rPr>
              <w:t>NINCS</w:t>
            </w:r>
          </w:p>
        </w:tc>
        <w:tc>
          <w:tcPr>
            <w:tcW w:w="84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52197D" w14:textId="77777777" w:rsidR="003F5418" w:rsidRDefault="002A6C25">
            <w:pPr>
              <w:pStyle w:val="P68B1DB1-Normal4"/>
              <w:jc w:val="center"/>
              <w:rPr>
                <w:rFonts w:cs="Arial"/>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A89F3C" w14:textId="77777777" w:rsidR="003F5418" w:rsidRDefault="002A6C25">
            <w:pPr>
              <w:pStyle w:val="P68B1DB1-Normal4"/>
              <w:jc w:val="center"/>
              <w:rPr>
                <w:rFonts w:cs="Arial"/>
                <w:noProof/>
              </w:rPr>
            </w:pPr>
            <w:r>
              <w:rPr>
                <w:noProof/>
              </w:rPr>
              <w:t>2026</w:t>
            </w:r>
          </w:p>
        </w:tc>
        <w:tc>
          <w:tcPr>
            <w:tcW w:w="297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F19DF0" w14:textId="77777777" w:rsidR="003F5418" w:rsidRDefault="002A6C25">
            <w:pPr>
              <w:pStyle w:val="P68B1DB1-Normal4"/>
              <w:spacing w:after="120"/>
              <w:rPr>
                <w:rFonts w:cs="Arial"/>
                <w:noProof/>
              </w:rPr>
            </w:pPr>
            <w:r>
              <w:rPr>
                <w:noProof/>
              </w:rPr>
              <w:t>A 2016. évi 90. és 93. törvényerejű rendelet, valamint a 163/2016. sz. törvény értelmében a Mini</w:t>
            </w:r>
            <w:r>
              <w:rPr>
                <w:noProof/>
              </w:rPr>
              <w:t>sztertanács részére továbbítandó Pénzügyminisztériumi jelentés:</w:t>
            </w:r>
          </w:p>
          <w:p w14:paraId="1544AB33" w14:textId="77777777" w:rsidR="003F5418" w:rsidRDefault="002A6C25">
            <w:pPr>
              <w:pStyle w:val="P68B1DB1-Normal4"/>
              <w:spacing w:after="120"/>
              <w:rPr>
                <w:rFonts w:cs="Arial"/>
                <w:noProof/>
              </w:rPr>
            </w:pPr>
            <w:r>
              <w:rPr>
                <w:noProof/>
              </w:rPr>
              <w:t>– igazolja, hogy a kiadások felülvizsgálatára vonatkozó keretre vonatkozó rendelkezés tekintetében lezárult a kiadások 2025-re vonatkozó felülvizsgálati folyamata.</w:t>
            </w:r>
          </w:p>
          <w:p w14:paraId="0668810C" w14:textId="77777777" w:rsidR="003F5418" w:rsidRDefault="002A6C25">
            <w:pPr>
              <w:pStyle w:val="P68B1DB1-Normal4"/>
              <w:spacing w:after="120"/>
              <w:rPr>
                <w:rFonts w:cs="Arial"/>
                <w:noProof/>
              </w:rPr>
            </w:pPr>
            <w:r>
              <w:rPr>
                <w:noProof/>
              </w:rPr>
              <w:t>– igazolja a 2022-ben, 2023-</w:t>
            </w:r>
            <w:r>
              <w:rPr>
                <w:noProof/>
              </w:rPr>
              <w:t>ban és 2024-ben kitűzött cél elérését.</w:t>
            </w:r>
          </w:p>
        </w:tc>
      </w:tr>
    </w:tbl>
    <w:p w14:paraId="05502703" w14:textId="77777777" w:rsidR="003F5418" w:rsidRDefault="003F5418">
      <w:pPr>
        <w:tabs>
          <w:tab w:val="left" w:pos="4252"/>
        </w:tabs>
        <w:rPr>
          <w:i/>
          <w:noProof/>
        </w:rPr>
        <w:sectPr w:rsidR="003F5418">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134" w:right="1134" w:bottom="1134" w:left="1134" w:header="567" w:footer="567" w:gutter="0"/>
          <w:cols w:space="720"/>
          <w:docGrid w:linePitch="360"/>
        </w:sectPr>
      </w:pPr>
    </w:p>
    <w:p w14:paraId="6EF551DD" w14:textId="77777777" w:rsidR="003F5418" w:rsidRDefault="002A6C25">
      <w:pPr>
        <w:pStyle w:val="Heading3"/>
        <w:numPr>
          <w:ilvl w:val="0"/>
          <w:numId w:val="0"/>
        </w:numPr>
        <w:ind w:left="850" w:hanging="850"/>
        <w:rPr>
          <w:b/>
          <w:i w:val="0"/>
          <w:noProof/>
          <w:u w:val="single"/>
        </w:rPr>
      </w:pPr>
      <w:r>
        <w:rPr>
          <w:b/>
          <w:i w:val="0"/>
          <w:noProof/>
          <w:u w:val="single"/>
        </w:rPr>
        <w:t xml:space="preserve">A.3. </w:t>
      </w:r>
      <w:r>
        <w:rPr>
          <w:noProof/>
        </w:rPr>
        <w:t xml:space="preserve"> </w:t>
      </w:r>
      <w:r>
        <w:rPr>
          <w:b/>
          <w:i w:val="0"/>
          <w:noProof/>
          <w:u w:val="single"/>
        </w:rPr>
        <w:t xml:space="preserve">A hitelhez kapcsolódó reformok és beruházások ismertetése </w:t>
      </w:r>
    </w:p>
    <w:p w14:paraId="545278D4" w14:textId="77777777" w:rsidR="003F5418" w:rsidRDefault="003F5418">
      <w:pPr>
        <w:spacing w:before="120" w:after="120"/>
        <w:jc w:val="both"/>
        <w:rPr>
          <w:rFonts w:eastAsiaTheme="minorHAnsi"/>
          <w:b/>
          <w:noProof/>
        </w:rPr>
      </w:pPr>
    </w:p>
    <w:p w14:paraId="7AF24C6E" w14:textId="57A293C2" w:rsidR="003F5418" w:rsidRDefault="00EE46CD">
      <w:pPr>
        <w:pStyle w:val="P68B1DB1-Normal2"/>
        <w:spacing w:before="120" w:after="120"/>
        <w:jc w:val="both"/>
        <w:rPr>
          <w:rFonts w:eastAsiaTheme="minorHAnsi"/>
          <w:noProof/>
        </w:rPr>
      </w:pPr>
      <w:r>
        <w:rPr>
          <w:noProof/>
        </w:rPr>
        <w:t>1.2. Beruházás – Felhő biztosítása a helyi kifizető ügynökségek számára</w:t>
      </w:r>
    </w:p>
    <w:p w14:paraId="3C6B1BFC" w14:textId="77777777" w:rsidR="003F5418" w:rsidRDefault="002A6C25">
      <w:pPr>
        <w:pStyle w:val="Descriptiontitle"/>
        <w:ind w:left="0"/>
        <w:rPr>
          <w:noProof/>
        </w:rPr>
      </w:pPr>
      <w:r>
        <w:rPr>
          <w:noProof/>
        </w:rPr>
        <w:t>E beruházás célja,</w:t>
      </w:r>
      <w:r>
        <w:rPr>
          <w:noProof/>
        </w:rPr>
        <w:t xml:space="preserve"> hogy a helyi közigazgatás jelentős részének adatkészleteit és alkalmazásait biztonságos felhőalapú infrastruktúrára váltsa át, lehetővé téve minden közigazgatás számára, hogy egy tanúsított nyilvános felhőkörnyezetben szabadon válasszon. </w:t>
      </w:r>
    </w:p>
    <w:p w14:paraId="741D6E7B" w14:textId="77777777" w:rsidR="003F5418" w:rsidRDefault="002A6C25">
      <w:pPr>
        <w:pStyle w:val="Descriptiontitle"/>
        <w:ind w:left="0"/>
        <w:rPr>
          <w:noProof/>
        </w:rPr>
      </w:pPr>
      <w:r>
        <w:rPr>
          <w:noProof/>
        </w:rPr>
        <w:t xml:space="preserve">Az intézkedés a </w:t>
      </w:r>
      <w:r>
        <w:rPr>
          <w:noProof/>
        </w:rPr>
        <w:t>„migráció mint szolgáltatás” támogatási csomagot is előirányoz a közigazgatási szervek számára, amely a következőket foglalja magában: i. az első értékelés, ii. az erőfeszítés elindításához szükséges eljárási/adminisztratív támogatás, iii. a szükséges küls</w:t>
      </w:r>
      <w:r>
        <w:rPr>
          <w:noProof/>
        </w:rPr>
        <w:t>ő támogatás megtárgyalása és iv. a teljes projektirányítás a végrehajtás során. A technológiai innovációért és a digitális átállásért felelős minisztérium (MITD) által felügyelt csoport feladata a minősített szolgáltatók széles listájának azonosítása és ta</w:t>
      </w:r>
      <w:r>
        <w:rPr>
          <w:noProof/>
        </w:rPr>
        <w:t>núsítása, valamint a közigazgatás és az átállásban részt vevő szolgálatok méretéhez igazított egységes támogatási csomagokról szóló tárgyalások folytatása.</w:t>
      </w:r>
    </w:p>
    <w:p w14:paraId="28246004" w14:textId="698C1C6C" w:rsidR="003F5418" w:rsidRDefault="00EE46CD">
      <w:pPr>
        <w:pStyle w:val="P68B1DB1-Normal2"/>
        <w:spacing w:before="120" w:after="120"/>
        <w:jc w:val="both"/>
        <w:rPr>
          <w:rFonts w:eastAsiaTheme="minorHAnsi"/>
          <w:noProof/>
        </w:rPr>
      </w:pPr>
      <w:r>
        <w:rPr>
          <w:noProof/>
        </w:rPr>
        <w:t>1.4. Beruházás – Digitális szolgáltatások és a polgárok tapasztalatai</w:t>
      </w:r>
    </w:p>
    <w:p w14:paraId="168452B2" w14:textId="77777777" w:rsidR="003F5418" w:rsidRDefault="002A6C25">
      <w:pPr>
        <w:pStyle w:val="Descriptiontitle"/>
        <w:ind w:left="0"/>
        <w:rPr>
          <w:noProof/>
        </w:rPr>
      </w:pPr>
      <w:r>
        <w:rPr>
          <w:noProof/>
        </w:rPr>
        <w:t>E beruházás célja a legkorszer</w:t>
      </w:r>
      <w:r>
        <w:rPr>
          <w:noProof/>
        </w:rPr>
        <w:t xml:space="preserve">űbb, polgárközpontú digitális szolgáltatások integrált és harmonizált kínálatának kialakítása, azok széles körű alkalmazásának biztosítása mind a központi, mind a helyi közigazgatásban, valamint a felhasználói élmény javítása. </w:t>
      </w:r>
    </w:p>
    <w:p w14:paraId="6D6536F3" w14:textId="77777777" w:rsidR="003F5418" w:rsidRDefault="002A6C25">
      <w:pPr>
        <w:pStyle w:val="Descriptiontitle"/>
        <w:ind w:left="0"/>
        <w:rPr>
          <w:noProof/>
        </w:rPr>
      </w:pPr>
      <w:r>
        <w:rPr>
          <w:noProof/>
        </w:rPr>
        <w:t xml:space="preserve">Az intézkedés: </w:t>
      </w:r>
    </w:p>
    <w:p w14:paraId="5EFA02A2" w14:textId="77777777" w:rsidR="003F5418" w:rsidRDefault="002A6C25">
      <w:pPr>
        <w:pStyle w:val="Descriptiontitle"/>
        <w:numPr>
          <w:ilvl w:val="0"/>
          <w:numId w:val="82"/>
        </w:numPr>
        <w:ind w:left="578" w:hanging="578"/>
        <w:rPr>
          <w:noProof/>
        </w:rPr>
      </w:pPr>
      <w:r>
        <w:rPr>
          <w:noProof/>
        </w:rPr>
        <w:t xml:space="preserve">a digitális </w:t>
      </w:r>
      <w:r>
        <w:rPr>
          <w:noProof/>
        </w:rPr>
        <w:t>közszolgáltatások tapasztalatainak bővítése az újrafelhasználható szolgáltatásnyújtási modellek meghatározásával, biztosítva a teljes körű akadálymentességi követelményeket (1.4.1. beruházás – Polgári tapasztalat – A digitális közszolgáltatások minőségének</w:t>
      </w:r>
      <w:r>
        <w:rPr>
          <w:noProof/>
        </w:rPr>
        <w:t xml:space="preserve"> és használhatóságának javítása);</w:t>
      </w:r>
    </w:p>
    <w:p w14:paraId="3843F285" w14:textId="77777777" w:rsidR="003F5418" w:rsidRDefault="002A6C25">
      <w:pPr>
        <w:pStyle w:val="Descriptiontitle"/>
        <w:numPr>
          <w:ilvl w:val="0"/>
          <w:numId w:val="82"/>
        </w:numPr>
        <w:ind w:left="578" w:hanging="578"/>
        <w:rPr>
          <w:noProof/>
        </w:rPr>
      </w:pPr>
      <w:r>
        <w:rPr>
          <w:noProof/>
        </w:rPr>
        <w:t>a digitális közszolgáltatások hozzáférhetőségének javítása (1.4.2. beruházás – Polgári befogadás: A digitális közszolgáltatások hozzáférhetőségének javítása);</w:t>
      </w:r>
    </w:p>
    <w:p w14:paraId="21BBA0D9" w14:textId="77777777" w:rsidR="003F5418" w:rsidRDefault="002A6C25">
      <w:pPr>
        <w:pStyle w:val="Descriptiontitle"/>
        <w:numPr>
          <w:ilvl w:val="0"/>
          <w:numId w:val="82"/>
        </w:numPr>
        <w:ind w:left="578" w:hanging="578"/>
        <w:rPr>
          <w:noProof/>
        </w:rPr>
      </w:pPr>
      <w:r>
        <w:rPr>
          <w:noProof/>
        </w:rPr>
        <w:t>mozdítsák elő a polgárok és a közigazgatási szervek közötti fiz</w:t>
      </w:r>
      <w:r>
        <w:rPr>
          <w:noProof/>
        </w:rPr>
        <w:t xml:space="preserve">etésekre vonatkozó digitális alkalmazás (PagoPa) elfogadását és az „IO” alkalmazás elfogadását, amely kulcsfontosságú digitális érintkezési pont a polgárok és a közigazgatás között a szolgáltatások széles köre (beleértve az értesítéseket is) tekintetében, </w:t>
      </w:r>
      <w:r>
        <w:rPr>
          <w:noProof/>
        </w:rPr>
        <w:t>az „egyablakos ügyintézés” logikájával összhangban (1.4.3. beruházás – A PagoPA platformszolgáltatások és az „IO” alkalmazás bevezetése);</w:t>
      </w:r>
    </w:p>
    <w:p w14:paraId="36167814" w14:textId="77777777" w:rsidR="003F5418" w:rsidRDefault="002A6C25">
      <w:pPr>
        <w:pStyle w:val="Descriptiontitle"/>
        <w:numPr>
          <w:ilvl w:val="0"/>
          <w:numId w:val="82"/>
        </w:numPr>
        <w:ind w:left="578" w:hanging="578"/>
        <w:rPr>
          <w:noProof/>
        </w:rPr>
      </w:pPr>
      <w:r>
        <w:rPr>
          <w:noProof/>
        </w:rPr>
        <w:t>a nemzeti digitális személyazonossági platformok (Sistema Pubblico di Identità Digitale, SPID és Carta d’Identità Elet</w:t>
      </w:r>
      <w:r>
        <w:rPr>
          <w:noProof/>
        </w:rPr>
        <w:t>tronica, CIE) és a nemzeti nyilvántartás (Anagrafe nazionale della popolazione residente, ANPR) (1.4. beruházás – A nemzeti digitális személyazonossági platformok (SPID, CIE) és a nemzeti nyilvántartás (ANPR) elfogadásának előmozdítása);</w:t>
      </w:r>
    </w:p>
    <w:p w14:paraId="1709698A" w14:textId="77777777" w:rsidR="003F5418" w:rsidRDefault="002A6C25">
      <w:pPr>
        <w:pStyle w:val="Descriptiontitle"/>
        <w:numPr>
          <w:ilvl w:val="0"/>
          <w:numId w:val="82"/>
        </w:numPr>
        <w:ind w:left="578" w:hanging="578"/>
        <w:rPr>
          <w:noProof/>
        </w:rPr>
      </w:pPr>
      <w:r>
        <w:rPr>
          <w:noProof/>
        </w:rPr>
        <w:t>egységes bejelenté</w:t>
      </w:r>
      <w:r>
        <w:rPr>
          <w:noProof/>
        </w:rPr>
        <w:t>si platform kialakítása (1.4.5. beruházás – Közzétételek digitalizálása);</w:t>
      </w:r>
    </w:p>
    <w:p w14:paraId="5F22978A" w14:textId="77777777" w:rsidR="003F5418" w:rsidRDefault="002A6C25">
      <w:pPr>
        <w:pStyle w:val="Descriptiontitle"/>
        <w:numPr>
          <w:ilvl w:val="0"/>
          <w:numId w:val="82"/>
        </w:numPr>
        <w:ind w:left="578" w:hanging="578"/>
        <w:rPr>
          <w:noProof/>
        </w:rPr>
      </w:pPr>
      <w:r>
        <w:rPr>
          <w:noProof/>
        </w:rPr>
        <w:t>elő kell mozdítani a Mobilitás szolgáltatási (MaaS) paradigmáinak elfogadását a nagyvárosi városokban, hogy digitalizálják a helyi közlekedést, és integrált mobilitási élményt biztos</w:t>
      </w:r>
      <w:r>
        <w:rPr>
          <w:noProof/>
        </w:rPr>
        <w:t>ítsanak a felhasználók számára az utazástervezéstől a különböző közlekedési módokon keresztül teljesített kifizetésekig (1.4.1.6. beruházás – Mobilitás mint Olaszország számára, amely utóbbi intézkedést vissza nem térítendő pénzügyi támogatás alapján finan</w:t>
      </w:r>
      <w:r>
        <w:rPr>
          <w:noProof/>
        </w:rPr>
        <w:t>szírozzák).</w:t>
      </w:r>
    </w:p>
    <w:p w14:paraId="4D1C831E" w14:textId="77777777" w:rsidR="003F5418" w:rsidRDefault="003F5418">
      <w:pPr>
        <w:spacing w:before="120" w:after="120"/>
        <w:jc w:val="both"/>
        <w:rPr>
          <w:rFonts w:eastAsiaTheme="minorHAnsi"/>
          <w:b/>
          <w:noProof/>
        </w:rPr>
      </w:pPr>
    </w:p>
    <w:p w14:paraId="59DEE4A6" w14:textId="1D5CBEAF" w:rsidR="003F5418" w:rsidRDefault="00EE46CD">
      <w:pPr>
        <w:pStyle w:val="P68B1DB1-Normal2"/>
        <w:spacing w:before="120" w:after="120"/>
        <w:jc w:val="both"/>
        <w:rPr>
          <w:rFonts w:eastAsiaTheme="minorHAnsi"/>
          <w:noProof/>
        </w:rPr>
      </w:pPr>
      <w:r>
        <w:rPr>
          <w:noProof/>
        </w:rPr>
        <w:t>1.6. Beruházás – A nagy központi közigazgatások digitális átalakítása</w:t>
      </w:r>
    </w:p>
    <w:p w14:paraId="56F68A79" w14:textId="77777777" w:rsidR="003F5418" w:rsidRDefault="002A6C25">
      <w:pPr>
        <w:pStyle w:val="Descriptiontitle"/>
        <w:ind w:left="0"/>
        <w:rPr>
          <w:noProof/>
        </w:rPr>
      </w:pPr>
      <w:r>
        <w:rPr>
          <w:noProof/>
        </w:rPr>
        <w:t xml:space="preserve">E beruházás célja a fő központi közigazgatási szerveken belüli kiemelt folyamatok, tevékenységek és szolgáltatások újratervezése és digitalizálása e közigazgatások </w:t>
      </w:r>
      <w:r>
        <w:rPr>
          <w:noProof/>
        </w:rPr>
        <w:t>hatékonyságának növelése és az eljárások egyszerűsítése érdekében. Az érintett központi közigazgatások közé tartoznak a következők: i. a Nemzeti Társadalombiztosítási Intézet (INPS) és a Nemzeti Munkahelyi Baleset-biztosítási Intézet (INAIL), ii. az igazsá</w:t>
      </w:r>
      <w:r>
        <w:rPr>
          <w:noProof/>
        </w:rPr>
        <w:t>gszolgáltatási rendszer, iii. a Védelmi Minisztérium, iv. a Belügyminisztérium, v. a Pénzügyőrség.</w:t>
      </w:r>
    </w:p>
    <w:p w14:paraId="4B2B1973" w14:textId="77777777" w:rsidR="003F5418" w:rsidRDefault="002A6C25">
      <w:pPr>
        <w:pStyle w:val="Descriptiontitle"/>
        <w:ind w:left="0"/>
        <w:rPr>
          <w:noProof/>
        </w:rPr>
      </w:pPr>
      <w:r>
        <w:rPr>
          <w:noProof/>
        </w:rPr>
        <w:t>Ami a Belügyminisztériumot illeti, a projekt i. a polgároknak nyújtott szolgáltatások digitalizálását és az alapul szolgáló belső folyamatok átalakítását irá</w:t>
      </w:r>
      <w:r>
        <w:rPr>
          <w:noProof/>
        </w:rPr>
        <w:t>nyozza elő; ii. belső alkalmazások és irányítási rendszerek kifejlesztése a fizikai és digitális személyazonosság és a kapcsolódó attribútumok belső központi ellenőrzési rendszerének kifejlesztése érdekében, amely lehetővé teszi a köztisztviselők (pl. rend</w:t>
      </w:r>
      <w:r>
        <w:rPr>
          <w:noProof/>
        </w:rPr>
        <w:t>őrség) számára, hogy valós idejű távellenőrzést végezzenek a polgárok tulajdonában lévő és a CIE-hez kapcsolódó személyes okmányok és engedélyek (pl. egészségügyi kártya, vezetői engedély stb.) tekintetében; a személyzet továbbképzése a digitális képessége</w:t>
      </w:r>
      <w:r>
        <w:rPr>
          <w:noProof/>
        </w:rPr>
        <w:t>k megerősítése érdekében (1.6.1. – a Belügyminisztérium digitalizálása).</w:t>
      </w:r>
    </w:p>
    <w:p w14:paraId="4F7C3448" w14:textId="77777777" w:rsidR="003F5418" w:rsidRDefault="002A6C25">
      <w:pPr>
        <w:pStyle w:val="Descriptiontitle"/>
        <w:ind w:left="0"/>
        <w:rPr>
          <w:noProof/>
        </w:rPr>
      </w:pPr>
      <w:r>
        <w:rPr>
          <w:noProof/>
        </w:rPr>
        <w:t>Ami az igazságszolgáltatási rendszert illeti, a projekt előirányozza i. az alsóbb szintű bíróságok (Tribunali ordinari), a fellebbviteli bíróságok, valamint a Legfelsőbb Bíróság, a ke</w:t>
      </w:r>
      <w:r>
        <w:rPr>
          <w:noProof/>
        </w:rPr>
        <w:t>rületi fővárosok békebírói, a fiatalkorúak hivatalai, a bíróságok büntető kollégiumai és a fellebbviteli bíróságok, valamint az ügyészségek polgári eljárásaival kapcsolatos irattári anyagok (7750000 bírósági nyilvántartás) elmúlt húsz évének digitalizálásá</w:t>
      </w:r>
      <w:r>
        <w:rPr>
          <w:noProof/>
        </w:rPr>
        <w:t>t; adattava (szoftverréteg) létrehozása, amely egyetlen hozzáférési pontként szolgál az igazságszolgáltatási rendszer által előállított nyers adatok teljes köréhez. Az adattavakban tárolt információkat mesterségesintelligencia-megoldások alkalmazásával kel</w:t>
      </w:r>
      <w:r>
        <w:rPr>
          <w:noProof/>
        </w:rPr>
        <w:t xml:space="preserve">l felhasználni: anonimizált polgári és büntetőjogi ítéletek; ii. a sértett és az elkövető közötti jogviszony automatikus azonosítása a jogi rendelkezésekben; a polgári bírák és ügyészek konzultációjának megkönnyítése érdekében kezeli, elemzi és szervezi a </w:t>
      </w:r>
      <w:r>
        <w:rPr>
          <w:noProof/>
        </w:rPr>
        <w:t xml:space="preserve">korábbi esetjogokat; az igazságszolgáltatási rendszer hatékonyságára és eredményességére vonatkozó fejlett statisztikai elemzés elvégzése; v. az igazságszolgáltatási hivatalok által végzett tevékenységek feldolgozási idejének irányítása és nyomon követése </w:t>
      </w:r>
      <w:r>
        <w:rPr>
          <w:noProof/>
        </w:rPr>
        <w:t>(I.6.2. beruházás – Az Igazságügyi Minisztérium digitalizálása és 1.6.5. beruházás – Az Államtanács digitalizálása vissza nem térítendő pénzügyi támogatás alapján finanszírozva).</w:t>
      </w:r>
    </w:p>
    <w:p w14:paraId="6AEE9063" w14:textId="77777777" w:rsidR="003F5418" w:rsidRDefault="002A6C25">
      <w:pPr>
        <w:pStyle w:val="Descriptiontitle"/>
        <w:ind w:left="0"/>
        <w:rPr>
          <w:noProof/>
        </w:rPr>
      </w:pPr>
      <w:r>
        <w:rPr>
          <w:noProof/>
        </w:rPr>
        <w:t>Ami az INPS-t és az INAIL-t illeti, a projekt magában foglalja belső rendszer</w:t>
      </w:r>
      <w:r>
        <w:rPr>
          <w:noProof/>
        </w:rPr>
        <w:t>eik és eljárásaik, valamint a lakosokkal, cégekkel és más közigazgatási szervekkel való digitális érintkezési pontjaik alakulásának átfogó felülvizsgálatát annak érdekében, hogy a felhasználók zökkenőmentes digitális élményt kapjanak (1.6.3. – A Nemzeti Tá</w:t>
      </w:r>
      <w:r>
        <w:rPr>
          <w:noProof/>
        </w:rPr>
        <w:t>rsadalombiztosítási Intézet (INPS) és a Nemzeti Munkahelyi Balesetbiztosítási Intézet (INAIL) digitalizálása).</w:t>
      </w:r>
    </w:p>
    <w:p w14:paraId="5D2604D3" w14:textId="77777777" w:rsidR="003F5418" w:rsidRDefault="002A6C25">
      <w:pPr>
        <w:pStyle w:val="Descriptiontitle"/>
        <w:ind w:left="0"/>
        <w:rPr>
          <w:noProof/>
        </w:rPr>
      </w:pPr>
      <w:r>
        <w:rPr>
          <w:noProof/>
        </w:rPr>
        <w:t>Ami a Védelmi Minisztériumot illeti, a projekt magában foglalja i. három alapvető információkészlet (személyzet, adminisztratív dokumentáció, bel</w:t>
      </w:r>
      <w:r>
        <w:rPr>
          <w:noProof/>
        </w:rPr>
        <w:t>ső és külső kommunikáció) biztonságának javítását, valamint ii. valamennyi rendszer és alkalmazás olyan nyílt forráskódú paradigmára való átállását, amely megfelel a szabályozási keret által meghatározott biztonsági politikáknak (1.6.4. beruházás – A Védel</w:t>
      </w:r>
      <w:r>
        <w:rPr>
          <w:noProof/>
        </w:rPr>
        <w:t>mi Minisztérium digitalizálása).</w:t>
      </w:r>
    </w:p>
    <w:p w14:paraId="1693EAFF" w14:textId="77777777" w:rsidR="003F5418" w:rsidRDefault="002A6C25">
      <w:pPr>
        <w:pStyle w:val="Descriptiontitle"/>
        <w:ind w:left="0"/>
        <w:rPr>
          <w:noProof/>
        </w:rPr>
      </w:pPr>
      <w:r>
        <w:rPr>
          <w:noProof/>
        </w:rPr>
        <w:t xml:space="preserve">Ami a pénzügyi rendőrséget illeti, a projekt célja különösen i. az adatbázisok átszervezése; az adattudomány bevezetése az operatív és döntéshozatali folyamatokba (1.6. beruházás – A pénzügyőrség digitalizálása, vissza nem </w:t>
      </w:r>
      <w:r>
        <w:rPr>
          <w:noProof/>
        </w:rPr>
        <w:t>térítendő pénzügyi támogatás alapján finanszírozva).</w:t>
      </w:r>
    </w:p>
    <w:p w14:paraId="43AAF208" w14:textId="77777777" w:rsidR="003F5418" w:rsidRDefault="003F5418">
      <w:pPr>
        <w:jc w:val="both"/>
        <w:rPr>
          <w:noProof/>
        </w:rPr>
      </w:pPr>
    </w:p>
    <w:p w14:paraId="1013FBFE" w14:textId="77777777" w:rsidR="003F5418" w:rsidRDefault="003F5418">
      <w:pPr>
        <w:spacing w:before="120" w:after="120"/>
        <w:ind w:left="709"/>
        <w:jc w:val="both"/>
        <w:rPr>
          <w:b/>
          <w:i/>
          <w:noProof/>
          <w:color w:val="4472C4" w:themeColor="accent1"/>
        </w:rPr>
      </w:pPr>
    </w:p>
    <w:p w14:paraId="69B70601" w14:textId="77777777" w:rsidR="003F5418" w:rsidRDefault="003F5418">
      <w:pPr>
        <w:spacing w:before="120" w:after="120"/>
        <w:ind w:left="709"/>
        <w:jc w:val="both"/>
        <w:rPr>
          <w:b/>
          <w:i/>
          <w:noProof/>
          <w:color w:val="4472C4" w:themeColor="accent1"/>
        </w:rPr>
        <w:sectPr w:rsidR="003F5418">
          <w:headerReference w:type="even" r:id="rId30"/>
          <w:headerReference w:type="default" r:id="rId31"/>
          <w:footerReference w:type="even" r:id="rId32"/>
          <w:footerReference w:type="default" r:id="rId33"/>
          <w:headerReference w:type="first" r:id="rId34"/>
          <w:footerReference w:type="first" r:id="rId35"/>
          <w:pgSz w:w="11906" w:h="16838" w:code="12"/>
          <w:pgMar w:top="1134" w:right="1134" w:bottom="1134" w:left="1134" w:header="567" w:footer="567" w:gutter="0"/>
          <w:cols w:space="720"/>
          <w:docGrid w:linePitch="360"/>
        </w:sectPr>
      </w:pPr>
    </w:p>
    <w:p w14:paraId="2D6E4030" w14:textId="77777777" w:rsidR="003F5418" w:rsidRDefault="002A6C25">
      <w:pPr>
        <w:pStyle w:val="Heading3"/>
        <w:numPr>
          <w:ilvl w:val="0"/>
          <w:numId w:val="0"/>
        </w:numPr>
        <w:ind w:left="850" w:hanging="850"/>
        <w:rPr>
          <w:b/>
          <w:i w:val="0"/>
          <w:noProof/>
          <w:u w:val="single"/>
        </w:rPr>
      </w:pPr>
      <w:r>
        <w:rPr>
          <w:b/>
          <w:i w:val="0"/>
          <w:noProof/>
          <w:u w:val="single"/>
        </w:rPr>
        <w:t xml:space="preserve">A.4. </w:t>
      </w:r>
      <w:r>
        <w:rPr>
          <w:noProof/>
        </w:rPr>
        <w:t xml:space="preserve"> </w:t>
      </w:r>
      <w:r>
        <w:rPr>
          <w:b/>
          <w:i w:val="0"/>
          <w:noProof/>
          <w:u w:val="single"/>
        </w:rPr>
        <w:t xml:space="preserve">Hitel – a végrehajtáshoz és a nyomon követéshez kapcsolódó mérföldkövek, célok, mutatók és ütemterv </w:t>
      </w:r>
    </w:p>
    <w:tbl>
      <w:tblPr>
        <w:tblW w:w="1567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84"/>
        <w:gridCol w:w="1746"/>
        <w:gridCol w:w="992"/>
        <w:gridCol w:w="2126"/>
        <w:gridCol w:w="1701"/>
        <w:gridCol w:w="1134"/>
        <w:gridCol w:w="1276"/>
        <w:gridCol w:w="1417"/>
        <w:gridCol w:w="793"/>
        <w:gridCol w:w="625"/>
        <w:gridCol w:w="2584"/>
      </w:tblGrid>
      <w:tr w:rsidR="003F5418" w14:paraId="2F46E6F6" w14:textId="77777777">
        <w:trPr>
          <w:trHeight w:val="774"/>
          <w:tblHeader/>
        </w:trPr>
        <w:tc>
          <w:tcPr>
            <w:tcW w:w="1284" w:type="dxa"/>
            <w:vMerge w:val="restart"/>
            <w:shd w:val="clear" w:color="auto" w:fill="BDD7EE"/>
            <w:vAlign w:val="center"/>
            <w:hideMark/>
          </w:tcPr>
          <w:p w14:paraId="79A13385" w14:textId="77777777" w:rsidR="003F5418" w:rsidRDefault="002A6C25">
            <w:pPr>
              <w:pStyle w:val="P68B1DB1-Normal3"/>
              <w:jc w:val="center"/>
              <w:rPr>
                <w:noProof/>
              </w:rPr>
            </w:pPr>
            <w:r>
              <w:rPr>
                <w:noProof/>
              </w:rPr>
              <w:t>Sorszám</w:t>
            </w:r>
          </w:p>
        </w:tc>
        <w:tc>
          <w:tcPr>
            <w:tcW w:w="1746" w:type="dxa"/>
            <w:vMerge w:val="restart"/>
            <w:shd w:val="clear" w:color="auto" w:fill="BDD7EE"/>
            <w:vAlign w:val="center"/>
            <w:hideMark/>
          </w:tcPr>
          <w:p w14:paraId="38427D76" w14:textId="77777777" w:rsidR="003F5418" w:rsidRDefault="002A6C25">
            <w:pPr>
              <w:pStyle w:val="P68B1DB1-Normal3"/>
              <w:jc w:val="center"/>
              <w:rPr>
                <w:noProof/>
              </w:rPr>
            </w:pPr>
            <w:r>
              <w:rPr>
                <w:noProof/>
              </w:rPr>
              <w:t xml:space="preserve">Kapcsolódó intézkedés </w:t>
            </w:r>
            <w:r>
              <w:rPr>
                <w:noProof/>
              </w:rPr>
              <w:t>(reform vagy beruházás)</w:t>
            </w:r>
          </w:p>
        </w:tc>
        <w:tc>
          <w:tcPr>
            <w:tcW w:w="992" w:type="dxa"/>
            <w:vMerge w:val="restart"/>
            <w:shd w:val="clear" w:color="auto" w:fill="BDD7EE"/>
            <w:vAlign w:val="center"/>
            <w:hideMark/>
          </w:tcPr>
          <w:p w14:paraId="69D3F35A" w14:textId="77777777" w:rsidR="003F5418" w:rsidRDefault="002A6C25">
            <w:pPr>
              <w:pStyle w:val="P68B1DB1-Normal3"/>
              <w:jc w:val="center"/>
              <w:rPr>
                <w:noProof/>
              </w:rPr>
            </w:pPr>
            <w:r>
              <w:rPr>
                <w:noProof/>
              </w:rPr>
              <w:t>Mérföldkő</w:t>
            </w:r>
          </w:p>
          <w:p w14:paraId="032BBB96" w14:textId="77777777" w:rsidR="003F5418" w:rsidRDefault="002A6C25">
            <w:pPr>
              <w:pStyle w:val="P68B1DB1-Normal3"/>
              <w:jc w:val="center"/>
              <w:rPr>
                <w:noProof/>
              </w:rPr>
            </w:pPr>
            <w:r>
              <w:rPr>
                <w:noProof/>
              </w:rPr>
              <w:t>/Cél</w:t>
            </w:r>
          </w:p>
        </w:tc>
        <w:tc>
          <w:tcPr>
            <w:tcW w:w="2126" w:type="dxa"/>
            <w:vMerge w:val="restart"/>
            <w:shd w:val="clear" w:color="auto" w:fill="BDD7EE"/>
            <w:vAlign w:val="center"/>
            <w:hideMark/>
          </w:tcPr>
          <w:p w14:paraId="3FC80E95" w14:textId="77777777" w:rsidR="003F5418" w:rsidRDefault="002A6C25">
            <w:pPr>
              <w:pStyle w:val="P68B1DB1-Normal3"/>
              <w:jc w:val="center"/>
              <w:rPr>
                <w:noProof/>
              </w:rPr>
            </w:pPr>
            <w:r>
              <w:rPr>
                <w:noProof/>
              </w:rPr>
              <w:t>Név</w:t>
            </w:r>
          </w:p>
        </w:tc>
        <w:tc>
          <w:tcPr>
            <w:tcW w:w="1701" w:type="dxa"/>
            <w:vMerge w:val="restart"/>
            <w:shd w:val="clear" w:color="auto" w:fill="BDD7EE"/>
            <w:vAlign w:val="center"/>
            <w:hideMark/>
          </w:tcPr>
          <w:p w14:paraId="78E44098"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827" w:type="dxa"/>
            <w:gridSpan w:val="3"/>
            <w:shd w:val="clear" w:color="auto" w:fill="BDD7EE"/>
            <w:vAlign w:val="center"/>
            <w:hideMark/>
          </w:tcPr>
          <w:p w14:paraId="678F0F96"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418" w:type="dxa"/>
            <w:gridSpan w:val="2"/>
            <w:shd w:val="clear" w:color="auto" w:fill="BDD7EE"/>
            <w:vAlign w:val="center"/>
            <w:hideMark/>
          </w:tcPr>
          <w:p w14:paraId="7655DDCF" w14:textId="77777777" w:rsidR="003F5418" w:rsidRDefault="002A6C25">
            <w:pPr>
              <w:pStyle w:val="P68B1DB1-Normal3"/>
              <w:jc w:val="center"/>
              <w:rPr>
                <w:noProof/>
              </w:rPr>
            </w:pPr>
            <w:r>
              <w:rPr>
                <w:noProof/>
              </w:rPr>
              <w:t>A végrehajtás indikatív ütemterve</w:t>
            </w:r>
          </w:p>
        </w:tc>
        <w:tc>
          <w:tcPr>
            <w:tcW w:w="2584" w:type="dxa"/>
            <w:vMerge w:val="restart"/>
            <w:shd w:val="clear" w:color="auto" w:fill="BDD7EE"/>
            <w:vAlign w:val="center"/>
            <w:hideMark/>
          </w:tcPr>
          <w:p w14:paraId="572B32C0" w14:textId="77777777" w:rsidR="003F5418" w:rsidRDefault="002A6C25">
            <w:pPr>
              <w:pStyle w:val="P68B1DB1-Normal3"/>
              <w:jc w:val="center"/>
              <w:rPr>
                <w:noProof/>
              </w:rPr>
            </w:pPr>
            <w:r>
              <w:rPr>
                <w:noProof/>
              </w:rPr>
              <w:t>Az egyes mérföldkövek és célértékek leírása</w:t>
            </w:r>
          </w:p>
        </w:tc>
      </w:tr>
      <w:tr w:rsidR="003F5418" w14:paraId="2F3DA668" w14:textId="77777777">
        <w:trPr>
          <w:trHeight w:val="686"/>
          <w:tblHeader/>
        </w:trPr>
        <w:tc>
          <w:tcPr>
            <w:tcW w:w="1284" w:type="dxa"/>
            <w:vMerge/>
            <w:vAlign w:val="center"/>
            <w:hideMark/>
          </w:tcPr>
          <w:p w14:paraId="4E1744D5" w14:textId="77777777" w:rsidR="003F5418" w:rsidRDefault="003F5418">
            <w:pPr>
              <w:jc w:val="center"/>
              <w:rPr>
                <w:rFonts w:ascii="Arial Narrow" w:hAnsi="Arial Narrow"/>
                <w:b/>
                <w:noProof/>
                <w:sz w:val="20"/>
              </w:rPr>
            </w:pPr>
          </w:p>
        </w:tc>
        <w:tc>
          <w:tcPr>
            <w:tcW w:w="1746" w:type="dxa"/>
            <w:vMerge/>
            <w:vAlign w:val="center"/>
            <w:hideMark/>
          </w:tcPr>
          <w:p w14:paraId="6DB87492" w14:textId="77777777" w:rsidR="003F5418" w:rsidRDefault="003F5418">
            <w:pPr>
              <w:jc w:val="center"/>
              <w:rPr>
                <w:rFonts w:ascii="Arial Narrow" w:hAnsi="Arial Narrow"/>
                <w:b/>
                <w:noProof/>
                <w:sz w:val="20"/>
              </w:rPr>
            </w:pPr>
          </w:p>
        </w:tc>
        <w:tc>
          <w:tcPr>
            <w:tcW w:w="992" w:type="dxa"/>
            <w:vMerge/>
            <w:vAlign w:val="center"/>
            <w:hideMark/>
          </w:tcPr>
          <w:p w14:paraId="585CF308" w14:textId="77777777" w:rsidR="003F5418" w:rsidRDefault="003F5418">
            <w:pPr>
              <w:jc w:val="center"/>
              <w:rPr>
                <w:rFonts w:ascii="Arial Narrow" w:hAnsi="Arial Narrow"/>
                <w:b/>
                <w:noProof/>
                <w:sz w:val="20"/>
              </w:rPr>
            </w:pPr>
          </w:p>
        </w:tc>
        <w:tc>
          <w:tcPr>
            <w:tcW w:w="2126" w:type="dxa"/>
            <w:vMerge/>
            <w:vAlign w:val="center"/>
            <w:hideMark/>
          </w:tcPr>
          <w:p w14:paraId="00E46CA0" w14:textId="77777777" w:rsidR="003F5418" w:rsidRDefault="003F5418">
            <w:pPr>
              <w:jc w:val="center"/>
              <w:rPr>
                <w:rFonts w:ascii="Arial Narrow" w:hAnsi="Arial Narrow"/>
                <w:b/>
                <w:noProof/>
                <w:sz w:val="20"/>
              </w:rPr>
            </w:pPr>
          </w:p>
        </w:tc>
        <w:tc>
          <w:tcPr>
            <w:tcW w:w="1701" w:type="dxa"/>
            <w:vMerge/>
            <w:vAlign w:val="center"/>
            <w:hideMark/>
          </w:tcPr>
          <w:p w14:paraId="5627ED1F" w14:textId="77777777" w:rsidR="003F5418" w:rsidRDefault="003F5418">
            <w:pPr>
              <w:jc w:val="center"/>
              <w:rPr>
                <w:rFonts w:ascii="Arial Narrow" w:hAnsi="Arial Narrow"/>
                <w:b/>
                <w:noProof/>
                <w:sz w:val="20"/>
              </w:rPr>
            </w:pPr>
          </w:p>
        </w:tc>
        <w:tc>
          <w:tcPr>
            <w:tcW w:w="1134" w:type="dxa"/>
            <w:shd w:val="clear" w:color="auto" w:fill="BDD7EE"/>
            <w:vAlign w:val="center"/>
            <w:hideMark/>
          </w:tcPr>
          <w:p w14:paraId="54C0A48A" w14:textId="77777777" w:rsidR="003F5418" w:rsidRDefault="002A6C25">
            <w:pPr>
              <w:pStyle w:val="P68B1DB1-Normal3"/>
              <w:jc w:val="center"/>
              <w:rPr>
                <w:noProof/>
              </w:rPr>
            </w:pPr>
            <w:r>
              <w:rPr>
                <w:noProof/>
              </w:rPr>
              <w:t>Egység</w:t>
            </w:r>
          </w:p>
          <w:p w14:paraId="7D75251C" w14:textId="77777777" w:rsidR="003F5418" w:rsidRDefault="002A6C25">
            <w:pPr>
              <w:pStyle w:val="P68B1DB1-Normal3"/>
              <w:jc w:val="center"/>
              <w:rPr>
                <w:noProof/>
              </w:rPr>
            </w:pPr>
            <w:r>
              <w:rPr>
                <w:noProof/>
              </w:rPr>
              <w:t>intézkedés</w:t>
            </w:r>
          </w:p>
        </w:tc>
        <w:tc>
          <w:tcPr>
            <w:tcW w:w="1276" w:type="dxa"/>
            <w:shd w:val="clear" w:color="auto" w:fill="BDD7EE"/>
            <w:vAlign w:val="center"/>
            <w:hideMark/>
          </w:tcPr>
          <w:p w14:paraId="121DA15B" w14:textId="77777777" w:rsidR="003F5418" w:rsidRDefault="002A6C25">
            <w:pPr>
              <w:pStyle w:val="P68B1DB1-Normal3"/>
              <w:jc w:val="center"/>
              <w:rPr>
                <w:noProof/>
              </w:rPr>
            </w:pPr>
            <w:r>
              <w:rPr>
                <w:noProof/>
              </w:rPr>
              <w:t>Kiindulási</w:t>
            </w:r>
          </w:p>
        </w:tc>
        <w:tc>
          <w:tcPr>
            <w:tcW w:w="1417" w:type="dxa"/>
            <w:shd w:val="clear" w:color="auto" w:fill="BDD7EE"/>
            <w:vAlign w:val="center"/>
            <w:hideMark/>
          </w:tcPr>
          <w:p w14:paraId="15C3CF0B" w14:textId="77777777" w:rsidR="003F5418" w:rsidRDefault="002A6C25">
            <w:pPr>
              <w:pStyle w:val="P68B1DB1-Normal3"/>
              <w:jc w:val="center"/>
              <w:rPr>
                <w:noProof/>
              </w:rPr>
            </w:pPr>
            <w:r>
              <w:rPr>
                <w:noProof/>
              </w:rPr>
              <w:t>Cél</w:t>
            </w:r>
          </w:p>
        </w:tc>
        <w:tc>
          <w:tcPr>
            <w:tcW w:w="793" w:type="dxa"/>
            <w:shd w:val="clear" w:color="auto" w:fill="BDD7EE"/>
            <w:vAlign w:val="center"/>
            <w:hideMark/>
          </w:tcPr>
          <w:p w14:paraId="13EA8834" w14:textId="77777777" w:rsidR="003F5418" w:rsidRDefault="002A6C25">
            <w:pPr>
              <w:pStyle w:val="P68B1DB1-Normal3"/>
              <w:jc w:val="center"/>
              <w:rPr>
                <w:noProof/>
              </w:rPr>
            </w:pPr>
            <w:r>
              <w:rPr>
                <w:noProof/>
              </w:rPr>
              <w:t>Negyedév</w:t>
            </w:r>
          </w:p>
        </w:tc>
        <w:tc>
          <w:tcPr>
            <w:tcW w:w="625" w:type="dxa"/>
            <w:shd w:val="clear" w:color="auto" w:fill="BDD7EE"/>
            <w:vAlign w:val="center"/>
            <w:hideMark/>
          </w:tcPr>
          <w:p w14:paraId="2777F701" w14:textId="77777777" w:rsidR="003F5418" w:rsidRDefault="002A6C25">
            <w:pPr>
              <w:pStyle w:val="P68B1DB1-Normal3"/>
              <w:jc w:val="center"/>
              <w:rPr>
                <w:noProof/>
              </w:rPr>
            </w:pPr>
            <w:r>
              <w:rPr>
                <w:noProof/>
              </w:rPr>
              <w:t>Éve</w:t>
            </w:r>
          </w:p>
        </w:tc>
        <w:tc>
          <w:tcPr>
            <w:tcW w:w="2584" w:type="dxa"/>
            <w:vMerge/>
            <w:vAlign w:val="center"/>
            <w:hideMark/>
          </w:tcPr>
          <w:p w14:paraId="404B991C" w14:textId="77777777" w:rsidR="003F5418" w:rsidRDefault="003F5418">
            <w:pPr>
              <w:rPr>
                <w:rFonts w:ascii="Arial Narrow" w:hAnsi="Arial Narrow"/>
                <w:b/>
                <w:noProof/>
                <w:sz w:val="20"/>
              </w:rPr>
            </w:pPr>
          </w:p>
        </w:tc>
      </w:tr>
      <w:tr w:rsidR="003F5418" w14:paraId="3BD9B9EA"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25B873" w14:textId="77777777" w:rsidR="003F5418" w:rsidRDefault="002A6C25">
            <w:pPr>
              <w:pStyle w:val="P68B1DB1-Normal4"/>
              <w:jc w:val="center"/>
              <w:rPr>
                <w:noProof/>
              </w:rPr>
            </w:pPr>
            <w:r>
              <w:rPr>
                <w:noProof/>
              </w:rPr>
              <w:t>M1C1–14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21F75C" w14:textId="77777777" w:rsidR="003F5418" w:rsidRDefault="002A6C25">
            <w:pPr>
              <w:pStyle w:val="P68B1DB1-Normal4"/>
              <w:jc w:val="center"/>
              <w:rPr>
                <w:noProof/>
              </w:rPr>
            </w:pPr>
            <w:r>
              <w:rPr>
                <w:noProof/>
              </w:rPr>
              <w:t>Beruházás: Az Államtanács digitalizálása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1B4756" w14:textId="77777777" w:rsidR="003F5418" w:rsidRDefault="002A6C25">
            <w:pPr>
              <w:pStyle w:val="P68B1DB1-Normal4"/>
              <w:jc w:val="center"/>
              <w:rPr>
                <w:noProof/>
              </w:rPr>
            </w:pPr>
            <w:r>
              <w:rPr>
                <w:noProof/>
              </w:rPr>
              <w:t>Cél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8C6996" w14:textId="77777777" w:rsidR="003F5418" w:rsidRDefault="002A6C25">
            <w:pPr>
              <w:pStyle w:val="P68B1DB1-Normal4"/>
              <w:jc w:val="center"/>
              <w:rPr>
                <w:noProof/>
              </w:rPr>
            </w:pPr>
            <w:r>
              <w:rPr>
                <w:noProof/>
              </w:rPr>
              <w:t>Államtanács – A T1 adatraktárban elemzésre rendelkezésre álló bírósági dokumentumok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9BB73EF" w14:textId="77777777" w:rsidR="003F5418" w:rsidRDefault="002A6C25">
            <w:pPr>
              <w:pStyle w:val="P68B1DB1-Normal4"/>
              <w:jc w:val="center"/>
              <w:rPr>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5B8CDE" w14:textId="77777777" w:rsidR="003F5418" w:rsidRDefault="002A6C25">
            <w:pPr>
              <w:pStyle w:val="P68B1DB1-Normal4"/>
              <w:jc w:val="center"/>
              <w:rPr>
                <w:noProof/>
              </w:rPr>
            </w:pPr>
            <w:r>
              <w:rPr>
                <w:noProof/>
              </w:rPr>
              <w:t>Szám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37C97C" w14:textId="77777777" w:rsidR="003F5418" w:rsidRDefault="002A6C25">
            <w:pPr>
              <w:pStyle w:val="P68B1DB1-Normal4"/>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3973AA" w14:textId="77777777" w:rsidR="003F5418" w:rsidRDefault="002A6C25">
            <w:pPr>
              <w:pStyle w:val="P68B1DB1-Normal4"/>
              <w:jc w:val="center"/>
              <w:rPr>
                <w:noProof/>
              </w:rPr>
            </w:pPr>
            <w:r>
              <w:rPr>
                <w:noProof/>
              </w:rPr>
              <w:t>800 000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16FD86" w14:textId="77777777" w:rsidR="003F5418" w:rsidRDefault="002A6C25">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D08E36F" w14:textId="77777777" w:rsidR="003F5418" w:rsidRDefault="002A6C25">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09E66C" w14:textId="77777777" w:rsidR="003F5418" w:rsidRDefault="002A6C25">
            <w:pPr>
              <w:pStyle w:val="P68B1DB1-Normal4"/>
              <w:spacing w:after="120"/>
              <w:rPr>
                <w:noProof/>
              </w:rPr>
            </w:pPr>
            <w:r>
              <w:rPr>
                <w:noProof/>
              </w:rPr>
              <w:t>A közigazgatási igazságszolgáltatási rendszerhez kapcsolódó azon bírósági dokumentumok (például ítéletek, vélemények és rendeletek) száma, amelyek metaadatai teljes mértékben rendelkezésre állnak az adatraktárban.</w:t>
            </w:r>
          </w:p>
        </w:tc>
      </w:tr>
      <w:tr w:rsidR="003F5418" w14:paraId="6A3BC854"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BE2970" w14:textId="77777777" w:rsidR="003F5418" w:rsidRDefault="002A6C25">
            <w:pPr>
              <w:pStyle w:val="P68B1DB1-Normal4"/>
              <w:jc w:val="center"/>
              <w:rPr>
                <w:noProof/>
              </w:rPr>
            </w:pPr>
            <w:r>
              <w:rPr>
                <w:noProof/>
              </w:rPr>
              <w:t>M1C1–16</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4888F3" w14:textId="77777777" w:rsidR="003F5418" w:rsidRDefault="002A6C25">
            <w:pPr>
              <w:pStyle w:val="P68B1DB1-Normal4"/>
              <w:jc w:val="center"/>
              <w:rPr>
                <w:noProof/>
              </w:rPr>
            </w:pPr>
            <w:r>
              <w:rPr>
                <w:noProof/>
              </w:rPr>
              <w:t xml:space="preserve">Beruházás: Az Államtanács </w:t>
            </w:r>
            <w:r>
              <w:rPr>
                <w:noProof/>
              </w:rPr>
              <w:t>digitalizálása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BAB541" w14:textId="77777777" w:rsidR="003F5418" w:rsidRDefault="002A6C25">
            <w:pPr>
              <w:pStyle w:val="P68B1DB1-Normal4"/>
              <w:jc w:val="center"/>
              <w:rPr>
                <w:noProof/>
              </w:rPr>
            </w:pPr>
            <w:r>
              <w:rPr>
                <w:noProof/>
              </w:rPr>
              <w:t>Cél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C87CCB" w14:textId="77777777" w:rsidR="003F5418" w:rsidRDefault="002A6C25">
            <w:pPr>
              <w:pStyle w:val="P68B1DB1-Normal4"/>
              <w:jc w:val="center"/>
              <w:rPr>
                <w:noProof/>
              </w:rPr>
            </w:pPr>
            <w:r>
              <w:rPr>
                <w:noProof/>
              </w:rPr>
              <w:t>Államtanács – A T2 adatraktárban elemzésre rendelkezésre álló bírósági dokumentumok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684D18" w14:textId="77777777" w:rsidR="003F5418" w:rsidRDefault="002A6C25">
            <w:pPr>
              <w:pStyle w:val="P68B1DB1-Normal4"/>
              <w:jc w:val="center"/>
              <w:rPr>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6240EE" w14:textId="77777777" w:rsidR="003F5418" w:rsidRDefault="002A6C25">
            <w:pPr>
              <w:pStyle w:val="P68B1DB1-Normal4"/>
              <w:jc w:val="center"/>
              <w:rPr>
                <w:noProof/>
              </w:rPr>
            </w:pPr>
            <w:r>
              <w:rPr>
                <w:noProof/>
              </w:rPr>
              <w:t>Szám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4618835" w14:textId="77777777" w:rsidR="003F5418" w:rsidRDefault="002A6C25">
            <w:pPr>
              <w:pStyle w:val="P68B1DB1-Normal4"/>
              <w:jc w:val="center"/>
              <w:rPr>
                <w:noProof/>
              </w:rPr>
            </w:pPr>
            <w:r>
              <w:rPr>
                <w:noProof/>
              </w:rPr>
              <w:t>800 000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B3375E" w14:textId="77777777" w:rsidR="003F5418" w:rsidRDefault="002A6C25">
            <w:pPr>
              <w:pStyle w:val="P68B1DB1-Normal4"/>
              <w:jc w:val="center"/>
              <w:rPr>
                <w:noProof/>
              </w:rPr>
            </w:pPr>
            <w:r>
              <w:rPr>
                <w:noProof/>
              </w:rPr>
              <w:t>2 500 000</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5FD868" w14:textId="77777777" w:rsidR="003F5418" w:rsidRDefault="002A6C25">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FDDDA7" w14:textId="77777777" w:rsidR="003F5418" w:rsidRDefault="002A6C25">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32D41A3" w14:textId="77777777" w:rsidR="003F5418" w:rsidRDefault="002A6C25">
            <w:pPr>
              <w:pStyle w:val="P68B1DB1-Normal4"/>
              <w:spacing w:after="120"/>
              <w:rPr>
                <w:noProof/>
              </w:rPr>
            </w:pPr>
            <w:r>
              <w:rPr>
                <w:noProof/>
              </w:rPr>
              <w:t xml:space="preserve">A közigazgatási joghatósági rendszerhez kapcsolódó azon bírósági dokumentumok (például ítéletek, vélemények és </w:t>
            </w:r>
            <w:r>
              <w:rPr>
                <w:noProof/>
              </w:rPr>
              <w:t>rendeletek) száma, amelyek metaadatai teljes mértékben rendelkezésre állnak az adatraktárban.</w:t>
            </w:r>
          </w:p>
        </w:tc>
      </w:tr>
      <w:tr w:rsidR="003F5418" w14:paraId="57CC3F8F" w14:textId="77777777">
        <w:trPr>
          <w:trHeight w:val="81"/>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812E9D" w14:textId="77777777" w:rsidR="003F5418" w:rsidRDefault="002A6C25">
            <w:pPr>
              <w:pStyle w:val="P68B1DB1-Normal4"/>
              <w:jc w:val="center"/>
              <w:rPr>
                <w:noProof/>
              </w:rPr>
            </w:pPr>
            <w:r>
              <w:rPr>
                <w:noProof/>
              </w:rPr>
              <w:t>M1C1–123</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E5E653" w14:textId="77777777" w:rsidR="003F5418" w:rsidRDefault="002A6C25">
            <w:pPr>
              <w:pStyle w:val="P68B1DB1-Normal4"/>
              <w:jc w:val="center"/>
              <w:rPr>
                <w:noProof/>
              </w:rPr>
            </w:pPr>
            <w:r>
              <w:rPr>
                <w:noProof/>
              </w:rPr>
              <w:t>Beruházás – A Nemzeti Társadalombiztosítási Intézet (INPS) és a Nemzeti Munkahelyi Balesetbiztosítási Intézet (INAIL) digitalizálása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C1B4DA" w14:textId="77777777" w:rsidR="003F5418" w:rsidRDefault="002A6C25">
            <w:pPr>
              <w:pStyle w:val="P68B1DB1-Normal4"/>
              <w:jc w:val="center"/>
              <w:rPr>
                <w:noProof/>
              </w:rPr>
            </w:pPr>
            <w:r>
              <w:rPr>
                <w:noProof/>
              </w:rPr>
              <w:t>Cél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43D99A" w14:textId="77777777" w:rsidR="003F5418" w:rsidRDefault="002A6C25">
            <w:pPr>
              <w:pStyle w:val="P68B1DB1-Normal4"/>
              <w:jc w:val="center"/>
              <w:rPr>
                <w:noProof/>
              </w:rPr>
            </w:pPr>
            <w:r>
              <w:rPr>
                <w:noProof/>
              </w:rPr>
              <w:t xml:space="preserve">INPS – „Egy </w:t>
            </w:r>
            <w:r>
              <w:rPr>
                <w:noProof/>
              </w:rPr>
              <w:t>kattintás a tervezés szerint” szolgáltatások/tartalom T1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FFB616" w14:textId="77777777" w:rsidR="003F5418" w:rsidRDefault="002A6C25">
            <w:pPr>
              <w:pStyle w:val="P68B1DB1-Normal4"/>
              <w:jc w:val="center"/>
              <w:rPr>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93092" w14:textId="77777777" w:rsidR="003F5418" w:rsidRDefault="002A6C25">
            <w:pPr>
              <w:pStyle w:val="P68B1DB1-Normal4"/>
              <w:jc w:val="center"/>
              <w:rPr>
                <w:noProof/>
              </w:rPr>
            </w:pPr>
            <w:r>
              <w:rPr>
                <w:noProof/>
              </w:rPr>
              <w:t>Szám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C95549" w14:textId="77777777" w:rsidR="003F5418" w:rsidRDefault="002A6C25">
            <w:pPr>
              <w:pStyle w:val="P68B1DB1-Normal4"/>
              <w:jc w:val="center"/>
              <w:rPr>
                <w:noProof/>
              </w:rPr>
            </w:pPr>
            <w:r>
              <w:rPr>
                <w:noProof/>
              </w:rPr>
              <w:t>0</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D9C24A" w14:textId="77777777" w:rsidR="003F5418" w:rsidRDefault="002A6C25">
            <w:pPr>
              <w:pStyle w:val="P68B1DB1-Normal4"/>
              <w:jc w:val="center"/>
              <w:rPr>
                <w:noProof/>
              </w:rPr>
            </w:pPr>
            <w:r>
              <w:rPr>
                <w:noProof/>
              </w:rPr>
              <w:t>35</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FF5298" w14:textId="77777777" w:rsidR="003F5418" w:rsidRDefault="002A6C25">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107685" w14:textId="77777777" w:rsidR="003F5418" w:rsidRDefault="002A6C25">
            <w:pPr>
              <w:pStyle w:val="P68B1DB1-Normal4"/>
              <w:jc w:val="center"/>
              <w:rPr>
                <w:noProof/>
              </w:rPr>
            </w:pPr>
            <w:r>
              <w:rPr>
                <w:noProof/>
              </w:rPr>
              <w:t>2022</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9FBC56" w14:textId="77777777" w:rsidR="003F5418" w:rsidRDefault="002A6C25">
            <w:pPr>
              <w:spacing w:after="120"/>
              <w:rPr>
                <w:rFonts w:ascii="Arial Narrow" w:hAnsi="Arial Narrow"/>
                <w:noProof/>
                <w:color w:val="006100"/>
                <w:sz w:val="20"/>
              </w:rPr>
            </w:pPr>
            <w:r>
              <w:rPr>
                <w:rFonts w:ascii="Arial Narrow" w:hAnsi="Arial Narrow"/>
                <w:noProof/>
                <w:color w:val="006100"/>
                <w:sz w:val="20"/>
              </w:rPr>
              <w:t>35 további szolgáltatás telepítése az INPs intézményi honlapján (</w:t>
            </w:r>
            <w:hyperlink r:id="rId36" w:history="1">
              <w:r>
                <w:rPr>
                  <w:rStyle w:val="Hyperlink"/>
                  <w:rFonts w:ascii="Arial Narrow" w:hAnsi="Arial Narrow"/>
                  <w:noProof/>
                  <w:sz w:val="20"/>
                </w:rPr>
                <w:t>www.inps.it</w:t>
              </w:r>
            </w:hyperlink>
            <w:r>
              <w:rPr>
                <w:rFonts w:ascii="Arial Narrow" w:hAnsi="Arial Narrow"/>
                <w:noProof/>
                <w:color w:val="006100"/>
                <w:sz w:val="20"/>
              </w:rPr>
              <w:t>).</w:t>
            </w:r>
          </w:p>
          <w:p w14:paraId="2C08F7ED" w14:textId="77777777" w:rsidR="003F5418" w:rsidRDefault="002A6C25">
            <w:pPr>
              <w:pStyle w:val="P68B1DB1-Normal4"/>
              <w:spacing w:after="120"/>
              <w:rPr>
                <w:noProof/>
              </w:rPr>
            </w:pPr>
            <w:r>
              <w:rPr>
                <w:noProof/>
              </w:rPr>
              <w:t>A szolgáltatásoknak megfelelő profilalkotási logika alapján h</w:t>
            </w:r>
            <w:r>
              <w:rPr>
                <w:noProof/>
              </w:rPr>
              <w:t>ozzáférhetőnek kell lenniük az intézmény honlapján (a rendszer az életkoron, a munka jellemzőin, az érzékelt előnyökön és a felhasználói előtörténeten alapuló lehetséges érdeklődésre számot tartó szolgáltatásokat fog javasolni).</w:t>
            </w:r>
          </w:p>
          <w:p w14:paraId="6F1BF9EA" w14:textId="77777777" w:rsidR="003F5418" w:rsidRDefault="002A6C25">
            <w:pPr>
              <w:pStyle w:val="P68B1DB1-Normal4"/>
              <w:spacing w:after="120"/>
              <w:rPr>
                <w:noProof/>
              </w:rPr>
            </w:pPr>
            <w:r>
              <w:rPr>
                <w:noProof/>
              </w:rPr>
              <w:t>A 35 szolgáltatás a követke</w:t>
            </w:r>
            <w:r>
              <w:rPr>
                <w:noProof/>
              </w:rPr>
              <w:t>ző INPS intézményi területekhez kapcsolódik:</w:t>
            </w:r>
          </w:p>
          <w:p w14:paraId="1F4F7667" w14:textId="77777777" w:rsidR="003F5418" w:rsidRDefault="002A6C25">
            <w:pPr>
              <w:pStyle w:val="P68B1DB1-Normal4"/>
              <w:spacing w:after="120"/>
              <w:contextualSpacing/>
              <w:rPr>
                <w:noProof/>
              </w:rPr>
            </w:pPr>
            <w:r>
              <w:rPr>
                <w:noProof/>
              </w:rPr>
              <w:t>•Nyugdíj-ellátások</w:t>
            </w:r>
          </w:p>
          <w:p w14:paraId="467E1294" w14:textId="77777777" w:rsidR="003F5418" w:rsidRDefault="002A6C25">
            <w:pPr>
              <w:pStyle w:val="P68B1DB1-Normal4"/>
              <w:spacing w:after="120"/>
              <w:contextualSpacing/>
              <w:rPr>
                <w:noProof/>
              </w:rPr>
            </w:pPr>
            <w:r>
              <w:rPr>
                <w:noProof/>
              </w:rPr>
              <w:t>•Szociális zsúfolt-abszorberek</w:t>
            </w:r>
          </w:p>
          <w:p w14:paraId="6D9B8457" w14:textId="77777777" w:rsidR="003F5418" w:rsidRDefault="002A6C25">
            <w:pPr>
              <w:pStyle w:val="P68B1DB1-Normal4"/>
              <w:spacing w:after="120"/>
              <w:contextualSpacing/>
              <w:rPr>
                <w:noProof/>
              </w:rPr>
            </w:pPr>
            <w:r>
              <w:rPr>
                <w:noProof/>
              </w:rPr>
              <w:t>•Munkanélküli juttatások</w:t>
            </w:r>
          </w:p>
          <w:p w14:paraId="0230EFE0" w14:textId="77777777" w:rsidR="003F5418" w:rsidRDefault="002A6C25">
            <w:pPr>
              <w:pStyle w:val="P68B1DB1-Normal4"/>
              <w:spacing w:after="120"/>
              <w:contextualSpacing/>
              <w:rPr>
                <w:noProof/>
              </w:rPr>
            </w:pPr>
            <w:r>
              <w:rPr>
                <w:noProof/>
              </w:rPr>
              <w:t>•Fogyatékossági ellátások</w:t>
            </w:r>
          </w:p>
          <w:p w14:paraId="2A6F1801" w14:textId="77777777" w:rsidR="003F5418" w:rsidRDefault="002A6C25">
            <w:pPr>
              <w:pStyle w:val="P68B1DB1-Normal4"/>
              <w:spacing w:after="120"/>
              <w:contextualSpacing/>
              <w:rPr>
                <w:noProof/>
              </w:rPr>
            </w:pPr>
            <w:r>
              <w:rPr>
                <w:noProof/>
              </w:rPr>
              <w:t>•Visszavásárlások</w:t>
            </w:r>
          </w:p>
          <w:p w14:paraId="02F8979D" w14:textId="77777777" w:rsidR="003F5418" w:rsidRDefault="002A6C25">
            <w:pPr>
              <w:pStyle w:val="P68B1DB1-Normal4"/>
              <w:spacing w:after="120"/>
              <w:contextualSpacing/>
              <w:rPr>
                <w:noProof/>
              </w:rPr>
            </w:pPr>
            <w:r>
              <w:rPr>
                <w:noProof/>
              </w:rPr>
              <w:t>•A vállalkozás hozzájárulásának beszedése</w:t>
            </w:r>
          </w:p>
          <w:p w14:paraId="15DD23D3" w14:textId="77777777" w:rsidR="003F5418" w:rsidRDefault="002A6C25">
            <w:pPr>
              <w:pStyle w:val="P68B1DB1-Normal4"/>
              <w:spacing w:after="120"/>
              <w:contextualSpacing/>
              <w:rPr>
                <w:noProof/>
              </w:rPr>
            </w:pPr>
            <w:r>
              <w:rPr>
                <w:noProof/>
              </w:rPr>
              <w:t xml:space="preserve">•Mezőgazdaságban dolgozókkal kapcsolatos </w:t>
            </w:r>
            <w:r>
              <w:rPr>
                <w:noProof/>
              </w:rPr>
              <w:t>szolgáltatások</w:t>
            </w:r>
          </w:p>
          <w:p w14:paraId="5FB41B90" w14:textId="77777777" w:rsidR="003F5418" w:rsidRDefault="002A6C25">
            <w:pPr>
              <w:pStyle w:val="P68B1DB1-Normal4"/>
              <w:spacing w:after="120"/>
              <w:rPr>
                <w:noProof/>
              </w:rPr>
            </w:pPr>
            <w:r>
              <w:rPr>
                <w:noProof/>
              </w:rPr>
              <w:t>•Csalás elleni, korrupció elleni és átláthatósági szolgáltatások</w:t>
            </w:r>
          </w:p>
          <w:p w14:paraId="1B923FDA" w14:textId="77777777" w:rsidR="003F5418" w:rsidRDefault="002A6C25">
            <w:pPr>
              <w:pStyle w:val="P68B1DB1-Normal4"/>
              <w:spacing w:before="120" w:after="120"/>
              <w:rPr>
                <w:noProof/>
              </w:rPr>
            </w:pPr>
            <w:r>
              <w:rPr>
                <w:noProof/>
              </w:rPr>
              <w:t>A felsorolt intézményi területeken a megvalósítandó szolgáltatások a következőkre terjednek ki: a szolgáltatások iránti kérelmek digitális benyújtása, az előnyökre vonatkozó kö</w:t>
            </w:r>
            <w:r>
              <w:rPr>
                <w:noProof/>
              </w:rPr>
              <w:t>vetelmények ellenőrzése, a felhasználók gyakorlatának állapotellenőrzése, a szolgáltatásoknak a felhasználói igényeken alapuló proaktív javaslata, az ellátások automatikus megújítása anélkül, hogy új alkalmazásokra lenne szükség.</w:t>
            </w:r>
          </w:p>
          <w:p w14:paraId="54A84E2F" w14:textId="77777777" w:rsidR="003F5418" w:rsidRDefault="002A6C25">
            <w:pPr>
              <w:pStyle w:val="P68B1DB1-Normal4"/>
              <w:spacing w:after="120"/>
              <w:rPr>
                <w:noProof/>
              </w:rPr>
            </w:pPr>
            <w:r>
              <w:rPr>
                <w:noProof/>
              </w:rPr>
              <w:t>Végezetül nyomonkövetési i</w:t>
            </w:r>
            <w:r>
              <w:rPr>
                <w:noProof/>
              </w:rPr>
              <w:t>rányítópultokat kell létrehozni, amelyek lehetővé teszik mind a nyújtott előnyök INPS általi nyomon követését, mind a politikai döntéshozók döntéseinek adatvezérelt támogatását.</w:t>
            </w:r>
          </w:p>
        </w:tc>
      </w:tr>
      <w:tr w:rsidR="003F5418" w14:paraId="042DC020" w14:textId="77777777">
        <w:trPr>
          <w:trHeight w:val="309"/>
        </w:trPr>
        <w:tc>
          <w:tcPr>
            <w:tcW w:w="1284" w:type="dxa"/>
            <w:shd w:val="clear" w:color="auto" w:fill="C6EFCE"/>
            <w:noWrap/>
            <w:vAlign w:val="center"/>
          </w:tcPr>
          <w:p w14:paraId="51AF2CA9" w14:textId="77777777" w:rsidR="003F5418" w:rsidRDefault="002A6C25">
            <w:pPr>
              <w:pStyle w:val="P68B1DB1-Normal4"/>
              <w:jc w:val="center"/>
              <w:rPr>
                <w:noProof/>
              </w:rPr>
            </w:pPr>
            <w:r>
              <w:rPr>
                <w:noProof/>
              </w:rPr>
              <w:t>M1C1–124</w:t>
            </w:r>
          </w:p>
        </w:tc>
        <w:tc>
          <w:tcPr>
            <w:tcW w:w="1746" w:type="dxa"/>
            <w:shd w:val="clear" w:color="auto" w:fill="C6EFCE"/>
            <w:noWrap/>
            <w:vAlign w:val="center"/>
          </w:tcPr>
          <w:p w14:paraId="485135D2" w14:textId="77777777" w:rsidR="003F5418" w:rsidRDefault="002A6C25">
            <w:pPr>
              <w:pStyle w:val="P68B1DB1-Normal4"/>
              <w:jc w:val="center"/>
              <w:rPr>
                <w:noProof/>
              </w:rPr>
            </w:pPr>
            <w:r>
              <w:rPr>
                <w:noProof/>
              </w:rPr>
              <w:t xml:space="preserve">Beruházás – A Nemzeti Társadalombiztosítási Intézet (INPS) és a </w:t>
            </w:r>
            <w:r>
              <w:rPr>
                <w:noProof/>
              </w:rPr>
              <w:t>Nemzeti Munkahelyi Balesetbiztosítási Intézet (INAIL) digitalizálása</w:t>
            </w:r>
          </w:p>
        </w:tc>
        <w:tc>
          <w:tcPr>
            <w:tcW w:w="992" w:type="dxa"/>
            <w:shd w:val="clear" w:color="auto" w:fill="C6EFCE"/>
            <w:noWrap/>
            <w:vAlign w:val="center"/>
          </w:tcPr>
          <w:p w14:paraId="6E8A9EB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56F8B69D" w14:textId="77777777" w:rsidR="003F5418" w:rsidRDefault="002A6C25">
            <w:pPr>
              <w:pStyle w:val="P68B1DB1-Normal4"/>
              <w:jc w:val="center"/>
              <w:rPr>
                <w:noProof/>
              </w:rPr>
            </w:pPr>
            <w:r>
              <w:rPr>
                <w:noProof/>
              </w:rPr>
              <w:t>INPS – Jobb információs és kommunikációs technológiai (IKT) készségekkel rendelkező munkavállalók T1</w:t>
            </w:r>
          </w:p>
        </w:tc>
        <w:tc>
          <w:tcPr>
            <w:tcW w:w="1701" w:type="dxa"/>
            <w:shd w:val="clear" w:color="auto" w:fill="C6EFCE"/>
            <w:noWrap/>
            <w:vAlign w:val="center"/>
          </w:tcPr>
          <w:p w14:paraId="1E828BEA"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113E528C"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1EF183BA"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32573942" w14:textId="77777777" w:rsidR="003F5418" w:rsidRDefault="002A6C25">
            <w:pPr>
              <w:pStyle w:val="P68B1DB1-Normal4"/>
              <w:jc w:val="center"/>
              <w:rPr>
                <w:noProof/>
              </w:rPr>
            </w:pPr>
            <w:r>
              <w:rPr>
                <w:noProof/>
              </w:rPr>
              <w:t>4 250</w:t>
            </w:r>
          </w:p>
        </w:tc>
        <w:tc>
          <w:tcPr>
            <w:tcW w:w="793" w:type="dxa"/>
            <w:shd w:val="clear" w:color="auto" w:fill="C6EFCE"/>
            <w:noWrap/>
            <w:vAlign w:val="center"/>
          </w:tcPr>
          <w:p w14:paraId="573C65C7"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4319641A" w14:textId="77777777" w:rsidR="003F5418" w:rsidRDefault="002A6C25">
            <w:pPr>
              <w:pStyle w:val="P68B1DB1-Normal4"/>
              <w:jc w:val="center"/>
              <w:rPr>
                <w:noProof/>
              </w:rPr>
            </w:pPr>
            <w:r>
              <w:rPr>
                <w:noProof/>
              </w:rPr>
              <w:t>2022</w:t>
            </w:r>
          </w:p>
        </w:tc>
        <w:tc>
          <w:tcPr>
            <w:tcW w:w="2584" w:type="dxa"/>
            <w:shd w:val="clear" w:color="auto" w:fill="C6EFCE"/>
            <w:noWrap/>
            <w:vAlign w:val="center"/>
          </w:tcPr>
          <w:p w14:paraId="402206FF" w14:textId="1A53B307" w:rsidR="003F5418" w:rsidRDefault="002A6C25">
            <w:pPr>
              <w:pStyle w:val="P68B1DB1-Normal4"/>
              <w:spacing w:after="120"/>
              <w:rPr>
                <w:noProof/>
              </w:rPr>
            </w:pPr>
            <w:r>
              <w:rPr>
                <w:noProof/>
              </w:rPr>
              <w:t xml:space="preserve">Legalább 4250 INPS-alkalmazott értékelése információi </w:t>
            </w:r>
            <w:r>
              <w:rPr>
                <w:noProof/>
              </w:rPr>
              <w:t>és igazoltan továbbfejlesztett készségekkel rendelkezik az európai e-kompetenciakeret következő területein: i. terv; ii. Beszerkesztés; iii. Run iv</w:t>
            </w:r>
            <w:r w:rsidR="00564A1D">
              <w:rPr>
                <w:noProof/>
              </w:rPr>
              <w:t>.</w:t>
            </w:r>
            <w:r>
              <w:rPr>
                <w:noProof/>
              </w:rPr>
              <w:t xml:space="preserve"> Megengedhető; V. Irányítás.</w:t>
            </w:r>
          </w:p>
          <w:p w14:paraId="74733E66" w14:textId="77777777" w:rsidR="003F5418" w:rsidRDefault="002A6C25">
            <w:pPr>
              <w:pStyle w:val="P68B1DB1-Normal4"/>
              <w:spacing w:after="120"/>
              <w:rPr>
                <w:noProof/>
              </w:rPr>
            </w:pPr>
            <w:r>
              <w:rPr>
                <w:noProof/>
              </w:rPr>
              <w:t>A kompetenciafejlesztésre szoruló területeket a tanulók célcsoportja szerint ha</w:t>
            </w:r>
            <w:r>
              <w:rPr>
                <w:noProof/>
              </w:rPr>
              <w:t>tározzák meg.</w:t>
            </w:r>
          </w:p>
        </w:tc>
      </w:tr>
      <w:tr w:rsidR="003F5418" w14:paraId="2B9B1879" w14:textId="77777777">
        <w:trPr>
          <w:trHeight w:val="309"/>
        </w:trPr>
        <w:tc>
          <w:tcPr>
            <w:tcW w:w="1284" w:type="dxa"/>
            <w:shd w:val="clear" w:color="auto" w:fill="C6EFCE"/>
            <w:noWrap/>
            <w:vAlign w:val="center"/>
          </w:tcPr>
          <w:p w14:paraId="6A3042D8" w14:textId="77777777" w:rsidR="003F5418" w:rsidRDefault="002A6C25">
            <w:pPr>
              <w:pStyle w:val="P68B1DB1-Normal4"/>
              <w:jc w:val="center"/>
              <w:rPr>
                <w:noProof/>
              </w:rPr>
            </w:pPr>
            <w:r>
              <w:rPr>
                <w:noProof/>
              </w:rPr>
              <w:t>M1C1–125</w:t>
            </w:r>
          </w:p>
        </w:tc>
        <w:tc>
          <w:tcPr>
            <w:tcW w:w="1746" w:type="dxa"/>
            <w:shd w:val="clear" w:color="auto" w:fill="C6EFCE"/>
            <w:noWrap/>
            <w:vAlign w:val="center"/>
          </w:tcPr>
          <w:p w14:paraId="588153A6" w14:textId="77777777" w:rsidR="003F5418" w:rsidRDefault="002A6C25">
            <w:pPr>
              <w:pStyle w:val="P68B1DB1-Normal4"/>
              <w:jc w:val="center"/>
              <w:rPr>
                <w:noProof/>
              </w:rPr>
            </w:pPr>
            <w:r>
              <w:rPr>
                <w:noProof/>
              </w:rPr>
              <w:t>Beruházás – Felhő biztosítása a helyi kifizető ügynökségek számára</w:t>
            </w:r>
          </w:p>
        </w:tc>
        <w:tc>
          <w:tcPr>
            <w:tcW w:w="992" w:type="dxa"/>
            <w:shd w:val="clear" w:color="auto" w:fill="C6EFCE"/>
            <w:noWrap/>
            <w:vAlign w:val="center"/>
          </w:tcPr>
          <w:p w14:paraId="7472F8D1" w14:textId="77777777" w:rsidR="003F5418" w:rsidRDefault="002A6C25">
            <w:pPr>
              <w:pStyle w:val="P68B1DB1-Normal4"/>
              <w:jc w:val="center"/>
              <w:rPr>
                <w:noProof/>
              </w:rPr>
            </w:pPr>
            <w:r>
              <w:rPr>
                <w:noProof/>
              </w:rPr>
              <w:t>Mérföldkő</w:t>
            </w:r>
          </w:p>
        </w:tc>
        <w:tc>
          <w:tcPr>
            <w:tcW w:w="2126" w:type="dxa"/>
            <w:shd w:val="clear" w:color="auto" w:fill="C6EFCE"/>
            <w:noWrap/>
            <w:vAlign w:val="center"/>
          </w:tcPr>
          <w:p w14:paraId="79C0713E" w14:textId="77777777" w:rsidR="003F5418" w:rsidRDefault="002A6C25">
            <w:pPr>
              <w:pStyle w:val="P68B1DB1-Normal4"/>
              <w:jc w:val="center"/>
              <w:rPr>
                <w:noProof/>
              </w:rPr>
            </w:pPr>
            <w:r>
              <w:rPr>
                <w:noProof/>
              </w:rPr>
              <w:t>(Valamennyi) nyilvános számításifelhő-engedélyezési felhívás odaítélése helyi közigazgatási pályázatok esetében</w:t>
            </w:r>
          </w:p>
        </w:tc>
        <w:tc>
          <w:tcPr>
            <w:tcW w:w="1701" w:type="dxa"/>
            <w:shd w:val="clear" w:color="auto" w:fill="C6EFCE"/>
            <w:noWrap/>
            <w:vAlign w:val="center"/>
          </w:tcPr>
          <w:p w14:paraId="66C55986" w14:textId="77777777" w:rsidR="003F5418" w:rsidRDefault="002A6C25">
            <w:pPr>
              <w:pStyle w:val="P68B1DB1-Normal4"/>
              <w:jc w:val="center"/>
              <w:rPr>
                <w:noProof/>
              </w:rPr>
            </w:pPr>
            <w:r>
              <w:rPr>
                <w:noProof/>
              </w:rPr>
              <w:t xml:space="preserve">Értesítés a helyi közigazgatási </w:t>
            </w:r>
            <w:r>
              <w:rPr>
                <w:noProof/>
              </w:rPr>
              <w:t>pályázatokra vonatkozó (valamennyi) számításifelhő-szolgáltatásra irányuló közbeszerzési szerződés odaítéléséről</w:t>
            </w:r>
          </w:p>
        </w:tc>
        <w:tc>
          <w:tcPr>
            <w:tcW w:w="1134" w:type="dxa"/>
            <w:shd w:val="clear" w:color="auto" w:fill="C6EFCE"/>
            <w:noWrap/>
            <w:vAlign w:val="center"/>
          </w:tcPr>
          <w:p w14:paraId="3C084937" w14:textId="77777777" w:rsidR="003F5418" w:rsidRDefault="002A6C25">
            <w:pPr>
              <w:pStyle w:val="P68B1DB1-Normal4"/>
              <w:jc w:val="center"/>
              <w:rPr>
                <w:noProof/>
              </w:rPr>
            </w:pPr>
            <w:r>
              <w:rPr>
                <w:noProof/>
              </w:rPr>
              <w:t>NINCS</w:t>
            </w:r>
          </w:p>
        </w:tc>
        <w:tc>
          <w:tcPr>
            <w:tcW w:w="1276" w:type="dxa"/>
            <w:shd w:val="clear" w:color="auto" w:fill="C6EFCE"/>
            <w:noWrap/>
            <w:vAlign w:val="center"/>
          </w:tcPr>
          <w:p w14:paraId="24ED8D29"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484D30FD" w14:textId="77777777" w:rsidR="003F5418" w:rsidRDefault="002A6C25">
            <w:pPr>
              <w:pStyle w:val="P68B1DB1-Normal4"/>
              <w:jc w:val="center"/>
              <w:rPr>
                <w:noProof/>
              </w:rPr>
            </w:pPr>
            <w:r>
              <w:rPr>
                <w:noProof/>
              </w:rPr>
              <w:t>NINCS</w:t>
            </w:r>
          </w:p>
        </w:tc>
        <w:tc>
          <w:tcPr>
            <w:tcW w:w="793" w:type="dxa"/>
            <w:shd w:val="clear" w:color="auto" w:fill="C6EFCE"/>
            <w:noWrap/>
            <w:vAlign w:val="center"/>
          </w:tcPr>
          <w:p w14:paraId="545D449B" w14:textId="77777777" w:rsidR="003F5418" w:rsidRDefault="002A6C25">
            <w:pPr>
              <w:pStyle w:val="P68B1DB1-Normal4"/>
              <w:jc w:val="center"/>
              <w:rPr>
                <w:noProof/>
              </w:rPr>
            </w:pPr>
            <w:r>
              <w:rPr>
                <w:noProof/>
              </w:rPr>
              <w:t>Q1</w:t>
            </w:r>
          </w:p>
        </w:tc>
        <w:tc>
          <w:tcPr>
            <w:tcW w:w="625" w:type="dxa"/>
            <w:shd w:val="clear" w:color="auto" w:fill="C6EFCE"/>
            <w:noWrap/>
            <w:vAlign w:val="center"/>
          </w:tcPr>
          <w:p w14:paraId="191DE154"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2A5A0006" w14:textId="77777777" w:rsidR="003F5418" w:rsidRDefault="002A6C25">
            <w:pPr>
              <w:pStyle w:val="P68B1DB1-Normal4"/>
              <w:spacing w:after="120"/>
              <w:rPr>
                <w:noProof/>
              </w:rPr>
            </w:pPr>
            <w:r>
              <w:rPr>
                <w:noProof/>
              </w:rPr>
              <w:t>Értesítés az egyes érintett közigazgatási szervek (települések, iskolák, helyi egészségügyi ügynökségek) számára kiír</w:t>
            </w:r>
            <w:r>
              <w:rPr>
                <w:noProof/>
              </w:rPr>
              <w:t xml:space="preserve">t (valamennyi) nyilvános felhívás odaítéléséről a migrációs tervek összegyűjtése és értékelése céljából. A három célzott pályázati felhívás kibocsátása lehetővé teszi a technológiai innovációért és a digitális átállásért felelős minisztérium számára, hogy </w:t>
            </w:r>
            <w:r>
              <w:rPr>
                <w:noProof/>
              </w:rPr>
              <w:t>felmérje az egyes érintett közigazgatási típusok nagyon sajátos igényeit.</w:t>
            </w:r>
          </w:p>
          <w:p w14:paraId="59BFBBF9" w14:textId="77777777" w:rsidR="003F5418" w:rsidRDefault="002A6C25">
            <w:pPr>
              <w:pStyle w:val="P68B1DB1-Normal4"/>
              <w:spacing w:after="120"/>
              <w:rPr>
                <w:noProof/>
              </w:rPr>
            </w:pPr>
            <w:r>
              <w:rPr>
                <w:noProof/>
              </w:rPr>
              <w:t xml:space="preserve">A jelentős károkozás elkerülését célzó technikai iránymutatásnak (2021/C58/01) megfelelően az önkormányzatok, iskolák és helyi egészségügyi ügynökségek számára kiírt három nyilvános </w:t>
            </w:r>
            <w:r>
              <w:rPr>
                <w:noProof/>
              </w:rPr>
              <w:t>pályázati felhíváshoz kapcsolódó ajánlatok (azaz a finanszírozásra jogosult közigazgatási szervek listájának közzététele) a jelentős károkozás elkerülését célzó technikai iránymutatásnak (2021/C58/01) megfelelően, kizárási lista, valamint a vonatkozó uniós</w:t>
            </w:r>
            <w:r>
              <w:rPr>
                <w:noProof/>
              </w:rPr>
              <w:t xml:space="preserve"> és nemzeti környezetvédelmi jogszabályoknak való megfelelés követelménye alapján.</w:t>
            </w:r>
          </w:p>
        </w:tc>
      </w:tr>
      <w:tr w:rsidR="003F5418" w14:paraId="1E3681DE" w14:textId="77777777">
        <w:trPr>
          <w:trHeight w:val="309"/>
        </w:trPr>
        <w:tc>
          <w:tcPr>
            <w:tcW w:w="1284" w:type="dxa"/>
            <w:shd w:val="clear" w:color="auto" w:fill="C6EFCE"/>
            <w:noWrap/>
            <w:vAlign w:val="center"/>
          </w:tcPr>
          <w:p w14:paraId="7806ABB3" w14:textId="77777777" w:rsidR="003F5418" w:rsidRDefault="002A6C25">
            <w:pPr>
              <w:pStyle w:val="P68B1DB1-Normal4"/>
              <w:jc w:val="center"/>
              <w:rPr>
                <w:noProof/>
              </w:rPr>
            </w:pPr>
            <w:r>
              <w:rPr>
                <w:noProof/>
              </w:rPr>
              <w:t>M1C1–126.</w:t>
            </w:r>
          </w:p>
        </w:tc>
        <w:tc>
          <w:tcPr>
            <w:tcW w:w="1746" w:type="dxa"/>
            <w:shd w:val="clear" w:color="auto" w:fill="C6EFCE"/>
            <w:noWrap/>
            <w:vAlign w:val="center"/>
          </w:tcPr>
          <w:p w14:paraId="32F5F8C0" w14:textId="77777777" w:rsidR="003F5418" w:rsidRDefault="002A6C25">
            <w:pPr>
              <w:pStyle w:val="P68B1DB1-Normal4"/>
              <w:jc w:val="center"/>
              <w:rPr>
                <w:noProof/>
              </w:rPr>
            </w:pPr>
            <w:r>
              <w:rPr>
                <w:noProof/>
              </w:rPr>
              <w:t>Beruházás – A PagoPA platformszolgáltatások és az „IO” alkalmazás bevezetése</w:t>
            </w:r>
          </w:p>
        </w:tc>
        <w:tc>
          <w:tcPr>
            <w:tcW w:w="992" w:type="dxa"/>
            <w:shd w:val="clear" w:color="auto" w:fill="C6EFCE"/>
            <w:noWrap/>
            <w:vAlign w:val="center"/>
          </w:tcPr>
          <w:p w14:paraId="2154A802"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47BE086D" w14:textId="77777777" w:rsidR="003F5418" w:rsidRDefault="002A6C25">
            <w:pPr>
              <w:pStyle w:val="P68B1DB1-Normal4"/>
              <w:jc w:val="center"/>
              <w:rPr>
                <w:noProof/>
              </w:rPr>
            </w:pPr>
            <w:r>
              <w:rPr>
                <w:noProof/>
              </w:rPr>
              <w:t>A PagoPA platformszolgáltatások (T1) elfogadása</w:t>
            </w:r>
          </w:p>
        </w:tc>
        <w:tc>
          <w:tcPr>
            <w:tcW w:w="1701" w:type="dxa"/>
            <w:shd w:val="clear" w:color="auto" w:fill="C6EFCE"/>
            <w:noWrap/>
            <w:vAlign w:val="center"/>
          </w:tcPr>
          <w:p w14:paraId="6056242C"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63B69F5F"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700CF539" w14:textId="77777777" w:rsidR="003F5418" w:rsidRDefault="002A6C25">
            <w:pPr>
              <w:pStyle w:val="P68B1DB1-Normal4"/>
              <w:jc w:val="center"/>
              <w:rPr>
                <w:noProof/>
              </w:rPr>
            </w:pPr>
            <w:r>
              <w:rPr>
                <w:noProof/>
              </w:rPr>
              <w:t>9 000</w:t>
            </w:r>
          </w:p>
        </w:tc>
        <w:tc>
          <w:tcPr>
            <w:tcW w:w="1417" w:type="dxa"/>
            <w:shd w:val="clear" w:color="auto" w:fill="C6EFCE"/>
            <w:noWrap/>
            <w:vAlign w:val="center"/>
          </w:tcPr>
          <w:p w14:paraId="3C287342" w14:textId="77777777" w:rsidR="003F5418" w:rsidRDefault="002A6C25">
            <w:pPr>
              <w:pStyle w:val="P68B1DB1-Normal4"/>
              <w:jc w:val="center"/>
              <w:rPr>
                <w:noProof/>
              </w:rPr>
            </w:pPr>
            <w:r>
              <w:rPr>
                <w:noProof/>
              </w:rPr>
              <w:t xml:space="preserve">11 450 </w:t>
            </w:r>
          </w:p>
        </w:tc>
        <w:tc>
          <w:tcPr>
            <w:tcW w:w="793" w:type="dxa"/>
            <w:shd w:val="clear" w:color="auto" w:fill="C6EFCE"/>
            <w:noWrap/>
            <w:vAlign w:val="center"/>
          </w:tcPr>
          <w:p w14:paraId="76DA8603"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38541587"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0CCAC060" w14:textId="77777777" w:rsidR="003F5418" w:rsidRDefault="002A6C25">
            <w:pPr>
              <w:pStyle w:val="P68B1DB1-Normal4"/>
              <w:spacing w:after="120"/>
              <w:rPr>
                <w:noProof/>
              </w:rPr>
            </w:pPr>
            <w:r>
              <w:rPr>
                <w:noProof/>
              </w:rPr>
              <w:t>A platformba integrált szolgáltatások számának növelése a következők érdekében:</w:t>
            </w:r>
          </w:p>
          <w:p w14:paraId="5942DEAB" w14:textId="77777777" w:rsidR="003F5418" w:rsidRDefault="002A6C25">
            <w:pPr>
              <w:pStyle w:val="P68B1DB1-Normal4"/>
              <w:rPr>
                <w:noProof/>
              </w:rPr>
            </w:pPr>
            <w:r>
              <w:rPr>
                <w:noProof/>
              </w:rPr>
              <w:t>már az alapforgatókönyvben szereplő közigazgatási szervek (9000 szervezet)</w:t>
            </w:r>
          </w:p>
          <w:p w14:paraId="75651E02" w14:textId="77777777" w:rsidR="003F5418" w:rsidRDefault="002A6C25">
            <w:pPr>
              <w:pStyle w:val="P68B1DB1-Normal4"/>
              <w:spacing w:after="120"/>
              <w:rPr>
                <w:noProof/>
              </w:rPr>
            </w:pPr>
            <w:r>
              <w:rPr>
                <w:noProof/>
              </w:rPr>
              <w:t>– új közigazgatási szervek csatlakoznak a platformhoz (2450 új szervezet).</w:t>
            </w:r>
          </w:p>
          <w:p w14:paraId="433D3567" w14:textId="77777777" w:rsidR="003F5418" w:rsidRDefault="002A6C25">
            <w:pPr>
              <w:pStyle w:val="P68B1DB1-Normal4"/>
              <w:spacing w:before="120" w:after="120"/>
              <w:rPr>
                <w:noProof/>
              </w:rPr>
            </w:pPr>
            <w:r>
              <w:rPr>
                <w:noProof/>
              </w:rPr>
              <w:t xml:space="preserve">A platformhoz csatlakozó </w:t>
            </w:r>
            <w:r>
              <w:rPr>
                <w:noProof/>
              </w:rPr>
              <w:t>közigazgatási szervek által nyújtott szolgáltatások teljes számát mindkét esetben legalább 20%-kal kell növelni a 2021. évi szolgáltatási alapértékhez képest (2021. március 31.). Az integrálandó szolgáltatások száma a közigazgatás típusától függ (a végső c</w:t>
            </w:r>
            <w:r>
              <w:rPr>
                <w:noProof/>
              </w:rPr>
              <w:t>él 2026-ban az, hogy átlagosan 35 szolgáltatás álljon rendelkezésre az önkormányzatok számára, 15 szolgáltatás a régióknak, 15 szolgáltatás az egészségügyi hatóságoknak, 8 szolgáltatás az iskoláknak és egyetemeknek).</w:t>
            </w:r>
          </w:p>
        </w:tc>
      </w:tr>
      <w:tr w:rsidR="003F5418" w14:paraId="25F5EFD4" w14:textId="77777777">
        <w:trPr>
          <w:trHeight w:val="309"/>
        </w:trPr>
        <w:tc>
          <w:tcPr>
            <w:tcW w:w="1284" w:type="dxa"/>
            <w:shd w:val="clear" w:color="auto" w:fill="C6EFCE"/>
            <w:noWrap/>
            <w:vAlign w:val="center"/>
          </w:tcPr>
          <w:p w14:paraId="2C20E622" w14:textId="77777777" w:rsidR="003F5418" w:rsidRDefault="002A6C25">
            <w:pPr>
              <w:pStyle w:val="P68B1DB1-Normal4"/>
              <w:jc w:val="center"/>
              <w:rPr>
                <w:noProof/>
              </w:rPr>
            </w:pPr>
            <w:r>
              <w:rPr>
                <w:noProof/>
              </w:rPr>
              <w:t>M1C1–127</w:t>
            </w:r>
          </w:p>
        </w:tc>
        <w:tc>
          <w:tcPr>
            <w:tcW w:w="1746" w:type="dxa"/>
            <w:shd w:val="clear" w:color="auto" w:fill="C6EFCE"/>
            <w:noWrap/>
            <w:vAlign w:val="center"/>
          </w:tcPr>
          <w:p w14:paraId="052980F2" w14:textId="77777777" w:rsidR="003F5418" w:rsidRDefault="002A6C25">
            <w:pPr>
              <w:pStyle w:val="P68B1DB1-Normal4"/>
              <w:jc w:val="center"/>
              <w:rPr>
                <w:noProof/>
              </w:rPr>
            </w:pPr>
            <w:r>
              <w:rPr>
                <w:noProof/>
              </w:rPr>
              <w:t xml:space="preserve">Beruházás – A PagoPA </w:t>
            </w:r>
            <w:r>
              <w:rPr>
                <w:noProof/>
              </w:rPr>
              <w:t>platformszolgáltatások és az „IO” alkalmazás bevezetése</w:t>
            </w:r>
          </w:p>
        </w:tc>
        <w:tc>
          <w:tcPr>
            <w:tcW w:w="992" w:type="dxa"/>
            <w:shd w:val="clear" w:color="auto" w:fill="C6EFCE"/>
            <w:noWrap/>
            <w:vAlign w:val="center"/>
          </w:tcPr>
          <w:p w14:paraId="2444682E"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6F5D8340" w14:textId="77777777" w:rsidR="003F5418" w:rsidRDefault="002A6C25">
            <w:pPr>
              <w:pStyle w:val="P68B1DB1-Normal4"/>
              <w:jc w:val="center"/>
              <w:rPr>
                <w:noProof/>
              </w:rPr>
            </w:pPr>
            <w:r>
              <w:rPr>
                <w:noProof/>
              </w:rPr>
              <w:t>Az „IO” alkalmazás szélesebb körű elfogadása a T1 alkalmazásban</w:t>
            </w:r>
          </w:p>
        </w:tc>
        <w:tc>
          <w:tcPr>
            <w:tcW w:w="1701" w:type="dxa"/>
            <w:shd w:val="clear" w:color="auto" w:fill="C6EFCE"/>
            <w:noWrap/>
            <w:vAlign w:val="center"/>
          </w:tcPr>
          <w:p w14:paraId="71812695"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2B2178C"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53DFB41" w14:textId="77777777" w:rsidR="003F5418" w:rsidRDefault="002A6C25">
            <w:pPr>
              <w:pStyle w:val="P68B1DB1-Normal4"/>
              <w:jc w:val="center"/>
              <w:rPr>
                <w:noProof/>
              </w:rPr>
            </w:pPr>
            <w:r>
              <w:rPr>
                <w:noProof/>
              </w:rPr>
              <w:t>2 700</w:t>
            </w:r>
          </w:p>
        </w:tc>
        <w:tc>
          <w:tcPr>
            <w:tcW w:w="1417" w:type="dxa"/>
            <w:shd w:val="clear" w:color="auto" w:fill="C6EFCE"/>
            <w:noWrap/>
            <w:vAlign w:val="center"/>
          </w:tcPr>
          <w:p w14:paraId="35DC923B" w14:textId="77777777" w:rsidR="003F5418" w:rsidRDefault="002A6C25">
            <w:pPr>
              <w:pStyle w:val="P68B1DB1-Normal4"/>
              <w:jc w:val="center"/>
              <w:rPr>
                <w:noProof/>
              </w:rPr>
            </w:pPr>
            <w:r>
              <w:rPr>
                <w:noProof/>
              </w:rPr>
              <w:t>7 000</w:t>
            </w:r>
          </w:p>
        </w:tc>
        <w:tc>
          <w:tcPr>
            <w:tcW w:w="793" w:type="dxa"/>
            <w:shd w:val="clear" w:color="auto" w:fill="C6EFCE"/>
            <w:noWrap/>
            <w:vAlign w:val="center"/>
          </w:tcPr>
          <w:p w14:paraId="69E2B2F2"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38F7D072"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160479C9" w14:textId="77777777" w:rsidR="003F5418" w:rsidRDefault="002A6C25">
            <w:pPr>
              <w:pStyle w:val="P68B1DB1-Normal4"/>
              <w:spacing w:after="120"/>
              <w:rPr>
                <w:noProof/>
              </w:rPr>
            </w:pPr>
            <w:r>
              <w:rPr>
                <w:noProof/>
              </w:rPr>
              <w:t>Az „IO”-ba integrált szolgáltatások számának növelése:</w:t>
            </w:r>
          </w:p>
          <w:p w14:paraId="44C0DBBA" w14:textId="77777777" w:rsidR="003F5418" w:rsidRDefault="002A6C25">
            <w:pPr>
              <w:pStyle w:val="P68B1DB1-Normal4"/>
              <w:spacing w:before="120" w:after="120"/>
              <w:rPr>
                <w:noProof/>
              </w:rPr>
            </w:pPr>
            <w:r>
              <w:rPr>
                <w:noProof/>
              </w:rPr>
              <w:t xml:space="preserve">már az alapforgatókönyvben szereplő </w:t>
            </w:r>
            <w:r>
              <w:rPr>
                <w:noProof/>
              </w:rPr>
              <w:t>közigazgatási szervek (2700 szervezet)</w:t>
            </w:r>
          </w:p>
          <w:p w14:paraId="35BA41E4" w14:textId="77777777" w:rsidR="003F5418" w:rsidRDefault="002A6C25">
            <w:pPr>
              <w:pStyle w:val="P68B1DB1-Normal4"/>
              <w:spacing w:before="120" w:after="120"/>
              <w:rPr>
                <w:noProof/>
              </w:rPr>
            </w:pPr>
            <w:r>
              <w:rPr>
                <w:noProof/>
              </w:rPr>
              <w:t>– új közigazgatási szervek csatlakoznak a platformhoz (4300 új szervezet).</w:t>
            </w:r>
          </w:p>
          <w:p w14:paraId="457EA111" w14:textId="77777777" w:rsidR="003F5418" w:rsidRDefault="002A6C25">
            <w:pPr>
              <w:pStyle w:val="P68B1DB1-Normal4"/>
              <w:spacing w:before="120" w:after="120"/>
              <w:rPr>
                <w:noProof/>
              </w:rPr>
            </w:pPr>
            <w:r>
              <w:rPr>
                <w:noProof/>
              </w:rPr>
              <w:t>A platformhoz csatlakozó közigazgatási szervek által nyújtott szolgáltatások teljes számát mindkét esetben legalább 20%-kal kell növelni a 202</w:t>
            </w:r>
            <w:r>
              <w:rPr>
                <w:noProof/>
              </w:rPr>
              <w:t>1. évi szolgáltatási alapértékhez képest (2021. március 31.). Az integrálandó szolgáltatások száma a közigazgatás típusától függ (a végső cél 2026-ban az, hogy átlagosan 35 szolgáltatás álljon rendelkezésre az önkormányzatok számára, 15 szolgáltatás a régi</w:t>
            </w:r>
            <w:r>
              <w:rPr>
                <w:noProof/>
              </w:rPr>
              <w:t>óknak, 15 szolgáltatás az egészségügyi hatóságoknak, 8 szolgáltatás az iskoláknak és egyetemeknek).</w:t>
            </w:r>
          </w:p>
        </w:tc>
      </w:tr>
      <w:tr w:rsidR="003F5418" w14:paraId="5E064837" w14:textId="77777777">
        <w:trPr>
          <w:trHeight w:val="309"/>
        </w:trPr>
        <w:tc>
          <w:tcPr>
            <w:tcW w:w="1284" w:type="dxa"/>
            <w:shd w:val="clear" w:color="auto" w:fill="C6EFCE"/>
            <w:noWrap/>
            <w:vAlign w:val="center"/>
          </w:tcPr>
          <w:p w14:paraId="66FE6C02" w14:textId="77777777" w:rsidR="003F5418" w:rsidRDefault="002A6C25">
            <w:pPr>
              <w:pStyle w:val="P68B1DB1-Normal4"/>
              <w:jc w:val="center"/>
              <w:rPr>
                <w:noProof/>
              </w:rPr>
            </w:pPr>
            <w:r>
              <w:rPr>
                <w:noProof/>
              </w:rPr>
              <w:t>M1C1–128.</w:t>
            </w:r>
          </w:p>
        </w:tc>
        <w:tc>
          <w:tcPr>
            <w:tcW w:w="1746" w:type="dxa"/>
            <w:shd w:val="clear" w:color="auto" w:fill="C6EFCE"/>
            <w:noWrap/>
            <w:vAlign w:val="center"/>
          </w:tcPr>
          <w:p w14:paraId="49827A51" w14:textId="77777777" w:rsidR="003F5418" w:rsidRDefault="002A6C25">
            <w:pPr>
              <w:pStyle w:val="P68B1DB1-Normal4"/>
              <w:jc w:val="center"/>
              <w:rPr>
                <w:noProof/>
              </w:rPr>
            </w:pPr>
            <w:r>
              <w:rPr>
                <w:noProof/>
              </w:rPr>
              <w:t>Beruházás – Közzétételek digitalizálása</w:t>
            </w:r>
          </w:p>
        </w:tc>
        <w:tc>
          <w:tcPr>
            <w:tcW w:w="992" w:type="dxa"/>
            <w:shd w:val="clear" w:color="auto" w:fill="C6EFCE"/>
            <w:noWrap/>
            <w:vAlign w:val="center"/>
          </w:tcPr>
          <w:p w14:paraId="2D9B5D5A"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3C591D10" w14:textId="77777777" w:rsidR="003F5418" w:rsidRDefault="002A6C25">
            <w:pPr>
              <w:pStyle w:val="P68B1DB1-Normal4"/>
              <w:jc w:val="center"/>
              <w:rPr>
                <w:noProof/>
              </w:rPr>
            </w:pPr>
            <w:r>
              <w:rPr>
                <w:noProof/>
              </w:rPr>
              <w:t>A T1 digitális nyilvános hirdetmények elfogadásának fokozása</w:t>
            </w:r>
          </w:p>
        </w:tc>
        <w:tc>
          <w:tcPr>
            <w:tcW w:w="1701" w:type="dxa"/>
            <w:shd w:val="clear" w:color="auto" w:fill="C6EFCE"/>
            <w:noWrap/>
            <w:vAlign w:val="center"/>
          </w:tcPr>
          <w:p w14:paraId="41BCC0B6"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139CE0D"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21A28A96"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73AB695E" w14:textId="77777777" w:rsidR="003F5418" w:rsidRDefault="002A6C25">
            <w:pPr>
              <w:pStyle w:val="P68B1DB1-Normal4"/>
              <w:jc w:val="center"/>
              <w:rPr>
                <w:noProof/>
              </w:rPr>
            </w:pPr>
            <w:r>
              <w:rPr>
                <w:noProof/>
              </w:rPr>
              <w:t>800</w:t>
            </w:r>
          </w:p>
        </w:tc>
        <w:tc>
          <w:tcPr>
            <w:tcW w:w="793" w:type="dxa"/>
            <w:shd w:val="clear" w:color="auto" w:fill="C6EFCE"/>
            <w:noWrap/>
            <w:vAlign w:val="center"/>
          </w:tcPr>
          <w:p w14:paraId="11F62E6E"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2C5FE3CA"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75B28E34" w14:textId="77777777" w:rsidR="003F5418" w:rsidRDefault="002A6C25">
            <w:pPr>
              <w:pStyle w:val="P68B1DB1-Normal4"/>
              <w:spacing w:after="120"/>
              <w:rPr>
                <w:noProof/>
              </w:rPr>
            </w:pPr>
            <w:r>
              <w:rPr>
                <w:noProof/>
              </w:rPr>
              <w:t>A digitális bejelentési platform (DNP) tekintetében legalább 800 központi közigazgatási szerv és önkormányzat köteles digitális, jogilag kötelező érvényű értesítést küldeni a polgároknak, a jogalanyoknak, az egyesületeknek és bármely más köz- vagy magánsze</w:t>
            </w:r>
            <w:r>
              <w:rPr>
                <w:noProof/>
              </w:rPr>
              <w:t>rvezetnek.</w:t>
            </w:r>
          </w:p>
        </w:tc>
      </w:tr>
      <w:tr w:rsidR="003F5418" w14:paraId="65CD4962" w14:textId="77777777">
        <w:trPr>
          <w:trHeight w:val="309"/>
        </w:trPr>
        <w:tc>
          <w:tcPr>
            <w:tcW w:w="1284" w:type="dxa"/>
            <w:shd w:val="clear" w:color="auto" w:fill="C6EFCE"/>
            <w:noWrap/>
            <w:vAlign w:val="center"/>
          </w:tcPr>
          <w:p w14:paraId="320D5267" w14:textId="77777777" w:rsidR="003F5418" w:rsidRDefault="002A6C25">
            <w:pPr>
              <w:pStyle w:val="P68B1DB1-Normal4"/>
              <w:jc w:val="center"/>
              <w:rPr>
                <w:noProof/>
              </w:rPr>
            </w:pPr>
            <w:r>
              <w:rPr>
                <w:noProof/>
              </w:rPr>
              <w:t>M1C1–129</w:t>
            </w:r>
          </w:p>
        </w:tc>
        <w:tc>
          <w:tcPr>
            <w:tcW w:w="1746" w:type="dxa"/>
            <w:shd w:val="clear" w:color="auto" w:fill="C6EFCE"/>
            <w:noWrap/>
            <w:vAlign w:val="center"/>
          </w:tcPr>
          <w:p w14:paraId="441F0CE3" w14:textId="77777777" w:rsidR="003F5418" w:rsidRDefault="002A6C25">
            <w:pPr>
              <w:pStyle w:val="P68B1DB1-Normal4"/>
              <w:jc w:val="center"/>
              <w:rPr>
                <w:noProof/>
              </w:rPr>
            </w:pPr>
            <w:r>
              <w:rPr>
                <w:noProof/>
              </w:rPr>
              <w:t>Beruházás – A Belügyminisztérium digitalizálása</w:t>
            </w:r>
          </w:p>
        </w:tc>
        <w:tc>
          <w:tcPr>
            <w:tcW w:w="992" w:type="dxa"/>
            <w:shd w:val="clear" w:color="auto" w:fill="C6EFCE"/>
            <w:noWrap/>
            <w:vAlign w:val="center"/>
          </w:tcPr>
          <w:p w14:paraId="763E47A3"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4E4F3CFD" w14:textId="77777777" w:rsidR="003F5418" w:rsidRDefault="002A6C25">
            <w:pPr>
              <w:pStyle w:val="P68B1DB1-Normal4"/>
              <w:jc w:val="center"/>
              <w:rPr>
                <w:noProof/>
              </w:rPr>
            </w:pPr>
            <w:r>
              <w:rPr>
                <w:noProof/>
              </w:rPr>
              <w:t>Belügyminisztérium – T1 teljes mértékben átalakított és digitalizált folyamatok</w:t>
            </w:r>
          </w:p>
        </w:tc>
        <w:tc>
          <w:tcPr>
            <w:tcW w:w="1701" w:type="dxa"/>
            <w:shd w:val="clear" w:color="auto" w:fill="C6EFCE"/>
            <w:noWrap/>
            <w:vAlign w:val="center"/>
          </w:tcPr>
          <w:p w14:paraId="50E38AA7"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44B1337"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F2D0A10"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4DE7BC90" w14:textId="77777777" w:rsidR="003F5418" w:rsidRDefault="002A6C25">
            <w:pPr>
              <w:pStyle w:val="P68B1DB1-Normal4"/>
              <w:jc w:val="center"/>
              <w:rPr>
                <w:noProof/>
              </w:rPr>
            </w:pPr>
            <w:r>
              <w:rPr>
                <w:noProof/>
              </w:rPr>
              <w:t>7</w:t>
            </w:r>
          </w:p>
        </w:tc>
        <w:tc>
          <w:tcPr>
            <w:tcW w:w="793" w:type="dxa"/>
            <w:shd w:val="clear" w:color="auto" w:fill="C6EFCE"/>
            <w:noWrap/>
            <w:vAlign w:val="center"/>
          </w:tcPr>
          <w:p w14:paraId="4E39B55B"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16EF441F"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7415077D" w14:textId="77777777" w:rsidR="003F5418" w:rsidRDefault="002A6C25">
            <w:pPr>
              <w:pStyle w:val="P68B1DB1-Normal4"/>
              <w:spacing w:after="120"/>
              <w:rPr>
                <w:noProof/>
              </w:rPr>
            </w:pPr>
            <w:r>
              <w:rPr>
                <w:noProof/>
              </w:rPr>
              <w:t>Teljes mértékben átalakított belső eljárások és folyamatok (2023. december 31-ig összesen 7 folyamat), amelyek teljes mértékben online elvégezhetők (például irodaautomatizálás, mobilitási szolgáltatások és e-tanulás).</w:t>
            </w:r>
          </w:p>
        </w:tc>
      </w:tr>
      <w:tr w:rsidR="003F5418" w14:paraId="181ADB26" w14:textId="77777777">
        <w:trPr>
          <w:trHeight w:val="309"/>
        </w:trPr>
        <w:tc>
          <w:tcPr>
            <w:tcW w:w="1284" w:type="dxa"/>
            <w:shd w:val="clear" w:color="auto" w:fill="C6EFCE"/>
            <w:noWrap/>
            <w:vAlign w:val="center"/>
          </w:tcPr>
          <w:p w14:paraId="0F8521ED" w14:textId="77777777" w:rsidR="003F5418" w:rsidRDefault="002A6C25">
            <w:pPr>
              <w:pStyle w:val="P68B1DB1-Normal4"/>
              <w:jc w:val="center"/>
              <w:rPr>
                <w:noProof/>
              </w:rPr>
            </w:pPr>
            <w:r>
              <w:rPr>
                <w:noProof/>
              </w:rPr>
              <w:t>M1C1–130</w:t>
            </w:r>
          </w:p>
        </w:tc>
        <w:tc>
          <w:tcPr>
            <w:tcW w:w="1746" w:type="dxa"/>
            <w:shd w:val="clear" w:color="auto" w:fill="C6EFCE"/>
            <w:noWrap/>
            <w:vAlign w:val="center"/>
          </w:tcPr>
          <w:p w14:paraId="0173351A" w14:textId="77777777" w:rsidR="003F5418" w:rsidRDefault="002A6C25">
            <w:pPr>
              <w:pStyle w:val="P68B1DB1-Normal4"/>
              <w:jc w:val="center"/>
              <w:rPr>
                <w:noProof/>
              </w:rPr>
            </w:pPr>
            <w:r>
              <w:rPr>
                <w:noProof/>
              </w:rPr>
              <w:t xml:space="preserve">Beruházás – Az Igazságügyi </w:t>
            </w:r>
            <w:r>
              <w:rPr>
                <w:noProof/>
              </w:rPr>
              <w:t>Minisztérium digitalizálása</w:t>
            </w:r>
          </w:p>
        </w:tc>
        <w:tc>
          <w:tcPr>
            <w:tcW w:w="992" w:type="dxa"/>
            <w:shd w:val="clear" w:color="auto" w:fill="C6EFCE"/>
            <w:noWrap/>
            <w:vAlign w:val="center"/>
          </w:tcPr>
          <w:p w14:paraId="3BC8DC2B"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23B34088" w14:textId="77777777" w:rsidR="003F5418" w:rsidRDefault="002A6C25">
            <w:pPr>
              <w:pStyle w:val="P68B1DB1-Normal4"/>
              <w:jc w:val="center"/>
              <w:rPr>
                <w:noProof/>
              </w:rPr>
            </w:pPr>
            <w:r>
              <w:rPr>
                <w:noProof/>
              </w:rPr>
              <w:t>Digitalizált bírósági iratok T1</w:t>
            </w:r>
          </w:p>
        </w:tc>
        <w:tc>
          <w:tcPr>
            <w:tcW w:w="1701" w:type="dxa"/>
            <w:shd w:val="clear" w:color="auto" w:fill="C6EFCE"/>
            <w:noWrap/>
            <w:vAlign w:val="center"/>
          </w:tcPr>
          <w:p w14:paraId="2EBF575B"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7D870F81"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416AB2B6"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3556CADB" w14:textId="77777777" w:rsidR="003F5418" w:rsidRDefault="002A6C25">
            <w:pPr>
              <w:pStyle w:val="P68B1DB1-Normal9"/>
              <w:jc w:val="center"/>
              <w:rPr>
                <w:rFonts w:ascii="Arial Narrow" w:hAnsi="Arial Narrow"/>
                <w:noProof/>
              </w:rPr>
            </w:pPr>
            <w:r>
              <w:rPr>
                <w:rFonts w:ascii="Arial Narrow" w:hAnsi="Arial Narrow"/>
                <w:noProof/>
              </w:rPr>
              <w:t>3 500</w:t>
            </w:r>
            <w:r>
              <w:rPr>
                <w:noProof/>
              </w:rPr>
              <w:t xml:space="preserve"> </w:t>
            </w:r>
            <w:r>
              <w:rPr>
                <w:rFonts w:ascii="Arial Narrow" w:hAnsi="Arial Narrow"/>
                <w:noProof/>
              </w:rPr>
              <w:t>000</w:t>
            </w:r>
          </w:p>
        </w:tc>
        <w:tc>
          <w:tcPr>
            <w:tcW w:w="793" w:type="dxa"/>
            <w:shd w:val="clear" w:color="auto" w:fill="C6EFCE"/>
            <w:noWrap/>
            <w:vAlign w:val="center"/>
          </w:tcPr>
          <w:p w14:paraId="5DB10C1F"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6C2AF5EC"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472957D2" w14:textId="77777777" w:rsidR="003F5418" w:rsidRDefault="002A6C25">
            <w:pPr>
              <w:pStyle w:val="P68B1DB1-Normal9"/>
              <w:spacing w:after="120"/>
              <w:rPr>
                <w:rFonts w:ascii="Arial Narrow" w:hAnsi="Arial Narrow"/>
                <w:noProof/>
              </w:rPr>
            </w:pPr>
            <w:r>
              <w:rPr>
                <w:noProof/>
              </w:rPr>
              <w:t xml:space="preserve">Az </w:t>
            </w:r>
            <w:r>
              <w:rPr>
                <w:rFonts w:ascii="Arial Narrow" w:hAnsi="Arial Narrow"/>
                <w:noProof/>
              </w:rPr>
              <w:t xml:space="preserve">elmúlt20 évre vonatkozó 3500000 bírósági ügyirat digitalizálása (2006. január 1-jétől 2026.6.30-ig) a bíróságok lezárt vagy folyamatban lévő tárgyalásaihoz </w:t>
            </w:r>
            <w:r>
              <w:rPr>
                <w:rFonts w:ascii="Arial Narrow" w:hAnsi="Arial Narrow"/>
                <w:noProof/>
              </w:rPr>
              <w:t>kapcsolódóan.</w:t>
            </w:r>
          </w:p>
        </w:tc>
      </w:tr>
      <w:tr w:rsidR="003F5418" w14:paraId="4E96FB3F" w14:textId="77777777">
        <w:trPr>
          <w:trHeight w:val="309"/>
        </w:trPr>
        <w:tc>
          <w:tcPr>
            <w:tcW w:w="1284" w:type="dxa"/>
            <w:shd w:val="clear" w:color="auto" w:fill="C6EFCE"/>
            <w:noWrap/>
            <w:vAlign w:val="center"/>
          </w:tcPr>
          <w:p w14:paraId="5955FBB2" w14:textId="77777777" w:rsidR="003F5418" w:rsidRDefault="002A6C25">
            <w:pPr>
              <w:pStyle w:val="P68B1DB1-Normal4"/>
              <w:jc w:val="center"/>
              <w:rPr>
                <w:noProof/>
              </w:rPr>
            </w:pPr>
            <w:r>
              <w:rPr>
                <w:noProof/>
              </w:rPr>
              <w:t>M1C1–131</w:t>
            </w:r>
          </w:p>
        </w:tc>
        <w:tc>
          <w:tcPr>
            <w:tcW w:w="1746" w:type="dxa"/>
            <w:shd w:val="clear" w:color="auto" w:fill="C6EFCE"/>
            <w:noWrap/>
            <w:vAlign w:val="center"/>
          </w:tcPr>
          <w:p w14:paraId="52A5D306" w14:textId="77777777" w:rsidR="003F5418" w:rsidRDefault="002A6C25">
            <w:pPr>
              <w:pStyle w:val="P68B1DB1-Normal4"/>
              <w:jc w:val="center"/>
              <w:rPr>
                <w:noProof/>
              </w:rPr>
            </w:pPr>
            <w:r>
              <w:rPr>
                <w:noProof/>
              </w:rPr>
              <w:t>Beruházás – Az Igazságügyi Minisztérium digitalizálása</w:t>
            </w:r>
          </w:p>
        </w:tc>
        <w:tc>
          <w:tcPr>
            <w:tcW w:w="992" w:type="dxa"/>
            <w:shd w:val="clear" w:color="auto" w:fill="C6EFCE"/>
            <w:noWrap/>
            <w:vAlign w:val="center"/>
          </w:tcPr>
          <w:p w14:paraId="3E9D7495" w14:textId="77777777" w:rsidR="003F5418" w:rsidRDefault="002A6C25">
            <w:pPr>
              <w:pStyle w:val="P68B1DB1-Normal4"/>
              <w:jc w:val="center"/>
              <w:rPr>
                <w:noProof/>
              </w:rPr>
            </w:pPr>
            <w:r>
              <w:rPr>
                <w:noProof/>
              </w:rPr>
              <w:t>Mérföldkő</w:t>
            </w:r>
          </w:p>
        </w:tc>
        <w:tc>
          <w:tcPr>
            <w:tcW w:w="2126" w:type="dxa"/>
            <w:shd w:val="clear" w:color="auto" w:fill="C6EFCE"/>
            <w:noWrap/>
            <w:vAlign w:val="center"/>
          </w:tcPr>
          <w:p w14:paraId="398E4515" w14:textId="77777777" w:rsidR="003F5418" w:rsidRDefault="002A6C25">
            <w:pPr>
              <w:pStyle w:val="P68B1DB1-Normal4"/>
              <w:jc w:val="center"/>
              <w:rPr>
                <w:noProof/>
              </w:rPr>
            </w:pPr>
            <w:r>
              <w:rPr>
                <w:noProof/>
              </w:rPr>
              <w:t>Igazságügyi adattavak tudásrendszerek T1</w:t>
            </w:r>
          </w:p>
        </w:tc>
        <w:tc>
          <w:tcPr>
            <w:tcW w:w="1701" w:type="dxa"/>
            <w:shd w:val="clear" w:color="auto" w:fill="C6EFCE"/>
            <w:noWrap/>
            <w:vAlign w:val="center"/>
          </w:tcPr>
          <w:p w14:paraId="21FCFF03" w14:textId="77777777" w:rsidR="003F5418" w:rsidRDefault="002A6C25">
            <w:pPr>
              <w:pStyle w:val="P68B1DB1-Normal4"/>
              <w:jc w:val="center"/>
              <w:rPr>
                <w:noProof/>
              </w:rPr>
            </w:pPr>
            <w:r>
              <w:rPr>
                <w:noProof/>
              </w:rPr>
              <w:t>Jelentés a szerződés végrehajtásának kezdetéről</w:t>
            </w:r>
          </w:p>
        </w:tc>
        <w:tc>
          <w:tcPr>
            <w:tcW w:w="1134" w:type="dxa"/>
            <w:shd w:val="clear" w:color="auto" w:fill="C6EFCE"/>
            <w:noWrap/>
            <w:vAlign w:val="center"/>
          </w:tcPr>
          <w:p w14:paraId="01CFDB67" w14:textId="77777777" w:rsidR="003F5418" w:rsidRDefault="002A6C25">
            <w:pPr>
              <w:pStyle w:val="P68B1DB1-Normal4"/>
              <w:jc w:val="center"/>
              <w:rPr>
                <w:noProof/>
              </w:rPr>
            </w:pPr>
            <w:r>
              <w:rPr>
                <w:noProof/>
              </w:rPr>
              <w:t>NINCS</w:t>
            </w:r>
          </w:p>
        </w:tc>
        <w:tc>
          <w:tcPr>
            <w:tcW w:w="1276" w:type="dxa"/>
            <w:shd w:val="clear" w:color="auto" w:fill="C6EFCE"/>
            <w:noWrap/>
            <w:vAlign w:val="center"/>
          </w:tcPr>
          <w:p w14:paraId="1E20B292"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676F4EB3" w14:textId="77777777" w:rsidR="003F5418" w:rsidRDefault="002A6C25">
            <w:pPr>
              <w:pStyle w:val="P68B1DB1-Normal4"/>
              <w:jc w:val="center"/>
              <w:rPr>
                <w:noProof/>
              </w:rPr>
            </w:pPr>
            <w:r>
              <w:rPr>
                <w:noProof/>
              </w:rPr>
              <w:t>NINCS</w:t>
            </w:r>
          </w:p>
        </w:tc>
        <w:tc>
          <w:tcPr>
            <w:tcW w:w="793" w:type="dxa"/>
            <w:shd w:val="clear" w:color="auto" w:fill="C6EFCE"/>
            <w:noWrap/>
            <w:vAlign w:val="center"/>
          </w:tcPr>
          <w:p w14:paraId="342B1AB2"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74ABE731"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01D13C6A" w14:textId="77777777" w:rsidR="003F5418" w:rsidRDefault="002A6C25">
            <w:pPr>
              <w:pStyle w:val="P68B1DB1-Normal4"/>
              <w:spacing w:after="120"/>
              <w:rPr>
                <w:noProof/>
              </w:rPr>
            </w:pPr>
            <w:r>
              <w:rPr>
                <w:noProof/>
              </w:rPr>
              <w:t xml:space="preserve">Az adattavakra vonatkozó hat új tudásrendszer </w:t>
            </w:r>
            <w:r>
              <w:rPr>
                <w:noProof/>
              </w:rPr>
              <w:t>megvalósítására vonatkozó szerződés végrehajtásának megkezdése:</w:t>
            </w:r>
          </w:p>
          <w:p w14:paraId="53075A7D" w14:textId="77777777" w:rsidR="003F5418" w:rsidRDefault="002A6C25">
            <w:pPr>
              <w:pStyle w:val="P68B1DB1-ListParagraph5"/>
              <w:numPr>
                <w:ilvl w:val="0"/>
                <w:numId w:val="79"/>
              </w:numPr>
              <w:spacing w:before="0"/>
              <w:ind w:left="357" w:hanging="357"/>
              <w:jc w:val="left"/>
              <w:rPr>
                <w:noProof/>
              </w:rPr>
            </w:pPr>
            <w:r>
              <w:rPr>
                <w:noProof/>
              </w:rPr>
              <w:t>A polgári és büntetőjogi ítéletek anonimizálási rendszere</w:t>
            </w:r>
          </w:p>
          <w:p w14:paraId="5C275F27" w14:textId="77777777" w:rsidR="003F5418" w:rsidRDefault="002A6C25">
            <w:pPr>
              <w:pStyle w:val="P68B1DB1-ListParagraph5"/>
              <w:numPr>
                <w:ilvl w:val="0"/>
                <w:numId w:val="79"/>
              </w:numPr>
              <w:spacing w:before="0"/>
              <w:ind w:left="357" w:hanging="357"/>
              <w:jc w:val="left"/>
              <w:rPr>
                <w:noProof/>
              </w:rPr>
            </w:pPr>
            <w:r>
              <w:rPr>
                <w:noProof/>
              </w:rPr>
              <w:t>Integrált irányítási rendszer</w:t>
            </w:r>
          </w:p>
          <w:p w14:paraId="6D7A41AB" w14:textId="77777777" w:rsidR="003F5418" w:rsidRDefault="002A6C25">
            <w:pPr>
              <w:pStyle w:val="P68B1DB1-ListParagraph5"/>
              <w:numPr>
                <w:ilvl w:val="0"/>
                <w:numId w:val="79"/>
              </w:numPr>
              <w:spacing w:before="0"/>
              <w:ind w:left="357" w:hanging="357"/>
              <w:jc w:val="left"/>
              <w:rPr>
                <w:noProof/>
              </w:rPr>
            </w:pPr>
            <w:r>
              <w:rPr>
                <w:noProof/>
              </w:rPr>
              <w:t>A polgári perek irányítási és elemzési rendszere</w:t>
            </w:r>
          </w:p>
          <w:p w14:paraId="0636298C" w14:textId="77777777" w:rsidR="003F5418" w:rsidRDefault="002A6C25">
            <w:pPr>
              <w:pStyle w:val="P68B1DB1-ListParagraph5"/>
              <w:numPr>
                <w:ilvl w:val="0"/>
                <w:numId w:val="79"/>
              </w:numPr>
              <w:spacing w:before="0"/>
              <w:ind w:left="357" w:hanging="357"/>
              <w:jc w:val="left"/>
              <w:rPr>
                <w:noProof/>
              </w:rPr>
            </w:pPr>
            <w:r>
              <w:rPr>
                <w:noProof/>
              </w:rPr>
              <w:t>A büntetőeljárások irányítási és elemzési rendszere</w:t>
            </w:r>
          </w:p>
          <w:p w14:paraId="66E48D0A" w14:textId="77777777" w:rsidR="003F5418" w:rsidRDefault="002A6C25">
            <w:pPr>
              <w:pStyle w:val="P68B1DB1-ListParagraph5"/>
              <w:numPr>
                <w:ilvl w:val="0"/>
                <w:numId w:val="79"/>
              </w:numPr>
              <w:spacing w:before="0"/>
              <w:ind w:left="357" w:hanging="357"/>
              <w:jc w:val="left"/>
              <w:rPr>
                <w:noProof/>
              </w:rPr>
            </w:pPr>
            <w:r>
              <w:rPr>
                <w:noProof/>
              </w:rPr>
              <w:t>A p</w:t>
            </w:r>
            <w:r>
              <w:rPr>
                <w:noProof/>
              </w:rPr>
              <w:t>olgári és büntetőeljárásokra vonatkozó fejlett statisztikai rendszer</w:t>
            </w:r>
          </w:p>
          <w:p w14:paraId="6903A6C6" w14:textId="77777777" w:rsidR="003F5418" w:rsidRDefault="002A6C25">
            <w:pPr>
              <w:pStyle w:val="P68B1DB1-ListParagraph5"/>
              <w:numPr>
                <w:ilvl w:val="0"/>
                <w:numId w:val="79"/>
              </w:numPr>
              <w:spacing w:before="0"/>
              <w:ind w:left="357" w:hanging="357"/>
              <w:jc w:val="left"/>
              <w:rPr>
                <w:noProof/>
              </w:rPr>
            </w:pPr>
            <w:r>
              <w:rPr>
                <w:noProof/>
              </w:rPr>
              <w:t xml:space="preserve">Automatizált rendszer az áldozat és a bűnösség közötti kapcsolat azonosítására. </w:t>
            </w:r>
          </w:p>
          <w:p w14:paraId="4C21FA95" w14:textId="77777777" w:rsidR="003F5418" w:rsidRDefault="002A6C25">
            <w:pPr>
              <w:pStyle w:val="P68B1DB1-Normal4"/>
              <w:spacing w:after="120"/>
              <w:rPr>
                <w:noProof/>
              </w:rPr>
            </w:pPr>
            <w:r>
              <w:rPr>
                <w:noProof/>
              </w:rPr>
              <w:t>Minden közbeszerzési szerződés teljesítése az eljárásért felelős hatóság által kiadott, „megkezdő végrehaj</w:t>
            </w:r>
            <w:r>
              <w:rPr>
                <w:noProof/>
              </w:rPr>
              <w:t>tás” elnevezésű egyedi közigazgatási aktussal kezdődik.</w:t>
            </w:r>
          </w:p>
        </w:tc>
      </w:tr>
      <w:tr w:rsidR="003F5418" w14:paraId="04EE245A" w14:textId="77777777">
        <w:trPr>
          <w:trHeight w:val="309"/>
        </w:trPr>
        <w:tc>
          <w:tcPr>
            <w:tcW w:w="1284" w:type="dxa"/>
            <w:shd w:val="clear" w:color="auto" w:fill="C6EFCE"/>
            <w:noWrap/>
            <w:vAlign w:val="center"/>
          </w:tcPr>
          <w:p w14:paraId="113186EB" w14:textId="77777777" w:rsidR="003F5418" w:rsidRDefault="002A6C25">
            <w:pPr>
              <w:pStyle w:val="P68B1DB1-Normal4"/>
              <w:jc w:val="center"/>
              <w:rPr>
                <w:noProof/>
              </w:rPr>
            </w:pPr>
            <w:r>
              <w:rPr>
                <w:noProof/>
              </w:rPr>
              <w:t>M1C1–132</w:t>
            </w:r>
          </w:p>
        </w:tc>
        <w:tc>
          <w:tcPr>
            <w:tcW w:w="1746" w:type="dxa"/>
            <w:shd w:val="clear" w:color="auto" w:fill="C6EFCE"/>
            <w:noWrap/>
            <w:vAlign w:val="center"/>
          </w:tcPr>
          <w:p w14:paraId="34118F7B" w14:textId="77777777" w:rsidR="003F5418" w:rsidRDefault="002A6C25">
            <w:pPr>
              <w:pStyle w:val="P68B1DB1-Normal4"/>
              <w:jc w:val="center"/>
              <w:rPr>
                <w:noProof/>
              </w:rPr>
            </w:pPr>
            <w:r>
              <w:rPr>
                <w:noProof/>
              </w:rPr>
              <w:t>Beruházás – A Nemzeti Társadalombiztosítási Intézet (INPS) és a Nemzeti Munkahelyi Balesetbiztosítási Intézet (INAIL) digitalizálása</w:t>
            </w:r>
          </w:p>
        </w:tc>
        <w:tc>
          <w:tcPr>
            <w:tcW w:w="992" w:type="dxa"/>
            <w:shd w:val="clear" w:color="auto" w:fill="C6EFCE"/>
            <w:noWrap/>
            <w:vAlign w:val="center"/>
          </w:tcPr>
          <w:p w14:paraId="20BA3EAC"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24030FEC" w14:textId="77777777" w:rsidR="003F5418" w:rsidRDefault="002A6C25">
            <w:pPr>
              <w:pStyle w:val="P68B1DB1-Normal4"/>
              <w:jc w:val="center"/>
              <w:rPr>
                <w:noProof/>
              </w:rPr>
            </w:pPr>
            <w:r>
              <w:rPr>
                <w:noProof/>
              </w:rPr>
              <w:t xml:space="preserve">INPS – „Egy kattintás a tervezés szerint” </w:t>
            </w:r>
            <w:r>
              <w:rPr>
                <w:noProof/>
              </w:rPr>
              <w:t>szolgáltatások/tartalom T2</w:t>
            </w:r>
          </w:p>
        </w:tc>
        <w:tc>
          <w:tcPr>
            <w:tcW w:w="1701" w:type="dxa"/>
            <w:shd w:val="clear" w:color="auto" w:fill="C6EFCE"/>
            <w:noWrap/>
            <w:vAlign w:val="center"/>
          </w:tcPr>
          <w:p w14:paraId="2486967F"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5A483DBB"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20752699" w14:textId="77777777" w:rsidR="003F5418" w:rsidRDefault="002A6C25">
            <w:pPr>
              <w:pStyle w:val="P68B1DB1-Normal4"/>
              <w:jc w:val="center"/>
              <w:rPr>
                <w:noProof/>
              </w:rPr>
            </w:pPr>
            <w:r>
              <w:rPr>
                <w:noProof/>
              </w:rPr>
              <w:t>35</w:t>
            </w:r>
          </w:p>
        </w:tc>
        <w:tc>
          <w:tcPr>
            <w:tcW w:w="1417" w:type="dxa"/>
            <w:shd w:val="clear" w:color="auto" w:fill="C6EFCE"/>
            <w:noWrap/>
            <w:vAlign w:val="center"/>
          </w:tcPr>
          <w:p w14:paraId="49567221" w14:textId="77777777" w:rsidR="003F5418" w:rsidRDefault="002A6C25">
            <w:pPr>
              <w:pStyle w:val="P68B1DB1-Normal4"/>
              <w:jc w:val="center"/>
              <w:rPr>
                <w:noProof/>
              </w:rPr>
            </w:pPr>
            <w:r>
              <w:rPr>
                <w:noProof/>
              </w:rPr>
              <w:t>70</w:t>
            </w:r>
          </w:p>
        </w:tc>
        <w:tc>
          <w:tcPr>
            <w:tcW w:w="793" w:type="dxa"/>
            <w:shd w:val="clear" w:color="auto" w:fill="C6EFCE"/>
            <w:noWrap/>
            <w:vAlign w:val="center"/>
          </w:tcPr>
          <w:p w14:paraId="14653ED2"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0B27C82C"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1036F736" w14:textId="77777777" w:rsidR="003F5418" w:rsidRDefault="002A6C25">
            <w:pPr>
              <w:spacing w:after="120"/>
              <w:rPr>
                <w:rFonts w:ascii="Arial Narrow" w:hAnsi="Arial Narrow"/>
                <w:noProof/>
                <w:color w:val="006100"/>
                <w:sz w:val="20"/>
              </w:rPr>
            </w:pPr>
            <w:r>
              <w:rPr>
                <w:rFonts w:ascii="Arial Narrow" w:hAnsi="Arial Narrow"/>
                <w:noProof/>
                <w:color w:val="006100"/>
                <w:sz w:val="20"/>
              </w:rPr>
              <w:t>35 további szolgáltatás telepítése az Inps intézményi honlapján (</w:t>
            </w:r>
            <w:hyperlink r:id="rId37" w:history="1">
              <w:r>
                <w:rPr>
                  <w:rStyle w:val="Hyperlink"/>
                  <w:rFonts w:ascii="Arial Narrow" w:hAnsi="Arial Narrow"/>
                  <w:noProof/>
                  <w:sz w:val="20"/>
                </w:rPr>
                <w:t>www.inps.it</w:t>
              </w:r>
            </w:hyperlink>
            <w:r>
              <w:rPr>
                <w:rFonts w:ascii="Arial Narrow" w:hAnsi="Arial Narrow"/>
                <w:noProof/>
                <w:color w:val="006100"/>
                <w:sz w:val="20"/>
              </w:rPr>
              <w:t>).</w:t>
            </w:r>
          </w:p>
          <w:p w14:paraId="27B68113" w14:textId="77777777" w:rsidR="003F5418" w:rsidRDefault="002A6C25">
            <w:pPr>
              <w:pStyle w:val="P68B1DB1-Normal4"/>
              <w:rPr>
                <w:noProof/>
              </w:rPr>
            </w:pPr>
            <w:r>
              <w:rPr>
                <w:noProof/>
              </w:rPr>
              <w:t xml:space="preserve">A szolgáltatásoknak megfelelő profilalkotási logika alapján hozzáférhetőnek kell lenniük </w:t>
            </w:r>
            <w:r>
              <w:rPr>
                <w:noProof/>
              </w:rPr>
              <w:t>az intézményi helyszínen (a rendszernek az életkoron, a munkavégzés jellemzőin, az érzékelt előnyökön és a felhasználói előtörténeten alapuló lehetséges érdeklődésre számot tartó szolgáltatásokat kell javasolnia).</w:t>
            </w:r>
          </w:p>
          <w:p w14:paraId="1F82810F" w14:textId="77777777" w:rsidR="003F5418" w:rsidRDefault="002A6C25">
            <w:pPr>
              <w:pStyle w:val="P68B1DB1-Normal4"/>
              <w:spacing w:before="120"/>
              <w:rPr>
                <w:noProof/>
              </w:rPr>
            </w:pPr>
            <w:r>
              <w:rPr>
                <w:noProof/>
              </w:rPr>
              <w:t>A 35 szolgáltatás a következő INPS intézmé</w:t>
            </w:r>
            <w:r>
              <w:rPr>
                <w:noProof/>
              </w:rPr>
              <w:t>nyi területekhez kapcsolódik:</w:t>
            </w:r>
          </w:p>
          <w:p w14:paraId="6C9DD70A" w14:textId="77777777" w:rsidR="003F5418" w:rsidRDefault="002A6C25">
            <w:pPr>
              <w:pStyle w:val="P68B1DB1-Normal4"/>
              <w:ind w:left="292" w:hanging="76"/>
              <w:rPr>
                <w:noProof/>
              </w:rPr>
            </w:pPr>
            <w:r>
              <w:rPr>
                <w:noProof/>
              </w:rPr>
              <w:t>•Nyugdíj-ellátások</w:t>
            </w:r>
          </w:p>
          <w:p w14:paraId="7E4F9C7B" w14:textId="77777777" w:rsidR="003F5418" w:rsidRDefault="002A6C25">
            <w:pPr>
              <w:pStyle w:val="P68B1DB1-Normal4"/>
              <w:ind w:left="292" w:hanging="76"/>
              <w:rPr>
                <w:noProof/>
              </w:rPr>
            </w:pPr>
            <w:r>
              <w:rPr>
                <w:noProof/>
              </w:rPr>
              <w:t>•Szociális zsúfolt-abszorberek</w:t>
            </w:r>
          </w:p>
          <w:p w14:paraId="4F3312A5" w14:textId="77777777" w:rsidR="003F5418" w:rsidRDefault="002A6C25">
            <w:pPr>
              <w:pStyle w:val="P68B1DB1-Normal4"/>
              <w:ind w:left="292" w:hanging="76"/>
              <w:rPr>
                <w:noProof/>
              </w:rPr>
            </w:pPr>
            <w:r>
              <w:rPr>
                <w:noProof/>
              </w:rPr>
              <w:t>•Munkanélküli juttatások</w:t>
            </w:r>
          </w:p>
          <w:p w14:paraId="755F166F" w14:textId="77777777" w:rsidR="003F5418" w:rsidRDefault="002A6C25">
            <w:pPr>
              <w:pStyle w:val="P68B1DB1-Normal4"/>
              <w:ind w:left="292" w:hanging="76"/>
              <w:rPr>
                <w:noProof/>
              </w:rPr>
            </w:pPr>
            <w:r>
              <w:rPr>
                <w:noProof/>
              </w:rPr>
              <w:t>•Fogyatékossági ellátások</w:t>
            </w:r>
          </w:p>
          <w:p w14:paraId="5BECA000" w14:textId="77777777" w:rsidR="003F5418" w:rsidRDefault="002A6C25">
            <w:pPr>
              <w:pStyle w:val="P68B1DB1-Normal4"/>
              <w:ind w:left="292" w:hanging="76"/>
              <w:rPr>
                <w:noProof/>
              </w:rPr>
            </w:pPr>
            <w:r>
              <w:rPr>
                <w:noProof/>
              </w:rPr>
              <w:t>•Visszavásárlások</w:t>
            </w:r>
          </w:p>
          <w:p w14:paraId="1FC30D9F" w14:textId="77777777" w:rsidR="003F5418" w:rsidRDefault="002A6C25">
            <w:pPr>
              <w:pStyle w:val="P68B1DB1-Normal4"/>
              <w:ind w:left="292" w:hanging="76"/>
              <w:rPr>
                <w:noProof/>
              </w:rPr>
            </w:pPr>
            <w:r>
              <w:rPr>
                <w:noProof/>
              </w:rPr>
              <w:t>•A vállalkozás hozzájárulásának beszedése</w:t>
            </w:r>
          </w:p>
          <w:p w14:paraId="18EE5CA3" w14:textId="77777777" w:rsidR="003F5418" w:rsidRDefault="002A6C25">
            <w:pPr>
              <w:pStyle w:val="P68B1DB1-Normal4"/>
              <w:ind w:left="292" w:hanging="76"/>
              <w:rPr>
                <w:noProof/>
              </w:rPr>
            </w:pPr>
            <w:r>
              <w:rPr>
                <w:noProof/>
              </w:rPr>
              <w:t>•Mezőgazdaságban dolgozókkal kapcsolatos szolgáltatások</w:t>
            </w:r>
          </w:p>
          <w:p w14:paraId="0B64A4D2" w14:textId="77777777" w:rsidR="003F5418" w:rsidRDefault="002A6C25">
            <w:pPr>
              <w:pStyle w:val="P68B1DB1-Normal4"/>
              <w:ind w:left="292" w:hanging="76"/>
              <w:rPr>
                <w:noProof/>
              </w:rPr>
            </w:pPr>
            <w:r>
              <w:rPr>
                <w:noProof/>
              </w:rPr>
              <w:t>•Csalás e</w:t>
            </w:r>
            <w:r>
              <w:rPr>
                <w:noProof/>
              </w:rPr>
              <w:t>lleni, korrupció elleni és átláthatósági szolgáltatások</w:t>
            </w:r>
          </w:p>
          <w:p w14:paraId="2F13CA55" w14:textId="77777777" w:rsidR="003F5418" w:rsidRDefault="002A6C25">
            <w:pPr>
              <w:pStyle w:val="P68B1DB1-Normal4"/>
              <w:spacing w:before="120"/>
              <w:rPr>
                <w:noProof/>
              </w:rPr>
            </w:pPr>
            <w:r>
              <w:rPr>
                <w:noProof/>
              </w:rPr>
              <w:t xml:space="preserve">A felsorolt intézményi területeken a megvalósítandó szolgáltatások a következőkre terjednek ki: a szolgáltatások iránti kérelem digitális benyújtása, az előnyökre vonatkozó követelmények ellenőrzése, </w:t>
            </w:r>
            <w:r>
              <w:rPr>
                <w:noProof/>
              </w:rPr>
              <w:t>a felhasználók gyakorlatának állapotellenőrzése, a szolgáltatásoknak a felhasználói igényeken alapuló proaktív javaslata, az ellátások automatikus megújítása anélkül, hogy új alkalmazásokra lenne szükség.</w:t>
            </w:r>
          </w:p>
          <w:p w14:paraId="2545E1A4" w14:textId="77777777" w:rsidR="003F5418" w:rsidRDefault="002A6C25">
            <w:pPr>
              <w:pStyle w:val="P68B1DB1-Normal4"/>
              <w:spacing w:before="120" w:after="120"/>
              <w:rPr>
                <w:noProof/>
              </w:rPr>
            </w:pPr>
            <w:r>
              <w:rPr>
                <w:noProof/>
              </w:rPr>
              <w:t>Végezetül nyomonkövetési irányítópultokat kell létr</w:t>
            </w:r>
            <w:r>
              <w:rPr>
                <w:noProof/>
              </w:rPr>
              <w:t>ehozni, amelyek lehetővé teszik mind a nyújtott előnyök INPS általi nyomon követését, mind a politikai döntéshozók döntéseinek adatvezérelt támogatását.</w:t>
            </w:r>
          </w:p>
        </w:tc>
      </w:tr>
      <w:tr w:rsidR="003F5418" w14:paraId="13CE9F11" w14:textId="77777777">
        <w:trPr>
          <w:trHeight w:val="4119"/>
        </w:trPr>
        <w:tc>
          <w:tcPr>
            <w:tcW w:w="1284" w:type="dxa"/>
            <w:shd w:val="clear" w:color="auto" w:fill="C6EFCE"/>
            <w:noWrap/>
            <w:vAlign w:val="center"/>
          </w:tcPr>
          <w:p w14:paraId="3EF54705" w14:textId="77777777" w:rsidR="003F5418" w:rsidRDefault="002A6C25">
            <w:pPr>
              <w:pStyle w:val="P68B1DB1-Normal4"/>
              <w:jc w:val="center"/>
              <w:rPr>
                <w:noProof/>
              </w:rPr>
            </w:pPr>
            <w:r>
              <w:rPr>
                <w:noProof/>
              </w:rPr>
              <w:t>M1C1–133</w:t>
            </w:r>
          </w:p>
        </w:tc>
        <w:tc>
          <w:tcPr>
            <w:tcW w:w="1746" w:type="dxa"/>
            <w:shd w:val="clear" w:color="auto" w:fill="C6EFCE"/>
            <w:noWrap/>
            <w:vAlign w:val="center"/>
          </w:tcPr>
          <w:p w14:paraId="62B258BD" w14:textId="77777777" w:rsidR="003F5418" w:rsidRDefault="002A6C25">
            <w:pPr>
              <w:pStyle w:val="P68B1DB1-Normal4"/>
              <w:jc w:val="center"/>
              <w:rPr>
                <w:noProof/>
              </w:rPr>
            </w:pPr>
            <w:r>
              <w:rPr>
                <w:noProof/>
              </w:rPr>
              <w:t xml:space="preserve">Beruházás – A Nemzeti Társadalombiztosítási Intézet (INPS) és a Nemzeti Munkahelyi </w:t>
            </w:r>
            <w:r>
              <w:rPr>
                <w:noProof/>
              </w:rPr>
              <w:t>Balesetbiztosítási Intézet (INAIL) digitalizálása</w:t>
            </w:r>
          </w:p>
        </w:tc>
        <w:tc>
          <w:tcPr>
            <w:tcW w:w="992" w:type="dxa"/>
            <w:shd w:val="clear" w:color="auto" w:fill="C6EFCE"/>
            <w:noWrap/>
            <w:vAlign w:val="center"/>
          </w:tcPr>
          <w:p w14:paraId="6F034743"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6BD1D82A" w14:textId="77777777" w:rsidR="003F5418" w:rsidRDefault="002A6C25">
            <w:pPr>
              <w:pStyle w:val="P68B1DB1-Normal4"/>
              <w:jc w:val="center"/>
              <w:rPr>
                <w:noProof/>
              </w:rPr>
            </w:pPr>
            <w:r>
              <w:rPr>
                <w:noProof/>
              </w:rPr>
              <w:t>INPS – A továbbfejlesztett információs és kommunikációs technológiákkal (IKT) rendelkező munkavállalók T2</w:t>
            </w:r>
          </w:p>
        </w:tc>
        <w:tc>
          <w:tcPr>
            <w:tcW w:w="1701" w:type="dxa"/>
            <w:shd w:val="clear" w:color="auto" w:fill="C6EFCE"/>
            <w:noWrap/>
            <w:vAlign w:val="center"/>
          </w:tcPr>
          <w:p w14:paraId="6C5EA2CA"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5981001"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35AAAA24" w14:textId="77777777" w:rsidR="003F5418" w:rsidRDefault="002A6C25">
            <w:pPr>
              <w:pStyle w:val="P68B1DB1-Normal4"/>
              <w:jc w:val="center"/>
              <w:rPr>
                <w:noProof/>
              </w:rPr>
            </w:pPr>
            <w:r>
              <w:rPr>
                <w:noProof/>
              </w:rPr>
              <w:t>4 250</w:t>
            </w:r>
          </w:p>
        </w:tc>
        <w:tc>
          <w:tcPr>
            <w:tcW w:w="1417" w:type="dxa"/>
            <w:shd w:val="clear" w:color="auto" w:fill="C6EFCE"/>
            <w:noWrap/>
            <w:vAlign w:val="center"/>
          </w:tcPr>
          <w:p w14:paraId="6F4DEE42" w14:textId="77777777" w:rsidR="003F5418" w:rsidRDefault="002A6C25">
            <w:pPr>
              <w:pStyle w:val="P68B1DB1-Normal4"/>
              <w:jc w:val="center"/>
              <w:rPr>
                <w:noProof/>
              </w:rPr>
            </w:pPr>
            <w:r>
              <w:rPr>
                <w:noProof/>
              </w:rPr>
              <w:t>8 500</w:t>
            </w:r>
          </w:p>
        </w:tc>
        <w:tc>
          <w:tcPr>
            <w:tcW w:w="793" w:type="dxa"/>
            <w:shd w:val="clear" w:color="auto" w:fill="C6EFCE"/>
            <w:noWrap/>
            <w:vAlign w:val="center"/>
          </w:tcPr>
          <w:p w14:paraId="1BBA493F"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5498C5AF"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03E4B593" w14:textId="056C428B" w:rsidR="003F5418" w:rsidRDefault="002A6C25">
            <w:pPr>
              <w:pStyle w:val="P68B1DB1-Normal4"/>
              <w:spacing w:after="120"/>
              <w:rPr>
                <w:noProof/>
              </w:rPr>
            </w:pPr>
            <w:r>
              <w:rPr>
                <w:noProof/>
              </w:rPr>
              <w:t xml:space="preserve">További 4250 INPS-alkalmazott az európai e-kompetenciakeret </w:t>
            </w:r>
            <w:r>
              <w:rPr>
                <w:noProof/>
              </w:rPr>
              <w:t>alábbi területein végzett igazoltan javított készségekkel: i. terv; ii. Beszerkesztés; iii. Run iv</w:t>
            </w:r>
            <w:r w:rsidR="002815CC">
              <w:rPr>
                <w:noProof/>
              </w:rPr>
              <w:t>.</w:t>
            </w:r>
            <w:r>
              <w:rPr>
                <w:noProof/>
              </w:rPr>
              <w:t xml:space="preserve"> Megengedhető; V. Irányítás.</w:t>
            </w:r>
          </w:p>
          <w:p w14:paraId="78168A90" w14:textId="77777777" w:rsidR="003F5418" w:rsidRDefault="002A6C25">
            <w:pPr>
              <w:pStyle w:val="P68B1DB1-Normal4"/>
              <w:spacing w:after="120"/>
              <w:rPr>
                <w:noProof/>
              </w:rPr>
            </w:pPr>
            <w:r>
              <w:rPr>
                <w:noProof/>
              </w:rPr>
              <w:t>A kompetenciafejlesztésre szoruló területeket a tanulók célcsoportja szerint kell meghatározni.</w:t>
            </w:r>
          </w:p>
        </w:tc>
      </w:tr>
      <w:tr w:rsidR="003F5418" w14:paraId="05E46EED" w14:textId="77777777">
        <w:trPr>
          <w:trHeight w:val="3086"/>
        </w:trPr>
        <w:tc>
          <w:tcPr>
            <w:tcW w:w="12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B90040" w14:textId="77777777" w:rsidR="003F5418" w:rsidRDefault="002A6C25">
            <w:pPr>
              <w:pStyle w:val="P68B1DB1-Normal4"/>
              <w:jc w:val="center"/>
              <w:rPr>
                <w:noProof/>
              </w:rPr>
            </w:pPr>
            <w:r>
              <w:rPr>
                <w:noProof/>
              </w:rPr>
              <w:t>M1C1–134</w:t>
            </w:r>
          </w:p>
        </w:tc>
        <w:tc>
          <w:tcPr>
            <w:tcW w:w="174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4B967A" w14:textId="77777777" w:rsidR="003F5418" w:rsidRDefault="002A6C25">
            <w:pPr>
              <w:pStyle w:val="P68B1DB1-Normal4"/>
              <w:jc w:val="center"/>
              <w:rPr>
                <w:noProof/>
              </w:rPr>
            </w:pPr>
            <w:r>
              <w:rPr>
                <w:noProof/>
              </w:rPr>
              <w:t>Beruházás – A Nemzeti Társadalombiztosítási Intézet (INPS) és a Nemzeti Munkahelyi Balesetbiztosítási Intézet (INAIL) digitalizálása</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D8B0A5" w14:textId="77777777" w:rsidR="003F5418" w:rsidRDefault="002A6C25">
            <w:pPr>
              <w:pStyle w:val="P68B1DB1-Normal4"/>
              <w:jc w:val="center"/>
              <w:rPr>
                <w:noProof/>
              </w:rPr>
            </w:pPr>
            <w:r>
              <w:rPr>
                <w:noProof/>
              </w:rPr>
              <w:t>Cél</w:t>
            </w:r>
          </w:p>
        </w:tc>
        <w:tc>
          <w:tcPr>
            <w:tcW w:w="212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FD7A30" w14:textId="77777777" w:rsidR="003F5418" w:rsidRDefault="002A6C25">
            <w:pPr>
              <w:pStyle w:val="P68B1DB1-Normal4"/>
              <w:jc w:val="center"/>
              <w:rPr>
                <w:noProof/>
              </w:rPr>
            </w:pPr>
            <w:r>
              <w:rPr>
                <w:noProof/>
              </w:rPr>
              <w:t>INAIL – T1 teljesen átalakított és digitalizált folyamatok/szolgáltatások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4571E1" w14:textId="77777777" w:rsidR="003F5418" w:rsidRDefault="002A6C25">
            <w:pPr>
              <w:pStyle w:val="P68B1DB1-Normal4"/>
              <w:jc w:val="center"/>
              <w:rPr>
                <w:noProof/>
              </w:rPr>
            </w:pPr>
            <w:r>
              <w:rPr>
                <w:noProof/>
              </w:rPr>
              <w:t>NINCS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2EBAE7" w14:textId="77777777" w:rsidR="003F5418" w:rsidRDefault="002A6C25">
            <w:pPr>
              <w:pStyle w:val="P68B1DB1-Normal4"/>
              <w:jc w:val="center"/>
              <w:rPr>
                <w:noProof/>
              </w:rPr>
            </w:pPr>
            <w:r>
              <w:rPr>
                <w:noProof/>
              </w:rPr>
              <w:t>Szám</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AC4F4A0" w14:textId="77777777" w:rsidR="003F5418" w:rsidRDefault="002A6C25">
            <w:pPr>
              <w:pStyle w:val="P68B1DB1-Normal4"/>
              <w:jc w:val="center"/>
              <w:rPr>
                <w:noProof/>
              </w:rPr>
            </w:pPr>
            <w:r>
              <w:rPr>
                <w:noProof/>
              </w:rPr>
              <w:t>29</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0E98D9F" w14:textId="77777777" w:rsidR="003F5418" w:rsidRDefault="002A6C25">
            <w:pPr>
              <w:pStyle w:val="P68B1DB1-Normal4"/>
              <w:jc w:val="center"/>
              <w:rPr>
                <w:noProof/>
              </w:rPr>
            </w:pPr>
            <w:r>
              <w:rPr>
                <w:noProof/>
              </w:rPr>
              <w:t>53</w:t>
            </w:r>
          </w:p>
        </w:tc>
        <w:tc>
          <w:tcPr>
            <w:tcW w:w="7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ACB07" w14:textId="77777777" w:rsidR="003F5418" w:rsidRDefault="002A6C25">
            <w:pPr>
              <w:pStyle w:val="P68B1DB1-Normal4"/>
              <w:jc w:val="center"/>
              <w:rPr>
                <w:noProof/>
              </w:rPr>
            </w:pPr>
            <w:r>
              <w:rPr>
                <w:noProof/>
              </w:rPr>
              <w:t>Q4</w:t>
            </w:r>
          </w:p>
        </w:tc>
        <w:tc>
          <w:tcPr>
            <w:tcW w:w="62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BA335" w14:textId="77777777" w:rsidR="003F5418" w:rsidRDefault="002A6C25">
            <w:pPr>
              <w:pStyle w:val="P68B1DB1-Normal4"/>
              <w:jc w:val="center"/>
              <w:rPr>
                <w:noProof/>
              </w:rPr>
            </w:pPr>
            <w:r>
              <w:rPr>
                <w:noProof/>
              </w:rPr>
              <w:t>2023</w:t>
            </w:r>
          </w:p>
        </w:tc>
        <w:tc>
          <w:tcPr>
            <w:tcW w:w="25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E311607" w14:textId="77777777" w:rsidR="003F5418" w:rsidRDefault="002A6C25">
            <w:pPr>
              <w:pStyle w:val="P68B1DB1-Normal4"/>
              <w:spacing w:after="120"/>
              <w:rPr>
                <w:noProof/>
              </w:rPr>
            </w:pPr>
            <w:r>
              <w:rPr>
                <w:noProof/>
              </w:rPr>
              <w:t xml:space="preserve">A cél 53 (52%) átalakított intézményi folyamat és szolgáltatás megvalósítása annak érdekében, hogy azok teljes mértékben digitalizálódjanak. </w:t>
            </w:r>
          </w:p>
          <w:p w14:paraId="0C26C1FE" w14:textId="77777777" w:rsidR="003F5418" w:rsidRDefault="002A6C25">
            <w:pPr>
              <w:pStyle w:val="P68B1DB1-Normal4"/>
              <w:spacing w:after="120"/>
              <w:rPr>
                <w:noProof/>
              </w:rPr>
            </w:pPr>
            <w:r>
              <w:rPr>
                <w:noProof/>
              </w:rPr>
              <w:t>Az INAIL érintett területei a következők: Biztosítás, szociális és egészségügyi szolgáltatások, megelőzési és bizt</w:t>
            </w:r>
            <w:r>
              <w:rPr>
                <w:noProof/>
              </w:rPr>
              <w:t>onsági munka, tanúsítások és ellenőrzések.</w:t>
            </w:r>
          </w:p>
          <w:p w14:paraId="45ECF0A2" w14:textId="77777777" w:rsidR="003F5418" w:rsidRDefault="002A6C25">
            <w:pPr>
              <w:pStyle w:val="P68B1DB1-Normal4"/>
              <w:spacing w:after="120"/>
              <w:rPr>
                <w:noProof/>
              </w:rPr>
            </w:pPr>
            <w:r>
              <w:rPr>
                <w:noProof/>
              </w:rPr>
              <w:t xml:space="preserve">Az egyes területekre vonatkozó várható célkitûzések a fentiekben szerepelnek: </w:t>
            </w:r>
          </w:p>
          <w:p w14:paraId="2DD85C02" w14:textId="77777777" w:rsidR="003F5418" w:rsidRDefault="002A6C25">
            <w:pPr>
              <w:pStyle w:val="P68B1DB1-ListParagraph5"/>
              <w:numPr>
                <w:ilvl w:val="0"/>
                <w:numId w:val="84"/>
              </w:numPr>
              <w:ind w:left="377" w:hanging="283"/>
              <w:jc w:val="left"/>
              <w:rPr>
                <w:noProof/>
              </w:rPr>
            </w:pPr>
            <w:r>
              <w:rPr>
                <w:noProof/>
              </w:rPr>
              <w:t xml:space="preserve">Biztosítás: 8 (25%); </w:t>
            </w:r>
          </w:p>
          <w:p w14:paraId="604E7471" w14:textId="77777777" w:rsidR="003F5418" w:rsidRDefault="002A6C25">
            <w:pPr>
              <w:pStyle w:val="P68B1DB1-ListParagraph5"/>
              <w:numPr>
                <w:ilvl w:val="0"/>
                <w:numId w:val="84"/>
              </w:numPr>
              <w:ind w:left="377" w:hanging="283"/>
              <w:jc w:val="left"/>
              <w:rPr>
                <w:noProof/>
              </w:rPr>
            </w:pPr>
            <w:r>
              <w:rPr>
                <w:noProof/>
              </w:rPr>
              <w:t>Szociális és egészségügyi szolgáltatások: 18 (50%);</w:t>
            </w:r>
          </w:p>
          <w:p w14:paraId="3CD60A56" w14:textId="77777777" w:rsidR="003F5418" w:rsidRDefault="002A6C25">
            <w:pPr>
              <w:pStyle w:val="P68B1DB1-ListParagraph5"/>
              <w:numPr>
                <w:ilvl w:val="0"/>
                <w:numId w:val="84"/>
              </w:numPr>
              <w:ind w:left="377" w:hanging="283"/>
              <w:jc w:val="left"/>
              <w:rPr>
                <w:noProof/>
              </w:rPr>
            </w:pPr>
            <w:r>
              <w:rPr>
                <w:noProof/>
              </w:rPr>
              <w:t>Megelőzési és biztonsági munka: 9 (80%);</w:t>
            </w:r>
          </w:p>
          <w:p w14:paraId="7A5765AC" w14:textId="77777777" w:rsidR="003F5418" w:rsidRDefault="002A6C25">
            <w:pPr>
              <w:pStyle w:val="P68B1DB1-ListParagraph5"/>
              <w:numPr>
                <w:ilvl w:val="0"/>
                <w:numId w:val="84"/>
              </w:numPr>
              <w:ind w:left="377" w:hanging="283"/>
              <w:jc w:val="left"/>
              <w:rPr>
                <w:noProof/>
              </w:rPr>
            </w:pPr>
            <w:r>
              <w:rPr>
                <w:noProof/>
              </w:rPr>
              <w:t>Tanúsítások és elle</w:t>
            </w:r>
            <w:r>
              <w:rPr>
                <w:noProof/>
              </w:rPr>
              <w:t>nőrzések: 18 (80%).</w:t>
            </w:r>
          </w:p>
        </w:tc>
      </w:tr>
      <w:tr w:rsidR="003F5418" w14:paraId="73DB1184" w14:textId="77777777">
        <w:trPr>
          <w:trHeight w:val="309"/>
        </w:trPr>
        <w:tc>
          <w:tcPr>
            <w:tcW w:w="1284" w:type="dxa"/>
            <w:shd w:val="clear" w:color="auto" w:fill="C6EFCE"/>
            <w:noWrap/>
            <w:vAlign w:val="center"/>
          </w:tcPr>
          <w:p w14:paraId="27801BE4" w14:textId="77777777" w:rsidR="003F5418" w:rsidRDefault="002A6C25">
            <w:pPr>
              <w:pStyle w:val="P68B1DB1-Normal4"/>
              <w:jc w:val="center"/>
              <w:rPr>
                <w:noProof/>
              </w:rPr>
            </w:pPr>
            <w:r>
              <w:rPr>
                <w:noProof/>
              </w:rPr>
              <w:t>M1C1–135</w:t>
            </w:r>
          </w:p>
        </w:tc>
        <w:tc>
          <w:tcPr>
            <w:tcW w:w="1746" w:type="dxa"/>
            <w:shd w:val="clear" w:color="auto" w:fill="C6EFCE"/>
            <w:noWrap/>
            <w:vAlign w:val="center"/>
          </w:tcPr>
          <w:p w14:paraId="78BAD098"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31E13E19"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291807B2" w14:textId="77777777" w:rsidR="003F5418" w:rsidRDefault="002A6C25">
            <w:pPr>
              <w:pStyle w:val="P68B1DB1-Normal4"/>
              <w:jc w:val="center"/>
              <w:rPr>
                <w:noProof/>
              </w:rPr>
            </w:pPr>
            <w:r>
              <w:rPr>
                <w:noProof/>
              </w:rPr>
              <w:t>Védelmi Minisztérium – Az eljárások digitalizálása T1</w:t>
            </w:r>
          </w:p>
        </w:tc>
        <w:tc>
          <w:tcPr>
            <w:tcW w:w="1701" w:type="dxa"/>
            <w:shd w:val="clear" w:color="auto" w:fill="C6EFCE"/>
            <w:noWrap/>
            <w:vAlign w:val="center"/>
          </w:tcPr>
          <w:p w14:paraId="19EBFD80"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D68D612"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9E9175B" w14:textId="77777777" w:rsidR="003F5418" w:rsidRDefault="002A6C25">
            <w:pPr>
              <w:pStyle w:val="P68B1DB1-Normal4"/>
              <w:jc w:val="center"/>
              <w:rPr>
                <w:noProof/>
              </w:rPr>
            </w:pPr>
            <w:r>
              <w:rPr>
                <w:noProof/>
              </w:rPr>
              <w:t>4</w:t>
            </w:r>
          </w:p>
        </w:tc>
        <w:tc>
          <w:tcPr>
            <w:tcW w:w="1417" w:type="dxa"/>
            <w:shd w:val="clear" w:color="auto" w:fill="C6EFCE"/>
            <w:noWrap/>
            <w:vAlign w:val="center"/>
          </w:tcPr>
          <w:p w14:paraId="4E31B4FB" w14:textId="77777777" w:rsidR="003F5418" w:rsidRDefault="002A6C25">
            <w:pPr>
              <w:pStyle w:val="P68B1DB1-Normal4"/>
              <w:jc w:val="center"/>
              <w:rPr>
                <w:noProof/>
              </w:rPr>
            </w:pPr>
            <w:r>
              <w:rPr>
                <w:noProof/>
              </w:rPr>
              <w:t>15</w:t>
            </w:r>
          </w:p>
        </w:tc>
        <w:tc>
          <w:tcPr>
            <w:tcW w:w="793" w:type="dxa"/>
            <w:shd w:val="clear" w:color="auto" w:fill="C6EFCE"/>
            <w:noWrap/>
            <w:vAlign w:val="center"/>
          </w:tcPr>
          <w:p w14:paraId="63F8E07E"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5DC91D69"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077A249B" w14:textId="77777777" w:rsidR="003F5418" w:rsidRDefault="002A6C25">
            <w:pPr>
              <w:pStyle w:val="P68B1DB1-Normal4"/>
              <w:spacing w:after="120"/>
              <w:rPr>
                <w:noProof/>
              </w:rPr>
            </w:pPr>
            <w:r>
              <w:rPr>
                <w:noProof/>
              </w:rPr>
              <w:t>A védelmi személyzet irányításával kapcsolatos 15 eljárás digitalizálása, felülvizsgálata és automatizálása (például toborzás, foglalkoztatás és nyugdíjba vonulás, a munkavállalók egészsége), négy már digitalizált eljárásból kiindulva.</w:t>
            </w:r>
          </w:p>
        </w:tc>
      </w:tr>
      <w:tr w:rsidR="003F5418" w14:paraId="4ACB8AC4" w14:textId="77777777">
        <w:trPr>
          <w:trHeight w:val="309"/>
        </w:trPr>
        <w:tc>
          <w:tcPr>
            <w:tcW w:w="1284" w:type="dxa"/>
            <w:shd w:val="clear" w:color="auto" w:fill="C6EFCE"/>
            <w:noWrap/>
            <w:vAlign w:val="center"/>
          </w:tcPr>
          <w:p w14:paraId="363BF289" w14:textId="77777777" w:rsidR="003F5418" w:rsidRDefault="002A6C25">
            <w:pPr>
              <w:pStyle w:val="P68B1DB1-Normal4"/>
              <w:jc w:val="center"/>
              <w:rPr>
                <w:noProof/>
              </w:rPr>
            </w:pPr>
            <w:r>
              <w:rPr>
                <w:noProof/>
              </w:rPr>
              <w:t>M1C1–136.</w:t>
            </w:r>
          </w:p>
        </w:tc>
        <w:tc>
          <w:tcPr>
            <w:tcW w:w="1746" w:type="dxa"/>
            <w:shd w:val="clear" w:color="auto" w:fill="C6EFCE"/>
            <w:noWrap/>
            <w:vAlign w:val="center"/>
          </w:tcPr>
          <w:p w14:paraId="34D435BB" w14:textId="77777777" w:rsidR="003F5418" w:rsidRDefault="002A6C25">
            <w:pPr>
              <w:pStyle w:val="P68B1DB1-Normal4"/>
              <w:jc w:val="center"/>
              <w:rPr>
                <w:noProof/>
              </w:rPr>
            </w:pPr>
            <w:r>
              <w:rPr>
                <w:noProof/>
              </w:rPr>
              <w:t>Beruházás</w:t>
            </w:r>
            <w:r>
              <w:rPr>
                <w:noProof/>
              </w:rPr>
              <w:t xml:space="preserve"> – A Védelmi Minisztérium digitalizálása</w:t>
            </w:r>
          </w:p>
        </w:tc>
        <w:tc>
          <w:tcPr>
            <w:tcW w:w="992" w:type="dxa"/>
            <w:shd w:val="clear" w:color="auto" w:fill="C6EFCE"/>
            <w:noWrap/>
            <w:vAlign w:val="center"/>
          </w:tcPr>
          <w:p w14:paraId="4C1E171B"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39694E49" w14:textId="77777777" w:rsidR="003F5418" w:rsidRDefault="002A6C25">
            <w:pPr>
              <w:pStyle w:val="P68B1DB1-Normal4"/>
              <w:jc w:val="center"/>
              <w:rPr>
                <w:noProof/>
              </w:rPr>
            </w:pPr>
            <w:r>
              <w:rPr>
                <w:noProof/>
              </w:rPr>
              <w:t>Védelmi Minisztérium – A T1 tanúsítványok digitalizálása</w:t>
            </w:r>
          </w:p>
        </w:tc>
        <w:tc>
          <w:tcPr>
            <w:tcW w:w="1701" w:type="dxa"/>
            <w:shd w:val="clear" w:color="auto" w:fill="C6EFCE"/>
            <w:noWrap/>
            <w:vAlign w:val="center"/>
          </w:tcPr>
          <w:p w14:paraId="17ED1A71"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7E1C254F" w14:textId="77777777" w:rsidR="003F5418" w:rsidRDefault="002A6C25">
            <w:pPr>
              <w:pStyle w:val="P68B1DB1-Normal4"/>
              <w:jc w:val="center"/>
              <w:rPr>
                <w:noProof/>
              </w:rPr>
            </w:pPr>
            <w:r>
              <w:rPr>
                <w:noProof/>
              </w:rPr>
              <w:t>Digitalizált tanúsítványok száma</w:t>
            </w:r>
          </w:p>
        </w:tc>
        <w:tc>
          <w:tcPr>
            <w:tcW w:w="1276" w:type="dxa"/>
            <w:shd w:val="clear" w:color="auto" w:fill="C6EFCE"/>
            <w:noWrap/>
            <w:vAlign w:val="center"/>
          </w:tcPr>
          <w:p w14:paraId="18D033C0" w14:textId="77777777" w:rsidR="003F5418" w:rsidRDefault="002A6C25">
            <w:pPr>
              <w:pStyle w:val="P68B1DB1-Normal4"/>
              <w:jc w:val="center"/>
              <w:rPr>
                <w:noProof/>
              </w:rPr>
            </w:pPr>
            <w:r>
              <w:rPr>
                <w:noProof/>
              </w:rPr>
              <w:t>190 000</w:t>
            </w:r>
          </w:p>
        </w:tc>
        <w:tc>
          <w:tcPr>
            <w:tcW w:w="1417" w:type="dxa"/>
            <w:shd w:val="clear" w:color="auto" w:fill="C6EFCE"/>
            <w:noWrap/>
            <w:vAlign w:val="center"/>
          </w:tcPr>
          <w:p w14:paraId="065DFD88" w14:textId="77777777" w:rsidR="003F5418" w:rsidRDefault="002A6C25">
            <w:pPr>
              <w:pStyle w:val="P68B1DB1-Normal4"/>
              <w:jc w:val="center"/>
              <w:rPr>
                <w:noProof/>
              </w:rPr>
            </w:pPr>
            <w:r>
              <w:rPr>
                <w:noProof/>
              </w:rPr>
              <w:t>450 000</w:t>
            </w:r>
          </w:p>
        </w:tc>
        <w:tc>
          <w:tcPr>
            <w:tcW w:w="793" w:type="dxa"/>
            <w:shd w:val="clear" w:color="auto" w:fill="C6EFCE"/>
            <w:noWrap/>
            <w:vAlign w:val="center"/>
          </w:tcPr>
          <w:p w14:paraId="5ED40765"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072CA85A"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5743456F" w14:textId="77777777" w:rsidR="003F5418" w:rsidRDefault="002A6C25">
            <w:pPr>
              <w:pStyle w:val="P68B1DB1-Normal4"/>
              <w:spacing w:after="120"/>
              <w:rPr>
                <w:noProof/>
              </w:rPr>
            </w:pPr>
            <w:r>
              <w:rPr>
                <w:noProof/>
              </w:rPr>
              <w:t xml:space="preserve">A Védelmi Minisztérium által kiadott és az infrastruktúrára futtatott digitalizált </w:t>
            </w:r>
            <w:r>
              <w:rPr>
                <w:noProof/>
              </w:rPr>
              <w:t>személyazonosító igazolványok száma (450000), kiegészítve egy katasztrófa utáni helyreállítási helyszínnel, amely a már digitalizált tanúsítvány alapértékéből indul ki.</w:t>
            </w:r>
          </w:p>
        </w:tc>
      </w:tr>
      <w:tr w:rsidR="003F5418" w14:paraId="03C24874" w14:textId="77777777">
        <w:trPr>
          <w:trHeight w:val="309"/>
        </w:trPr>
        <w:tc>
          <w:tcPr>
            <w:tcW w:w="1284" w:type="dxa"/>
            <w:shd w:val="clear" w:color="auto" w:fill="C6EFCE"/>
            <w:noWrap/>
            <w:vAlign w:val="center"/>
          </w:tcPr>
          <w:p w14:paraId="7D975A11" w14:textId="77777777" w:rsidR="003F5418" w:rsidRDefault="002A6C25">
            <w:pPr>
              <w:pStyle w:val="P68B1DB1-Normal4"/>
              <w:jc w:val="center"/>
              <w:rPr>
                <w:noProof/>
              </w:rPr>
            </w:pPr>
            <w:r>
              <w:rPr>
                <w:noProof/>
              </w:rPr>
              <w:t>M1C1–137</w:t>
            </w:r>
          </w:p>
        </w:tc>
        <w:tc>
          <w:tcPr>
            <w:tcW w:w="1746" w:type="dxa"/>
            <w:shd w:val="clear" w:color="auto" w:fill="C6EFCE"/>
            <w:noWrap/>
            <w:vAlign w:val="center"/>
          </w:tcPr>
          <w:p w14:paraId="3267285A"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3A83C702" w14:textId="77777777" w:rsidR="003F5418" w:rsidRDefault="002A6C25">
            <w:pPr>
              <w:pStyle w:val="P68B1DB1-Normal4"/>
              <w:jc w:val="center"/>
              <w:rPr>
                <w:noProof/>
              </w:rPr>
            </w:pPr>
            <w:r>
              <w:rPr>
                <w:noProof/>
              </w:rPr>
              <w:t>Mérföldkő</w:t>
            </w:r>
          </w:p>
        </w:tc>
        <w:tc>
          <w:tcPr>
            <w:tcW w:w="2126" w:type="dxa"/>
            <w:shd w:val="clear" w:color="auto" w:fill="C6EFCE"/>
            <w:noWrap/>
            <w:vAlign w:val="center"/>
          </w:tcPr>
          <w:p w14:paraId="6C76680C" w14:textId="77777777" w:rsidR="003F5418" w:rsidRDefault="002A6C25">
            <w:pPr>
              <w:pStyle w:val="P68B1DB1-Normal4"/>
              <w:jc w:val="center"/>
              <w:rPr>
                <w:noProof/>
              </w:rPr>
            </w:pPr>
            <w:r>
              <w:rPr>
                <w:noProof/>
              </w:rPr>
              <w:t xml:space="preserve">Védelmi </w:t>
            </w:r>
            <w:r>
              <w:rPr>
                <w:noProof/>
              </w:rPr>
              <w:t>Minisztérium – intézményi internetes portálok és intranetes portálok üzembe helyezése</w:t>
            </w:r>
          </w:p>
        </w:tc>
        <w:tc>
          <w:tcPr>
            <w:tcW w:w="1701" w:type="dxa"/>
            <w:shd w:val="clear" w:color="auto" w:fill="C6EFCE"/>
            <w:noWrap/>
            <w:vAlign w:val="center"/>
          </w:tcPr>
          <w:p w14:paraId="158289C6" w14:textId="77777777" w:rsidR="003F5418" w:rsidRDefault="002A6C25">
            <w:pPr>
              <w:pStyle w:val="P68B1DB1-Normal4"/>
              <w:jc w:val="center"/>
              <w:rPr>
                <w:noProof/>
              </w:rPr>
            </w:pPr>
            <w:r>
              <w:rPr>
                <w:noProof/>
              </w:rPr>
              <w:t>Intézményi internetes portálok és intranetes portálok teljes mértékben működőképesek</w:t>
            </w:r>
          </w:p>
        </w:tc>
        <w:tc>
          <w:tcPr>
            <w:tcW w:w="1134" w:type="dxa"/>
            <w:shd w:val="clear" w:color="auto" w:fill="C6EFCE"/>
            <w:noWrap/>
            <w:vAlign w:val="center"/>
          </w:tcPr>
          <w:p w14:paraId="4BEC3CAF" w14:textId="77777777" w:rsidR="003F5418" w:rsidRDefault="002A6C25">
            <w:pPr>
              <w:pStyle w:val="P68B1DB1-Normal4"/>
              <w:jc w:val="center"/>
              <w:rPr>
                <w:noProof/>
              </w:rPr>
            </w:pPr>
            <w:r>
              <w:rPr>
                <w:noProof/>
              </w:rPr>
              <w:t>NINCS</w:t>
            </w:r>
          </w:p>
        </w:tc>
        <w:tc>
          <w:tcPr>
            <w:tcW w:w="1276" w:type="dxa"/>
            <w:shd w:val="clear" w:color="auto" w:fill="C6EFCE"/>
            <w:noWrap/>
            <w:vAlign w:val="center"/>
          </w:tcPr>
          <w:p w14:paraId="40E0D18D"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0BD3EF1C" w14:textId="77777777" w:rsidR="003F5418" w:rsidRDefault="002A6C25">
            <w:pPr>
              <w:pStyle w:val="P68B1DB1-Normal4"/>
              <w:jc w:val="center"/>
              <w:rPr>
                <w:noProof/>
              </w:rPr>
            </w:pPr>
            <w:r>
              <w:rPr>
                <w:noProof/>
              </w:rPr>
              <w:t>NINCS</w:t>
            </w:r>
          </w:p>
        </w:tc>
        <w:tc>
          <w:tcPr>
            <w:tcW w:w="793" w:type="dxa"/>
            <w:shd w:val="clear" w:color="auto" w:fill="C6EFCE"/>
            <w:noWrap/>
            <w:vAlign w:val="center"/>
          </w:tcPr>
          <w:p w14:paraId="5C88B354"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0354732A"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59D2B6F9" w14:textId="77777777" w:rsidR="003F5418" w:rsidRDefault="002A6C25">
            <w:pPr>
              <w:pStyle w:val="P68B1DB1-Normal4"/>
              <w:spacing w:after="120"/>
              <w:rPr>
                <w:noProof/>
              </w:rPr>
            </w:pPr>
            <w:r>
              <w:rPr>
                <w:noProof/>
              </w:rPr>
              <w:t xml:space="preserve">I. intézményi internetes portálok és ii. a belső </w:t>
            </w:r>
            <w:r>
              <w:rPr>
                <w:noProof/>
              </w:rPr>
              <w:t>kommunikáció sajátos igényeire szolgáló intranetes portálok fejlesztése és megvalósítása.</w:t>
            </w:r>
          </w:p>
        </w:tc>
      </w:tr>
      <w:tr w:rsidR="003F5418" w14:paraId="0D467264" w14:textId="77777777">
        <w:trPr>
          <w:trHeight w:val="309"/>
        </w:trPr>
        <w:tc>
          <w:tcPr>
            <w:tcW w:w="1284" w:type="dxa"/>
            <w:shd w:val="clear" w:color="auto" w:fill="C6EFCE"/>
            <w:noWrap/>
            <w:vAlign w:val="center"/>
          </w:tcPr>
          <w:p w14:paraId="4F623406" w14:textId="77777777" w:rsidR="003F5418" w:rsidRDefault="002A6C25">
            <w:pPr>
              <w:pStyle w:val="P68B1DB1-Normal4"/>
              <w:jc w:val="center"/>
              <w:rPr>
                <w:noProof/>
              </w:rPr>
            </w:pPr>
            <w:r>
              <w:rPr>
                <w:noProof/>
              </w:rPr>
              <w:t>M1C1–138.</w:t>
            </w:r>
          </w:p>
        </w:tc>
        <w:tc>
          <w:tcPr>
            <w:tcW w:w="1746" w:type="dxa"/>
            <w:shd w:val="clear" w:color="auto" w:fill="C6EFCE"/>
            <w:noWrap/>
            <w:vAlign w:val="center"/>
          </w:tcPr>
          <w:p w14:paraId="0572B8A1"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1D21A1E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2E4DC5BC" w14:textId="77777777" w:rsidR="003F5418" w:rsidRDefault="002A6C25">
            <w:pPr>
              <w:pStyle w:val="P68B1DB1-Normal4"/>
              <w:jc w:val="center"/>
              <w:rPr>
                <w:noProof/>
              </w:rPr>
            </w:pPr>
            <w:r>
              <w:rPr>
                <w:noProof/>
              </w:rPr>
              <w:t xml:space="preserve">Védelmi Minisztérium – A nem misszió szempontjából kritikus alkalmazások átminősítése az </w:t>
            </w:r>
            <w:r>
              <w:rPr>
                <w:noProof/>
              </w:rPr>
              <w:t>infrastrukturális nyitottság általi teljes körű információvédelem érdekében (S.C.I.P.I.O.) T1</w:t>
            </w:r>
          </w:p>
        </w:tc>
        <w:tc>
          <w:tcPr>
            <w:tcW w:w="1701" w:type="dxa"/>
            <w:shd w:val="clear" w:color="auto" w:fill="C6EFCE"/>
            <w:noWrap/>
            <w:vAlign w:val="center"/>
          </w:tcPr>
          <w:p w14:paraId="78A77F75"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CD19441"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1F31590F"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433246F3" w14:textId="77777777" w:rsidR="003F5418" w:rsidRDefault="002A6C25">
            <w:pPr>
              <w:pStyle w:val="P68B1DB1-Normal4"/>
              <w:jc w:val="center"/>
              <w:rPr>
                <w:noProof/>
              </w:rPr>
            </w:pPr>
            <w:r>
              <w:rPr>
                <w:noProof/>
              </w:rPr>
              <w:t>10</w:t>
            </w:r>
          </w:p>
        </w:tc>
        <w:tc>
          <w:tcPr>
            <w:tcW w:w="793" w:type="dxa"/>
            <w:shd w:val="clear" w:color="auto" w:fill="C6EFCE"/>
            <w:noWrap/>
            <w:vAlign w:val="center"/>
          </w:tcPr>
          <w:p w14:paraId="7AD8C273"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68A89E60" w14:textId="77777777" w:rsidR="003F5418" w:rsidRDefault="002A6C25">
            <w:pPr>
              <w:pStyle w:val="P68B1DB1-Normal4"/>
              <w:jc w:val="center"/>
              <w:rPr>
                <w:noProof/>
              </w:rPr>
            </w:pPr>
            <w:r>
              <w:rPr>
                <w:noProof/>
              </w:rPr>
              <w:t>2023</w:t>
            </w:r>
          </w:p>
        </w:tc>
        <w:tc>
          <w:tcPr>
            <w:tcW w:w="2584" w:type="dxa"/>
            <w:shd w:val="clear" w:color="auto" w:fill="C6EFCE"/>
            <w:noWrap/>
            <w:vAlign w:val="center"/>
          </w:tcPr>
          <w:p w14:paraId="27D0B898" w14:textId="77777777" w:rsidR="003F5418" w:rsidRDefault="002A6C25">
            <w:pPr>
              <w:pStyle w:val="P68B1DB1-Normal4"/>
              <w:spacing w:after="120"/>
              <w:rPr>
                <w:noProof/>
              </w:rPr>
            </w:pPr>
            <w:r>
              <w:rPr>
                <w:noProof/>
              </w:rPr>
              <w:t xml:space="preserve">A nem a misszió szempontjából kritikus alkalmazások kezdeti átállása és operatív rendelkezésre állása az új nyílt forráskódú </w:t>
            </w:r>
            <w:r>
              <w:rPr>
                <w:noProof/>
              </w:rPr>
              <w:t>infrastruktúrákra. Ez magában foglalja a hardverkörnyezet megvalósítását, a köztesszoftverek nyílt forráskódú alkatrészeinek telepítését és az alkalmazások átalakítását.</w:t>
            </w:r>
          </w:p>
        </w:tc>
      </w:tr>
      <w:tr w:rsidR="003F5418" w14:paraId="1462949B" w14:textId="77777777">
        <w:trPr>
          <w:trHeight w:val="309"/>
        </w:trPr>
        <w:tc>
          <w:tcPr>
            <w:tcW w:w="1284" w:type="dxa"/>
            <w:shd w:val="clear" w:color="auto" w:fill="C6EFCE"/>
            <w:noWrap/>
            <w:vAlign w:val="center"/>
          </w:tcPr>
          <w:p w14:paraId="629F31A1" w14:textId="77777777" w:rsidR="003F5418" w:rsidRDefault="002A6C25">
            <w:pPr>
              <w:pStyle w:val="P68B1DB1-Normal4"/>
              <w:jc w:val="center"/>
              <w:rPr>
                <w:noProof/>
              </w:rPr>
            </w:pPr>
            <w:r>
              <w:rPr>
                <w:noProof/>
              </w:rPr>
              <w:t>M1C1–139.</w:t>
            </w:r>
          </w:p>
        </w:tc>
        <w:tc>
          <w:tcPr>
            <w:tcW w:w="1746" w:type="dxa"/>
            <w:shd w:val="clear" w:color="auto" w:fill="C6EFCE"/>
            <w:noWrap/>
            <w:vAlign w:val="center"/>
          </w:tcPr>
          <w:p w14:paraId="103FDC63" w14:textId="77777777" w:rsidR="003F5418" w:rsidRDefault="002A6C25">
            <w:pPr>
              <w:pStyle w:val="P68B1DB1-Normal4"/>
              <w:jc w:val="center"/>
              <w:rPr>
                <w:noProof/>
              </w:rPr>
            </w:pPr>
            <w:r>
              <w:rPr>
                <w:noProof/>
              </w:rPr>
              <w:t>Beruházás – Felhő biztosítása a helyi kifizető ügynökségek számára</w:t>
            </w:r>
          </w:p>
        </w:tc>
        <w:tc>
          <w:tcPr>
            <w:tcW w:w="992" w:type="dxa"/>
            <w:shd w:val="clear" w:color="auto" w:fill="C6EFCE"/>
            <w:noWrap/>
            <w:vAlign w:val="center"/>
          </w:tcPr>
          <w:p w14:paraId="7CF66ED8"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15074D1B" w14:textId="77777777" w:rsidR="003F5418" w:rsidRDefault="002A6C25">
            <w:pPr>
              <w:pStyle w:val="P68B1DB1-Normal4"/>
              <w:jc w:val="center"/>
              <w:rPr>
                <w:noProof/>
              </w:rPr>
            </w:pPr>
            <w:r>
              <w:rPr>
                <w:noProof/>
              </w:rPr>
              <w:t>Felhőalapú szolgáltatás a helyi közigazgatás számára T1</w:t>
            </w:r>
          </w:p>
        </w:tc>
        <w:tc>
          <w:tcPr>
            <w:tcW w:w="1701" w:type="dxa"/>
            <w:shd w:val="clear" w:color="auto" w:fill="C6EFCE"/>
            <w:noWrap/>
            <w:vAlign w:val="center"/>
          </w:tcPr>
          <w:p w14:paraId="5425C95E"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8AAFCB4"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62AD7242"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33054B42" w14:textId="77777777" w:rsidR="003F5418" w:rsidRDefault="002A6C25">
            <w:pPr>
              <w:pStyle w:val="P68B1DB1-Normal4"/>
              <w:jc w:val="center"/>
              <w:rPr>
                <w:noProof/>
              </w:rPr>
            </w:pPr>
            <w:r>
              <w:rPr>
                <w:noProof/>
              </w:rPr>
              <w:t>4 083</w:t>
            </w:r>
          </w:p>
        </w:tc>
        <w:tc>
          <w:tcPr>
            <w:tcW w:w="793" w:type="dxa"/>
            <w:shd w:val="clear" w:color="auto" w:fill="C6EFCE"/>
            <w:noWrap/>
            <w:vAlign w:val="center"/>
          </w:tcPr>
          <w:p w14:paraId="6D24F16D" w14:textId="77777777" w:rsidR="003F5418" w:rsidRDefault="002A6C25">
            <w:pPr>
              <w:pStyle w:val="P68B1DB1-Normal4"/>
              <w:jc w:val="center"/>
              <w:rPr>
                <w:noProof/>
              </w:rPr>
            </w:pPr>
            <w:r>
              <w:rPr>
                <w:noProof/>
              </w:rPr>
              <w:t>Q3</w:t>
            </w:r>
          </w:p>
        </w:tc>
        <w:tc>
          <w:tcPr>
            <w:tcW w:w="625" w:type="dxa"/>
            <w:shd w:val="clear" w:color="auto" w:fill="C6EFCE"/>
            <w:noWrap/>
            <w:vAlign w:val="center"/>
          </w:tcPr>
          <w:p w14:paraId="3D4EC341" w14:textId="77777777" w:rsidR="003F5418" w:rsidRDefault="002A6C25">
            <w:pPr>
              <w:pStyle w:val="P68B1DB1-Normal4"/>
              <w:jc w:val="center"/>
              <w:rPr>
                <w:noProof/>
              </w:rPr>
            </w:pPr>
            <w:r>
              <w:rPr>
                <w:noProof/>
              </w:rPr>
              <w:t>2024</w:t>
            </w:r>
          </w:p>
        </w:tc>
        <w:tc>
          <w:tcPr>
            <w:tcW w:w="2584" w:type="dxa"/>
            <w:shd w:val="clear" w:color="auto" w:fill="C6EFCE"/>
            <w:noWrap/>
            <w:vAlign w:val="center"/>
          </w:tcPr>
          <w:p w14:paraId="11A57ABE" w14:textId="77777777" w:rsidR="003F5418" w:rsidRDefault="002A6C25">
            <w:pPr>
              <w:pStyle w:val="P68B1DB1-Normal9"/>
              <w:spacing w:after="120"/>
              <w:rPr>
                <w:rFonts w:ascii="Arial Narrow" w:hAnsi="Arial Narrow"/>
                <w:noProof/>
              </w:rPr>
            </w:pPr>
            <w:r>
              <w:rPr>
                <w:rFonts w:ascii="Arial Narrow" w:hAnsi="Arial Narrow"/>
                <w:noProof/>
              </w:rPr>
              <w:t xml:space="preserve">4083 helyi közigazgatási szervtanúsított felhőalapú környezetre való átállását akkor kell megvalósultnak tekinteni, ha az egyes átállási tervekben szereplő valamennyi </w:t>
            </w:r>
            <w:r>
              <w:rPr>
                <w:rFonts w:ascii="Arial Narrow" w:hAnsi="Arial Narrow"/>
                <w:noProof/>
              </w:rPr>
              <w:t>rendszer, adatkészlet és alkalmazásmigráció tesztelése sikeres.</w:t>
            </w:r>
          </w:p>
        </w:tc>
      </w:tr>
      <w:tr w:rsidR="003F5418" w14:paraId="28144630" w14:textId="77777777">
        <w:trPr>
          <w:trHeight w:val="309"/>
        </w:trPr>
        <w:tc>
          <w:tcPr>
            <w:tcW w:w="1284" w:type="dxa"/>
            <w:shd w:val="clear" w:color="auto" w:fill="C6EFCE"/>
            <w:noWrap/>
            <w:vAlign w:val="center"/>
          </w:tcPr>
          <w:p w14:paraId="24EBC006" w14:textId="77777777" w:rsidR="003F5418" w:rsidRDefault="002A6C25">
            <w:pPr>
              <w:pStyle w:val="P68B1DB1-Normal4"/>
              <w:jc w:val="center"/>
              <w:rPr>
                <w:noProof/>
              </w:rPr>
            </w:pPr>
            <w:r>
              <w:rPr>
                <w:noProof/>
              </w:rPr>
              <w:t>M1C1–140</w:t>
            </w:r>
          </w:p>
        </w:tc>
        <w:tc>
          <w:tcPr>
            <w:tcW w:w="1746" w:type="dxa"/>
            <w:shd w:val="clear" w:color="auto" w:fill="C6EFCE"/>
            <w:noWrap/>
            <w:vAlign w:val="center"/>
          </w:tcPr>
          <w:p w14:paraId="03326520" w14:textId="77777777" w:rsidR="003F5418" w:rsidRDefault="002A6C25">
            <w:pPr>
              <w:pStyle w:val="P68B1DB1-Normal4"/>
              <w:jc w:val="center"/>
              <w:rPr>
                <w:noProof/>
              </w:rPr>
            </w:pPr>
            <w:r>
              <w:rPr>
                <w:noProof/>
              </w:rPr>
              <w:t>Beruházás – Polgári tapasztalatok – A digitális közszolgáltatások minőségének és használhatóságának javítása</w:t>
            </w:r>
          </w:p>
        </w:tc>
        <w:tc>
          <w:tcPr>
            <w:tcW w:w="992" w:type="dxa"/>
            <w:shd w:val="clear" w:color="auto" w:fill="C6EFCE"/>
            <w:noWrap/>
            <w:vAlign w:val="center"/>
          </w:tcPr>
          <w:p w14:paraId="3F5E1FEB"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18FB430E" w14:textId="77777777" w:rsidR="003F5418" w:rsidRDefault="002A6C25">
            <w:pPr>
              <w:pStyle w:val="P68B1DB1-Normal4"/>
              <w:jc w:val="center"/>
              <w:rPr>
                <w:noProof/>
              </w:rPr>
            </w:pPr>
            <w:r>
              <w:rPr>
                <w:noProof/>
              </w:rPr>
              <w:t xml:space="preserve">A digitális közszolgáltatások minőségének és használhatóságának </w:t>
            </w:r>
            <w:r>
              <w:rPr>
                <w:noProof/>
              </w:rPr>
              <w:t>javítása T1</w:t>
            </w:r>
          </w:p>
        </w:tc>
        <w:tc>
          <w:tcPr>
            <w:tcW w:w="1701" w:type="dxa"/>
            <w:shd w:val="clear" w:color="auto" w:fill="C6EFCE"/>
            <w:noWrap/>
            <w:vAlign w:val="center"/>
          </w:tcPr>
          <w:p w14:paraId="7A4841E8"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115489C" w14:textId="77777777" w:rsidR="003F5418" w:rsidRDefault="002A6C25">
            <w:pPr>
              <w:pStyle w:val="P68B1DB1-Normal4"/>
              <w:jc w:val="center"/>
              <w:rPr>
                <w:noProof/>
              </w:rPr>
            </w:pPr>
            <w:r>
              <w:rPr>
                <w:noProof/>
              </w:rPr>
              <w:t>Százalék</w:t>
            </w:r>
          </w:p>
        </w:tc>
        <w:tc>
          <w:tcPr>
            <w:tcW w:w="1276" w:type="dxa"/>
            <w:shd w:val="clear" w:color="auto" w:fill="C6EFCE"/>
            <w:noWrap/>
            <w:vAlign w:val="center"/>
          </w:tcPr>
          <w:p w14:paraId="688F4EBA" w14:textId="58775B6E" w:rsidR="003F5418" w:rsidRDefault="002A6C25">
            <w:pPr>
              <w:pStyle w:val="P68B1DB1-Normal4"/>
              <w:jc w:val="center"/>
              <w:rPr>
                <w:noProof/>
              </w:rPr>
            </w:pPr>
            <w:r>
              <w:rPr>
                <w:noProof/>
              </w:rPr>
              <w:t>0.1</w:t>
            </w:r>
          </w:p>
        </w:tc>
        <w:tc>
          <w:tcPr>
            <w:tcW w:w="1417" w:type="dxa"/>
            <w:shd w:val="clear" w:color="auto" w:fill="C6EFCE"/>
            <w:noWrap/>
            <w:vAlign w:val="center"/>
          </w:tcPr>
          <w:p w14:paraId="5CCC2F67" w14:textId="77777777" w:rsidR="003F5418" w:rsidRDefault="002A6C25">
            <w:pPr>
              <w:pStyle w:val="P68B1DB1-Normal4"/>
              <w:jc w:val="center"/>
              <w:rPr>
                <w:noProof/>
              </w:rPr>
            </w:pPr>
            <w:r>
              <w:rPr>
                <w:noProof/>
              </w:rPr>
              <w:t>40</w:t>
            </w:r>
          </w:p>
        </w:tc>
        <w:tc>
          <w:tcPr>
            <w:tcW w:w="793" w:type="dxa"/>
            <w:shd w:val="clear" w:color="auto" w:fill="C6EFCE"/>
            <w:noWrap/>
            <w:vAlign w:val="center"/>
          </w:tcPr>
          <w:p w14:paraId="20436999"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5536CAA1" w14:textId="77777777" w:rsidR="003F5418" w:rsidRDefault="002A6C25">
            <w:pPr>
              <w:pStyle w:val="P68B1DB1-Normal4"/>
              <w:jc w:val="center"/>
              <w:rPr>
                <w:noProof/>
              </w:rPr>
            </w:pPr>
            <w:r>
              <w:rPr>
                <w:noProof/>
              </w:rPr>
              <w:t>2024</w:t>
            </w:r>
          </w:p>
        </w:tc>
        <w:tc>
          <w:tcPr>
            <w:tcW w:w="2584" w:type="dxa"/>
            <w:shd w:val="clear" w:color="auto" w:fill="C6EFCE"/>
            <w:noWrap/>
            <w:vAlign w:val="center"/>
          </w:tcPr>
          <w:p w14:paraId="3208573C" w14:textId="77777777" w:rsidR="003F5418" w:rsidRDefault="002A6C25">
            <w:pPr>
              <w:pStyle w:val="P68B1DB1-Normal4"/>
              <w:spacing w:after="120"/>
              <w:rPr>
                <w:noProof/>
              </w:rPr>
            </w:pPr>
            <w:r>
              <w:rPr>
                <w:noProof/>
              </w:rPr>
              <w:t xml:space="preserve">A közigazgatási szervek (települések, az első és másodikfokú oktatási intézmények alap- és középiskolái, valamint a kísérleti egészségügyi ellátással és a kulturális örökséggel foglalkozó </w:t>
            </w:r>
            <w:r>
              <w:rPr>
                <w:noProof/>
              </w:rPr>
              <w:t xml:space="preserve">szervezetek) közös modell- és tervezési rendszerhez igazodva, egyszerűsítve a felhasználók közötti interakciót és megkönnyítve a karbantartást az elkövetkező években. </w:t>
            </w:r>
          </w:p>
          <w:p w14:paraId="05075CFC" w14:textId="77777777" w:rsidR="003F5418" w:rsidRDefault="002A6C25">
            <w:pPr>
              <w:pStyle w:val="P68B1DB1-Normal4"/>
              <w:spacing w:after="120"/>
              <w:rPr>
                <w:noProof/>
              </w:rPr>
            </w:pPr>
            <w:r>
              <w:rPr>
                <w:noProof/>
              </w:rPr>
              <w:t xml:space="preserve">A honlapok/szolgáltatások összetevőinek közös tervezéséhez/modelljéhez való csatlakozás </w:t>
            </w:r>
            <w:r>
              <w:rPr>
                <w:noProof/>
              </w:rPr>
              <w:t xml:space="preserve">a következőkből áll: </w:t>
            </w:r>
          </w:p>
          <w:p w14:paraId="0686EE44" w14:textId="77777777" w:rsidR="003F5418" w:rsidRDefault="002A6C25">
            <w:pPr>
              <w:pStyle w:val="P68B1DB1-Normal4"/>
              <w:spacing w:after="120"/>
              <w:rPr>
                <w:noProof/>
              </w:rPr>
            </w:pPr>
            <w:r>
              <w:rPr>
                <w:noProof/>
              </w:rPr>
              <w:t>(1) A benyújtott projektek értékelése;</w:t>
            </w:r>
          </w:p>
          <w:p w14:paraId="016F5B75" w14:textId="77777777" w:rsidR="003F5418" w:rsidRDefault="002A6C25">
            <w:pPr>
              <w:pStyle w:val="P68B1DB1-Normal4"/>
              <w:spacing w:after="120"/>
              <w:rPr>
                <w:noProof/>
              </w:rPr>
            </w:pPr>
            <w:r>
              <w:rPr>
                <w:noProof/>
              </w:rPr>
              <w:t>(2) A projekt befejezésének értékelése a fő használhatósági mérőszámok (digitális használhatósági pontszámok) alapján, a már rendelkezésre álló, erre a célra létrehozott platformon keresztül.</w:t>
            </w:r>
          </w:p>
        </w:tc>
      </w:tr>
      <w:tr w:rsidR="003F5418" w14:paraId="62F66F6D" w14:textId="77777777">
        <w:trPr>
          <w:trHeight w:val="309"/>
        </w:trPr>
        <w:tc>
          <w:tcPr>
            <w:tcW w:w="1284" w:type="dxa"/>
            <w:shd w:val="clear" w:color="auto" w:fill="C6EFCE"/>
            <w:noWrap/>
            <w:vAlign w:val="center"/>
          </w:tcPr>
          <w:p w14:paraId="2CD55923" w14:textId="77777777" w:rsidR="003F5418" w:rsidRDefault="002A6C25">
            <w:pPr>
              <w:pStyle w:val="P68B1DB1-Normal4"/>
              <w:jc w:val="center"/>
              <w:rPr>
                <w:noProof/>
              </w:rPr>
            </w:pPr>
            <w:r>
              <w:rPr>
                <w:noProof/>
              </w:rPr>
              <w:t>M1C1–141</w:t>
            </w:r>
          </w:p>
        </w:tc>
        <w:tc>
          <w:tcPr>
            <w:tcW w:w="1746" w:type="dxa"/>
            <w:shd w:val="clear" w:color="auto" w:fill="C6EFCE"/>
            <w:noWrap/>
            <w:vAlign w:val="center"/>
          </w:tcPr>
          <w:p w14:paraId="0FC94D73"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38ACF9A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5EF32937" w14:textId="77777777" w:rsidR="003F5418" w:rsidRDefault="002A6C25">
            <w:pPr>
              <w:pStyle w:val="P68B1DB1-Normal4"/>
              <w:jc w:val="center"/>
              <w:rPr>
                <w:noProof/>
              </w:rPr>
            </w:pPr>
            <w:r>
              <w:rPr>
                <w:noProof/>
              </w:rPr>
              <w:t>A védelmi minisztérium eljárásainak digitalizálása T2</w:t>
            </w:r>
          </w:p>
        </w:tc>
        <w:tc>
          <w:tcPr>
            <w:tcW w:w="1701" w:type="dxa"/>
            <w:shd w:val="clear" w:color="auto" w:fill="C6EFCE"/>
            <w:noWrap/>
            <w:vAlign w:val="center"/>
          </w:tcPr>
          <w:p w14:paraId="31811087"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F63D3F3"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73C6E100" w14:textId="77777777" w:rsidR="003F5418" w:rsidRDefault="002A6C25">
            <w:pPr>
              <w:pStyle w:val="P68B1DB1-Normal4"/>
              <w:jc w:val="center"/>
              <w:rPr>
                <w:noProof/>
              </w:rPr>
            </w:pPr>
            <w:r>
              <w:rPr>
                <w:noProof/>
              </w:rPr>
              <w:t>15</w:t>
            </w:r>
          </w:p>
        </w:tc>
        <w:tc>
          <w:tcPr>
            <w:tcW w:w="1417" w:type="dxa"/>
            <w:shd w:val="clear" w:color="auto" w:fill="C6EFCE"/>
            <w:noWrap/>
            <w:vAlign w:val="center"/>
          </w:tcPr>
          <w:p w14:paraId="2FB2A108" w14:textId="77777777" w:rsidR="003F5418" w:rsidRDefault="002A6C25">
            <w:pPr>
              <w:pStyle w:val="P68B1DB1-Normal4"/>
              <w:jc w:val="center"/>
              <w:rPr>
                <w:noProof/>
              </w:rPr>
            </w:pPr>
            <w:r>
              <w:rPr>
                <w:noProof/>
              </w:rPr>
              <w:t>20</w:t>
            </w:r>
          </w:p>
        </w:tc>
        <w:tc>
          <w:tcPr>
            <w:tcW w:w="793" w:type="dxa"/>
            <w:shd w:val="clear" w:color="auto" w:fill="C6EFCE"/>
            <w:noWrap/>
            <w:vAlign w:val="center"/>
          </w:tcPr>
          <w:p w14:paraId="72D87643"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753DD7AE" w14:textId="77777777" w:rsidR="003F5418" w:rsidRDefault="002A6C25">
            <w:pPr>
              <w:pStyle w:val="P68B1DB1-Normal4"/>
              <w:jc w:val="center"/>
              <w:rPr>
                <w:noProof/>
              </w:rPr>
            </w:pPr>
            <w:r>
              <w:rPr>
                <w:noProof/>
              </w:rPr>
              <w:t>2024</w:t>
            </w:r>
          </w:p>
        </w:tc>
        <w:tc>
          <w:tcPr>
            <w:tcW w:w="2584" w:type="dxa"/>
            <w:shd w:val="clear" w:color="auto" w:fill="C6EFCE"/>
            <w:noWrap/>
            <w:vAlign w:val="center"/>
          </w:tcPr>
          <w:p w14:paraId="60882B6A" w14:textId="77777777" w:rsidR="003F5418" w:rsidRDefault="002A6C25">
            <w:pPr>
              <w:pStyle w:val="P68B1DB1-Normal4"/>
              <w:spacing w:after="120"/>
              <w:rPr>
                <w:noProof/>
              </w:rPr>
            </w:pPr>
            <w:r>
              <w:rPr>
                <w:noProof/>
              </w:rPr>
              <w:t xml:space="preserve">20, a védelmi személyzet irányításával kapcsolatos eljárás digitalizálása, felülvizsgálata és automatizálása </w:t>
            </w:r>
            <w:r>
              <w:rPr>
                <w:noProof/>
              </w:rPr>
              <w:t>(például toborzás, foglalkoztatás és nyugdíjba vonulás, a munkavállalók egészsége), 15 már digitalizált eljárásból kiindulva, az 1. céllal.</w:t>
            </w:r>
          </w:p>
        </w:tc>
      </w:tr>
      <w:tr w:rsidR="003F5418" w14:paraId="093E78EC" w14:textId="77777777">
        <w:trPr>
          <w:trHeight w:val="309"/>
        </w:trPr>
        <w:tc>
          <w:tcPr>
            <w:tcW w:w="1284" w:type="dxa"/>
            <w:shd w:val="clear" w:color="auto" w:fill="C6EFCE"/>
            <w:noWrap/>
            <w:vAlign w:val="center"/>
          </w:tcPr>
          <w:p w14:paraId="231D9459" w14:textId="77777777" w:rsidR="003F5418" w:rsidRDefault="002A6C25">
            <w:pPr>
              <w:pStyle w:val="P68B1DB1-Normal4"/>
              <w:jc w:val="center"/>
              <w:rPr>
                <w:noProof/>
              </w:rPr>
            </w:pPr>
            <w:r>
              <w:rPr>
                <w:noProof/>
              </w:rPr>
              <w:t>M1C1–142</w:t>
            </w:r>
          </w:p>
        </w:tc>
        <w:tc>
          <w:tcPr>
            <w:tcW w:w="1746" w:type="dxa"/>
            <w:shd w:val="clear" w:color="auto" w:fill="C6EFCE"/>
            <w:noWrap/>
            <w:vAlign w:val="center"/>
          </w:tcPr>
          <w:p w14:paraId="40D0D573"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269982AF"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6A37283F" w14:textId="77777777" w:rsidR="003F5418" w:rsidRDefault="002A6C25">
            <w:pPr>
              <w:pStyle w:val="P68B1DB1-Normal4"/>
              <w:jc w:val="center"/>
              <w:rPr>
                <w:noProof/>
              </w:rPr>
            </w:pPr>
            <w:r>
              <w:rPr>
                <w:noProof/>
              </w:rPr>
              <w:t xml:space="preserve">A Védelmi Minisztérium T2 tanúsítványainak </w:t>
            </w:r>
            <w:r>
              <w:rPr>
                <w:noProof/>
              </w:rPr>
              <w:t>digitalizálása</w:t>
            </w:r>
          </w:p>
        </w:tc>
        <w:tc>
          <w:tcPr>
            <w:tcW w:w="1701" w:type="dxa"/>
            <w:shd w:val="clear" w:color="auto" w:fill="C6EFCE"/>
            <w:noWrap/>
            <w:vAlign w:val="center"/>
          </w:tcPr>
          <w:p w14:paraId="610FED5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B106D55" w14:textId="77777777" w:rsidR="003F5418" w:rsidRDefault="002A6C25">
            <w:pPr>
              <w:pStyle w:val="P68B1DB1-Normal4"/>
              <w:jc w:val="center"/>
              <w:rPr>
                <w:noProof/>
              </w:rPr>
            </w:pPr>
            <w:r>
              <w:rPr>
                <w:noProof/>
              </w:rPr>
              <w:t>Digitalizált tanúsítványok száma</w:t>
            </w:r>
          </w:p>
        </w:tc>
        <w:tc>
          <w:tcPr>
            <w:tcW w:w="1276" w:type="dxa"/>
            <w:shd w:val="clear" w:color="auto" w:fill="C6EFCE"/>
            <w:noWrap/>
            <w:vAlign w:val="center"/>
          </w:tcPr>
          <w:p w14:paraId="003F2A1A" w14:textId="77777777" w:rsidR="003F5418" w:rsidRDefault="002A6C25">
            <w:pPr>
              <w:pStyle w:val="P68B1DB1-Normal4"/>
              <w:jc w:val="center"/>
              <w:rPr>
                <w:noProof/>
              </w:rPr>
            </w:pPr>
            <w:r>
              <w:rPr>
                <w:noProof/>
              </w:rPr>
              <w:t>450 000</w:t>
            </w:r>
          </w:p>
        </w:tc>
        <w:tc>
          <w:tcPr>
            <w:tcW w:w="1417" w:type="dxa"/>
            <w:shd w:val="clear" w:color="auto" w:fill="C6EFCE"/>
            <w:noWrap/>
            <w:vAlign w:val="center"/>
          </w:tcPr>
          <w:p w14:paraId="123EE138" w14:textId="77777777" w:rsidR="003F5418" w:rsidRDefault="002A6C25">
            <w:pPr>
              <w:pStyle w:val="P68B1DB1-Normal4"/>
              <w:jc w:val="center"/>
              <w:rPr>
                <w:noProof/>
              </w:rPr>
            </w:pPr>
            <w:r>
              <w:rPr>
                <w:noProof/>
              </w:rPr>
              <w:t>750 000</w:t>
            </w:r>
          </w:p>
        </w:tc>
        <w:tc>
          <w:tcPr>
            <w:tcW w:w="793" w:type="dxa"/>
            <w:shd w:val="clear" w:color="auto" w:fill="C6EFCE"/>
            <w:noWrap/>
            <w:vAlign w:val="center"/>
          </w:tcPr>
          <w:p w14:paraId="1152D68C"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31FD795B" w14:textId="77777777" w:rsidR="003F5418" w:rsidRDefault="002A6C25">
            <w:pPr>
              <w:pStyle w:val="P68B1DB1-Normal4"/>
              <w:jc w:val="center"/>
              <w:rPr>
                <w:noProof/>
              </w:rPr>
            </w:pPr>
            <w:r>
              <w:rPr>
                <w:noProof/>
              </w:rPr>
              <w:t>2024</w:t>
            </w:r>
          </w:p>
        </w:tc>
        <w:tc>
          <w:tcPr>
            <w:tcW w:w="2584" w:type="dxa"/>
            <w:shd w:val="clear" w:color="auto" w:fill="C6EFCE"/>
            <w:noWrap/>
            <w:vAlign w:val="center"/>
          </w:tcPr>
          <w:p w14:paraId="64256271" w14:textId="77777777" w:rsidR="003F5418" w:rsidRDefault="002A6C25">
            <w:pPr>
              <w:pStyle w:val="P68B1DB1-Normal4"/>
              <w:spacing w:after="120"/>
              <w:rPr>
                <w:noProof/>
              </w:rPr>
            </w:pPr>
            <w:r>
              <w:rPr>
                <w:noProof/>
              </w:rPr>
              <w:t xml:space="preserve">A Védelmi Minisztérium által kiállított és az infrastruktúrába tartó, katasztrófa utáni helyreállítási helyszínnel kiegészített digitalizált személyazonosító igazolványok száma </w:t>
            </w:r>
            <w:r>
              <w:rPr>
                <w:noProof/>
              </w:rPr>
              <w:t>(750000), az 1. célt szolgáló, már digitalizált tanúsítvány alapértékétől kezdve.</w:t>
            </w:r>
          </w:p>
        </w:tc>
      </w:tr>
      <w:tr w:rsidR="003F5418" w14:paraId="7E0A3CD5" w14:textId="77777777">
        <w:trPr>
          <w:trHeight w:val="309"/>
        </w:trPr>
        <w:tc>
          <w:tcPr>
            <w:tcW w:w="1284" w:type="dxa"/>
            <w:shd w:val="clear" w:color="auto" w:fill="C6EFCE"/>
            <w:noWrap/>
            <w:vAlign w:val="center"/>
          </w:tcPr>
          <w:p w14:paraId="3CB1B07B" w14:textId="77777777" w:rsidR="003F5418" w:rsidRDefault="002A6C25">
            <w:pPr>
              <w:pStyle w:val="P68B1DB1-Normal4"/>
              <w:jc w:val="center"/>
              <w:rPr>
                <w:noProof/>
              </w:rPr>
            </w:pPr>
            <w:r>
              <w:rPr>
                <w:noProof/>
              </w:rPr>
              <w:t>M1C1–143.</w:t>
            </w:r>
          </w:p>
        </w:tc>
        <w:tc>
          <w:tcPr>
            <w:tcW w:w="1746" w:type="dxa"/>
            <w:shd w:val="clear" w:color="auto" w:fill="C6EFCE"/>
            <w:noWrap/>
            <w:vAlign w:val="center"/>
          </w:tcPr>
          <w:p w14:paraId="07CC21C0" w14:textId="77777777" w:rsidR="003F5418" w:rsidRDefault="002A6C25">
            <w:pPr>
              <w:pStyle w:val="P68B1DB1-Normal4"/>
              <w:jc w:val="center"/>
              <w:rPr>
                <w:noProof/>
              </w:rPr>
            </w:pPr>
            <w:r>
              <w:rPr>
                <w:noProof/>
              </w:rPr>
              <w:t>Beruházás – A Védelmi Minisztérium digitalizálása</w:t>
            </w:r>
          </w:p>
        </w:tc>
        <w:tc>
          <w:tcPr>
            <w:tcW w:w="992" w:type="dxa"/>
            <w:shd w:val="clear" w:color="auto" w:fill="C6EFCE"/>
            <w:noWrap/>
            <w:vAlign w:val="center"/>
          </w:tcPr>
          <w:p w14:paraId="3D3765AB"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11441D54" w14:textId="77777777" w:rsidR="003F5418" w:rsidRDefault="002A6C25">
            <w:pPr>
              <w:pStyle w:val="P68B1DB1-Normal4"/>
              <w:jc w:val="center"/>
              <w:rPr>
                <w:noProof/>
              </w:rPr>
            </w:pPr>
            <w:r>
              <w:rPr>
                <w:noProof/>
              </w:rPr>
              <w:t xml:space="preserve">Védelmi Minisztérium – A nem misszió szempontjából kritikus alkalmazások átminősítése az infrastrukturális </w:t>
            </w:r>
            <w:r>
              <w:rPr>
                <w:noProof/>
              </w:rPr>
              <w:t>nyitottság által biztosított teljes körű információvédelem érdekében (S.C.I.P.I.O.) T2</w:t>
            </w:r>
          </w:p>
        </w:tc>
        <w:tc>
          <w:tcPr>
            <w:tcW w:w="1701" w:type="dxa"/>
            <w:shd w:val="clear" w:color="auto" w:fill="C6EFCE"/>
            <w:noWrap/>
            <w:vAlign w:val="center"/>
          </w:tcPr>
          <w:p w14:paraId="7D25C89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2D8C9DEC"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6933D95" w14:textId="77777777" w:rsidR="003F5418" w:rsidRDefault="002A6C25">
            <w:pPr>
              <w:pStyle w:val="P68B1DB1-Normal4"/>
              <w:jc w:val="center"/>
              <w:rPr>
                <w:noProof/>
              </w:rPr>
            </w:pPr>
            <w:r>
              <w:rPr>
                <w:noProof/>
              </w:rPr>
              <w:t>10</w:t>
            </w:r>
          </w:p>
        </w:tc>
        <w:tc>
          <w:tcPr>
            <w:tcW w:w="1417" w:type="dxa"/>
            <w:shd w:val="clear" w:color="auto" w:fill="C6EFCE"/>
            <w:noWrap/>
            <w:vAlign w:val="center"/>
          </w:tcPr>
          <w:p w14:paraId="59AE1E3F" w14:textId="77777777" w:rsidR="003F5418" w:rsidRDefault="002A6C25">
            <w:pPr>
              <w:pStyle w:val="P68B1DB1-Normal4"/>
              <w:jc w:val="center"/>
              <w:rPr>
                <w:noProof/>
              </w:rPr>
            </w:pPr>
            <w:r>
              <w:rPr>
                <w:noProof/>
              </w:rPr>
              <w:t>15</w:t>
            </w:r>
          </w:p>
        </w:tc>
        <w:tc>
          <w:tcPr>
            <w:tcW w:w="793" w:type="dxa"/>
            <w:shd w:val="clear" w:color="auto" w:fill="C6EFCE"/>
            <w:noWrap/>
            <w:vAlign w:val="center"/>
          </w:tcPr>
          <w:p w14:paraId="07CB3BAB"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1ABCCE5D" w14:textId="77777777" w:rsidR="003F5418" w:rsidRDefault="002A6C25">
            <w:pPr>
              <w:pStyle w:val="P68B1DB1-Normal4"/>
              <w:jc w:val="center"/>
              <w:rPr>
                <w:noProof/>
              </w:rPr>
            </w:pPr>
            <w:r>
              <w:rPr>
                <w:noProof/>
              </w:rPr>
              <w:t>2024</w:t>
            </w:r>
          </w:p>
        </w:tc>
        <w:tc>
          <w:tcPr>
            <w:tcW w:w="2584" w:type="dxa"/>
            <w:shd w:val="clear" w:color="auto" w:fill="C6EFCE"/>
            <w:noWrap/>
            <w:vAlign w:val="center"/>
          </w:tcPr>
          <w:p w14:paraId="584584F3" w14:textId="77777777" w:rsidR="003F5418" w:rsidRDefault="002A6C25">
            <w:pPr>
              <w:pStyle w:val="P68B1DB1-Normal4"/>
              <w:spacing w:after="120"/>
              <w:rPr>
                <w:noProof/>
              </w:rPr>
            </w:pPr>
            <w:r>
              <w:rPr>
                <w:noProof/>
              </w:rPr>
              <w:t xml:space="preserve">Négy, a küldetés szempontjából kritikus és tizenegy, a misszió szempontjából nem kritikus alkalmazás végleges átállása új nyílt forráskódú </w:t>
            </w:r>
            <w:r>
              <w:rPr>
                <w:noProof/>
              </w:rPr>
              <w:t>infrastruktúrára, amely magában foglalja a hardverkörnyezet megvalósítását, a köztesszoftverek nyílt forráskódú komponenseinek telepítését, az alkalmazások átalakítását, az 1. céllal már átállított tíz alapvonalból kiindulva.</w:t>
            </w:r>
          </w:p>
        </w:tc>
      </w:tr>
      <w:tr w:rsidR="003F5418" w14:paraId="61F4E9CE" w14:textId="77777777">
        <w:trPr>
          <w:trHeight w:val="309"/>
        </w:trPr>
        <w:tc>
          <w:tcPr>
            <w:tcW w:w="1284" w:type="dxa"/>
            <w:shd w:val="clear" w:color="auto" w:fill="C6EFCE"/>
            <w:noWrap/>
            <w:vAlign w:val="center"/>
          </w:tcPr>
          <w:p w14:paraId="69CCC06C" w14:textId="77777777" w:rsidR="003F5418" w:rsidRDefault="002A6C25">
            <w:pPr>
              <w:pStyle w:val="P68B1DB1-Normal4"/>
              <w:jc w:val="center"/>
              <w:rPr>
                <w:noProof/>
              </w:rPr>
            </w:pPr>
            <w:r>
              <w:rPr>
                <w:noProof/>
              </w:rPr>
              <w:t>M1C1–144</w:t>
            </w:r>
          </w:p>
        </w:tc>
        <w:tc>
          <w:tcPr>
            <w:tcW w:w="1746" w:type="dxa"/>
            <w:shd w:val="clear" w:color="auto" w:fill="C6EFCE"/>
            <w:noWrap/>
            <w:vAlign w:val="center"/>
          </w:tcPr>
          <w:p w14:paraId="6EFED19D" w14:textId="77777777" w:rsidR="003F5418" w:rsidRDefault="002A6C25">
            <w:pPr>
              <w:pStyle w:val="P68B1DB1-Normal4"/>
              <w:jc w:val="center"/>
              <w:rPr>
                <w:noProof/>
              </w:rPr>
            </w:pPr>
            <w:r>
              <w:rPr>
                <w:noProof/>
              </w:rPr>
              <w:t xml:space="preserve">Beruházás – Polgári </w:t>
            </w:r>
            <w:r>
              <w:rPr>
                <w:noProof/>
              </w:rPr>
              <w:t>befogadás – A digitális közszolgáltatások hozzáférhetőségének javítása</w:t>
            </w:r>
          </w:p>
        </w:tc>
        <w:tc>
          <w:tcPr>
            <w:tcW w:w="992" w:type="dxa"/>
            <w:shd w:val="clear" w:color="auto" w:fill="C6EFCE"/>
            <w:noWrap/>
            <w:vAlign w:val="center"/>
          </w:tcPr>
          <w:p w14:paraId="40BC60D5"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15DB9B55" w14:textId="77777777" w:rsidR="003F5418" w:rsidRDefault="002A6C25">
            <w:pPr>
              <w:pStyle w:val="P68B1DB1-Normal4"/>
              <w:jc w:val="center"/>
              <w:rPr>
                <w:noProof/>
              </w:rPr>
            </w:pPr>
            <w:r>
              <w:rPr>
                <w:noProof/>
              </w:rPr>
              <w:t>A digitális közszolgáltatások hozzáférhetőségének javítása</w:t>
            </w:r>
          </w:p>
        </w:tc>
        <w:tc>
          <w:tcPr>
            <w:tcW w:w="1701" w:type="dxa"/>
            <w:shd w:val="clear" w:color="auto" w:fill="C6EFCE"/>
            <w:noWrap/>
            <w:vAlign w:val="center"/>
          </w:tcPr>
          <w:p w14:paraId="24E2B817"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28BD0447"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7659DAED"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7030ACB5" w14:textId="77777777" w:rsidR="003F5418" w:rsidRDefault="002A6C25">
            <w:pPr>
              <w:pStyle w:val="P68B1DB1-Normal4"/>
              <w:jc w:val="center"/>
              <w:rPr>
                <w:noProof/>
              </w:rPr>
            </w:pPr>
            <w:r>
              <w:rPr>
                <w:noProof/>
              </w:rPr>
              <w:t>55</w:t>
            </w:r>
          </w:p>
        </w:tc>
        <w:tc>
          <w:tcPr>
            <w:tcW w:w="793" w:type="dxa"/>
            <w:shd w:val="clear" w:color="auto" w:fill="C6EFCE"/>
            <w:noWrap/>
            <w:vAlign w:val="center"/>
          </w:tcPr>
          <w:p w14:paraId="165E8A47"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43EB7646" w14:textId="77777777" w:rsidR="003F5418" w:rsidRDefault="002A6C25">
            <w:pPr>
              <w:pStyle w:val="P68B1DB1-Normal4"/>
              <w:jc w:val="center"/>
              <w:rPr>
                <w:noProof/>
              </w:rPr>
            </w:pPr>
            <w:r>
              <w:rPr>
                <w:noProof/>
              </w:rPr>
              <w:t>2025</w:t>
            </w:r>
          </w:p>
        </w:tc>
        <w:tc>
          <w:tcPr>
            <w:tcW w:w="2584" w:type="dxa"/>
            <w:shd w:val="clear" w:color="auto" w:fill="C6EFCE"/>
            <w:noWrap/>
            <w:vAlign w:val="center"/>
          </w:tcPr>
          <w:p w14:paraId="3B2522E9" w14:textId="77777777" w:rsidR="003F5418" w:rsidRDefault="002A6C25">
            <w:pPr>
              <w:pStyle w:val="P68B1DB1-Normal4"/>
              <w:spacing w:after="120"/>
              <w:rPr>
                <w:noProof/>
              </w:rPr>
            </w:pPr>
            <w:r>
              <w:rPr>
                <w:noProof/>
              </w:rPr>
              <w:t>2025 II. negyedévéig az AgID</w:t>
            </w:r>
            <w:r>
              <w:rPr>
                <w:noProof/>
              </w:rPr>
              <w:t xml:space="preserve"> támogatást nyújt 55 helyi közigazgatási szerv számára annak érdekében, hogy:</w:t>
            </w:r>
          </w:p>
          <w:p w14:paraId="1AB9296D" w14:textId="77777777" w:rsidR="003F5418" w:rsidRDefault="002A6C25">
            <w:pPr>
              <w:pStyle w:val="P68B1DB1-Normal4"/>
              <w:spacing w:after="120"/>
              <w:rPr>
                <w:noProof/>
              </w:rPr>
            </w:pPr>
            <w:r>
              <w:rPr>
                <w:noProof/>
              </w:rPr>
              <w:t>28 műszaki és szakmai szakértő biztosítása</w:t>
            </w:r>
          </w:p>
          <w:p w14:paraId="4C76F9D6" w14:textId="77777777" w:rsidR="003F5418" w:rsidRDefault="002A6C25">
            <w:pPr>
              <w:pStyle w:val="P68B1DB1-Normal4"/>
              <w:spacing w:after="120"/>
              <w:rPr>
                <w:noProof/>
              </w:rPr>
            </w:pPr>
            <w:r>
              <w:rPr>
                <w:noProof/>
              </w:rPr>
              <w:t>A hibák számának 50%-os csökkentése az egyes közigazgatások által nyújtott legalább 2 digitális szolgáltatás esetében</w:t>
            </w:r>
          </w:p>
          <w:p w14:paraId="0B5B6C46" w14:textId="77777777" w:rsidR="003F5418" w:rsidRDefault="002A6C25">
            <w:pPr>
              <w:pStyle w:val="P68B1DB1-Normal4"/>
              <w:spacing w:after="120"/>
              <w:rPr>
                <w:noProof/>
              </w:rPr>
            </w:pPr>
            <w:r>
              <w:rPr>
                <w:noProof/>
              </w:rPr>
              <w:t>– Legalább 3 olya</w:t>
            </w:r>
            <w:r>
              <w:rPr>
                <w:noProof/>
              </w:rPr>
              <w:t>n eszköz terjesztése és képzése, amelyek célja az egyes közigazgatások tulajdonában lévő, leggyakrabban használt digitális szolgáltatások újratervezése és fejlesztése</w:t>
            </w:r>
          </w:p>
          <w:p w14:paraId="4D5571A0" w14:textId="77777777" w:rsidR="003F5418" w:rsidRDefault="002A6C25">
            <w:pPr>
              <w:pStyle w:val="P68B1DB1-Normal4"/>
              <w:spacing w:before="120" w:after="120"/>
              <w:rPr>
                <w:noProof/>
              </w:rPr>
            </w:pPr>
            <w:r>
              <w:rPr>
                <w:noProof/>
              </w:rPr>
              <w:t>– Annak biztosítása, hogy a támogató technológiák és szoftverek iránti igények legalább 5</w:t>
            </w:r>
            <w:r>
              <w:rPr>
                <w:noProof/>
              </w:rPr>
              <w:t>0%-át a fogyatékossággal élő munkavállalókra fordítsák.</w:t>
            </w:r>
          </w:p>
        </w:tc>
      </w:tr>
      <w:tr w:rsidR="003F5418" w14:paraId="7052556B" w14:textId="77777777">
        <w:trPr>
          <w:trHeight w:val="309"/>
        </w:trPr>
        <w:tc>
          <w:tcPr>
            <w:tcW w:w="1284" w:type="dxa"/>
            <w:shd w:val="clear" w:color="auto" w:fill="C6EFCE"/>
            <w:noWrap/>
            <w:vAlign w:val="center"/>
          </w:tcPr>
          <w:p w14:paraId="0BBA6625" w14:textId="77777777" w:rsidR="003F5418" w:rsidRDefault="002A6C25">
            <w:pPr>
              <w:pStyle w:val="P68B1DB1-Normal4"/>
              <w:jc w:val="center"/>
              <w:rPr>
                <w:noProof/>
              </w:rPr>
            </w:pPr>
            <w:r>
              <w:rPr>
                <w:noProof/>
              </w:rPr>
              <w:t>M1C1–145.</w:t>
            </w:r>
          </w:p>
        </w:tc>
        <w:tc>
          <w:tcPr>
            <w:tcW w:w="1746" w:type="dxa"/>
            <w:shd w:val="clear" w:color="auto" w:fill="C6EFCE"/>
            <w:noWrap/>
            <w:vAlign w:val="center"/>
          </w:tcPr>
          <w:p w14:paraId="08ED58E9" w14:textId="77777777" w:rsidR="003F5418" w:rsidRDefault="002A6C25">
            <w:pPr>
              <w:pStyle w:val="P68B1DB1-Normal4"/>
              <w:jc w:val="center"/>
              <w:rPr>
                <w:noProof/>
              </w:rPr>
            </w:pPr>
            <w:r>
              <w:rPr>
                <w:noProof/>
              </w:rPr>
              <w:t>Beruházás – A nemzeti digitális személyazonossági platformok (SPID, CIE) és a nemzeti nyilvántartás (ANPR) átvételének növelése</w:t>
            </w:r>
          </w:p>
        </w:tc>
        <w:tc>
          <w:tcPr>
            <w:tcW w:w="992" w:type="dxa"/>
            <w:shd w:val="clear" w:color="auto" w:fill="C6EFCE"/>
            <w:noWrap/>
            <w:vAlign w:val="center"/>
          </w:tcPr>
          <w:p w14:paraId="1478905B"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70469EE4" w14:textId="77777777" w:rsidR="003F5418" w:rsidRDefault="002A6C25">
            <w:pPr>
              <w:pStyle w:val="P68B1DB1-Normal4"/>
              <w:jc w:val="center"/>
              <w:rPr>
                <w:noProof/>
              </w:rPr>
            </w:pPr>
            <w:r>
              <w:rPr>
                <w:noProof/>
              </w:rPr>
              <w:t xml:space="preserve">Nemzeti digitális személyazonossági platformok (SPID, </w:t>
            </w:r>
            <w:r>
              <w:rPr>
                <w:noProof/>
              </w:rPr>
              <w:t>CIE) és a nemzeti nyilvántartás (ANPR)</w:t>
            </w:r>
          </w:p>
        </w:tc>
        <w:tc>
          <w:tcPr>
            <w:tcW w:w="1701" w:type="dxa"/>
            <w:shd w:val="clear" w:color="auto" w:fill="C6EFCE"/>
            <w:noWrap/>
            <w:vAlign w:val="center"/>
          </w:tcPr>
          <w:p w14:paraId="604A74A2"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23694298" w14:textId="77777777" w:rsidR="003F5418" w:rsidRDefault="002A6C25">
            <w:pPr>
              <w:pStyle w:val="P68B1DB1-Normal4"/>
              <w:jc w:val="center"/>
              <w:rPr>
                <w:noProof/>
              </w:rPr>
            </w:pPr>
            <w:r>
              <w:rPr>
                <w:noProof/>
              </w:rPr>
              <w:t>Elektronikus azonosítóval rendelkező polgárok száma</w:t>
            </w:r>
          </w:p>
        </w:tc>
        <w:tc>
          <w:tcPr>
            <w:tcW w:w="1276" w:type="dxa"/>
            <w:shd w:val="clear" w:color="auto" w:fill="C6EFCE"/>
            <w:noWrap/>
            <w:vAlign w:val="center"/>
          </w:tcPr>
          <w:p w14:paraId="182C8F99" w14:textId="77777777" w:rsidR="003F5418" w:rsidRDefault="002A6C25">
            <w:pPr>
              <w:pStyle w:val="P68B1DB1-Normal4"/>
              <w:jc w:val="center"/>
              <w:rPr>
                <w:noProof/>
              </w:rPr>
            </w:pPr>
            <w:r>
              <w:rPr>
                <w:noProof/>
              </w:rPr>
              <w:t>17 500 000</w:t>
            </w:r>
          </w:p>
        </w:tc>
        <w:tc>
          <w:tcPr>
            <w:tcW w:w="1417" w:type="dxa"/>
            <w:shd w:val="clear" w:color="auto" w:fill="C6EFCE"/>
            <w:noWrap/>
            <w:vAlign w:val="center"/>
          </w:tcPr>
          <w:p w14:paraId="008D93EA" w14:textId="77777777" w:rsidR="003F5418" w:rsidRDefault="002A6C25">
            <w:pPr>
              <w:pStyle w:val="P68B1DB1-Normal4"/>
              <w:jc w:val="center"/>
              <w:rPr>
                <w:noProof/>
              </w:rPr>
            </w:pPr>
            <w:r>
              <w:rPr>
                <w:noProof/>
              </w:rPr>
              <w:t>42 300 000</w:t>
            </w:r>
          </w:p>
        </w:tc>
        <w:tc>
          <w:tcPr>
            <w:tcW w:w="793" w:type="dxa"/>
            <w:shd w:val="clear" w:color="auto" w:fill="C6EFCE"/>
            <w:noWrap/>
            <w:vAlign w:val="center"/>
          </w:tcPr>
          <w:p w14:paraId="52701561" w14:textId="77777777" w:rsidR="003F5418" w:rsidRDefault="002A6C25">
            <w:pPr>
              <w:pStyle w:val="P68B1DB1-Normal4"/>
              <w:jc w:val="center"/>
              <w:rPr>
                <w:noProof/>
              </w:rPr>
            </w:pPr>
            <w:r>
              <w:rPr>
                <w:noProof/>
              </w:rPr>
              <w:t>Q4</w:t>
            </w:r>
          </w:p>
        </w:tc>
        <w:tc>
          <w:tcPr>
            <w:tcW w:w="625" w:type="dxa"/>
            <w:shd w:val="clear" w:color="auto" w:fill="C6EFCE"/>
            <w:noWrap/>
            <w:vAlign w:val="center"/>
          </w:tcPr>
          <w:p w14:paraId="30F10BDF" w14:textId="77777777" w:rsidR="003F5418" w:rsidRDefault="002A6C25">
            <w:pPr>
              <w:pStyle w:val="P68B1DB1-Normal4"/>
              <w:jc w:val="center"/>
              <w:rPr>
                <w:noProof/>
              </w:rPr>
            </w:pPr>
            <w:r>
              <w:rPr>
                <w:noProof/>
              </w:rPr>
              <w:t>2025</w:t>
            </w:r>
          </w:p>
        </w:tc>
        <w:tc>
          <w:tcPr>
            <w:tcW w:w="2584" w:type="dxa"/>
            <w:shd w:val="clear" w:color="auto" w:fill="C6EFCE"/>
            <w:noWrap/>
            <w:vAlign w:val="center"/>
          </w:tcPr>
          <w:p w14:paraId="2A6142F4" w14:textId="77777777" w:rsidR="003F5418" w:rsidRDefault="002A6C25">
            <w:pPr>
              <w:pStyle w:val="P68B1DB1-Normal4"/>
              <w:spacing w:after="120"/>
              <w:rPr>
                <w:noProof/>
              </w:rPr>
            </w:pPr>
            <w:r>
              <w:rPr>
                <w:noProof/>
              </w:rPr>
              <w:t>Érvényes digitális személyazonossággal rendelkező olasz állampolgárok száma a nemzeti digitális személyazonossági platformon.</w:t>
            </w:r>
          </w:p>
        </w:tc>
      </w:tr>
      <w:tr w:rsidR="003F5418" w14:paraId="0A1732B8" w14:textId="77777777">
        <w:trPr>
          <w:trHeight w:val="309"/>
        </w:trPr>
        <w:tc>
          <w:tcPr>
            <w:tcW w:w="1284" w:type="dxa"/>
            <w:shd w:val="clear" w:color="auto" w:fill="C6EFCE"/>
            <w:noWrap/>
            <w:vAlign w:val="center"/>
          </w:tcPr>
          <w:p w14:paraId="21A3CE5A" w14:textId="77777777" w:rsidR="003F5418" w:rsidRDefault="002A6C25">
            <w:pPr>
              <w:pStyle w:val="P68B1DB1-Normal4"/>
              <w:jc w:val="center"/>
              <w:rPr>
                <w:noProof/>
              </w:rPr>
            </w:pPr>
            <w:r>
              <w:rPr>
                <w:noProof/>
              </w:rPr>
              <w:t>M1C1–146</w:t>
            </w:r>
          </w:p>
        </w:tc>
        <w:tc>
          <w:tcPr>
            <w:tcW w:w="1746" w:type="dxa"/>
            <w:shd w:val="clear" w:color="auto" w:fill="C6EFCE"/>
            <w:noWrap/>
            <w:vAlign w:val="center"/>
          </w:tcPr>
          <w:p w14:paraId="24301C80" w14:textId="77777777" w:rsidR="003F5418" w:rsidRDefault="002A6C25">
            <w:pPr>
              <w:pStyle w:val="P68B1DB1-Normal4"/>
              <w:jc w:val="center"/>
              <w:rPr>
                <w:noProof/>
              </w:rPr>
            </w:pPr>
            <w:r>
              <w:rPr>
                <w:noProof/>
              </w:rPr>
              <w:t>Beruházás – A nemzeti digitális személyazonossági platformok (SPID, CIE) és a nemzeti nyilvántartás (ANPR) bevezetése</w:t>
            </w:r>
          </w:p>
        </w:tc>
        <w:tc>
          <w:tcPr>
            <w:tcW w:w="992" w:type="dxa"/>
            <w:shd w:val="clear" w:color="auto" w:fill="C6EFCE"/>
            <w:noWrap/>
            <w:vAlign w:val="center"/>
          </w:tcPr>
          <w:p w14:paraId="64C2311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08E324D8" w14:textId="77777777" w:rsidR="003F5418" w:rsidRDefault="002A6C25">
            <w:pPr>
              <w:pStyle w:val="P68B1DB1-Normal4"/>
              <w:jc w:val="center"/>
              <w:rPr>
                <w:noProof/>
              </w:rPr>
            </w:pPr>
            <w:r>
              <w:rPr>
                <w:noProof/>
              </w:rPr>
              <w:t>Nemzeti digitális személyazonossági platformok (SPID, CIE) és a nemzeti nyilvántartás (ANPR)</w:t>
            </w:r>
          </w:p>
        </w:tc>
        <w:tc>
          <w:tcPr>
            <w:tcW w:w="1701" w:type="dxa"/>
            <w:shd w:val="clear" w:color="auto" w:fill="C6EFCE"/>
            <w:noWrap/>
            <w:vAlign w:val="center"/>
          </w:tcPr>
          <w:p w14:paraId="0D0916E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0BFC095"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474BDDDC" w14:textId="77777777" w:rsidR="003F5418" w:rsidRDefault="002A6C25">
            <w:pPr>
              <w:pStyle w:val="P68B1DB1-Normal4"/>
              <w:jc w:val="center"/>
              <w:rPr>
                <w:noProof/>
              </w:rPr>
            </w:pPr>
            <w:r>
              <w:rPr>
                <w:noProof/>
              </w:rPr>
              <w:t>6 283</w:t>
            </w:r>
          </w:p>
        </w:tc>
        <w:tc>
          <w:tcPr>
            <w:tcW w:w="1417" w:type="dxa"/>
            <w:shd w:val="clear" w:color="auto" w:fill="C6EFCE"/>
            <w:noWrap/>
            <w:vAlign w:val="center"/>
          </w:tcPr>
          <w:p w14:paraId="448B1092" w14:textId="77777777" w:rsidR="003F5418" w:rsidRDefault="002A6C25">
            <w:pPr>
              <w:pStyle w:val="P68B1DB1-Normal4"/>
              <w:jc w:val="center"/>
              <w:rPr>
                <w:noProof/>
              </w:rPr>
            </w:pPr>
            <w:r>
              <w:rPr>
                <w:noProof/>
              </w:rPr>
              <w:t>16 500</w:t>
            </w:r>
          </w:p>
        </w:tc>
        <w:tc>
          <w:tcPr>
            <w:tcW w:w="793" w:type="dxa"/>
            <w:shd w:val="clear" w:color="auto" w:fill="C6EFCE"/>
            <w:noWrap/>
            <w:vAlign w:val="center"/>
          </w:tcPr>
          <w:p w14:paraId="26078E1A" w14:textId="77777777" w:rsidR="003F5418" w:rsidRDefault="002A6C25">
            <w:pPr>
              <w:pStyle w:val="P68B1DB1-Normal4"/>
              <w:jc w:val="center"/>
              <w:rPr>
                <w:noProof/>
              </w:rPr>
            </w:pPr>
            <w:r>
              <w:rPr>
                <w:noProof/>
              </w:rPr>
              <w:t>Q1</w:t>
            </w:r>
          </w:p>
        </w:tc>
        <w:tc>
          <w:tcPr>
            <w:tcW w:w="625" w:type="dxa"/>
            <w:shd w:val="clear" w:color="auto" w:fill="C6EFCE"/>
            <w:noWrap/>
            <w:vAlign w:val="center"/>
          </w:tcPr>
          <w:p w14:paraId="0AE345DA"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4BFB7DD5" w14:textId="77777777" w:rsidR="003F5418" w:rsidRDefault="002A6C25">
            <w:pPr>
              <w:pStyle w:val="P68B1DB1-Normal4"/>
              <w:spacing w:after="120"/>
              <w:rPr>
                <w:noProof/>
              </w:rPr>
            </w:pPr>
            <w:r>
              <w:rPr>
                <w:noProof/>
              </w:rPr>
              <w:t>Az elektronikus azonosítást (eID) (SPID vagy CIE) elfogadó közigazgatási szervek száma (összesen 16500-ból).</w:t>
            </w:r>
          </w:p>
        </w:tc>
      </w:tr>
      <w:tr w:rsidR="003F5418" w14:paraId="3CC1EA65" w14:textId="77777777">
        <w:trPr>
          <w:trHeight w:val="309"/>
        </w:trPr>
        <w:tc>
          <w:tcPr>
            <w:tcW w:w="1284" w:type="dxa"/>
            <w:shd w:val="clear" w:color="auto" w:fill="C6EFCE"/>
            <w:noWrap/>
            <w:vAlign w:val="center"/>
          </w:tcPr>
          <w:p w14:paraId="37016442" w14:textId="77777777" w:rsidR="003F5418" w:rsidRDefault="002A6C25">
            <w:pPr>
              <w:pStyle w:val="P68B1DB1-Normal4"/>
              <w:jc w:val="center"/>
              <w:rPr>
                <w:noProof/>
              </w:rPr>
            </w:pPr>
            <w:r>
              <w:rPr>
                <w:noProof/>
              </w:rPr>
              <w:t>M1C1–147.</w:t>
            </w:r>
          </w:p>
        </w:tc>
        <w:tc>
          <w:tcPr>
            <w:tcW w:w="1746" w:type="dxa"/>
            <w:shd w:val="clear" w:color="auto" w:fill="C6EFCE"/>
            <w:noWrap/>
            <w:vAlign w:val="center"/>
          </w:tcPr>
          <w:p w14:paraId="4B700048" w14:textId="77777777" w:rsidR="003F5418" w:rsidRDefault="002A6C25">
            <w:pPr>
              <w:pStyle w:val="P68B1DB1-Normal4"/>
              <w:jc w:val="center"/>
              <w:rPr>
                <w:noProof/>
              </w:rPr>
            </w:pPr>
            <w:r>
              <w:rPr>
                <w:noProof/>
              </w:rPr>
              <w:t>Beruházás – Felhő biztosítása a helyi kifizető ügynökségek számára</w:t>
            </w:r>
          </w:p>
        </w:tc>
        <w:tc>
          <w:tcPr>
            <w:tcW w:w="992" w:type="dxa"/>
            <w:shd w:val="clear" w:color="auto" w:fill="C6EFCE"/>
            <w:noWrap/>
            <w:vAlign w:val="center"/>
          </w:tcPr>
          <w:p w14:paraId="22C7AED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618C0C8E" w14:textId="77777777" w:rsidR="003F5418" w:rsidRDefault="002A6C25">
            <w:pPr>
              <w:pStyle w:val="P68B1DB1-Normal4"/>
              <w:jc w:val="center"/>
              <w:rPr>
                <w:noProof/>
              </w:rPr>
            </w:pPr>
            <w:r>
              <w:rPr>
                <w:noProof/>
              </w:rPr>
              <w:t>Felhőalapú szolgáltatás a helyi közigazgatás számára T2</w:t>
            </w:r>
          </w:p>
        </w:tc>
        <w:tc>
          <w:tcPr>
            <w:tcW w:w="1701" w:type="dxa"/>
            <w:shd w:val="clear" w:color="auto" w:fill="C6EFCE"/>
            <w:noWrap/>
            <w:vAlign w:val="center"/>
          </w:tcPr>
          <w:p w14:paraId="54CA8D3C"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799914FB"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0C6C764" w14:textId="77777777" w:rsidR="003F5418" w:rsidRDefault="002A6C25">
            <w:pPr>
              <w:pStyle w:val="P68B1DB1-Normal4"/>
              <w:jc w:val="center"/>
              <w:rPr>
                <w:noProof/>
              </w:rPr>
            </w:pPr>
            <w:r>
              <w:rPr>
                <w:noProof/>
              </w:rPr>
              <w:t>4 083</w:t>
            </w:r>
          </w:p>
        </w:tc>
        <w:tc>
          <w:tcPr>
            <w:tcW w:w="1417" w:type="dxa"/>
            <w:shd w:val="clear" w:color="auto" w:fill="C6EFCE"/>
            <w:noWrap/>
            <w:vAlign w:val="center"/>
          </w:tcPr>
          <w:p w14:paraId="64DBF183" w14:textId="77777777" w:rsidR="003F5418" w:rsidRDefault="002A6C25">
            <w:pPr>
              <w:pStyle w:val="P68B1DB1-Normal4"/>
              <w:jc w:val="center"/>
              <w:rPr>
                <w:noProof/>
              </w:rPr>
            </w:pPr>
            <w:r>
              <w:rPr>
                <w:noProof/>
              </w:rPr>
              <w:t>12 464</w:t>
            </w:r>
          </w:p>
        </w:tc>
        <w:tc>
          <w:tcPr>
            <w:tcW w:w="793" w:type="dxa"/>
            <w:shd w:val="clear" w:color="auto" w:fill="C6EFCE"/>
            <w:noWrap/>
            <w:vAlign w:val="center"/>
          </w:tcPr>
          <w:p w14:paraId="64CD128B"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2A4D4FA4"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72F504B1" w14:textId="77777777" w:rsidR="003F5418" w:rsidRDefault="002A6C25">
            <w:pPr>
              <w:pStyle w:val="P68B1DB1-Normal4"/>
              <w:spacing w:after="120"/>
              <w:rPr>
                <w:noProof/>
              </w:rPr>
            </w:pPr>
            <w:r>
              <w:rPr>
                <w:noProof/>
              </w:rPr>
              <w:t>12464 helyi közigazgatási szerv tanúsított felhőalapú környezetre való átállása akkor tekinthető megvalósultnak, ha az egyes átállási tervekben szereplő valamennyi rendszer, adatkészlet és alkalmazásmigráció tesztelése sikeres.</w:t>
            </w:r>
          </w:p>
        </w:tc>
      </w:tr>
      <w:tr w:rsidR="003F5418" w14:paraId="2B77123C" w14:textId="77777777">
        <w:trPr>
          <w:trHeight w:val="309"/>
        </w:trPr>
        <w:tc>
          <w:tcPr>
            <w:tcW w:w="1284" w:type="dxa"/>
            <w:shd w:val="clear" w:color="auto" w:fill="C6EFCE"/>
            <w:noWrap/>
            <w:vAlign w:val="center"/>
          </w:tcPr>
          <w:p w14:paraId="7649F456" w14:textId="77777777" w:rsidR="003F5418" w:rsidRDefault="002A6C25">
            <w:pPr>
              <w:pStyle w:val="P68B1DB1-Normal4"/>
              <w:jc w:val="center"/>
              <w:rPr>
                <w:noProof/>
              </w:rPr>
            </w:pPr>
            <w:r>
              <w:rPr>
                <w:noProof/>
              </w:rPr>
              <w:t>M1C1–148.</w:t>
            </w:r>
          </w:p>
        </w:tc>
        <w:tc>
          <w:tcPr>
            <w:tcW w:w="1746" w:type="dxa"/>
            <w:shd w:val="clear" w:color="auto" w:fill="C6EFCE"/>
            <w:noWrap/>
            <w:vAlign w:val="center"/>
          </w:tcPr>
          <w:p w14:paraId="0E2F8AAB" w14:textId="77777777" w:rsidR="003F5418" w:rsidRDefault="002A6C25">
            <w:pPr>
              <w:pStyle w:val="P68B1DB1-Normal4"/>
              <w:jc w:val="center"/>
              <w:rPr>
                <w:noProof/>
              </w:rPr>
            </w:pPr>
            <w:r>
              <w:rPr>
                <w:noProof/>
              </w:rPr>
              <w:t>Beruházás – Polgári tapasztalatok – A digitális közszolgáltatások minőségének és használhatóságának javítása</w:t>
            </w:r>
          </w:p>
        </w:tc>
        <w:tc>
          <w:tcPr>
            <w:tcW w:w="992" w:type="dxa"/>
            <w:shd w:val="clear" w:color="auto" w:fill="C6EFCE"/>
            <w:noWrap/>
            <w:vAlign w:val="center"/>
          </w:tcPr>
          <w:p w14:paraId="50E78CAD"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5E0C986C" w14:textId="77777777" w:rsidR="003F5418" w:rsidRDefault="002A6C25">
            <w:pPr>
              <w:pStyle w:val="P68B1DB1-Normal4"/>
              <w:jc w:val="center"/>
              <w:rPr>
                <w:noProof/>
              </w:rPr>
            </w:pPr>
            <w:r>
              <w:rPr>
                <w:noProof/>
              </w:rPr>
              <w:t>A digitális közszolgáltatások minőségének és használhatóságának javítása T2</w:t>
            </w:r>
          </w:p>
        </w:tc>
        <w:tc>
          <w:tcPr>
            <w:tcW w:w="1701" w:type="dxa"/>
            <w:shd w:val="clear" w:color="auto" w:fill="C6EFCE"/>
            <w:noWrap/>
            <w:vAlign w:val="center"/>
          </w:tcPr>
          <w:p w14:paraId="24403D54"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F7D8E0A" w14:textId="77777777" w:rsidR="003F5418" w:rsidRDefault="002A6C25">
            <w:pPr>
              <w:pStyle w:val="P68B1DB1-Normal4"/>
              <w:jc w:val="center"/>
              <w:rPr>
                <w:noProof/>
              </w:rPr>
            </w:pPr>
            <w:r>
              <w:rPr>
                <w:noProof/>
              </w:rPr>
              <w:t>Százalék</w:t>
            </w:r>
          </w:p>
        </w:tc>
        <w:tc>
          <w:tcPr>
            <w:tcW w:w="1276" w:type="dxa"/>
            <w:shd w:val="clear" w:color="auto" w:fill="C6EFCE"/>
            <w:noWrap/>
            <w:vAlign w:val="center"/>
          </w:tcPr>
          <w:p w14:paraId="1EBEFD43" w14:textId="77777777" w:rsidR="003F5418" w:rsidRDefault="002A6C25">
            <w:pPr>
              <w:pStyle w:val="P68B1DB1-Normal4"/>
              <w:jc w:val="center"/>
              <w:rPr>
                <w:noProof/>
              </w:rPr>
            </w:pPr>
            <w:r>
              <w:rPr>
                <w:noProof/>
              </w:rPr>
              <w:t>40</w:t>
            </w:r>
          </w:p>
        </w:tc>
        <w:tc>
          <w:tcPr>
            <w:tcW w:w="1417" w:type="dxa"/>
            <w:shd w:val="clear" w:color="auto" w:fill="C6EFCE"/>
            <w:noWrap/>
            <w:vAlign w:val="center"/>
          </w:tcPr>
          <w:p w14:paraId="2006AED6" w14:textId="77777777" w:rsidR="003F5418" w:rsidRDefault="002A6C25">
            <w:pPr>
              <w:pStyle w:val="P68B1DB1-Normal4"/>
              <w:jc w:val="center"/>
              <w:rPr>
                <w:noProof/>
              </w:rPr>
            </w:pPr>
            <w:r>
              <w:rPr>
                <w:noProof/>
              </w:rPr>
              <w:t>80</w:t>
            </w:r>
          </w:p>
        </w:tc>
        <w:tc>
          <w:tcPr>
            <w:tcW w:w="793" w:type="dxa"/>
            <w:shd w:val="clear" w:color="auto" w:fill="C6EFCE"/>
            <w:noWrap/>
            <w:vAlign w:val="center"/>
          </w:tcPr>
          <w:p w14:paraId="3B6E03C3"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06931647"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53CA4B61" w14:textId="77777777" w:rsidR="003F5418" w:rsidRDefault="002A6C25">
            <w:pPr>
              <w:pStyle w:val="P68B1DB1-Normal4"/>
              <w:spacing w:after="120"/>
              <w:rPr>
                <w:noProof/>
              </w:rPr>
            </w:pPr>
            <w:r>
              <w:rPr>
                <w:noProof/>
              </w:rPr>
              <w:t xml:space="preserve">A közigazgatási szervek </w:t>
            </w:r>
            <w:r>
              <w:rPr>
                <w:noProof/>
              </w:rPr>
              <w:t>(települések, az 1</w:t>
            </w:r>
            <w:r>
              <w:rPr>
                <w:noProof/>
                <w:vertAlign w:val="superscript"/>
              </w:rPr>
              <w:t>és</w:t>
            </w:r>
            <w:r>
              <w:rPr>
                <w:noProof/>
              </w:rPr>
              <w:t xml:space="preserve"> 2</w:t>
            </w:r>
            <w:r>
              <w:rPr>
                <w:noProof/>
                <w:vertAlign w:val="superscript"/>
              </w:rPr>
              <w:t>fokozatú</w:t>
            </w:r>
            <w:r>
              <w:rPr>
                <w:noProof/>
              </w:rPr>
              <w:t xml:space="preserve"> oktatási intézmények alap- és középfokú oktatása, valamint a kísérleti egészségügyi ellátással és a kulturális örökséggel foglalkozó konkrét szervezetek) közös modell- és tervezési rendszerhez igazodva, egyszerűsítve a felhas</w:t>
            </w:r>
            <w:r>
              <w:rPr>
                <w:noProof/>
              </w:rPr>
              <w:t>ználók közötti interakciót és megkönnyítve a karbantartást az elkövetkező években.</w:t>
            </w:r>
          </w:p>
          <w:p w14:paraId="12BA9AD0" w14:textId="77777777" w:rsidR="003F5418" w:rsidRDefault="002A6C25">
            <w:pPr>
              <w:pStyle w:val="P68B1DB1-Normal4"/>
              <w:spacing w:after="120"/>
              <w:rPr>
                <w:noProof/>
              </w:rPr>
            </w:pPr>
            <w:r>
              <w:rPr>
                <w:noProof/>
              </w:rPr>
              <w:t xml:space="preserve">A honlapok/szolgáltatások összetevőinek közös tervezéséhez/modelljéhez való csatlakozás a következőkből áll: </w:t>
            </w:r>
          </w:p>
          <w:p w14:paraId="1BD1D77C" w14:textId="77777777" w:rsidR="003F5418" w:rsidRDefault="002A6C25">
            <w:pPr>
              <w:pStyle w:val="P68B1DB1-Normal4"/>
              <w:spacing w:after="120"/>
              <w:rPr>
                <w:noProof/>
              </w:rPr>
            </w:pPr>
            <w:r>
              <w:rPr>
                <w:noProof/>
              </w:rPr>
              <w:t>(1) A benyújtott projektek értékelése;</w:t>
            </w:r>
          </w:p>
          <w:p w14:paraId="5C44732E" w14:textId="77777777" w:rsidR="003F5418" w:rsidRDefault="002A6C25">
            <w:pPr>
              <w:pStyle w:val="P68B1DB1-Normal4"/>
              <w:spacing w:after="120"/>
              <w:rPr>
                <w:noProof/>
              </w:rPr>
            </w:pPr>
            <w:r>
              <w:rPr>
                <w:noProof/>
              </w:rPr>
              <w:t>(2) A projekt befejezésé</w:t>
            </w:r>
            <w:r>
              <w:rPr>
                <w:noProof/>
              </w:rPr>
              <w:t>nek értékelése a fő használhatósági mérőszámok (digitális használhatósági pontszámok) alapján, a már rendelkezésre álló, erre a célra létrehozott platformon keresztül.</w:t>
            </w:r>
          </w:p>
          <w:p w14:paraId="4903A252" w14:textId="77777777" w:rsidR="003F5418" w:rsidRDefault="002A6C25">
            <w:pPr>
              <w:pStyle w:val="P68B1DB1-Normal4"/>
              <w:spacing w:after="120"/>
              <w:rPr>
                <w:noProof/>
              </w:rPr>
            </w:pPr>
            <w:r>
              <w:rPr>
                <w:noProof/>
              </w:rPr>
              <w:t>Az önkormányzatoknak garantálniuk kell a közös tervezési szolgáltatási modellhez való cs</w:t>
            </w:r>
            <w:r>
              <w:rPr>
                <w:noProof/>
              </w:rPr>
              <w:t>atlakozást átlagosan legalább 3,5 szolgáltatás esetében a cél eléréséhez hozzájáruló összes település körében.</w:t>
            </w:r>
          </w:p>
        </w:tc>
      </w:tr>
      <w:tr w:rsidR="003F5418" w14:paraId="7E0A59D6" w14:textId="77777777">
        <w:trPr>
          <w:trHeight w:val="309"/>
        </w:trPr>
        <w:tc>
          <w:tcPr>
            <w:tcW w:w="1284" w:type="dxa"/>
            <w:shd w:val="clear" w:color="auto" w:fill="C6EFCE"/>
            <w:noWrap/>
            <w:vAlign w:val="center"/>
          </w:tcPr>
          <w:p w14:paraId="12035799" w14:textId="77777777" w:rsidR="003F5418" w:rsidRDefault="002A6C25">
            <w:pPr>
              <w:pStyle w:val="P68B1DB1-Normal4"/>
              <w:jc w:val="center"/>
              <w:rPr>
                <w:noProof/>
              </w:rPr>
            </w:pPr>
            <w:r>
              <w:rPr>
                <w:noProof/>
              </w:rPr>
              <w:t>M1C1–149.</w:t>
            </w:r>
          </w:p>
        </w:tc>
        <w:tc>
          <w:tcPr>
            <w:tcW w:w="1746" w:type="dxa"/>
            <w:shd w:val="clear" w:color="auto" w:fill="C6EFCE"/>
            <w:noWrap/>
            <w:vAlign w:val="center"/>
          </w:tcPr>
          <w:p w14:paraId="25444D38" w14:textId="77777777" w:rsidR="003F5418" w:rsidRDefault="002A6C25">
            <w:pPr>
              <w:pStyle w:val="P68B1DB1-Normal4"/>
              <w:jc w:val="center"/>
              <w:rPr>
                <w:noProof/>
              </w:rPr>
            </w:pPr>
            <w:r>
              <w:rPr>
                <w:noProof/>
              </w:rPr>
              <w:t>Beruházás – A PagoPA platformszolgáltatások és az „IO” alkalmazás bevezetése</w:t>
            </w:r>
          </w:p>
        </w:tc>
        <w:tc>
          <w:tcPr>
            <w:tcW w:w="992" w:type="dxa"/>
            <w:shd w:val="clear" w:color="auto" w:fill="C6EFCE"/>
            <w:noWrap/>
            <w:vAlign w:val="center"/>
          </w:tcPr>
          <w:p w14:paraId="48531F81"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37EC809D" w14:textId="77777777" w:rsidR="003F5418" w:rsidRDefault="002A6C25">
            <w:pPr>
              <w:pStyle w:val="P68B1DB1-Normal4"/>
              <w:jc w:val="center"/>
              <w:rPr>
                <w:noProof/>
              </w:rPr>
            </w:pPr>
            <w:r>
              <w:rPr>
                <w:noProof/>
              </w:rPr>
              <w:t>A PagoPA platformszolgáltatások (T2) elfogadása</w:t>
            </w:r>
          </w:p>
        </w:tc>
        <w:tc>
          <w:tcPr>
            <w:tcW w:w="1701" w:type="dxa"/>
            <w:shd w:val="clear" w:color="auto" w:fill="C6EFCE"/>
            <w:noWrap/>
            <w:vAlign w:val="center"/>
          </w:tcPr>
          <w:p w14:paraId="070EDE55"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60740771"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5E4E6C77" w14:textId="77777777" w:rsidR="003F5418" w:rsidRDefault="002A6C25">
            <w:pPr>
              <w:pStyle w:val="P68B1DB1-Normal4"/>
              <w:jc w:val="center"/>
              <w:rPr>
                <w:noProof/>
              </w:rPr>
            </w:pPr>
            <w:r>
              <w:rPr>
                <w:noProof/>
              </w:rPr>
              <w:t>11 450</w:t>
            </w:r>
          </w:p>
        </w:tc>
        <w:tc>
          <w:tcPr>
            <w:tcW w:w="1417" w:type="dxa"/>
            <w:shd w:val="clear" w:color="auto" w:fill="C6EFCE"/>
            <w:noWrap/>
            <w:vAlign w:val="center"/>
          </w:tcPr>
          <w:p w14:paraId="01A3F916" w14:textId="77777777" w:rsidR="003F5418" w:rsidRDefault="002A6C25">
            <w:pPr>
              <w:pStyle w:val="P68B1DB1-Normal4"/>
              <w:jc w:val="center"/>
              <w:rPr>
                <w:noProof/>
              </w:rPr>
            </w:pPr>
            <w:r>
              <w:rPr>
                <w:noProof/>
              </w:rPr>
              <w:t>14 100</w:t>
            </w:r>
          </w:p>
        </w:tc>
        <w:tc>
          <w:tcPr>
            <w:tcW w:w="793" w:type="dxa"/>
            <w:shd w:val="clear" w:color="auto" w:fill="C6EFCE"/>
            <w:noWrap/>
            <w:vAlign w:val="center"/>
          </w:tcPr>
          <w:p w14:paraId="0A976B08"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6DF1C18F"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6E9B845E" w14:textId="77777777" w:rsidR="003F5418" w:rsidRDefault="002A6C25">
            <w:pPr>
              <w:pStyle w:val="P68B1DB1-Normal4"/>
              <w:spacing w:after="120"/>
              <w:rPr>
                <w:noProof/>
              </w:rPr>
            </w:pPr>
            <w:r>
              <w:rPr>
                <w:noProof/>
              </w:rPr>
              <w:t>A platformba integrált szolgáltatások számának növelése a következők érdekében:</w:t>
            </w:r>
          </w:p>
          <w:p w14:paraId="5F3204A8" w14:textId="77777777" w:rsidR="003F5418" w:rsidRDefault="002A6C25">
            <w:pPr>
              <w:pStyle w:val="P68B1DB1-Normal4"/>
              <w:spacing w:after="120"/>
              <w:rPr>
                <w:noProof/>
              </w:rPr>
            </w:pPr>
            <w:r>
              <w:rPr>
                <w:noProof/>
              </w:rPr>
              <w:t>a platformhoz már csatlakozott közigazgatási szervek (11450 szervezet);</w:t>
            </w:r>
          </w:p>
          <w:p w14:paraId="1CE97A46" w14:textId="77777777" w:rsidR="003F5418" w:rsidRDefault="002A6C25">
            <w:pPr>
              <w:pStyle w:val="P68B1DB1-Normal4"/>
              <w:spacing w:after="120"/>
              <w:rPr>
                <w:noProof/>
              </w:rPr>
            </w:pPr>
            <w:r>
              <w:rPr>
                <w:noProof/>
              </w:rPr>
              <w:t>– új közigazgatási szervek csatlakoznak a platformhoz (2650 új szervezet).</w:t>
            </w:r>
          </w:p>
          <w:p w14:paraId="44048FB8" w14:textId="77777777" w:rsidR="003F5418" w:rsidRDefault="002A6C25">
            <w:pPr>
              <w:pStyle w:val="P68B1DB1-Normal4"/>
              <w:spacing w:after="120"/>
              <w:rPr>
                <w:noProof/>
              </w:rPr>
            </w:pPr>
            <w:r>
              <w:rPr>
                <w:noProof/>
              </w:rPr>
              <w:t>A</w:t>
            </w:r>
            <w:r>
              <w:rPr>
                <w:noProof/>
              </w:rPr>
              <w:t>z integrált szolgáltatások száma a közigazgatás típusától függ (a végső cél az, hogy átlagosan 35 szolgáltatás álljon rendelkezésre az önkormányzatoknak, 15 szolgáltatás a régióknak, 15 szolgáltatás az egészségügyi hatóságoknak, 8 szolgáltatás az iskolákna</w:t>
            </w:r>
            <w:r>
              <w:rPr>
                <w:noProof/>
              </w:rPr>
              <w:t>k és egyetemeknek).</w:t>
            </w:r>
          </w:p>
        </w:tc>
      </w:tr>
      <w:tr w:rsidR="003F5418" w14:paraId="045CD40D" w14:textId="77777777">
        <w:trPr>
          <w:trHeight w:val="309"/>
        </w:trPr>
        <w:tc>
          <w:tcPr>
            <w:tcW w:w="1284" w:type="dxa"/>
            <w:shd w:val="clear" w:color="auto" w:fill="C6EFCE"/>
            <w:noWrap/>
            <w:vAlign w:val="center"/>
          </w:tcPr>
          <w:p w14:paraId="6E255855" w14:textId="77777777" w:rsidR="003F5418" w:rsidRDefault="002A6C25">
            <w:pPr>
              <w:pStyle w:val="P68B1DB1-Normal4"/>
              <w:jc w:val="center"/>
              <w:rPr>
                <w:noProof/>
              </w:rPr>
            </w:pPr>
            <w:r>
              <w:rPr>
                <w:noProof/>
              </w:rPr>
              <w:t>M1C1–150</w:t>
            </w:r>
          </w:p>
        </w:tc>
        <w:tc>
          <w:tcPr>
            <w:tcW w:w="1746" w:type="dxa"/>
            <w:shd w:val="clear" w:color="auto" w:fill="C6EFCE"/>
            <w:noWrap/>
            <w:vAlign w:val="center"/>
          </w:tcPr>
          <w:p w14:paraId="29BA9CCE" w14:textId="77777777" w:rsidR="003F5418" w:rsidRDefault="002A6C25">
            <w:pPr>
              <w:pStyle w:val="P68B1DB1-Normal4"/>
              <w:jc w:val="center"/>
              <w:rPr>
                <w:noProof/>
              </w:rPr>
            </w:pPr>
            <w:r>
              <w:rPr>
                <w:noProof/>
              </w:rPr>
              <w:t>Beruházás – A PagoPA platformszolgáltatások és az „IO” alkalmazás bevezetése</w:t>
            </w:r>
          </w:p>
        </w:tc>
        <w:tc>
          <w:tcPr>
            <w:tcW w:w="992" w:type="dxa"/>
            <w:shd w:val="clear" w:color="auto" w:fill="C6EFCE"/>
            <w:noWrap/>
            <w:vAlign w:val="center"/>
          </w:tcPr>
          <w:p w14:paraId="771E6246"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63AD16A8" w14:textId="77777777" w:rsidR="003F5418" w:rsidRDefault="002A6C25">
            <w:pPr>
              <w:pStyle w:val="P68B1DB1-Normal4"/>
              <w:jc w:val="center"/>
              <w:rPr>
                <w:noProof/>
              </w:rPr>
            </w:pPr>
            <w:r>
              <w:rPr>
                <w:noProof/>
              </w:rPr>
              <w:t>Az „IO” alkalmazás fokozott elfogadása a T2 alkalmazásban</w:t>
            </w:r>
          </w:p>
        </w:tc>
        <w:tc>
          <w:tcPr>
            <w:tcW w:w="1701" w:type="dxa"/>
            <w:shd w:val="clear" w:color="auto" w:fill="C6EFCE"/>
            <w:noWrap/>
            <w:vAlign w:val="center"/>
          </w:tcPr>
          <w:p w14:paraId="024B155C"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157F143C"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473802E9" w14:textId="77777777" w:rsidR="003F5418" w:rsidRDefault="002A6C25">
            <w:pPr>
              <w:pStyle w:val="P68B1DB1-Normal4"/>
              <w:jc w:val="center"/>
              <w:rPr>
                <w:noProof/>
              </w:rPr>
            </w:pPr>
            <w:r>
              <w:rPr>
                <w:noProof/>
              </w:rPr>
              <w:t>7 000</w:t>
            </w:r>
          </w:p>
        </w:tc>
        <w:tc>
          <w:tcPr>
            <w:tcW w:w="1417" w:type="dxa"/>
            <w:shd w:val="clear" w:color="auto" w:fill="C6EFCE"/>
            <w:noWrap/>
            <w:vAlign w:val="center"/>
          </w:tcPr>
          <w:p w14:paraId="4AD48F91" w14:textId="77777777" w:rsidR="003F5418" w:rsidRDefault="002A6C25">
            <w:pPr>
              <w:pStyle w:val="P68B1DB1-Normal4"/>
              <w:jc w:val="center"/>
              <w:rPr>
                <w:noProof/>
              </w:rPr>
            </w:pPr>
            <w:r>
              <w:rPr>
                <w:noProof/>
              </w:rPr>
              <w:t>14 100</w:t>
            </w:r>
          </w:p>
        </w:tc>
        <w:tc>
          <w:tcPr>
            <w:tcW w:w="793" w:type="dxa"/>
            <w:shd w:val="clear" w:color="auto" w:fill="C6EFCE"/>
            <w:noWrap/>
            <w:vAlign w:val="center"/>
          </w:tcPr>
          <w:p w14:paraId="57948F3B"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7947B74D"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4F500241" w14:textId="77777777" w:rsidR="003F5418" w:rsidRDefault="002A6C25">
            <w:pPr>
              <w:pStyle w:val="P68B1DB1-Normal4"/>
              <w:spacing w:after="120"/>
              <w:rPr>
                <w:noProof/>
              </w:rPr>
            </w:pPr>
            <w:r>
              <w:rPr>
                <w:noProof/>
              </w:rPr>
              <w:t>Az „IO”-ba integrált szolgáltatások számának növelése:</w:t>
            </w:r>
          </w:p>
          <w:p w14:paraId="4B734610" w14:textId="77777777" w:rsidR="003F5418" w:rsidRDefault="002A6C25">
            <w:pPr>
              <w:pStyle w:val="P68B1DB1-Normal4"/>
              <w:spacing w:after="120"/>
              <w:rPr>
                <w:noProof/>
              </w:rPr>
            </w:pPr>
            <w:r>
              <w:rPr>
                <w:noProof/>
              </w:rPr>
              <w:t>– a független gazdasági szereplőt már használó közigazgatási szervek (7000 szervezet);</w:t>
            </w:r>
          </w:p>
          <w:p w14:paraId="2053B479" w14:textId="77777777" w:rsidR="003F5418" w:rsidRDefault="002A6C25">
            <w:pPr>
              <w:pStyle w:val="P68B1DB1-Normal4"/>
              <w:spacing w:after="120"/>
              <w:rPr>
                <w:noProof/>
              </w:rPr>
            </w:pPr>
            <w:r>
              <w:rPr>
                <w:noProof/>
              </w:rPr>
              <w:t>– új közigazgatási szervek csatlakoznak a platformhoz (körülbelül 7100 új szervezet).</w:t>
            </w:r>
          </w:p>
          <w:p w14:paraId="463F4592" w14:textId="77777777" w:rsidR="003F5418" w:rsidRDefault="002A6C25">
            <w:pPr>
              <w:pStyle w:val="P68B1DB1-Normal4"/>
              <w:spacing w:after="120"/>
              <w:rPr>
                <w:noProof/>
              </w:rPr>
            </w:pPr>
            <w:r>
              <w:rPr>
                <w:noProof/>
              </w:rPr>
              <w:t>Az integrált szolgáltatások száma a közigazgatás típusától függ (a végső cél az, ho</w:t>
            </w:r>
            <w:r>
              <w:rPr>
                <w:noProof/>
              </w:rPr>
              <w:t>gy átlagosan 35 szolgáltatás álljon rendelkezésre az önkormányzatoknak, 15 szolgáltatás a régióknak, 15 szolgáltatás az egészségügyi hatóságoknak, 8 szolgáltatás az iskoláknak és egyetemeknek).</w:t>
            </w:r>
          </w:p>
        </w:tc>
      </w:tr>
      <w:tr w:rsidR="003F5418" w14:paraId="295E476A" w14:textId="77777777">
        <w:trPr>
          <w:trHeight w:val="309"/>
        </w:trPr>
        <w:tc>
          <w:tcPr>
            <w:tcW w:w="1284" w:type="dxa"/>
            <w:shd w:val="clear" w:color="auto" w:fill="C6EFCE"/>
            <w:noWrap/>
            <w:vAlign w:val="center"/>
          </w:tcPr>
          <w:p w14:paraId="783F9A4F" w14:textId="77777777" w:rsidR="003F5418" w:rsidRDefault="002A6C25">
            <w:pPr>
              <w:pStyle w:val="P68B1DB1-Normal4"/>
              <w:jc w:val="center"/>
              <w:rPr>
                <w:noProof/>
              </w:rPr>
            </w:pPr>
            <w:r>
              <w:rPr>
                <w:noProof/>
              </w:rPr>
              <w:t>M1C1–151</w:t>
            </w:r>
          </w:p>
        </w:tc>
        <w:tc>
          <w:tcPr>
            <w:tcW w:w="1746" w:type="dxa"/>
            <w:shd w:val="clear" w:color="auto" w:fill="C6EFCE"/>
            <w:noWrap/>
            <w:vAlign w:val="center"/>
          </w:tcPr>
          <w:p w14:paraId="3B0FD39E" w14:textId="77777777" w:rsidR="003F5418" w:rsidRDefault="002A6C25">
            <w:pPr>
              <w:pStyle w:val="P68B1DB1-Normal4"/>
              <w:jc w:val="center"/>
              <w:rPr>
                <w:noProof/>
              </w:rPr>
            </w:pPr>
            <w:r>
              <w:rPr>
                <w:noProof/>
              </w:rPr>
              <w:t>Beruházás – Közzétételek digitalizálása</w:t>
            </w:r>
          </w:p>
        </w:tc>
        <w:tc>
          <w:tcPr>
            <w:tcW w:w="992" w:type="dxa"/>
            <w:shd w:val="clear" w:color="auto" w:fill="C6EFCE"/>
            <w:noWrap/>
            <w:vAlign w:val="center"/>
          </w:tcPr>
          <w:p w14:paraId="6936253E"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5D3FBB5A" w14:textId="77777777" w:rsidR="003F5418" w:rsidRDefault="002A6C25">
            <w:pPr>
              <w:pStyle w:val="P68B1DB1-Normal4"/>
              <w:jc w:val="center"/>
              <w:rPr>
                <w:noProof/>
              </w:rPr>
            </w:pPr>
            <w:r>
              <w:rPr>
                <w:noProof/>
              </w:rPr>
              <w:t xml:space="preserve">A T2 </w:t>
            </w:r>
            <w:r>
              <w:rPr>
                <w:noProof/>
              </w:rPr>
              <w:t>digitális nyilvános hirdetmények elfogadásának fokozása</w:t>
            </w:r>
          </w:p>
        </w:tc>
        <w:tc>
          <w:tcPr>
            <w:tcW w:w="1701" w:type="dxa"/>
            <w:shd w:val="clear" w:color="auto" w:fill="C6EFCE"/>
            <w:noWrap/>
            <w:vAlign w:val="center"/>
          </w:tcPr>
          <w:p w14:paraId="710340E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24DD3276"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54E5A538" w14:textId="77777777" w:rsidR="003F5418" w:rsidRDefault="002A6C25">
            <w:pPr>
              <w:pStyle w:val="P68B1DB1-Normal4"/>
              <w:jc w:val="center"/>
              <w:rPr>
                <w:noProof/>
              </w:rPr>
            </w:pPr>
            <w:r>
              <w:rPr>
                <w:noProof/>
              </w:rPr>
              <w:t>800</w:t>
            </w:r>
          </w:p>
        </w:tc>
        <w:tc>
          <w:tcPr>
            <w:tcW w:w="1417" w:type="dxa"/>
            <w:shd w:val="clear" w:color="auto" w:fill="C6EFCE"/>
            <w:noWrap/>
            <w:vAlign w:val="center"/>
          </w:tcPr>
          <w:p w14:paraId="090032B5" w14:textId="77777777" w:rsidR="003F5418" w:rsidRDefault="002A6C25">
            <w:pPr>
              <w:pStyle w:val="P68B1DB1-Normal4"/>
              <w:jc w:val="center"/>
              <w:rPr>
                <w:noProof/>
              </w:rPr>
            </w:pPr>
            <w:r>
              <w:rPr>
                <w:noProof/>
              </w:rPr>
              <w:t>6 400</w:t>
            </w:r>
          </w:p>
        </w:tc>
        <w:tc>
          <w:tcPr>
            <w:tcW w:w="793" w:type="dxa"/>
            <w:shd w:val="clear" w:color="auto" w:fill="C6EFCE"/>
            <w:noWrap/>
            <w:vAlign w:val="center"/>
          </w:tcPr>
          <w:p w14:paraId="67A609AA"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67CDBCA3"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5ACA990C" w14:textId="77777777" w:rsidR="003F5418" w:rsidRDefault="002A6C25">
            <w:pPr>
              <w:pStyle w:val="P68B1DB1-Normal4"/>
              <w:spacing w:after="120"/>
              <w:rPr>
                <w:noProof/>
              </w:rPr>
            </w:pPr>
            <w:r>
              <w:rPr>
                <w:noProof/>
              </w:rPr>
              <w:t xml:space="preserve">A digitális bejelentési platform (DNP) tekintetében legalább 6400 központi közigazgatási szerv és önkormányzat köteles digitális, jogilag kötelező érvényű értesítést </w:t>
            </w:r>
            <w:r>
              <w:rPr>
                <w:noProof/>
              </w:rPr>
              <w:t>küldeni a polgároknak, a jogalanyoknak, az egyesületeknek és bármely más köz- vagy magánszervezetnek.</w:t>
            </w:r>
          </w:p>
        </w:tc>
      </w:tr>
      <w:tr w:rsidR="003F5418" w14:paraId="11F675DD" w14:textId="77777777">
        <w:trPr>
          <w:trHeight w:val="309"/>
        </w:trPr>
        <w:tc>
          <w:tcPr>
            <w:tcW w:w="1284" w:type="dxa"/>
            <w:shd w:val="clear" w:color="auto" w:fill="C6EFCE"/>
            <w:noWrap/>
            <w:vAlign w:val="center"/>
            <w:hideMark/>
          </w:tcPr>
          <w:p w14:paraId="20E6701F" w14:textId="77777777" w:rsidR="003F5418" w:rsidRDefault="002A6C25">
            <w:pPr>
              <w:pStyle w:val="P68B1DB1-Normal4"/>
              <w:jc w:val="center"/>
              <w:rPr>
                <w:noProof/>
              </w:rPr>
            </w:pPr>
            <w:r>
              <w:rPr>
                <w:noProof/>
              </w:rPr>
              <w:t>M1C1–152</w:t>
            </w:r>
          </w:p>
        </w:tc>
        <w:tc>
          <w:tcPr>
            <w:tcW w:w="1746" w:type="dxa"/>
            <w:shd w:val="clear" w:color="auto" w:fill="C6EFCE"/>
            <w:noWrap/>
            <w:vAlign w:val="center"/>
            <w:hideMark/>
          </w:tcPr>
          <w:p w14:paraId="43681B18" w14:textId="77777777" w:rsidR="003F5418" w:rsidRDefault="002A6C25">
            <w:pPr>
              <w:pStyle w:val="P68B1DB1-Normal4"/>
              <w:jc w:val="center"/>
              <w:rPr>
                <w:noProof/>
              </w:rPr>
            </w:pPr>
            <w:r>
              <w:rPr>
                <w:noProof/>
              </w:rPr>
              <w:t>Beruházás – A Belügyminisztérium digitalizálása</w:t>
            </w:r>
          </w:p>
        </w:tc>
        <w:tc>
          <w:tcPr>
            <w:tcW w:w="992" w:type="dxa"/>
            <w:shd w:val="clear" w:color="auto" w:fill="C6EFCE"/>
            <w:noWrap/>
            <w:vAlign w:val="center"/>
            <w:hideMark/>
          </w:tcPr>
          <w:p w14:paraId="0BE44CA7" w14:textId="77777777" w:rsidR="003F5418" w:rsidRDefault="002A6C25">
            <w:pPr>
              <w:pStyle w:val="P68B1DB1-Normal4"/>
              <w:jc w:val="center"/>
              <w:rPr>
                <w:noProof/>
              </w:rPr>
            </w:pPr>
            <w:r>
              <w:rPr>
                <w:noProof/>
              </w:rPr>
              <w:t>Cél</w:t>
            </w:r>
          </w:p>
        </w:tc>
        <w:tc>
          <w:tcPr>
            <w:tcW w:w="2126" w:type="dxa"/>
            <w:shd w:val="clear" w:color="auto" w:fill="C6EFCE"/>
            <w:noWrap/>
            <w:vAlign w:val="center"/>
            <w:hideMark/>
          </w:tcPr>
          <w:p w14:paraId="505D497B" w14:textId="77777777" w:rsidR="003F5418" w:rsidRDefault="002A6C25">
            <w:pPr>
              <w:pStyle w:val="P68B1DB1-Normal4"/>
              <w:jc w:val="center"/>
              <w:rPr>
                <w:noProof/>
              </w:rPr>
            </w:pPr>
            <w:r>
              <w:rPr>
                <w:noProof/>
              </w:rPr>
              <w:t>Belügyminisztérium – T2 teljesen átalakított és digitalizált folyamatok</w:t>
            </w:r>
          </w:p>
        </w:tc>
        <w:tc>
          <w:tcPr>
            <w:tcW w:w="1701" w:type="dxa"/>
            <w:shd w:val="clear" w:color="auto" w:fill="C6EFCE"/>
            <w:noWrap/>
            <w:vAlign w:val="center"/>
            <w:hideMark/>
          </w:tcPr>
          <w:p w14:paraId="25D8D0F9"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9D59968" w14:textId="77777777" w:rsidR="003F5418" w:rsidRDefault="002A6C25">
            <w:pPr>
              <w:pStyle w:val="P68B1DB1-Normal4"/>
              <w:jc w:val="center"/>
              <w:rPr>
                <w:noProof/>
              </w:rPr>
            </w:pPr>
            <w:r>
              <w:rPr>
                <w:noProof/>
              </w:rPr>
              <w:t>Szám</w:t>
            </w:r>
          </w:p>
        </w:tc>
        <w:tc>
          <w:tcPr>
            <w:tcW w:w="1276" w:type="dxa"/>
            <w:shd w:val="clear" w:color="auto" w:fill="C6EFCE"/>
            <w:noWrap/>
            <w:vAlign w:val="center"/>
            <w:hideMark/>
          </w:tcPr>
          <w:p w14:paraId="626AE00E" w14:textId="77777777" w:rsidR="003F5418" w:rsidRDefault="002A6C25">
            <w:pPr>
              <w:pStyle w:val="P68B1DB1-Normal4"/>
              <w:jc w:val="center"/>
              <w:rPr>
                <w:noProof/>
              </w:rPr>
            </w:pPr>
            <w:r>
              <w:rPr>
                <w:noProof/>
              </w:rPr>
              <w:t>7</w:t>
            </w:r>
          </w:p>
        </w:tc>
        <w:tc>
          <w:tcPr>
            <w:tcW w:w="1417" w:type="dxa"/>
            <w:shd w:val="clear" w:color="auto" w:fill="C6EFCE"/>
            <w:noWrap/>
            <w:vAlign w:val="center"/>
            <w:hideMark/>
          </w:tcPr>
          <w:p w14:paraId="3922588C" w14:textId="77777777" w:rsidR="003F5418" w:rsidRDefault="002A6C25">
            <w:pPr>
              <w:pStyle w:val="P68B1DB1-Normal4"/>
              <w:jc w:val="center"/>
              <w:rPr>
                <w:noProof/>
              </w:rPr>
            </w:pPr>
            <w:r>
              <w:rPr>
                <w:noProof/>
              </w:rPr>
              <w:t>45</w:t>
            </w:r>
          </w:p>
        </w:tc>
        <w:tc>
          <w:tcPr>
            <w:tcW w:w="793" w:type="dxa"/>
            <w:shd w:val="clear" w:color="auto" w:fill="C6EFCE"/>
            <w:noWrap/>
            <w:vAlign w:val="center"/>
            <w:hideMark/>
          </w:tcPr>
          <w:p w14:paraId="75ABB611" w14:textId="77777777" w:rsidR="003F5418" w:rsidRDefault="002A6C25">
            <w:pPr>
              <w:pStyle w:val="P68B1DB1-Normal4"/>
              <w:jc w:val="center"/>
              <w:rPr>
                <w:noProof/>
              </w:rPr>
            </w:pPr>
            <w:r>
              <w:rPr>
                <w:noProof/>
              </w:rPr>
              <w:t>Q2</w:t>
            </w:r>
          </w:p>
        </w:tc>
        <w:tc>
          <w:tcPr>
            <w:tcW w:w="625" w:type="dxa"/>
            <w:shd w:val="clear" w:color="auto" w:fill="C6EFCE"/>
            <w:noWrap/>
            <w:vAlign w:val="center"/>
            <w:hideMark/>
          </w:tcPr>
          <w:p w14:paraId="5774A7C1" w14:textId="77777777" w:rsidR="003F5418" w:rsidRDefault="002A6C25">
            <w:pPr>
              <w:pStyle w:val="P68B1DB1-Normal4"/>
              <w:jc w:val="center"/>
              <w:rPr>
                <w:noProof/>
              </w:rPr>
            </w:pPr>
            <w:r>
              <w:rPr>
                <w:noProof/>
              </w:rPr>
              <w:t>2026</w:t>
            </w:r>
          </w:p>
        </w:tc>
        <w:tc>
          <w:tcPr>
            <w:tcW w:w="2584" w:type="dxa"/>
            <w:shd w:val="clear" w:color="auto" w:fill="C6EFCE"/>
            <w:noWrap/>
            <w:vAlign w:val="center"/>
            <w:hideMark/>
          </w:tcPr>
          <w:p w14:paraId="31548170" w14:textId="77777777" w:rsidR="003F5418" w:rsidRDefault="002A6C25">
            <w:pPr>
              <w:pStyle w:val="P68B1DB1-Normal4"/>
              <w:spacing w:after="120"/>
              <w:rPr>
                <w:noProof/>
              </w:rPr>
            </w:pPr>
            <w:r>
              <w:rPr>
                <w:noProof/>
              </w:rPr>
              <w:t>Teljesen átalakított belső eljárások és folyamatok (összesen 45 folyamat 2026. augusztus 31-ig), amelyek teljes mértékben online elvégezhetők (például irodaautomatizálás, mobilitási szolgáltatások és e-tanulás).</w:t>
            </w:r>
          </w:p>
        </w:tc>
      </w:tr>
      <w:tr w:rsidR="003F5418" w14:paraId="38F96557" w14:textId="77777777">
        <w:trPr>
          <w:trHeight w:val="309"/>
        </w:trPr>
        <w:tc>
          <w:tcPr>
            <w:tcW w:w="1284" w:type="dxa"/>
            <w:shd w:val="clear" w:color="auto" w:fill="C6EFCE"/>
            <w:noWrap/>
            <w:vAlign w:val="center"/>
            <w:hideMark/>
          </w:tcPr>
          <w:p w14:paraId="37146066" w14:textId="77777777" w:rsidR="003F5418" w:rsidRDefault="002A6C25">
            <w:pPr>
              <w:pStyle w:val="P68B1DB1-Normal4"/>
              <w:jc w:val="center"/>
              <w:rPr>
                <w:noProof/>
              </w:rPr>
            </w:pPr>
            <w:r>
              <w:rPr>
                <w:noProof/>
              </w:rPr>
              <w:t>M1C1–153</w:t>
            </w:r>
          </w:p>
        </w:tc>
        <w:tc>
          <w:tcPr>
            <w:tcW w:w="1746" w:type="dxa"/>
            <w:shd w:val="clear" w:color="auto" w:fill="C6EFCE"/>
            <w:noWrap/>
            <w:vAlign w:val="center"/>
            <w:hideMark/>
          </w:tcPr>
          <w:p w14:paraId="23C2FCFA" w14:textId="77777777" w:rsidR="003F5418" w:rsidRDefault="002A6C25">
            <w:pPr>
              <w:pStyle w:val="P68B1DB1-Normal4"/>
              <w:jc w:val="center"/>
              <w:rPr>
                <w:noProof/>
              </w:rPr>
            </w:pPr>
            <w:r>
              <w:rPr>
                <w:noProof/>
              </w:rPr>
              <w:t xml:space="preserve">Beruházás – Az Igazságügyi </w:t>
            </w:r>
            <w:r>
              <w:rPr>
                <w:noProof/>
              </w:rPr>
              <w:t>Minisztérium digitalizálása</w:t>
            </w:r>
          </w:p>
        </w:tc>
        <w:tc>
          <w:tcPr>
            <w:tcW w:w="992" w:type="dxa"/>
            <w:shd w:val="clear" w:color="auto" w:fill="C6EFCE"/>
            <w:noWrap/>
            <w:vAlign w:val="center"/>
            <w:hideMark/>
          </w:tcPr>
          <w:p w14:paraId="0A6FC715" w14:textId="77777777" w:rsidR="003F5418" w:rsidRDefault="002A6C25">
            <w:pPr>
              <w:pStyle w:val="P68B1DB1-Normal4"/>
              <w:jc w:val="center"/>
              <w:rPr>
                <w:noProof/>
              </w:rPr>
            </w:pPr>
            <w:r>
              <w:rPr>
                <w:noProof/>
              </w:rPr>
              <w:t>Cél</w:t>
            </w:r>
          </w:p>
        </w:tc>
        <w:tc>
          <w:tcPr>
            <w:tcW w:w="2126" w:type="dxa"/>
            <w:shd w:val="clear" w:color="auto" w:fill="C6EFCE"/>
            <w:noWrap/>
            <w:vAlign w:val="center"/>
            <w:hideMark/>
          </w:tcPr>
          <w:p w14:paraId="7D35364F" w14:textId="77777777" w:rsidR="003F5418" w:rsidRDefault="002A6C25">
            <w:pPr>
              <w:pStyle w:val="P68B1DB1-Normal4"/>
              <w:jc w:val="center"/>
              <w:rPr>
                <w:noProof/>
              </w:rPr>
            </w:pPr>
            <w:r>
              <w:rPr>
                <w:noProof/>
              </w:rPr>
              <w:t>Digitalizált bírósági iratok T2</w:t>
            </w:r>
          </w:p>
        </w:tc>
        <w:tc>
          <w:tcPr>
            <w:tcW w:w="1701" w:type="dxa"/>
            <w:shd w:val="clear" w:color="auto" w:fill="C6EFCE"/>
            <w:noWrap/>
            <w:vAlign w:val="center"/>
            <w:hideMark/>
          </w:tcPr>
          <w:p w14:paraId="7D71720D"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4315895" w14:textId="77777777" w:rsidR="003F5418" w:rsidRDefault="002A6C25">
            <w:pPr>
              <w:pStyle w:val="P68B1DB1-Normal4"/>
              <w:jc w:val="center"/>
              <w:rPr>
                <w:noProof/>
              </w:rPr>
            </w:pPr>
            <w:r>
              <w:rPr>
                <w:noProof/>
              </w:rPr>
              <w:t>Szám</w:t>
            </w:r>
          </w:p>
        </w:tc>
        <w:tc>
          <w:tcPr>
            <w:tcW w:w="1276" w:type="dxa"/>
            <w:shd w:val="clear" w:color="auto" w:fill="C6EFCE"/>
            <w:noWrap/>
            <w:vAlign w:val="center"/>
            <w:hideMark/>
          </w:tcPr>
          <w:p w14:paraId="74200958" w14:textId="77777777" w:rsidR="003F5418" w:rsidRDefault="002A6C25">
            <w:pPr>
              <w:pStyle w:val="P68B1DB1-Normal4"/>
              <w:jc w:val="center"/>
              <w:rPr>
                <w:noProof/>
              </w:rPr>
            </w:pPr>
            <w:r>
              <w:rPr>
                <w:noProof/>
              </w:rPr>
              <w:t>3 500 000</w:t>
            </w:r>
          </w:p>
        </w:tc>
        <w:tc>
          <w:tcPr>
            <w:tcW w:w="1417" w:type="dxa"/>
            <w:shd w:val="clear" w:color="auto" w:fill="C6EFCE"/>
            <w:noWrap/>
            <w:vAlign w:val="center"/>
            <w:hideMark/>
          </w:tcPr>
          <w:p w14:paraId="0C135E2C" w14:textId="77777777" w:rsidR="003F5418" w:rsidRDefault="002A6C25">
            <w:pPr>
              <w:pStyle w:val="P68B1DB1-Normal4"/>
              <w:jc w:val="center"/>
              <w:rPr>
                <w:noProof/>
              </w:rPr>
            </w:pPr>
            <w:r>
              <w:rPr>
                <w:noProof/>
              </w:rPr>
              <w:t>7 750 000</w:t>
            </w:r>
          </w:p>
        </w:tc>
        <w:tc>
          <w:tcPr>
            <w:tcW w:w="793" w:type="dxa"/>
            <w:shd w:val="clear" w:color="auto" w:fill="C6EFCE"/>
            <w:noWrap/>
            <w:vAlign w:val="center"/>
            <w:hideMark/>
          </w:tcPr>
          <w:p w14:paraId="5E10725C" w14:textId="77777777" w:rsidR="003F5418" w:rsidRDefault="002A6C25">
            <w:pPr>
              <w:pStyle w:val="P68B1DB1-Normal4"/>
              <w:jc w:val="center"/>
              <w:rPr>
                <w:noProof/>
              </w:rPr>
            </w:pPr>
            <w:r>
              <w:rPr>
                <w:noProof/>
              </w:rPr>
              <w:t>Q2</w:t>
            </w:r>
          </w:p>
        </w:tc>
        <w:tc>
          <w:tcPr>
            <w:tcW w:w="625" w:type="dxa"/>
            <w:shd w:val="clear" w:color="auto" w:fill="C6EFCE"/>
            <w:noWrap/>
            <w:vAlign w:val="center"/>
            <w:hideMark/>
          </w:tcPr>
          <w:p w14:paraId="38000BFD" w14:textId="77777777" w:rsidR="003F5418" w:rsidRDefault="002A6C25">
            <w:pPr>
              <w:pStyle w:val="P68B1DB1-Normal4"/>
              <w:jc w:val="center"/>
              <w:rPr>
                <w:noProof/>
              </w:rPr>
            </w:pPr>
            <w:r>
              <w:rPr>
                <w:noProof/>
              </w:rPr>
              <w:t>2026</w:t>
            </w:r>
          </w:p>
        </w:tc>
        <w:tc>
          <w:tcPr>
            <w:tcW w:w="2584" w:type="dxa"/>
            <w:shd w:val="clear" w:color="auto" w:fill="C6EFCE"/>
            <w:noWrap/>
            <w:vAlign w:val="center"/>
            <w:hideMark/>
          </w:tcPr>
          <w:p w14:paraId="74D8B735" w14:textId="3037806B" w:rsidR="003F5418" w:rsidRDefault="002A6C25">
            <w:pPr>
              <w:pStyle w:val="P68B1DB1-Normal4"/>
              <w:spacing w:after="120"/>
              <w:rPr>
                <w:noProof/>
              </w:rPr>
            </w:pPr>
            <w:r>
              <w:rPr>
                <w:noProof/>
              </w:rPr>
              <w:t xml:space="preserve">Az elmúlt 20 évre vonatkozó 7750000 bírósági ügyirat digitalizálása (206. január 1-jétől 2026.6.30-ig) a bíróságok lezárt vagy folyamatban lévő </w:t>
            </w:r>
            <w:r>
              <w:rPr>
                <w:noProof/>
              </w:rPr>
              <w:t>tárgyalásaihoz kapcsolódóan.</w:t>
            </w:r>
          </w:p>
        </w:tc>
      </w:tr>
      <w:tr w:rsidR="003F5418" w14:paraId="1FE993C9" w14:textId="77777777">
        <w:trPr>
          <w:trHeight w:val="309"/>
        </w:trPr>
        <w:tc>
          <w:tcPr>
            <w:tcW w:w="1284" w:type="dxa"/>
            <w:shd w:val="clear" w:color="auto" w:fill="C6EFCE"/>
            <w:noWrap/>
            <w:vAlign w:val="center"/>
          </w:tcPr>
          <w:p w14:paraId="52B18276" w14:textId="77777777" w:rsidR="003F5418" w:rsidRDefault="002A6C25">
            <w:pPr>
              <w:pStyle w:val="P68B1DB1-Normal4"/>
              <w:jc w:val="center"/>
              <w:rPr>
                <w:noProof/>
              </w:rPr>
            </w:pPr>
            <w:r>
              <w:rPr>
                <w:noProof/>
              </w:rPr>
              <w:t>M1C1–154</w:t>
            </w:r>
          </w:p>
        </w:tc>
        <w:tc>
          <w:tcPr>
            <w:tcW w:w="1746" w:type="dxa"/>
            <w:shd w:val="clear" w:color="auto" w:fill="C6EFCE"/>
            <w:noWrap/>
            <w:vAlign w:val="center"/>
          </w:tcPr>
          <w:p w14:paraId="7EE6CA1F" w14:textId="77777777" w:rsidR="003F5418" w:rsidRDefault="002A6C25">
            <w:pPr>
              <w:pStyle w:val="P68B1DB1-Normal4"/>
              <w:jc w:val="center"/>
              <w:rPr>
                <w:noProof/>
              </w:rPr>
            </w:pPr>
            <w:r>
              <w:rPr>
                <w:noProof/>
              </w:rPr>
              <w:t>Beruházás – Az Igazságügyi Minisztérium digitalizálása</w:t>
            </w:r>
          </w:p>
        </w:tc>
        <w:tc>
          <w:tcPr>
            <w:tcW w:w="992" w:type="dxa"/>
            <w:shd w:val="clear" w:color="auto" w:fill="C6EFCE"/>
            <w:noWrap/>
            <w:vAlign w:val="center"/>
          </w:tcPr>
          <w:p w14:paraId="76E4FE9F"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4A09013D" w14:textId="77777777" w:rsidR="003F5418" w:rsidRDefault="002A6C25">
            <w:pPr>
              <w:pStyle w:val="P68B1DB1-Normal4"/>
              <w:jc w:val="center"/>
              <w:rPr>
                <w:noProof/>
              </w:rPr>
            </w:pPr>
            <w:r>
              <w:rPr>
                <w:noProof/>
              </w:rPr>
              <w:t>Igazságügyi adattavak tudásrendszerek T2</w:t>
            </w:r>
          </w:p>
        </w:tc>
        <w:tc>
          <w:tcPr>
            <w:tcW w:w="1701" w:type="dxa"/>
            <w:shd w:val="clear" w:color="auto" w:fill="C6EFCE"/>
            <w:noWrap/>
            <w:vAlign w:val="center"/>
          </w:tcPr>
          <w:p w14:paraId="56815527"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AACAAC3"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0D1FBC68" w14:textId="77777777" w:rsidR="003F5418" w:rsidRDefault="002A6C25">
            <w:pPr>
              <w:pStyle w:val="P68B1DB1-Normal4"/>
              <w:jc w:val="center"/>
              <w:rPr>
                <w:noProof/>
              </w:rPr>
            </w:pPr>
            <w:r>
              <w:rPr>
                <w:noProof/>
              </w:rPr>
              <w:t>0</w:t>
            </w:r>
          </w:p>
        </w:tc>
        <w:tc>
          <w:tcPr>
            <w:tcW w:w="1417" w:type="dxa"/>
            <w:shd w:val="clear" w:color="auto" w:fill="C6EFCE"/>
            <w:noWrap/>
            <w:vAlign w:val="center"/>
          </w:tcPr>
          <w:p w14:paraId="158B92CA" w14:textId="77777777" w:rsidR="003F5418" w:rsidRDefault="002A6C25">
            <w:pPr>
              <w:pStyle w:val="P68B1DB1-Normal4"/>
              <w:jc w:val="center"/>
              <w:rPr>
                <w:noProof/>
              </w:rPr>
            </w:pPr>
            <w:r>
              <w:rPr>
                <w:noProof/>
              </w:rPr>
              <w:t>6</w:t>
            </w:r>
          </w:p>
        </w:tc>
        <w:tc>
          <w:tcPr>
            <w:tcW w:w="793" w:type="dxa"/>
            <w:shd w:val="clear" w:color="auto" w:fill="C6EFCE"/>
            <w:noWrap/>
            <w:vAlign w:val="center"/>
          </w:tcPr>
          <w:p w14:paraId="268AFAEB"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3CC8D14E"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7F125F32" w14:textId="77777777" w:rsidR="003F5418" w:rsidRDefault="002A6C25">
            <w:pPr>
              <w:pStyle w:val="P68B1DB1-Normal4"/>
              <w:spacing w:after="120"/>
              <w:rPr>
                <w:noProof/>
              </w:rPr>
            </w:pPr>
            <w:r>
              <w:rPr>
                <w:noProof/>
              </w:rPr>
              <w:t>Hat új adattavi tudásrendszer bevezetése.</w:t>
            </w:r>
          </w:p>
          <w:p w14:paraId="7EDAF466" w14:textId="77777777" w:rsidR="003F5418" w:rsidRDefault="002A6C25">
            <w:pPr>
              <w:pStyle w:val="P68B1DB1-ListParagraph5"/>
              <w:numPr>
                <w:ilvl w:val="0"/>
                <w:numId w:val="81"/>
              </w:numPr>
              <w:spacing w:before="0" w:after="0"/>
              <w:ind w:left="357" w:hanging="357"/>
              <w:contextualSpacing w:val="0"/>
              <w:jc w:val="left"/>
              <w:rPr>
                <w:noProof/>
              </w:rPr>
            </w:pPr>
            <w:r>
              <w:rPr>
                <w:noProof/>
              </w:rPr>
              <w:t>A polgári és büntetőjogi ítéletek anonimizálási</w:t>
            </w:r>
            <w:r>
              <w:rPr>
                <w:noProof/>
              </w:rPr>
              <w:t xml:space="preserve"> rendszere</w:t>
            </w:r>
          </w:p>
          <w:p w14:paraId="30DEFB58" w14:textId="77777777" w:rsidR="003F5418" w:rsidRDefault="002A6C25">
            <w:pPr>
              <w:pStyle w:val="P68B1DB1-ListParagraph5"/>
              <w:numPr>
                <w:ilvl w:val="0"/>
                <w:numId w:val="81"/>
              </w:numPr>
              <w:spacing w:before="0" w:after="0"/>
              <w:ind w:left="357" w:hanging="357"/>
              <w:contextualSpacing w:val="0"/>
              <w:jc w:val="left"/>
              <w:rPr>
                <w:noProof/>
              </w:rPr>
            </w:pPr>
            <w:r>
              <w:rPr>
                <w:noProof/>
              </w:rPr>
              <w:t>Integrált irányítási rendszer</w:t>
            </w:r>
          </w:p>
          <w:p w14:paraId="755D3668" w14:textId="77777777" w:rsidR="003F5418" w:rsidRDefault="002A6C25">
            <w:pPr>
              <w:pStyle w:val="P68B1DB1-ListParagraph5"/>
              <w:numPr>
                <w:ilvl w:val="0"/>
                <w:numId w:val="81"/>
              </w:numPr>
              <w:spacing w:before="0" w:after="0"/>
              <w:ind w:left="357" w:hanging="357"/>
              <w:contextualSpacing w:val="0"/>
              <w:jc w:val="left"/>
              <w:rPr>
                <w:noProof/>
              </w:rPr>
            </w:pPr>
            <w:r>
              <w:rPr>
                <w:noProof/>
              </w:rPr>
              <w:t>A polgári perek irányítási és elemzési rendszere</w:t>
            </w:r>
          </w:p>
          <w:p w14:paraId="13FD3303" w14:textId="77777777" w:rsidR="003F5418" w:rsidRDefault="002A6C25">
            <w:pPr>
              <w:pStyle w:val="P68B1DB1-ListParagraph5"/>
              <w:numPr>
                <w:ilvl w:val="0"/>
                <w:numId w:val="81"/>
              </w:numPr>
              <w:spacing w:before="0" w:after="0"/>
              <w:ind w:left="357" w:hanging="357"/>
              <w:contextualSpacing w:val="0"/>
              <w:jc w:val="left"/>
              <w:rPr>
                <w:noProof/>
              </w:rPr>
            </w:pPr>
            <w:r>
              <w:rPr>
                <w:noProof/>
              </w:rPr>
              <w:t>A büntetőeljárások irányítási és elemzési rendszere</w:t>
            </w:r>
          </w:p>
          <w:p w14:paraId="739ABE0C" w14:textId="77777777" w:rsidR="003F5418" w:rsidRDefault="002A6C25">
            <w:pPr>
              <w:pStyle w:val="P68B1DB1-ListParagraph5"/>
              <w:numPr>
                <w:ilvl w:val="0"/>
                <w:numId w:val="81"/>
              </w:numPr>
              <w:spacing w:before="0" w:after="0"/>
              <w:ind w:left="357" w:hanging="357"/>
              <w:contextualSpacing w:val="0"/>
              <w:jc w:val="left"/>
              <w:rPr>
                <w:noProof/>
              </w:rPr>
            </w:pPr>
            <w:r>
              <w:rPr>
                <w:noProof/>
              </w:rPr>
              <w:t>A polgári és büntetőeljárásokra vonatkozó fejlett statisztikai rendszer</w:t>
            </w:r>
          </w:p>
          <w:p w14:paraId="1279C8E6" w14:textId="77777777" w:rsidR="003F5418" w:rsidRDefault="002A6C25">
            <w:pPr>
              <w:pStyle w:val="P68B1DB1-ListParagraph5"/>
              <w:numPr>
                <w:ilvl w:val="0"/>
                <w:numId w:val="81"/>
              </w:numPr>
              <w:spacing w:before="0" w:after="0"/>
              <w:ind w:left="357" w:hanging="357"/>
              <w:contextualSpacing w:val="0"/>
              <w:jc w:val="left"/>
              <w:rPr>
                <w:noProof/>
              </w:rPr>
            </w:pPr>
            <w:r>
              <w:rPr>
                <w:noProof/>
              </w:rPr>
              <w:t>Automatizált rendszer az áldozat és a bűnö</w:t>
            </w:r>
            <w:r>
              <w:rPr>
                <w:noProof/>
              </w:rPr>
              <w:t xml:space="preserve">sség közötti kapcsolat azonosítására. </w:t>
            </w:r>
          </w:p>
          <w:p w14:paraId="651CE0D1" w14:textId="77777777" w:rsidR="003F5418" w:rsidRDefault="002A6C25">
            <w:pPr>
              <w:pStyle w:val="P68B1DB1-Normal4"/>
              <w:spacing w:before="120"/>
              <w:rPr>
                <w:noProof/>
              </w:rPr>
            </w:pPr>
            <w:r>
              <w:rPr>
                <w:noProof/>
              </w:rPr>
              <w:t>A hat tétel hasonló technológiákat alkalmazó különálló rendszerek. A rendszerek kerete azonos: belső és külső forrásokból származó adatok és dokumentumok összekapcsolása; a rendszerek mintái a felhasználók (pl. polgár</w:t>
            </w:r>
            <w:r>
              <w:rPr>
                <w:noProof/>
              </w:rPr>
              <w:t>i és büntetőbírók) és a célkitűzések (pl. statisztikák és ítéletek) szerint eltérőek.</w:t>
            </w:r>
          </w:p>
        </w:tc>
      </w:tr>
      <w:tr w:rsidR="003F5418" w14:paraId="68FBB72F" w14:textId="77777777">
        <w:trPr>
          <w:trHeight w:val="309"/>
        </w:trPr>
        <w:tc>
          <w:tcPr>
            <w:tcW w:w="1284" w:type="dxa"/>
            <w:shd w:val="clear" w:color="auto" w:fill="C6EFCE"/>
            <w:noWrap/>
            <w:vAlign w:val="center"/>
          </w:tcPr>
          <w:p w14:paraId="5ED74209" w14:textId="77777777" w:rsidR="003F5418" w:rsidRDefault="002A6C25">
            <w:pPr>
              <w:pStyle w:val="P68B1DB1-Normal4"/>
              <w:jc w:val="center"/>
              <w:rPr>
                <w:noProof/>
              </w:rPr>
            </w:pPr>
            <w:r>
              <w:rPr>
                <w:noProof/>
              </w:rPr>
              <w:t>M1C1–155</w:t>
            </w:r>
          </w:p>
        </w:tc>
        <w:tc>
          <w:tcPr>
            <w:tcW w:w="1746" w:type="dxa"/>
            <w:shd w:val="clear" w:color="auto" w:fill="C6EFCE"/>
            <w:noWrap/>
            <w:vAlign w:val="center"/>
          </w:tcPr>
          <w:p w14:paraId="030D4012" w14:textId="77777777" w:rsidR="003F5418" w:rsidRDefault="002A6C25">
            <w:pPr>
              <w:pStyle w:val="P68B1DB1-Normal4"/>
              <w:jc w:val="center"/>
              <w:rPr>
                <w:noProof/>
              </w:rPr>
            </w:pPr>
            <w:r>
              <w:rPr>
                <w:noProof/>
              </w:rPr>
              <w:t>Beruházás – A Nemzeti Társadalombiztosítási Intézet (INPS) és a Nemzeti Munkahelyi Balesetbiztosítási Intézet (INAIL) digitalizálása</w:t>
            </w:r>
          </w:p>
        </w:tc>
        <w:tc>
          <w:tcPr>
            <w:tcW w:w="992" w:type="dxa"/>
            <w:shd w:val="clear" w:color="auto" w:fill="C6EFCE"/>
            <w:noWrap/>
            <w:vAlign w:val="center"/>
          </w:tcPr>
          <w:p w14:paraId="2E5F9C20" w14:textId="77777777" w:rsidR="003F5418" w:rsidRDefault="002A6C25">
            <w:pPr>
              <w:pStyle w:val="P68B1DB1-Normal4"/>
              <w:jc w:val="center"/>
              <w:rPr>
                <w:noProof/>
              </w:rPr>
            </w:pPr>
            <w:r>
              <w:rPr>
                <w:noProof/>
              </w:rPr>
              <w:t>Cél</w:t>
            </w:r>
          </w:p>
        </w:tc>
        <w:tc>
          <w:tcPr>
            <w:tcW w:w="2126" w:type="dxa"/>
            <w:shd w:val="clear" w:color="auto" w:fill="C6EFCE"/>
            <w:noWrap/>
            <w:vAlign w:val="center"/>
          </w:tcPr>
          <w:p w14:paraId="24F54A33" w14:textId="77777777" w:rsidR="003F5418" w:rsidRDefault="002A6C25">
            <w:pPr>
              <w:pStyle w:val="P68B1DB1-Normal4"/>
              <w:jc w:val="center"/>
              <w:rPr>
                <w:noProof/>
              </w:rPr>
            </w:pPr>
            <w:r>
              <w:rPr>
                <w:noProof/>
              </w:rPr>
              <w:t xml:space="preserve">INAIL – T2 teljesen </w:t>
            </w:r>
            <w:r>
              <w:rPr>
                <w:noProof/>
              </w:rPr>
              <w:t>átalakított és digitalizált folyamatok/szolgáltatások</w:t>
            </w:r>
          </w:p>
        </w:tc>
        <w:tc>
          <w:tcPr>
            <w:tcW w:w="1701" w:type="dxa"/>
            <w:shd w:val="clear" w:color="auto" w:fill="C6EFCE"/>
            <w:noWrap/>
            <w:vAlign w:val="center"/>
          </w:tcPr>
          <w:p w14:paraId="712C5772"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D23B736"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6E3863C3" w14:textId="77777777" w:rsidR="003F5418" w:rsidRDefault="002A6C25">
            <w:pPr>
              <w:pStyle w:val="P68B1DB1-Normal4"/>
              <w:jc w:val="center"/>
              <w:rPr>
                <w:noProof/>
              </w:rPr>
            </w:pPr>
            <w:r>
              <w:rPr>
                <w:noProof/>
              </w:rPr>
              <w:t>53</w:t>
            </w:r>
          </w:p>
        </w:tc>
        <w:tc>
          <w:tcPr>
            <w:tcW w:w="1417" w:type="dxa"/>
            <w:shd w:val="clear" w:color="auto" w:fill="C6EFCE"/>
            <w:noWrap/>
            <w:vAlign w:val="center"/>
          </w:tcPr>
          <w:p w14:paraId="0458252E" w14:textId="77777777" w:rsidR="003F5418" w:rsidRDefault="002A6C25">
            <w:pPr>
              <w:pStyle w:val="P68B1DB1-Normal4"/>
              <w:jc w:val="center"/>
              <w:rPr>
                <w:noProof/>
              </w:rPr>
            </w:pPr>
            <w:r>
              <w:rPr>
                <w:noProof/>
              </w:rPr>
              <w:t>82</w:t>
            </w:r>
          </w:p>
        </w:tc>
        <w:tc>
          <w:tcPr>
            <w:tcW w:w="793" w:type="dxa"/>
            <w:shd w:val="clear" w:color="auto" w:fill="C6EFCE"/>
            <w:noWrap/>
            <w:vAlign w:val="center"/>
          </w:tcPr>
          <w:p w14:paraId="44971A92" w14:textId="77777777" w:rsidR="003F5418" w:rsidRDefault="002A6C25">
            <w:pPr>
              <w:pStyle w:val="P68B1DB1-Normal4"/>
              <w:jc w:val="center"/>
              <w:rPr>
                <w:noProof/>
              </w:rPr>
            </w:pPr>
            <w:r>
              <w:rPr>
                <w:noProof/>
              </w:rPr>
              <w:t>Q2</w:t>
            </w:r>
          </w:p>
        </w:tc>
        <w:tc>
          <w:tcPr>
            <w:tcW w:w="625" w:type="dxa"/>
            <w:shd w:val="clear" w:color="auto" w:fill="C6EFCE"/>
            <w:noWrap/>
            <w:vAlign w:val="center"/>
          </w:tcPr>
          <w:p w14:paraId="73E32A1A" w14:textId="77777777" w:rsidR="003F5418" w:rsidRDefault="002A6C25">
            <w:pPr>
              <w:pStyle w:val="P68B1DB1-Normal4"/>
              <w:jc w:val="center"/>
              <w:rPr>
                <w:noProof/>
              </w:rPr>
            </w:pPr>
            <w:r>
              <w:rPr>
                <w:noProof/>
              </w:rPr>
              <w:t>2026</w:t>
            </w:r>
          </w:p>
        </w:tc>
        <w:tc>
          <w:tcPr>
            <w:tcW w:w="2584" w:type="dxa"/>
            <w:shd w:val="clear" w:color="auto" w:fill="C6EFCE"/>
            <w:noWrap/>
            <w:vAlign w:val="center"/>
          </w:tcPr>
          <w:p w14:paraId="6CD32A31" w14:textId="77777777" w:rsidR="003F5418" w:rsidRDefault="002A6C25">
            <w:pPr>
              <w:pStyle w:val="P68B1DB1-Normal4"/>
              <w:spacing w:after="120"/>
              <w:rPr>
                <w:noProof/>
              </w:rPr>
            </w:pPr>
            <w:r>
              <w:rPr>
                <w:noProof/>
              </w:rPr>
              <w:t xml:space="preserve">A cél 82 (80%) átalakított intézményi folyamat és szolgáltatás megvalósítása annak érdekében, hogy azok teljes mértékben digitalizálódjanak. Az INAIL érintett területei a </w:t>
            </w:r>
            <w:r>
              <w:rPr>
                <w:noProof/>
              </w:rPr>
              <w:t>következők: Biztosítás, szociális és egészségügyi szolgáltatások, megelőzési és biztonsági munka, tanúsítások és ellenőrzések.</w:t>
            </w:r>
          </w:p>
          <w:p w14:paraId="7C0698A7" w14:textId="77777777" w:rsidR="003F5418" w:rsidRDefault="002A6C25">
            <w:pPr>
              <w:pStyle w:val="P68B1DB1-Normal4"/>
              <w:rPr>
                <w:noProof/>
              </w:rPr>
            </w:pPr>
            <w:r>
              <w:rPr>
                <w:noProof/>
              </w:rPr>
              <w:t xml:space="preserve">Az egyes területekre vonatkozó várható célkitûzések a fentiekben szerepelnek: </w:t>
            </w:r>
          </w:p>
          <w:p w14:paraId="241B2C71" w14:textId="77777777" w:rsidR="003F5418" w:rsidRDefault="002A6C25">
            <w:pPr>
              <w:pStyle w:val="P68B1DB1-ListParagraph5"/>
              <w:numPr>
                <w:ilvl w:val="0"/>
                <w:numId w:val="80"/>
              </w:numPr>
              <w:spacing w:after="0"/>
              <w:ind w:left="399" w:hanging="283"/>
              <w:jc w:val="left"/>
              <w:rPr>
                <w:noProof/>
              </w:rPr>
            </w:pPr>
            <w:r>
              <w:rPr>
                <w:noProof/>
              </w:rPr>
              <w:t>Biztosítás: 26 (80%);</w:t>
            </w:r>
          </w:p>
          <w:p w14:paraId="4184A293" w14:textId="77777777" w:rsidR="003F5418" w:rsidRDefault="002A6C25">
            <w:pPr>
              <w:pStyle w:val="P68B1DB1-ListParagraph5"/>
              <w:numPr>
                <w:ilvl w:val="0"/>
                <w:numId w:val="80"/>
              </w:numPr>
              <w:spacing w:after="0"/>
              <w:ind w:left="399" w:hanging="283"/>
              <w:jc w:val="left"/>
              <w:rPr>
                <w:noProof/>
              </w:rPr>
            </w:pPr>
            <w:r>
              <w:rPr>
                <w:noProof/>
              </w:rPr>
              <w:t>Szociális és egészségügyi sz</w:t>
            </w:r>
            <w:r>
              <w:rPr>
                <w:noProof/>
              </w:rPr>
              <w:t>olgáltatások: 29 (80%);</w:t>
            </w:r>
          </w:p>
          <w:p w14:paraId="185DABBC" w14:textId="77777777" w:rsidR="003F5418" w:rsidRDefault="002A6C25">
            <w:pPr>
              <w:pStyle w:val="P68B1DB1-ListParagraph5"/>
              <w:numPr>
                <w:ilvl w:val="0"/>
                <w:numId w:val="80"/>
              </w:numPr>
              <w:spacing w:after="0"/>
              <w:ind w:left="399" w:hanging="283"/>
              <w:jc w:val="left"/>
              <w:rPr>
                <w:noProof/>
              </w:rPr>
            </w:pPr>
            <w:r>
              <w:rPr>
                <w:noProof/>
              </w:rPr>
              <w:t>Megelőzési és biztonsági munka: 9 (80%);</w:t>
            </w:r>
          </w:p>
          <w:p w14:paraId="5C9205F7" w14:textId="77777777" w:rsidR="003F5418" w:rsidRDefault="002A6C25">
            <w:pPr>
              <w:pStyle w:val="P68B1DB1-ListParagraph5"/>
              <w:numPr>
                <w:ilvl w:val="0"/>
                <w:numId w:val="80"/>
              </w:numPr>
              <w:ind w:left="397" w:hanging="284"/>
              <w:jc w:val="left"/>
              <w:rPr>
                <w:noProof/>
              </w:rPr>
            </w:pPr>
            <w:r>
              <w:rPr>
                <w:noProof/>
              </w:rPr>
              <w:t>Tanúsítások és ellenőrzések: 18 (80%).</w:t>
            </w:r>
          </w:p>
        </w:tc>
      </w:tr>
    </w:tbl>
    <w:p w14:paraId="1BAF79D7" w14:textId="77777777" w:rsidR="003F5418" w:rsidRDefault="003F5418">
      <w:pPr>
        <w:spacing w:before="120" w:after="120"/>
        <w:jc w:val="both"/>
        <w:rPr>
          <w:noProof/>
        </w:rPr>
      </w:pPr>
    </w:p>
    <w:p w14:paraId="35E1F8EF" w14:textId="77777777" w:rsidR="003F5418" w:rsidRDefault="003F5418">
      <w:pPr>
        <w:spacing w:before="120" w:after="120"/>
        <w:jc w:val="both"/>
        <w:rPr>
          <w:noProof/>
        </w:rPr>
      </w:pPr>
    </w:p>
    <w:p w14:paraId="3917BBC5" w14:textId="77777777" w:rsidR="003F5418" w:rsidRDefault="003F5418">
      <w:pPr>
        <w:spacing w:before="120" w:after="120"/>
        <w:jc w:val="both"/>
        <w:rPr>
          <w:noProof/>
        </w:rPr>
        <w:sectPr w:rsidR="003F5418">
          <w:headerReference w:type="even" r:id="rId38"/>
          <w:headerReference w:type="default" r:id="rId39"/>
          <w:footerReference w:type="even" r:id="rId40"/>
          <w:footerReference w:type="default" r:id="rId41"/>
          <w:headerReference w:type="first" r:id="rId42"/>
          <w:footerReference w:type="first" r:id="rId43"/>
          <w:pgSz w:w="16839" w:h="11907" w:orient="landscape"/>
          <w:pgMar w:top="1134" w:right="1134" w:bottom="1134" w:left="1134" w:header="567" w:footer="567" w:gutter="0"/>
          <w:cols w:space="720"/>
          <w:docGrid w:linePitch="360"/>
        </w:sectPr>
      </w:pPr>
    </w:p>
    <w:p w14:paraId="5E8B5153" w14:textId="77777777" w:rsidR="003F5418" w:rsidRDefault="002A6C25">
      <w:pPr>
        <w:pStyle w:val="Heading2"/>
        <w:numPr>
          <w:ilvl w:val="1"/>
          <w:numId w:val="0"/>
        </w:numPr>
        <w:ind w:left="850" w:hanging="850"/>
        <w:rPr>
          <w:noProof/>
        </w:rPr>
      </w:pPr>
      <w:r>
        <w:rPr>
          <w:noProof/>
        </w:rPr>
        <w:t>B. 1. KÜLDETÉS, 2. KOMPONENS:</w:t>
      </w:r>
    </w:p>
    <w:p w14:paraId="21BBD869" w14:textId="614C626F" w:rsidR="003F5418" w:rsidRDefault="002B1B5E">
      <w:pPr>
        <w:pStyle w:val="P68B1DB1-Normal10"/>
        <w:spacing w:before="120" w:after="120"/>
        <w:jc w:val="both"/>
        <w:rPr>
          <w:noProof/>
        </w:rPr>
      </w:pPr>
      <w:r>
        <w:rPr>
          <w:noProof/>
        </w:rPr>
        <w:t>1. Tengely – A termelési rendszer digitalizációja, innovációja és versenyképessége</w:t>
      </w:r>
    </w:p>
    <w:p w14:paraId="3E6A0644" w14:textId="77777777" w:rsidR="003F5418" w:rsidRDefault="002A6C25">
      <w:pPr>
        <w:spacing w:before="120" w:after="120"/>
        <w:jc w:val="both"/>
        <w:rPr>
          <w:noProof/>
        </w:rPr>
      </w:pPr>
      <w:r>
        <w:rPr>
          <w:noProof/>
        </w:rPr>
        <w:t>Az olasz helyreállítási és rezilienciaépítési terv 1. küldetésének 2. komponense 1. tengelye elsősorban i. a digitális átállásnak és a termelési rendszer innovációjának a technológiai, kutatási, fejlesztési és innovációs ber</w:t>
      </w:r>
      <w:r>
        <w:rPr>
          <w:noProof/>
        </w:rPr>
        <w:t>uházások ösztönzése révén történő támogatására irányuló beruházásokra és reformokra vonatkozik; a digitális szakadék csökkentése érdekében szupergyors széles sávú és 5G hálózatok, valamint műholdas konstellációk és szolgáltatások kiépítése; a stratégiai ér</w:t>
      </w:r>
      <w:r>
        <w:rPr>
          <w:noProof/>
        </w:rPr>
        <w:t>tékláncok fejlesztésének előmozdítása és a vállalatok versenyképességének támogatása, különös tekintettel a kkv-kra.</w:t>
      </w:r>
    </w:p>
    <w:p w14:paraId="047F3B8B" w14:textId="77777777" w:rsidR="003F5418" w:rsidRDefault="002A6C25">
      <w:pPr>
        <w:spacing w:before="120" w:after="120"/>
        <w:jc w:val="both"/>
        <w:rPr>
          <w:noProof/>
        </w:rPr>
      </w:pPr>
      <w:r>
        <w:rPr>
          <w:noProof/>
        </w:rPr>
        <w:t>Az ezen alkotóelemhez tartozó intézkedések célja a digitális gazdaság és társadalom fejlettségét mérő mutató (DESI) 2020-ból a vállalkozáso</w:t>
      </w:r>
      <w:r>
        <w:rPr>
          <w:noProof/>
        </w:rPr>
        <w:t>k digitális átalakulása és az összekapcsoltság terén jelentkező hiányosságok kezelése az ország társadalmi és gazdasági rezilienciájának megerősítése érdekében.</w:t>
      </w:r>
    </w:p>
    <w:p w14:paraId="201BF8FF" w14:textId="77777777" w:rsidR="003F5418" w:rsidRDefault="002A6C25">
      <w:pPr>
        <w:spacing w:before="120" w:after="120"/>
        <w:jc w:val="both"/>
        <w:rPr>
          <w:noProof/>
        </w:rPr>
      </w:pPr>
      <w:r>
        <w:rPr>
          <w:noProof/>
        </w:rPr>
        <w:t>Az e komponenshez tartozó beruházásoknak és reformoknak hozzá kell járulniuk a 2020-ban és 2019</w:t>
      </w:r>
      <w:r>
        <w:rPr>
          <w:noProof/>
        </w:rPr>
        <w:t>-ben Olaszországnak címzett, „a távoktatás és a – többek között digitális – készségek” (2. országspecifikus ajánlás, 2020. évi 2. országspecifikus ajánlás), „a gazdasági fellendülést elősegítő magánberuházások előmozdítása” (3. országspecifikus ajánlás, 20</w:t>
      </w:r>
      <w:r>
        <w:rPr>
          <w:noProof/>
        </w:rPr>
        <w:t xml:space="preserve">20. évi 3. sz. országspecifikus ajánlás), valamint „a beruházásoknak a zöld és digitális átállásra való összpontosítása” szükségességére vonatkozó országspecifikus ajánlások teljesítéséhez, különösen a következők tekintetében: [...] megerősített digitális </w:t>
      </w:r>
      <w:r>
        <w:rPr>
          <w:noProof/>
        </w:rPr>
        <w:t>infrastruktúra az alapvető szolgáltatások nyújtásának biztosítása érdekében” (3. országspecifikus ajánlás, 2020. évi 3. ajánlás), „a továbbképzés előmozdítása, többek között a digitális készségek megerősítése révén (2. országspecifikus ajánlás, 2019. évi 2</w:t>
      </w:r>
      <w:r>
        <w:rPr>
          <w:noProof/>
        </w:rPr>
        <w:t>. országspecifikus ajánlás), „a beruházásokkal kapcsolatos gazdaságpolitika középpontba helyezése a kutatásra és az innovációra, valamint az infrastruktúra minőségére, figyelembe véve a regionális egyenlőtlenségeket is” (3. országspecifikus ajánlás, 2019.)</w:t>
      </w:r>
      <w:r>
        <w:rPr>
          <w:noProof/>
        </w:rPr>
        <w:t xml:space="preserve">, valamint bizonyos mértékig „az innovatív és kisebb vállalkozások nem banki finanszírozáshoz való hozzáférésének támogatása” (5. országspecifikus ajánlás, 2019.). </w:t>
      </w:r>
    </w:p>
    <w:p w14:paraId="6C2C1CA2" w14:textId="77777777" w:rsidR="003F5418" w:rsidRDefault="002A6C25">
      <w:pPr>
        <w:spacing w:before="120" w:after="120"/>
        <w:jc w:val="both"/>
        <w:rPr>
          <w:noProof/>
        </w:rPr>
      </w:pPr>
      <w:r>
        <w:rPr>
          <w:noProof/>
        </w:rPr>
        <w:t>Az ebben a komponensben szereplő egyetlen intézkedés sem sérti jelentősen a környezeti célk</w:t>
      </w:r>
      <w:r>
        <w:rPr>
          <w:noProof/>
        </w:rPr>
        <w:t>itűzéseket az (EU) 2020/852 rendelet 17. cikke értelmében, figyelembe véve a helyreállítási és rezilienciaépítési tervben a jelentős károkozás elkerülését célzó technikai iránymutatással (2021/C58/01) összhangban meghatározott intézkedések és enyhítő lépés</w:t>
      </w:r>
      <w:r>
        <w:rPr>
          <w:noProof/>
        </w:rPr>
        <w:t>ek leírását.</w:t>
      </w:r>
    </w:p>
    <w:p w14:paraId="7353766C" w14:textId="32DCA00B" w:rsidR="003F5418" w:rsidRDefault="002B1B5E" w:rsidP="002B1B5E">
      <w:pPr>
        <w:pStyle w:val="P68B1DB1-Normal10"/>
        <w:spacing w:before="120" w:after="120"/>
        <w:jc w:val="both"/>
        <w:rPr>
          <w:noProof/>
        </w:rPr>
      </w:pPr>
      <w:r>
        <w:rPr>
          <w:noProof/>
        </w:rPr>
        <w:t>2. Tengely – Az üzleti környezet és a verseny javítása</w:t>
      </w:r>
    </w:p>
    <w:p w14:paraId="63F30BF0" w14:textId="77777777" w:rsidR="003F5418" w:rsidRDefault="002A6C25">
      <w:pPr>
        <w:spacing w:before="120" w:after="120"/>
        <w:jc w:val="both"/>
        <w:rPr>
          <w:noProof/>
        </w:rPr>
      </w:pPr>
      <w:r>
        <w:rPr>
          <w:noProof/>
        </w:rPr>
        <w:t>Az 1. küldetés 2. komponense 2. tengelyének fő célja az üzleti környezet javítása a vállalkozói szellem elősegítése érdekében, valamint a verseny keretfeltételeinek javítása az erőforrások</w:t>
      </w:r>
      <w:r>
        <w:rPr>
          <w:noProof/>
        </w:rPr>
        <w:t xml:space="preserve"> hatékonyabb elosztása és a termelékenység növelése érdekében. E célok elérésének fő eszköze az évente elfogadandó éves versenyjogi törvény. </w:t>
      </w:r>
    </w:p>
    <w:p w14:paraId="7E1DD604" w14:textId="75FB7AAD" w:rsidR="003F5418" w:rsidRDefault="002A6C25">
      <w:pPr>
        <w:spacing w:before="120" w:after="120"/>
        <w:jc w:val="both"/>
        <w:rPr>
          <w:noProof/>
        </w:rPr>
      </w:pPr>
      <w:r>
        <w:rPr>
          <w:noProof/>
        </w:rPr>
        <w:t>Az e komponens alá tartozó beruházásoknak és reformoknak hozzá kell járulniuk a versenykorlátozások kezelésének sz</w:t>
      </w:r>
      <w:r>
        <w:rPr>
          <w:noProof/>
        </w:rPr>
        <w:t>ükségességéről szóló, 2019-ben Olaszországnak címzett országspecifikus ajánlások teljesítéséhez, többek között egy új éves versenyjog révén (2019. évi 3. országspecifikus ajánlás).</w:t>
      </w:r>
    </w:p>
    <w:p w14:paraId="59A863DE" w14:textId="77777777" w:rsidR="003F5418" w:rsidRDefault="002A6C25">
      <w:pPr>
        <w:pStyle w:val="Heading3"/>
        <w:numPr>
          <w:ilvl w:val="2"/>
          <w:numId w:val="0"/>
        </w:numPr>
        <w:ind w:left="850" w:hanging="850"/>
        <w:rPr>
          <w:b/>
          <w:i w:val="0"/>
          <w:noProof/>
          <w:u w:val="single"/>
        </w:rPr>
      </w:pPr>
      <w:r>
        <w:rPr>
          <w:b/>
          <w:i w:val="0"/>
          <w:noProof/>
          <w:u w:val="single"/>
        </w:rPr>
        <w:t xml:space="preserve">B.1. </w:t>
      </w:r>
      <w:r>
        <w:rPr>
          <w:noProof/>
        </w:rPr>
        <w:t xml:space="preserve"> </w:t>
      </w:r>
      <w:r>
        <w:rPr>
          <w:b/>
          <w:i w:val="0"/>
          <w:noProof/>
          <w:u w:val="single"/>
        </w:rPr>
        <w:t>Vissza nem térítendő pénzügyi támogatás – a reformok és beruházások i</w:t>
      </w:r>
      <w:r>
        <w:rPr>
          <w:b/>
          <w:i w:val="0"/>
          <w:noProof/>
          <w:u w:val="single"/>
        </w:rPr>
        <w:t>smertetése</w:t>
      </w:r>
    </w:p>
    <w:p w14:paraId="2C0C24C6" w14:textId="5B7D6381" w:rsidR="003F5418" w:rsidRDefault="002B1B5E">
      <w:pPr>
        <w:pStyle w:val="P68B1DB1-Normal11"/>
        <w:spacing w:before="120" w:after="120"/>
        <w:jc w:val="both"/>
        <w:rPr>
          <w:noProof/>
          <w:color w:val="4472C4" w:themeColor="accent1"/>
        </w:rPr>
      </w:pPr>
      <w:r>
        <w:rPr>
          <w:noProof/>
        </w:rPr>
        <w:t xml:space="preserve">1. Tengely – </w:t>
      </w:r>
      <w:r>
        <w:rPr>
          <w:noProof/>
          <w:u w:val="single"/>
        </w:rPr>
        <w:t>A termelési rendszer digitalizációja, innovációja és versenyképessége</w:t>
      </w:r>
    </w:p>
    <w:p w14:paraId="68EB93B3" w14:textId="46CDB863" w:rsidR="003F5418" w:rsidRDefault="002A6C25">
      <w:pPr>
        <w:pStyle w:val="P68B1DB1-Normal2"/>
        <w:spacing w:before="120" w:after="120"/>
        <w:jc w:val="both"/>
        <w:rPr>
          <w:i/>
          <w:noProof/>
        </w:rPr>
      </w:pPr>
      <w:r>
        <w:rPr>
          <w:noProof/>
        </w:rPr>
        <w:t xml:space="preserve">1. </w:t>
      </w:r>
      <w:r w:rsidR="002B1B5E">
        <w:rPr>
          <w:noProof/>
        </w:rPr>
        <w:t>B</w:t>
      </w:r>
      <w:r>
        <w:rPr>
          <w:noProof/>
        </w:rPr>
        <w:t>eruházás</w:t>
      </w:r>
      <w:r w:rsidR="002B1B5E">
        <w:rPr>
          <w:noProof/>
        </w:rPr>
        <w:t>:</w:t>
      </w:r>
      <w:r>
        <w:rPr>
          <w:noProof/>
        </w:rPr>
        <w:t xml:space="preserve"> Átállás 4.0</w:t>
      </w:r>
    </w:p>
    <w:p w14:paraId="308E16B7" w14:textId="77777777" w:rsidR="003F5418" w:rsidRDefault="002A6C25">
      <w:pPr>
        <w:spacing w:before="120" w:after="120"/>
        <w:jc w:val="both"/>
        <w:rPr>
          <w:i/>
          <w:noProof/>
          <w:u w:val="single"/>
        </w:rPr>
      </w:pPr>
      <w:r>
        <w:rPr>
          <w:noProof/>
        </w:rPr>
        <w:t xml:space="preserve">Az intézkedés célja a vállalkozások digitális átalakulásának támogatása a digitalizációt támogató eszközökbe és tevékenységekbe történő </w:t>
      </w:r>
      <w:r>
        <w:rPr>
          <w:noProof/>
        </w:rPr>
        <w:t>magánberuházások ösztönzése révén. Az olasz helyreállítási és rezilienciaépítési terv keretében finanszírozott intézkedés egy szélesebb körű Átmenet 4.0 terv részét képezi, amely a vállalkozások digitális átalakulásának fellendítése érdekében nemzeti szint</w:t>
      </w:r>
      <w:r>
        <w:rPr>
          <w:noProof/>
        </w:rPr>
        <w:t>en finanszírozott egyéb támogatási intézkedéseket is tartalmaz.</w:t>
      </w:r>
    </w:p>
    <w:p w14:paraId="560A3868" w14:textId="77777777" w:rsidR="003F5418" w:rsidRDefault="002A6C25">
      <w:pPr>
        <w:spacing w:before="120" w:after="120"/>
        <w:jc w:val="both"/>
        <w:rPr>
          <w:noProof/>
        </w:rPr>
      </w:pPr>
      <w:r>
        <w:rPr>
          <w:noProof/>
        </w:rPr>
        <w:t>Az intézkedés adójóváírási programból áll, és a 2021. január 1. és 2023. december 31. közötti időszakban (2024. november 30. azon vállalkozások esetében, amelyek adóéve nem felel meg a naptári</w:t>
      </w:r>
      <w:r>
        <w:rPr>
          <w:noProof/>
        </w:rPr>
        <w:t xml:space="preserve"> évnek) benyújtott adóbevallásokban érvényesítendő költségekre terjed ki. Az intézkedés magában foglalja az adójóváírási kódok meghatározását is, amelyet az Adóhivatal határozata határoz meg annak érdekében, hogy a kedvezményezettek az F24 fizetési modell </w:t>
      </w:r>
      <w:r>
        <w:rPr>
          <w:noProof/>
        </w:rPr>
        <w:t xml:space="preserve">szerinti adójóváírásokat használhassák. </w:t>
      </w:r>
    </w:p>
    <w:p w14:paraId="6122C406" w14:textId="77777777" w:rsidR="003F5418" w:rsidRDefault="002A6C25">
      <w:pPr>
        <w:spacing w:before="120" w:after="120"/>
        <w:jc w:val="both"/>
        <w:rPr>
          <w:noProof/>
        </w:rPr>
      </w:pPr>
      <w:r>
        <w:rPr>
          <w:noProof/>
        </w:rPr>
        <w:t>A támogatott adójóváírások a következő eszközökre és tevékenységekre terjednek ki:</w:t>
      </w:r>
    </w:p>
    <w:p w14:paraId="0DC6F6A5" w14:textId="77777777" w:rsidR="003F5418" w:rsidRDefault="002A6C25">
      <w:pPr>
        <w:pStyle w:val="ListParagraph"/>
        <w:numPr>
          <w:ilvl w:val="0"/>
          <w:numId w:val="72"/>
        </w:numPr>
        <w:ind w:left="360"/>
        <w:rPr>
          <w:rFonts w:eastAsiaTheme="minorEastAsia"/>
          <w:noProof/>
        </w:rPr>
      </w:pPr>
      <w:r>
        <w:rPr>
          <w:noProof/>
        </w:rPr>
        <w:t>beruházási javak, amelyek a következőkből állnak: i. 4.0 (azaz technológiailag fejlett) tárgyi eszközök, mint például a számítógépes rendszerek által irányított gyártógépek vagy szenzorok/hajtók, a termék- vagy folyamatirányításra használt gépek és rendsze</w:t>
      </w:r>
      <w:r>
        <w:rPr>
          <w:noProof/>
        </w:rPr>
        <w:t>rek, valamint az interaktív rendszerek; ezek mindegyikét digitális jellemzőkkel, például automatizált integrációval és ember-gép interfészrel kell jellemezni; ii. 4.0 immateriális javak, például a 3D modellezés, a gyáron belüli kommunikációs rendszerek, va</w:t>
      </w:r>
      <w:r>
        <w:rPr>
          <w:noProof/>
        </w:rPr>
        <w:t xml:space="preserve">lamint a mesterséges intelligencia és a gépi tanulási szoftverek, rendszerek, platformok és alkalmazások; iii. standard immateriális javak, mint például az üzleti irányítással kapcsolatos szoftverek. Ez magában foglalja a 2021. január 1. és 2023. december </w:t>
      </w:r>
      <w:r>
        <w:rPr>
          <w:noProof/>
        </w:rPr>
        <w:t xml:space="preserve">31. közötti adóbevallásokban bemutatott adójóváírásokat (2024. november 30. azon vállalkozások esetében, amelyek adóéve nem felel meg a naptári évnek). </w:t>
      </w:r>
    </w:p>
    <w:p w14:paraId="24F0D0F7" w14:textId="77777777" w:rsidR="003F5418" w:rsidRDefault="002A6C25">
      <w:pPr>
        <w:pStyle w:val="ListParagraph"/>
        <w:numPr>
          <w:ilvl w:val="0"/>
          <w:numId w:val="72"/>
        </w:numPr>
        <w:ind w:left="360"/>
        <w:rPr>
          <w:rFonts w:eastAsiaTheme="minorEastAsia"/>
          <w:noProof/>
        </w:rPr>
      </w:pPr>
      <w:r>
        <w:rPr>
          <w:noProof/>
        </w:rPr>
        <w:t>kutatási, fejlesztési és innovációs tevékenységek, amelyek a kutatás-fejlesztésből, a technológiai inno</w:t>
      </w:r>
      <w:r>
        <w:rPr>
          <w:noProof/>
        </w:rPr>
        <w:t>vációból, a zöld és digitális innovációból, valamint a tervezési tevékenységekből állnak. Ez magában foglalja a 2022. január 1. és 2023. december 31. közötti adóbevallásokban bemutatott adójóváírásokat (2024. november 30. azon vállalkozások esetében, amely</w:t>
      </w:r>
      <w:r>
        <w:rPr>
          <w:noProof/>
        </w:rPr>
        <w:t xml:space="preserve">ek adóéve nem felel meg a naptári évnek). </w:t>
      </w:r>
    </w:p>
    <w:p w14:paraId="458D4FF9" w14:textId="77777777" w:rsidR="003F5418" w:rsidRDefault="002A6C25">
      <w:pPr>
        <w:pStyle w:val="ListParagraph"/>
        <w:numPr>
          <w:ilvl w:val="0"/>
          <w:numId w:val="72"/>
        </w:numPr>
        <w:ind w:left="360"/>
        <w:rPr>
          <w:rFonts w:eastAsiaTheme="minorEastAsia"/>
          <w:noProof/>
        </w:rPr>
      </w:pPr>
      <w:r>
        <w:rPr>
          <w:noProof/>
        </w:rPr>
        <w:t>a releváns technológiákkal – például a nagy adathalmazokkal és az adatelemzéssel, az emberi gépi felülettel, a dolgok internetével, az üzleti folyamatok digitális integrációjával, a kiberbiztonsággal – kapcsolatos</w:t>
      </w:r>
      <w:r>
        <w:rPr>
          <w:noProof/>
        </w:rPr>
        <w:t xml:space="preserve"> ismeretek megszerzése vagy megszilárdítása érdekében végzett képzési tevékenységek. Ez magában foglalja a 2022. január 1. és 2023. december 31. közötti adóbevallásokban bemutatott adójóváírásokat (2024. november 30. azon vállalkozások esetében, amelyek ad</w:t>
      </w:r>
      <w:r>
        <w:rPr>
          <w:noProof/>
        </w:rPr>
        <w:t xml:space="preserve">óéve nem felel meg a naptári évnek). </w:t>
      </w:r>
    </w:p>
    <w:p w14:paraId="5941DECB" w14:textId="77777777" w:rsidR="003F5418" w:rsidRDefault="002A6C25">
      <w:pPr>
        <w:spacing w:before="120" w:after="120"/>
        <w:jc w:val="both"/>
        <w:rPr>
          <w:noProof/>
        </w:rPr>
      </w:pPr>
      <w:r>
        <w:rPr>
          <w:noProof/>
        </w:rPr>
        <w:t>Az intézkedés magában foglalja a Gazdasági és Pénzügyminisztérium, a Gazdaságfejlesztési Minisztérium és az Olasz Nemzeti Bank szakértőiből álló tudományos bizottság létrehozását a program gazdasági hatásának értékelés</w:t>
      </w:r>
      <w:r>
        <w:rPr>
          <w:noProof/>
        </w:rPr>
        <w:t>ére.</w:t>
      </w:r>
    </w:p>
    <w:p w14:paraId="4F0CFBB2" w14:textId="79DA5C09" w:rsidR="003F5418" w:rsidRDefault="002A6C25">
      <w:pPr>
        <w:pStyle w:val="P68B1DB1-Normal2"/>
        <w:spacing w:before="120" w:after="120"/>
        <w:jc w:val="both"/>
        <w:rPr>
          <w:noProof/>
        </w:rPr>
      </w:pPr>
      <w:r>
        <w:rPr>
          <w:noProof/>
        </w:rPr>
        <w:t xml:space="preserve">1. </w:t>
      </w:r>
      <w:r w:rsidR="002B1B5E">
        <w:rPr>
          <w:noProof/>
        </w:rPr>
        <w:t>R</w:t>
      </w:r>
      <w:r>
        <w:rPr>
          <w:noProof/>
        </w:rPr>
        <w:t>eform</w:t>
      </w:r>
      <w:r w:rsidR="002B1B5E">
        <w:rPr>
          <w:noProof/>
        </w:rPr>
        <w:t>:</w:t>
      </w:r>
      <w:r>
        <w:rPr>
          <w:noProof/>
        </w:rPr>
        <w:t xml:space="preserve"> Az iparjogvédelmi rendszer reformja </w:t>
      </w:r>
    </w:p>
    <w:p w14:paraId="4020AF5C" w14:textId="77777777" w:rsidR="003F5418" w:rsidRDefault="002A6C25">
      <w:pPr>
        <w:pStyle w:val="P68B1DB1-Normal12"/>
        <w:spacing w:before="120" w:after="120"/>
        <w:jc w:val="both"/>
        <w:rPr>
          <w:noProof/>
        </w:rPr>
      </w:pPr>
      <w:r>
        <w:rPr>
          <w:noProof/>
        </w:rPr>
        <w:t>A reform fő célja, hogy az iparjogvédelmi rendszert hozzáigazítsa a modern kihívásokhoz, és biztosítsa, hogy az innovációs potenciál hatékonyan hozzájáruljon az ország helyreállításához és rezilienciájáh</w:t>
      </w:r>
      <w:r>
        <w:rPr>
          <w:noProof/>
        </w:rPr>
        <w:t>oz. Konkrétan a következő célokat tűzi ki célul: az iparjogvédelmi rendszer megerősítése; az ipari tulajdon használatának és terjesztésének ösztönzése, különösen a kkv-k körében; az immateriális javakhoz való hozzáférés és azok megosztásának megkönnyítése,</w:t>
      </w:r>
      <w:r>
        <w:rPr>
          <w:noProof/>
        </w:rPr>
        <w:t xml:space="preserve"> a beruházások méltányos megtérülésének biztosítása mellett; az ipari tulajdon szigorúbb tiszteletben tartásának garantálása; valamint Olaszország szerepének megerősítése az ipari tulajdonnal foglalkozó európai és nemzetközi fórumokon.</w:t>
      </w:r>
    </w:p>
    <w:p w14:paraId="40F43224" w14:textId="77777777" w:rsidR="003F5418" w:rsidRDefault="002A6C25">
      <w:pPr>
        <w:pStyle w:val="P68B1DB1-Normal12"/>
        <w:spacing w:before="120" w:after="120"/>
        <w:jc w:val="both"/>
        <w:rPr>
          <w:noProof/>
        </w:rPr>
      </w:pPr>
      <w:r>
        <w:rPr>
          <w:noProof/>
        </w:rPr>
        <w:t>Az intézkedés az ipa</w:t>
      </w:r>
      <w:r>
        <w:rPr>
          <w:noProof/>
        </w:rPr>
        <w:t>ri tulajdonról szóló olasz törvény reformjára vonatkozik, amely legalább a következő területekre terjed ki: i. a szabályozási keret felülvizsgálata az ipari tulajdonjogok védelmének megerősítése és az eljárások egyszerűsítése érdekében, ii. a vállalatoknak</w:t>
      </w:r>
      <w:r>
        <w:rPr>
          <w:noProof/>
        </w:rPr>
        <w:t xml:space="preserve"> és kutatóintézeteknek nyújtott támogatás megerősítése, iii. a készség- és kompetenciafejlesztés javítása, iv. a tudástranszfer megkönnyítése és v. az innovatív szolgáltatások előmozdítása. </w:t>
      </w:r>
    </w:p>
    <w:p w14:paraId="7334611F" w14:textId="716E3148" w:rsidR="003F5418" w:rsidRDefault="002B1B5E" w:rsidP="002B1B5E">
      <w:pPr>
        <w:pStyle w:val="P68B1DB1-Normal2"/>
        <w:spacing w:before="120" w:after="120"/>
        <w:jc w:val="both"/>
        <w:rPr>
          <w:noProof/>
        </w:rPr>
      </w:pPr>
      <w:r>
        <w:rPr>
          <w:noProof/>
        </w:rPr>
        <w:t>6. Beruházás: Beruházás az ipari tulajdoni rendszerbe</w:t>
      </w:r>
    </w:p>
    <w:p w14:paraId="3B7EDE7E" w14:textId="77777777" w:rsidR="003F5418" w:rsidRDefault="002A6C25">
      <w:pPr>
        <w:pStyle w:val="P68B1DB1-Normal12"/>
        <w:spacing w:before="120" w:after="120"/>
        <w:jc w:val="both"/>
        <w:rPr>
          <w:noProof/>
        </w:rPr>
      </w:pPr>
      <w:r>
        <w:rPr>
          <w:noProof/>
        </w:rPr>
        <w:t>A beruházás</w:t>
      </w:r>
      <w:r>
        <w:rPr>
          <w:noProof/>
        </w:rPr>
        <w:t xml:space="preserve"> célja az iparjogvédelmi rendszer támogatása és reformjának támogatása, az ezen alkotóelem 1. reformjában előirányzottak szerint. Az intézkedés magában foglalja a vállalatok és kutatóintézetek ipari tulajdonnal kapcsolatos projektjeinek pénzügyi támogatásá</w:t>
      </w:r>
      <w:r>
        <w:rPr>
          <w:noProof/>
        </w:rPr>
        <w:t xml:space="preserve">t, például a szabadalmakkal kapcsolatos intézkedéseket (Brevetti+), a koncepcióigazolási (POC) programokat és a technológiaátadási irodák megerősítését. </w:t>
      </w:r>
    </w:p>
    <w:p w14:paraId="0D2A67E9" w14:textId="77777777" w:rsidR="003F5418" w:rsidRDefault="002A6C25">
      <w:pPr>
        <w:spacing w:before="120" w:after="120"/>
        <w:jc w:val="both"/>
        <w:rPr>
          <w:noProof/>
        </w:rPr>
      </w:pPr>
      <w:r>
        <w:rPr>
          <w:noProof/>
        </w:rPr>
        <w:t>Annak biztosítása érdekében, hogy az intézkedés megfeleljen a jelentős károkozás elkerülését célzó tec</w:t>
      </w:r>
      <w:r>
        <w:rPr>
          <w:noProof/>
        </w:rPr>
        <w:t>hnikai iránymutatásnak (2021/C58/01), a soron következő pályázati felhívásokra vonatkozó feladatmeghatározásban foglalt támogathatósági kritériumok nem foglalják magukban a következő tevékenységekhez kapcsolódó kutatást és fejlesztést: a fosszilis tüzelőan</w:t>
      </w:r>
      <w:r>
        <w:rPr>
          <w:noProof/>
        </w:rPr>
        <w:t>yagokkal kapcsolatos tevékenységek, beleértve a továbbfelhasználást is</w:t>
      </w:r>
      <w:r>
        <w:rPr>
          <w:rStyle w:val="FootnoteReference"/>
          <w:noProof/>
        </w:rPr>
        <w:footnoteReference w:id="2"/>
      </w:r>
      <w:r>
        <w:rPr>
          <w:noProof/>
        </w:rPr>
        <w:t>; ii. az uniós kibocsátáskereskedelmi rendszer (ETS) keretében végzett tevékenységek, amelyek elérik a vonatkozó referenciaértékeket meg nem haladó, előre jelzett üvegházhatásúgáz-kiboc</w:t>
      </w:r>
      <w:r>
        <w:rPr>
          <w:noProof/>
        </w:rPr>
        <w:t>sátást</w:t>
      </w:r>
      <w:r>
        <w:rPr>
          <w:rStyle w:val="FootnoteReference"/>
          <w:noProof/>
        </w:rPr>
        <w:footnoteReference w:id="3"/>
      </w:r>
      <w:r>
        <w:rPr>
          <w:noProof/>
        </w:rPr>
        <w:t>; hulladéklerakókkal, hulladékégetőkkel</w:t>
      </w:r>
      <w:r>
        <w:rPr>
          <w:rStyle w:val="FootnoteReference"/>
          <w:noProof/>
        </w:rPr>
        <w:footnoteReference w:id="4"/>
      </w:r>
      <w:r>
        <w:rPr>
          <w:noProof/>
        </w:rPr>
        <w:t xml:space="preserve"> és mechanikai-biológiai hulladékkezelő létesítményekkel kapcsolatos tevékenységek</w:t>
      </w:r>
      <w:r>
        <w:rPr>
          <w:rStyle w:val="FootnoteReference"/>
          <w:noProof/>
        </w:rPr>
        <w:footnoteReference w:id="5"/>
      </w:r>
      <w:r>
        <w:rPr>
          <w:noProof/>
        </w:rPr>
        <w:t>; valamint iv. azok a tevékenységek, amelyek esetében a hulladék hosszú távú ártalmatlanítása károsíthatja a környezetet. A fe</w:t>
      </w:r>
      <w:r>
        <w:rPr>
          <w:noProof/>
        </w:rPr>
        <w:t>ladatmeghatározás előírja továbbá, hogy csak olyan tevékenységek választhatók ki, amelyek megfelelnek a vonatkozó uniós és nemzeti környezetvédelmi jogszabályoknak.</w:t>
      </w:r>
    </w:p>
    <w:p w14:paraId="2EE10AD8" w14:textId="39E87415" w:rsidR="003F5418" w:rsidRDefault="002B1B5E" w:rsidP="002B1B5E">
      <w:pPr>
        <w:pStyle w:val="P68B1DB1-Normal13"/>
        <w:spacing w:before="120" w:after="120"/>
        <w:jc w:val="both"/>
        <w:rPr>
          <w:noProof/>
        </w:rPr>
      </w:pPr>
      <w:r>
        <w:rPr>
          <w:noProof/>
        </w:rPr>
        <w:t>2. Tengely – Az üzleti környezet és a verseny javítása</w:t>
      </w:r>
    </w:p>
    <w:p w14:paraId="0A69D8F6" w14:textId="7C522613" w:rsidR="003F5418" w:rsidRDefault="002B1B5E">
      <w:pPr>
        <w:pStyle w:val="P68B1DB1-Normal2"/>
        <w:spacing w:before="120" w:after="120"/>
        <w:jc w:val="both"/>
        <w:rPr>
          <w:noProof/>
        </w:rPr>
      </w:pPr>
      <w:r>
        <w:rPr>
          <w:noProof/>
        </w:rPr>
        <w:t>2. Reform: 2021., 2022., 2023. és 2024. évi éves versenyjogi törvények</w:t>
      </w:r>
    </w:p>
    <w:p w14:paraId="19B51CB4" w14:textId="77777777" w:rsidR="003F5418" w:rsidRDefault="002A6C25">
      <w:pPr>
        <w:spacing w:before="120" w:after="120"/>
        <w:jc w:val="both"/>
        <w:rPr>
          <w:noProof/>
        </w:rPr>
      </w:pPr>
      <w:r>
        <w:rPr>
          <w:noProof/>
        </w:rPr>
        <w:t>A versenytörvényt minden évben el kell fogadni, növelve a helyi közszolgáltatásokra (különösen a hulladékgazdálkodásra és a tömegközlekedésre) vonatkozó közszolgáltatási szerződések odaítélésére irányuló versenyeljárásoka</w:t>
      </w:r>
      <w:r>
        <w:rPr>
          <w:noProof/>
        </w:rPr>
        <w:t>t, elkerülve a kikötőkben, autópályákon, elektromos töltőállomásokon és vízerőművekben a koncessziók indokolatlan meghosszabbítását számos ágazatban, a közszolgáltatási szerződések megfelelő szabályozását, az aggregálási szabályok felülvizsgálatát, valamin</w:t>
      </w:r>
      <w:r>
        <w:rPr>
          <w:noProof/>
        </w:rPr>
        <w:t>t a közszolgáltatási szerződések időtartama és megfelelő ellentételezése tekintetében az arányosság általános elvének alkalmazását. A versenytörvény emellett növelni fogja a regionális vasúti szolgáltatásokra vonatkozó közszolgáltatási szerződéseik pályázt</w:t>
      </w:r>
      <w:r>
        <w:rPr>
          <w:noProof/>
        </w:rPr>
        <w:t xml:space="preserve">atásának ösztönzését. Egyértelműen el kell különíteni a szabályozási/ellenőrzési funkciókat és a szerződések kezelését is. </w:t>
      </w:r>
    </w:p>
    <w:p w14:paraId="541AD5DE" w14:textId="77777777" w:rsidR="003F5418" w:rsidRDefault="002A6C25">
      <w:pPr>
        <w:spacing w:before="120" w:after="120"/>
        <w:jc w:val="both"/>
        <w:rPr>
          <w:noProof/>
        </w:rPr>
      </w:pPr>
      <w:r>
        <w:rPr>
          <w:noProof/>
        </w:rPr>
        <w:t>Az ágazatspecifikus intézkedések tekintetében az éves versenyjogi törvények az energia (villamos energia, gáz és víz), a hulladékgaz</w:t>
      </w:r>
      <w:r>
        <w:rPr>
          <w:noProof/>
        </w:rPr>
        <w:t>dálkodás és a közlekedés (kikötők, vasút és autópályák) ágazatára vonatkozó intézkedéseket tartalmaznak, amelyek kiegészítik a 2. és 3. küldetés szerinti beruházásokat és reformokat. A kiskereskedelmi villamosenergia-piacokon a verseny elterjedését biztosí</w:t>
      </w:r>
      <w:r>
        <w:rPr>
          <w:noProof/>
        </w:rPr>
        <w:t>tó kísérő intézkedések legkésőbb 2022.</w:t>
      </w:r>
      <w:r>
        <w:rPr>
          <w:noProof/>
          <w:vertAlign w:val="superscript"/>
        </w:rPr>
        <w:t>december</w:t>
      </w:r>
      <w:r>
        <w:rPr>
          <w:noProof/>
        </w:rPr>
        <w:t xml:space="preserve"> 31-én lépnek hatályba. A 2022. évi éves versenytörvénynek különösen el kell fogadnia a villamosenergia-hálózat fejlesztési tervét, és elő kell mozdítania a 2.</w:t>
      </w:r>
      <w:r>
        <w:rPr>
          <w:noProof/>
          <w:vertAlign w:val="superscript"/>
        </w:rPr>
        <w:t>generációs</w:t>
      </w:r>
      <w:r>
        <w:rPr>
          <w:noProof/>
        </w:rPr>
        <w:t xml:space="preserve"> intelligens villamosenergia-fogyasztásmé</w:t>
      </w:r>
      <w:r>
        <w:rPr>
          <w:noProof/>
        </w:rPr>
        <w:t>rők telepítését, amelyek 2025.</w:t>
      </w:r>
      <w:r>
        <w:rPr>
          <w:noProof/>
          <w:vertAlign w:val="superscript"/>
        </w:rPr>
        <w:t>december</w:t>
      </w:r>
      <w:r>
        <w:rPr>
          <w:noProof/>
        </w:rPr>
        <w:t xml:space="preserve"> 31-én Olaszország-szerte elérik a 33 millió egységet.</w:t>
      </w:r>
    </w:p>
    <w:p w14:paraId="248B937F" w14:textId="77777777" w:rsidR="003F5418" w:rsidRDefault="002A6C25">
      <w:pPr>
        <w:spacing w:before="120" w:after="120"/>
        <w:jc w:val="both"/>
        <w:rPr>
          <w:noProof/>
        </w:rPr>
      </w:pPr>
      <w:r>
        <w:rPr>
          <w:noProof/>
        </w:rPr>
        <w:t>Ezen túlmenően a törvények legalább a következők révén javítják az üzleti környezetet: i. az összefonódás-ellenőrzési szabályoknak az uniós joggal való összehangol</w:t>
      </w:r>
      <w:r>
        <w:rPr>
          <w:noProof/>
        </w:rPr>
        <w:t>ása, ii. a piacfelügyeleti hatóságok konszolidációja, digitalizálása és professzionalizálása, valamint iii. a munkavállalókkal kapcsolatos tájékoztatásra vonatkozó akkreditációs idő hét napról négy napra történő csökkentése a vállalkozásalapításhoz szükség</w:t>
      </w:r>
      <w:r>
        <w:rPr>
          <w:noProof/>
        </w:rPr>
        <w:t xml:space="preserve">es napok számának csökkentése érdekében.  </w:t>
      </w:r>
    </w:p>
    <w:p w14:paraId="19A62D8E" w14:textId="53060D34" w:rsidR="003F5418" w:rsidRDefault="002B1B5E">
      <w:pPr>
        <w:pStyle w:val="P68B1DB1-Normal2"/>
        <w:spacing w:before="120" w:after="120"/>
        <w:jc w:val="both"/>
        <w:rPr>
          <w:noProof/>
        </w:rPr>
      </w:pPr>
      <w:r>
        <w:rPr>
          <w:noProof/>
        </w:rPr>
        <w:t xml:space="preserve">3. Reform: A cégek ösztönzőinek észszerűsítése és egyszerűsítése. </w:t>
      </w:r>
    </w:p>
    <w:p w14:paraId="172E5FD4" w14:textId="77777777" w:rsidR="003F5418" w:rsidRDefault="002A6C25">
      <w:pPr>
        <w:spacing w:before="120" w:after="120"/>
        <w:jc w:val="both"/>
        <w:rPr>
          <w:noProof/>
        </w:rPr>
      </w:pPr>
      <w:r>
        <w:rPr>
          <w:noProof/>
        </w:rPr>
        <w:t xml:space="preserve">A reform a vállalkozásokat célzó valamennyi nemzeti ösztönző és a kapcsolódó eszközök szisztematikus felülvizsgálatából áll. </w:t>
      </w:r>
    </w:p>
    <w:p w14:paraId="691F072E" w14:textId="77777777" w:rsidR="003F5418" w:rsidRDefault="002A6C25">
      <w:pPr>
        <w:spacing w:before="120" w:after="120"/>
        <w:jc w:val="both"/>
        <w:rPr>
          <w:noProof/>
        </w:rPr>
      </w:pPr>
      <w:r>
        <w:rPr>
          <w:noProof/>
        </w:rPr>
        <w:t>A reformot két lépés</w:t>
      </w:r>
      <w:r>
        <w:rPr>
          <w:noProof/>
        </w:rPr>
        <w:t>ben kell végrehajtani:</w:t>
      </w:r>
    </w:p>
    <w:p w14:paraId="66634E45" w14:textId="77777777" w:rsidR="003F5418" w:rsidRDefault="002A6C25">
      <w:pPr>
        <w:pStyle w:val="ListParagraph"/>
        <w:numPr>
          <w:ilvl w:val="0"/>
          <w:numId w:val="107"/>
        </w:numPr>
        <w:spacing w:before="0" w:after="0"/>
        <w:rPr>
          <w:noProof/>
        </w:rPr>
      </w:pPr>
      <w:r>
        <w:rPr>
          <w:noProof/>
        </w:rPr>
        <w:t xml:space="preserve">A vállalkozásoknak nyújtott ösztönzők értékeléséről szóló jelentés közzététele. A jelentésnek konkrét javaslatokat is ki kell dolgoznia a cégek ösztönzőinek egyszerűsítésére és észszerűsítésére. </w:t>
      </w:r>
    </w:p>
    <w:p w14:paraId="0ABE8FC0" w14:textId="77777777" w:rsidR="003F5418" w:rsidRDefault="002A6C25">
      <w:pPr>
        <w:jc w:val="both"/>
        <w:rPr>
          <w:noProof/>
        </w:rPr>
      </w:pPr>
      <w:r>
        <w:rPr>
          <w:noProof/>
        </w:rPr>
        <w:t xml:space="preserve"> </w:t>
      </w:r>
    </w:p>
    <w:p w14:paraId="4B9D74B1" w14:textId="77777777" w:rsidR="003F5418" w:rsidRDefault="002A6C25">
      <w:pPr>
        <w:pStyle w:val="ListParagraph"/>
        <w:numPr>
          <w:ilvl w:val="0"/>
          <w:numId w:val="106"/>
        </w:numPr>
        <w:spacing w:before="0" w:after="0"/>
        <w:rPr>
          <w:noProof/>
        </w:rPr>
      </w:pPr>
      <w:r>
        <w:rPr>
          <w:noProof/>
        </w:rPr>
        <w:t>A „Legge delega Incentivi” mandátumtörvényt végrehajtó jogalkotási aktusok hatálybalépése.  A jogalkotási aktusok alkalmazási köre a vállalkozások ösztönzőinek észszerűsítése és észszerűsítése.</w:t>
      </w:r>
    </w:p>
    <w:p w14:paraId="72929020" w14:textId="77777777" w:rsidR="003F5418" w:rsidRDefault="002A6C25">
      <w:pPr>
        <w:pStyle w:val="P68B1DB1-Normal14"/>
        <w:spacing w:line="276" w:lineRule="auto"/>
        <w:jc w:val="both"/>
        <w:rPr>
          <w:noProof/>
        </w:rPr>
      </w:pPr>
      <w:r>
        <w:rPr>
          <w:noProof/>
        </w:rPr>
        <w:t xml:space="preserve"> </w:t>
      </w:r>
    </w:p>
    <w:p w14:paraId="7BB0160E" w14:textId="77777777" w:rsidR="003F5418" w:rsidRDefault="002A6C25">
      <w:pPr>
        <w:spacing w:line="276" w:lineRule="auto"/>
        <w:jc w:val="both"/>
        <w:rPr>
          <w:noProof/>
        </w:rPr>
      </w:pPr>
      <w:r>
        <w:rPr>
          <w:noProof/>
        </w:rPr>
        <w:t>A reform magában foglalja az olaszországi Vállalkozásügyi Mi</w:t>
      </w:r>
      <w:r>
        <w:rPr>
          <w:noProof/>
        </w:rPr>
        <w:t>nisztérium és a Made (MIMIT) által kezelt két kulcsfontosságú eszköz szerkezetátalakítását és további végrehajtását:</w:t>
      </w:r>
    </w:p>
    <w:p w14:paraId="2D4B0FCC" w14:textId="77777777" w:rsidR="003F5418" w:rsidRDefault="002A6C25">
      <w:pPr>
        <w:spacing w:line="276" w:lineRule="auto"/>
        <w:jc w:val="both"/>
        <w:rPr>
          <w:noProof/>
        </w:rPr>
      </w:pPr>
      <w:r>
        <w:rPr>
          <w:noProof/>
        </w:rPr>
        <w:t xml:space="preserve"> az RNA (állami támogatások nemzeti nyilvántartása), és</w:t>
      </w:r>
    </w:p>
    <w:p w14:paraId="33A9D090" w14:textId="54C98775" w:rsidR="003F5418" w:rsidRDefault="002A6C25">
      <w:pPr>
        <w:spacing w:line="276" w:lineRule="auto"/>
        <w:jc w:val="both"/>
        <w:rPr>
          <w:noProof/>
        </w:rPr>
      </w:pPr>
      <w:r>
        <w:rPr>
          <w:noProof/>
        </w:rPr>
        <w:t xml:space="preserve"> b) az </w:t>
      </w:r>
      <w:r>
        <w:rPr>
          <w:i/>
          <w:noProof/>
        </w:rPr>
        <w:t>incentivi.gov.it</w:t>
      </w:r>
      <w:r>
        <w:rPr>
          <w:noProof/>
        </w:rPr>
        <w:t xml:space="preserve"> platform.</w:t>
      </w:r>
    </w:p>
    <w:p w14:paraId="14B2FAC8" w14:textId="77777777" w:rsidR="003F5418" w:rsidRDefault="002A6C25">
      <w:pPr>
        <w:jc w:val="both"/>
        <w:rPr>
          <w:noProof/>
        </w:rPr>
      </w:pPr>
      <w:r>
        <w:rPr>
          <w:noProof/>
        </w:rPr>
        <w:t xml:space="preserve">  </w:t>
      </w:r>
      <w:r>
        <w:rPr>
          <w:noProof/>
        </w:rPr>
        <w:br/>
      </w:r>
    </w:p>
    <w:p w14:paraId="314B95A9" w14:textId="77777777" w:rsidR="003F5418" w:rsidRDefault="003F5418">
      <w:pPr>
        <w:spacing w:before="120" w:after="120"/>
        <w:jc w:val="both"/>
        <w:rPr>
          <w:noProof/>
        </w:rPr>
        <w:sectPr w:rsidR="003F5418">
          <w:headerReference w:type="even" r:id="rId44"/>
          <w:headerReference w:type="default" r:id="rId45"/>
          <w:footerReference w:type="even" r:id="rId46"/>
          <w:footerReference w:type="default" r:id="rId47"/>
          <w:headerReference w:type="first" r:id="rId48"/>
          <w:footerReference w:type="first" r:id="rId49"/>
          <w:pgSz w:w="11907" w:h="16839"/>
          <w:pgMar w:top="1440" w:right="1440" w:bottom="1440" w:left="1440" w:header="567" w:footer="567" w:gutter="0"/>
          <w:cols w:space="720"/>
          <w:docGrid w:linePitch="360"/>
        </w:sectPr>
      </w:pPr>
    </w:p>
    <w:p w14:paraId="3BB9476A" w14:textId="77777777" w:rsidR="003F5418" w:rsidRDefault="002A6C25">
      <w:pPr>
        <w:pStyle w:val="Heading3"/>
        <w:numPr>
          <w:ilvl w:val="2"/>
          <w:numId w:val="0"/>
        </w:numPr>
        <w:ind w:left="850" w:hanging="850"/>
        <w:rPr>
          <w:b/>
          <w:i w:val="0"/>
          <w:noProof/>
          <w:u w:val="single"/>
        </w:rPr>
      </w:pPr>
      <w:r>
        <w:rPr>
          <w:b/>
          <w:i w:val="0"/>
          <w:noProof/>
          <w:u w:val="single"/>
        </w:rPr>
        <w:t xml:space="preserve">B.2. </w:t>
      </w:r>
      <w:r>
        <w:rPr>
          <w:noProof/>
        </w:rPr>
        <w:t xml:space="preserve"> </w:t>
      </w:r>
      <w:r>
        <w:rPr>
          <w:b/>
          <w:i w:val="0"/>
          <w:noProof/>
          <w:u w:val="single"/>
        </w:rPr>
        <w:t>Vissza nem térítendő pénzügyi támogatás – a végrehajtáshoz és a nyomon követéshez kapcsolódó mérföldkövek, célok, mutatók és ütemterv</w:t>
      </w:r>
    </w:p>
    <w:tbl>
      <w:tblPr>
        <w:tblW w:w="155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1701"/>
        <w:gridCol w:w="1456"/>
        <w:gridCol w:w="960"/>
        <w:gridCol w:w="1127"/>
        <w:gridCol w:w="1276"/>
        <w:gridCol w:w="851"/>
        <w:gridCol w:w="708"/>
        <w:gridCol w:w="4094"/>
      </w:tblGrid>
      <w:tr w:rsidR="003F5418" w14:paraId="047F78B7" w14:textId="77777777">
        <w:trPr>
          <w:trHeight w:val="1020"/>
          <w:tblHeader/>
        </w:trPr>
        <w:tc>
          <w:tcPr>
            <w:tcW w:w="1135" w:type="dxa"/>
            <w:vMerge w:val="restart"/>
            <w:shd w:val="clear" w:color="auto" w:fill="BDD7EE"/>
            <w:vAlign w:val="center"/>
          </w:tcPr>
          <w:p w14:paraId="4DF5913D" w14:textId="77777777" w:rsidR="003F5418" w:rsidRDefault="002A6C25">
            <w:pPr>
              <w:pStyle w:val="P68B1DB1-Normal3"/>
              <w:spacing w:before="120" w:after="120"/>
              <w:jc w:val="center"/>
              <w:rPr>
                <w:noProof/>
              </w:rPr>
            </w:pPr>
            <w:r>
              <w:rPr>
                <w:noProof/>
              </w:rPr>
              <w:t>Sorszám</w:t>
            </w:r>
          </w:p>
        </w:tc>
        <w:tc>
          <w:tcPr>
            <w:tcW w:w="1134" w:type="dxa"/>
            <w:vMerge w:val="restart"/>
            <w:shd w:val="clear" w:color="auto" w:fill="BDD7EE"/>
            <w:vAlign w:val="center"/>
          </w:tcPr>
          <w:p w14:paraId="60D1A1EE" w14:textId="77777777" w:rsidR="003F5418" w:rsidRDefault="002A6C25">
            <w:pPr>
              <w:pStyle w:val="P68B1DB1-Normal3"/>
              <w:spacing w:before="120" w:after="120"/>
              <w:jc w:val="center"/>
              <w:rPr>
                <w:noProof/>
              </w:rPr>
            </w:pPr>
            <w:r>
              <w:rPr>
                <w:noProof/>
              </w:rPr>
              <w:t>Intézkedés</w:t>
            </w:r>
          </w:p>
        </w:tc>
        <w:tc>
          <w:tcPr>
            <w:tcW w:w="1134" w:type="dxa"/>
            <w:vMerge w:val="restart"/>
            <w:shd w:val="clear" w:color="auto" w:fill="BDD7EE"/>
            <w:vAlign w:val="center"/>
          </w:tcPr>
          <w:p w14:paraId="653E2051" w14:textId="77777777" w:rsidR="003F5418" w:rsidRDefault="002A6C25">
            <w:pPr>
              <w:pStyle w:val="P68B1DB1-Normal3"/>
              <w:spacing w:before="120" w:after="120"/>
              <w:jc w:val="center"/>
              <w:rPr>
                <w:noProof/>
              </w:rPr>
            </w:pPr>
            <w:r>
              <w:rPr>
                <w:noProof/>
              </w:rPr>
              <w:t>Mérföldkő/cél</w:t>
            </w:r>
          </w:p>
        </w:tc>
        <w:tc>
          <w:tcPr>
            <w:tcW w:w="1701" w:type="dxa"/>
            <w:vMerge w:val="restart"/>
            <w:shd w:val="clear" w:color="auto" w:fill="BDD7EE"/>
            <w:vAlign w:val="center"/>
          </w:tcPr>
          <w:p w14:paraId="1B6AC31B" w14:textId="77777777" w:rsidR="003F5418" w:rsidRDefault="002A6C25">
            <w:pPr>
              <w:pStyle w:val="P68B1DB1-Normal3"/>
              <w:spacing w:before="120" w:after="120"/>
              <w:jc w:val="center"/>
              <w:rPr>
                <w:noProof/>
              </w:rPr>
            </w:pPr>
            <w:r>
              <w:rPr>
                <w:noProof/>
              </w:rPr>
              <w:t>Név</w:t>
            </w:r>
          </w:p>
        </w:tc>
        <w:tc>
          <w:tcPr>
            <w:tcW w:w="1456" w:type="dxa"/>
            <w:vMerge w:val="restart"/>
            <w:shd w:val="clear" w:color="auto" w:fill="BDD7EE"/>
            <w:vAlign w:val="center"/>
          </w:tcPr>
          <w:p w14:paraId="69CBAA10" w14:textId="77777777" w:rsidR="003F5418" w:rsidRDefault="002A6C25">
            <w:pPr>
              <w:spacing w:before="120" w:after="120"/>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363" w:type="dxa"/>
            <w:gridSpan w:val="3"/>
            <w:tcBorders>
              <w:top w:val="single" w:sz="4" w:space="0" w:color="auto"/>
              <w:left w:val="single" w:sz="4" w:space="0" w:color="auto"/>
              <w:bottom w:val="single" w:sz="4" w:space="0" w:color="auto"/>
              <w:right w:val="single" w:sz="4" w:space="0" w:color="auto"/>
            </w:tcBorders>
            <w:shd w:val="clear" w:color="auto" w:fill="BDD7EE"/>
            <w:vAlign w:val="center"/>
          </w:tcPr>
          <w:p w14:paraId="45481E0D" w14:textId="77777777" w:rsidR="003F5418" w:rsidRDefault="002A6C25">
            <w:pPr>
              <w:spacing w:before="120" w:after="120"/>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tcPr>
          <w:p w14:paraId="7AB5A452" w14:textId="77777777" w:rsidR="003F5418" w:rsidRDefault="002A6C25">
            <w:pPr>
              <w:pStyle w:val="P68B1DB1-Normal3"/>
              <w:spacing w:before="120" w:after="120"/>
              <w:jc w:val="center"/>
              <w:rPr>
                <w:noProof/>
              </w:rPr>
            </w:pPr>
            <w:r>
              <w:rPr>
                <w:noProof/>
              </w:rPr>
              <w:t>A végrehajtás indikatív ütemterve</w:t>
            </w:r>
          </w:p>
        </w:tc>
        <w:tc>
          <w:tcPr>
            <w:tcW w:w="4094" w:type="dxa"/>
            <w:vMerge w:val="restart"/>
            <w:tcBorders>
              <w:top w:val="single" w:sz="4" w:space="0" w:color="auto"/>
              <w:left w:val="single" w:sz="4" w:space="0" w:color="auto"/>
              <w:right w:val="single" w:sz="4" w:space="0" w:color="auto"/>
            </w:tcBorders>
            <w:shd w:val="clear" w:color="auto" w:fill="BDD7EE"/>
            <w:vAlign w:val="center"/>
          </w:tcPr>
          <w:p w14:paraId="256DE88F" w14:textId="77777777" w:rsidR="003F5418" w:rsidRDefault="002A6C25">
            <w:pPr>
              <w:pStyle w:val="P68B1DB1-Normal3"/>
              <w:spacing w:before="120" w:after="120"/>
              <w:rPr>
                <w:noProof/>
              </w:rPr>
            </w:pPr>
            <w:r>
              <w:rPr>
                <w:noProof/>
              </w:rPr>
              <w:t>Az egyes mérföldkövek és célértékek leírása</w:t>
            </w:r>
          </w:p>
        </w:tc>
      </w:tr>
      <w:tr w:rsidR="003F5418" w14:paraId="6546AE51" w14:textId="77777777">
        <w:trPr>
          <w:trHeight w:val="718"/>
          <w:tblHeader/>
        </w:trPr>
        <w:tc>
          <w:tcPr>
            <w:tcW w:w="1135" w:type="dxa"/>
            <w:vMerge/>
            <w:shd w:val="clear" w:color="auto" w:fill="BDD7EE"/>
            <w:vAlign w:val="center"/>
          </w:tcPr>
          <w:p w14:paraId="2946B1E4" w14:textId="77777777" w:rsidR="003F5418" w:rsidRDefault="003F5418">
            <w:pPr>
              <w:spacing w:before="120" w:after="120"/>
              <w:jc w:val="center"/>
              <w:rPr>
                <w:rFonts w:ascii="Arial Narrow" w:hAnsi="Arial Narrow"/>
                <w:noProof/>
                <w:sz w:val="20"/>
              </w:rPr>
            </w:pPr>
          </w:p>
        </w:tc>
        <w:tc>
          <w:tcPr>
            <w:tcW w:w="1134" w:type="dxa"/>
            <w:vMerge/>
            <w:shd w:val="clear" w:color="auto" w:fill="BDD7EE"/>
            <w:vAlign w:val="center"/>
          </w:tcPr>
          <w:p w14:paraId="18232E27" w14:textId="77777777" w:rsidR="003F5418" w:rsidRDefault="003F5418">
            <w:pPr>
              <w:spacing w:before="120" w:after="120"/>
              <w:jc w:val="center"/>
              <w:rPr>
                <w:rFonts w:ascii="Arial Narrow" w:hAnsi="Arial Narrow"/>
                <w:noProof/>
                <w:sz w:val="20"/>
              </w:rPr>
            </w:pPr>
          </w:p>
        </w:tc>
        <w:tc>
          <w:tcPr>
            <w:tcW w:w="1134" w:type="dxa"/>
            <w:vMerge/>
            <w:shd w:val="clear" w:color="auto" w:fill="BDD7EE"/>
            <w:vAlign w:val="center"/>
          </w:tcPr>
          <w:p w14:paraId="18AE5C19" w14:textId="77777777" w:rsidR="003F5418" w:rsidRDefault="003F5418">
            <w:pPr>
              <w:spacing w:before="120" w:after="120"/>
              <w:jc w:val="center"/>
              <w:rPr>
                <w:rFonts w:ascii="Arial Narrow" w:hAnsi="Arial Narrow"/>
                <w:noProof/>
                <w:sz w:val="20"/>
              </w:rPr>
            </w:pPr>
          </w:p>
        </w:tc>
        <w:tc>
          <w:tcPr>
            <w:tcW w:w="1701" w:type="dxa"/>
            <w:vMerge/>
            <w:shd w:val="clear" w:color="auto" w:fill="BDD7EE"/>
            <w:vAlign w:val="center"/>
          </w:tcPr>
          <w:p w14:paraId="740FDAF5" w14:textId="77777777" w:rsidR="003F5418" w:rsidRDefault="003F5418">
            <w:pPr>
              <w:spacing w:before="120" w:after="120"/>
              <w:jc w:val="center"/>
              <w:rPr>
                <w:rFonts w:ascii="Arial Narrow" w:hAnsi="Arial Narrow"/>
                <w:noProof/>
                <w:sz w:val="20"/>
              </w:rPr>
            </w:pPr>
          </w:p>
        </w:tc>
        <w:tc>
          <w:tcPr>
            <w:tcW w:w="1456" w:type="dxa"/>
            <w:vMerge/>
            <w:shd w:val="clear" w:color="auto" w:fill="BDD7EE"/>
            <w:vAlign w:val="center"/>
          </w:tcPr>
          <w:p w14:paraId="1F4FEBD5" w14:textId="77777777" w:rsidR="003F5418" w:rsidRDefault="003F5418">
            <w:pPr>
              <w:spacing w:before="120" w:after="120"/>
              <w:jc w:val="center"/>
              <w:rPr>
                <w:rFonts w:ascii="Arial Narrow" w:hAnsi="Arial Narrow"/>
                <w:noProof/>
                <w:sz w:val="20"/>
              </w:rPr>
            </w:pPr>
          </w:p>
        </w:tc>
        <w:tc>
          <w:tcPr>
            <w:tcW w:w="960" w:type="dxa"/>
            <w:tcBorders>
              <w:top w:val="single" w:sz="4" w:space="0" w:color="auto"/>
              <w:left w:val="single" w:sz="4" w:space="0" w:color="auto"/>
              <w:bottom w:val="single" w:sz="4" w:space="0" w:color="auto"/>
              <w:right w:val="single" w:sz="4" w:space="0" w:color="auto"/>
            </w:tcBorders>
            <w:shd w:val="clear" w:color="auto" w:fill="BDD7EE"/>
            <w:vAlign w:val="center"/>
          </w:tcPr>
          <w:p w14:paraId="5817038C" w14:textId="77777777" w:rsidR="003F5418" w:rsidRDefault="002A6C25">
            <w:pPr>
              <w:pStyle w:val="P68B1DB1-Normal3"/>
              <w:spacing w:before="120" w:after="120"/>
              <w:jc w:val="center"/>
              <w:rPr>
                <w:noProof/>
              </w:rPr>
            </w:pPr>
            <w:r>
              <w:rPr>
                <w:noProof/>
              </w:rPr>
              <w:t>Mértékegység</w:t>
            </w:r>
          </w:p>
        </w:tc>
        <w:tc>
          <w:tcPr>
            <w:tcW w:w="1127" w:type="dxa"/>
            <w:tcBorders>
              <w:top w:val="single" w:sz="4" w:space="0" w:color="auto"/>
              <w:left w:val="single" w:sz="4" w:space="0" w:color="auto"/>
              <w:bottom w:val="single" w:sz="4" w:space="0" w:color="auto"/>
              <w:right w:val="single" w:sz="4" w:space="0" w:color="auto"/>
            </w:tcBorders>
            <w:shd w:val="clear" w:color="auto" w:fill="BDD7EE"/>
            <w:vAlign w:val="center"/>
          </w:tcPr>
          <w:p w14:paraId="05F00268" w14:textId="77777777" w:rsidR="003F5418" w:rsidRDefault="002A6C25">
            <w:pPr>
              <w:pStyle w:val="P68B1DB1-Normal3"/>
              <w:spacing w:before="120" w:after="120"/>
              <w:jc w:val="center"/>
              <w:rPr>
                <w:noProof/>
              </w:rPr>
            </w:pPr>
            <w:r>
              <w:rPr>
                <w:noProof/>
              </w:rPr>
              <w:t>Kiindulási</w:t>
            </w: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tcPr>
          <w:p w14:paraId="6398FC83" w14:textId="77777777" w:rsidR="003F5418" w:rsidRDefault="002A6C25">
            <w:pPr>
              <w:pStyle w:val="P68B1DB1-Normal3"/>
              <w:spacing w:before="120" w:after="120"/>
              <w:jc w:val="center"/>
              <w:rPr>
                <w:noProof/>
              </w:rPr>
            </w:pPr>
            <w:r>
              <w:rPr>
                <w:noProof/>
              </w:rPr>
              <w:t>Cél</w:t>
            </w:r>
          </w:p>
        </w:tc>
        <w:tc>
          <w:tcPr>
            <w:tcW w:w="851" w:type="dxa"/>
            <w:tcBorders>
              <w:top w:val="single" w:sz="4" w:space="0" w:color="auto"/>
              <w:left w:val="single" w:sz="4" w:space="0" w:color="auto"/>
              <w:bottom w:val="single" w:sz="4" w:space="0" w:color="auto"/>
              <w:right w:val="single" w:sz="4" w:space="0" w:color="auto"/>
            </w:tcBorders>
            <w:shd w:val="clear" w:color="auto" w:fill="BDD7EE"/>
            <w:vAlign w:val="center"/>
          </w:tcPr>
          <w:p w14:paraId="7F1C1849" w14:textId="77777777" w:rsidR="003F5418" w:rsidRDefault="002A6C25">
            <w:pPr>
              <w:pStyle w:val="P68B1DB1-Normal3"/>
              <w:spacing w:before="120" w:after="120"/>
              <w:jc w:val="center"/>
              <w:rPr>
                <w:noProof/>
              </w:rPr>
            </w:pPr>
            <w:r>
              <w:rPr>
                <w:noProof/>
              </w:rPr>
              <w:t>Negyedév</w:t>
            </w:r>
          </w:p>
        </w:tc>
        <w:tc>
          <w:tcPr>
            <w:tcW w:w="708" w:type="dxa"/>
            <w:tcBorders>
              <w:top w:val="single" w:sz="4" w:space="0" w:color="auto"/>
              <w:left w:val="single" w:sz="4" w:space="0" w:color="auto"/>
              <w:bottom w:val="single" w:sz="4" w:space="0" w:color="auto"/>
              <w:right w:val="single" w:sz="4" w:space="0" w:color="auto"/>
            </w:tcBorders>
            <w:shd w:val="clear" w:color="auto" w:fill="BDD7EE"/>
            <w:vAlign w:val="center"/>
          </w:tcPr>
          <w:p w14:paraId="73DC9B88" w14:textId="77777777" w:rsidR="003F5418" w:rsidRDefault="002A6C25">
            <w:pPr>
              <w:pStyle w:val="P68B1DB1-Normal3"/>
              <w:spacing w:before="120" w:after="120"/>
              <w:jc w:val="center"/>
              <w:rPr>
                <w:noProof/>
              </w:rPr>
            </w:pPr>
            <w:r>
              <w:rPr>
                <w:noProof/>
              </w:rPr>
              <w:t>Éve</w:t>
            </w:r>
          </w:p>
        </w:tc>
        <w:tc>
          <w:tcPr>
            <w:tcW w:w="4094" w:type="dxa"/>
            <w:vMerge/>
            <w:shd w:val="clear" w:color="auto" w:fill="BDD7EE"/>
            <w:vAlign w:val="center"/>
          </w:tcPr>
          <w:p w14:paraId="7147A9B6" w14:textId="77777777" w:rsidR="003F5418" w:rsidRDefault="003F5418">
            <w:pPr>
              <w:spacing w:before="120" w:after="120"/>
              <w:rPr>
                <w:rFonts w:ascii="Arial Narrow" w:hAnsi="Arial Narrow"/>
                <w:noProof/>
                <w:sz w:val="20"/>
              </w:rPr>
            </w:pPr>
          </w:p>
        </w:tc>
      </w:tr>
      <w:tr w:rsidR="003F5418" w14:paraId="2E5056DB"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639A355C" w14:textId="77777777" w:rsidR="003F5418" w:rsidRDefault="002A6C25">
            <w:pPr>
              <w:pStyle w:val="P68B1DB1-Normal4"/>
              <w:jc w:val="center"/>
              <w:rPr>
                <w:noProof/>
              </w:rPr>
            </w:pPr>
            <w:r>
              <w:rPr>
                <w:noProof/>
              </w:rPr>
              <w:t>M1C2–1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DFE05C1" w14:textId="77777777" w:rsidR="003F5418" w:rsidRDefault="002A6C25">
            <w:pPr>
              <w:pStyle w:val="P68B1DB1-Normal4"/>
              <w:jc w:val="center"/>
              <w:rPr>
                <w:noProof/>
              </w:rPr>
            </w:pPr>
            <w:r>
              <w:rPr>
                <w:noProof/>
              </w:rPr>
              <w:t>Az 1. beruházást Átállás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52F9635" w14:textId="77777777" w:rsidR="003F5418" w:rsidRDefault="002A6C25">
            <w:pPr>
              <w:pStyle w:val="P68B1DB1-Normal4"/>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DA2219C" w14:textId="77777777" w:rsidR="003F5418" w:rsidRDefault="002A6C25">
            <w:pPr>
              <w:pStyle w:val="P68B1DB1-Normal4"/>
              <w:jc w:val="center"/>
              <w:rPr>
                <w:noProof/>
              </w:rPr>
            </w:pPr>
            <w:r>
              <w:rPr>
                <w:noProof/>
              </w:rPr>
              <w:t>Az átmeneti 4.0 adójóváírások potenciális kedvezményezettek számára történő elérhetővé tételére irányuló jogi aktusok hatálybalépése és a tudományos bizottság létrehozása</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FF0138C" w14:textId="77777777" w:rsidR="003F5418" w:rsidRDefault="002A6C25">
            <w:pPr>
              <w:pStyle w:val="P68B1DB1-Normal4"/>
              <w:jc w:val="center"/>
              <w:rPr>
                <w:noProof/>
              </w:rPr>
            </w:pPr>
            <w:r>
              <w:rPr>
                <w:noProof/>
              </w:rPr>
              <w:t xml:space="preserve">Az adójóváírást lehetővé tevő költségvetési törvény hatálybalépését feltüntető </w:t>
            </w:r>
            <w:r>
              <w:rPr>
                <w:noProof/>
              </w:rPr>
              <w:t>jogszabályi rendelkezés, valamint a vonatkozó végrehajtási jogi aktusokban a hatálybalépésüket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82AAC56" w14:textId="77777777" w:rsidR="003F5418" w:rsidRDefault="002A6C25">
            <w:pPr>
              <w:pStyle w:val="P68B1DB1-Normal4"/>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8224E35" w14:textId="77777777" w:rsidR="003F5418" w:rsidRDefault="002A6C25">
            <w:pPr>
              <w:pStyle w:val="P68B1DB1-Normal4"/>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71F47D4" w14:textId="77777777" w:rsidR="003F5418" w:rsidRDefault="002A6C25">
            <w:pPr>
              <w:pStyle w:val="P68B1DB1-Normal4"/>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66138487" w14:textId="77777777" w:rsidR="003F5418" w:rsidRDefault="002A6C25">
            <w:pPr>
              <w:pStyle w:val="P68B1DB1-Normal4"/>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15D01A31" w14:textId="77777777" w:rsidR="003F5418" w:rsidRDefault="002A6C25">
            <w:pPr>
              <w:pStyle w:val="P68B1DB1-Normal4"/>
              <w:jc w:val="center"/>
              <w:rPr>
                <w:noProof/>
              </w:rPr>
            </w:pPr>
            <w:r>
              <w:rPr>
                <w:noProof/>
              </w:rPr>
              <w:t>2021</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B8999E6" w14:textId="77777777" w:rsidR="003F5418" w:rsidRDefault="002A6C25">
            <w:pPr>
              <w:pStyle w:val="P68B1DB1-Normal4"/>
              <w:rPr>
                <w:noProof/>
              </w:rPr>
            </w:pPr>
            <w:r>
              <w:rPr>
                <w:noProof/>
              </w:rPr>
              <w:t xml:space="preserve">A jogi aktusoknak a potenciális kedvezményezettek rendelkezésére kell bocsátaniuk az átmeneti 4.0 adójóváírást. Ezek </w:t>
            </w:r>
            <w:r>
              <w:rPr>
                <w:noProof/>
              </w:rPr>
              <w:t>az adójóváírások i. 4.0 (azaz technológiailag fejlett) tárgyi eszközök, ii. 4.0 immateriális javak, iii. standard immateriális javak, iv. kutatási, fejlesztési és innovációs tevékenységek, valamint v. képzési tevékenységek.</w:t>
            </w:r>
          </w:p>
          <w:p w14:paraId="18E1ED11" w14:textId="77777777" w:rsidR="003F5418" w:rsidRDefault="002A6C25">
            <w:pPr>
              <w:pStyle w:val="P68B1DB1-Normal4"/>
              <w:rPr>
                <w:noProof/>
              </w:rPr>
            </w:pPr>
            <w:r>
              <w:rPr>
                <w:noProof/>
              </w:rPr>
              <w:t>Az adójóváírási kódokat az Adóhi</w:t>
            </w:r>
            <w:r>
              <w:rPr>
                <w:noProof/>
              </w:rPr>
              <w:t>vatal határozata határozza meg, amely lehetővé teszi a kedvezményezettek számára az F24 fizetési modell szerinti adójóváírások használatát. Miniszteri rendelet elfogadásával létrejön a Gazdasági és Pénzügyminisztérium, a Gazdaságfejlesztési Minisztérium és</w:t>
            </w:r>
            <w:r>
              <w:rPr>
                <w:noProof/>
              </w:rPr>
              <w:t xml:space="preserve"> az Olasz Nemzeti Bank szakértőiből álló tudományos bizottság az átmeneti 4.0 adójóváírások gazdasági hatásának értékelésére.</w:t>
            </w:r>
          </w:p>
        </w:tc>
      </w:tr>
      <w:tr w:rsidR="003F5418" w14:paraId="3BCBEBDA"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B20D371" w14:textId="77777777" w:rsidR="003F5418" w:rsidRDefault="002A6C25">
            <w:pPr>
              <w:pStyle w:val="P68B1DB1-Normal4"/>
              <w:spacing w:before="120" w:after="120"/>
              <w:jc w:val="center"/>
              <w:rPr>
                <w:noProof/>
              </w:rPr>
            </w:pPr>
            <w:r>
              <w:rPr>
                <w:noProof/>
              </w:rPr>
              <w:t>M1C2–2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55C859F" w14:textId="77777777" w:rsidR="003F5418" w:rsidRDefault="002A6C25">
            <w:pPr>
              <w:pStyle w:val="P68B1DB1-Normal4"/>
              <w:spacing w:before="120" w:after="120"/>
              <w:jc w:val="center"/>
              <w:rPr>
                <w:noProof/>
              </w:rPr>
            </w:pPr>
            <w:r>
              <w:rPr>
                <w:noProof/>
              </w:rPr>
              <w:t>Az 1. beruházást Átállás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97EEA00" w14:textId="77777777" w:rsidR="003F5418" w:rsidRDefault="002A6C25">
            <w:pPr>
              <w:pStyle w:val="P68B1DB1-Normal4"/>
              <w:spacing w:before="120" w:after="120"/>
              <w:jc w:val="center"/>
              <w:rPr>
                <w:noProof/>
              </w:rPr>
            </w:pPr>
            <w:r>
              <w:rPr>
                <w:noProof/>
              </w:rPr>
              <w:t>Cél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4E3AF2F" w14:textId="77777777" w:rsidR="003F5418" w:rsidRDefault="002A6C25">
            <w:pPr>
              <w:pStyle w:val="P68B1DB1-Normal4"/>
              <w:spacing w:before="120" w:after="120"/>
              <w:jc w:val="center"/>
              <w:rPr>
                <w:noProof/>
              </w:rPr>
            </w:pPr>
            <w:r>
              <w:rPr>
                <w:noProof/>
              </w:rPr>
              <w:t xml:space="preserve">Átmenet 4.0-ás adójóváírások a vállalkozásoknak a 2021–2022-ben benyújtott adóbevallások </w:t>
            </w:r>
            <w:r>
              <w:rPr>
                <w:noProof/>
              </w:rPr>
              <w:t>alapján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DC465DC" w14:textId="77777777" w:rsidR="003F5418" w:rsidRDefault="002A6C25">
            <w:pPr>
              <w:pStyle w:val="P68B1DB1-Normal4"/>
              <w:spacing w:before="120" w:after="120"/>
              <w:jc w:val="center"/>
              <w:rPr>
                <w:noProof/>
              </w:rPr>
            </w:pPr>
            <w:r>
              <w:rPr>
                <w:noProof/>
              </w:rPr>
              <w:t>NINCS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2845CDA" w14:textId="77777777" w:rsidR="003F5418" w:rsidRDefault="002A6C25">
            <w:pPr>
              <w:pStyle w:val="P68B1DB1-Normal4"/>
              <w:spacing w:before="120" w:after="120"/>
              <w:jc w:val="center"/>
              <w:rPr>
                <w:noProof/>
              </w:rPr>
            </w:pPr>
            <w:r>
              <w:rPr>
                <w:noProof/>
              </w:rPr>
              <w:t>Szám</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AEAC5F3" w14:textId="77777777" w:rsidR="003F5418" w:rsidRDefault="002A6C25">
            <w:pPr>
              <w:pStyle w:val="P68B1DB1-Normal4"/>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BB8E24E" w14:textId="77777777" w:rsidR="003F5418" w:rsidRDefault="002A6C25">
            <w:pPr>
              <w:pStyle w:val="P68B1DB1-Normal4"/>
              <w:spacing w:before="120" w:after="120"/>
              <w:jc w:val="center"/>
              <w:rPr>
                <w:noProof/>
              </w:rPr>
            </w:pPr>
            <w:r>
              <w:rPr>
                <w:noProof/>
              </w:rPr>
              <w:t>69 900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ECE9AE3" w14:textId="77777777" w:rsidR="003F5418" w:rsidRDefault="002A6C25">
            <w:pPr>
              <w:pStyle w:val="P68B1DB1-Normal4"/>
              <w:spacing w:before="120"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718B40E" w14:textId="77777777" w:rsidR="003F5418" w:rsidRDefault="002A6C25">
            <w:pPr>
              <w:pStyle w:val="P68B1DB1-Normal4"/>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9C062C4" w14:textId="2E7F9D24" w:rsidR="003F5418" w:rsidRDefault="002A6C25">
            <w:pPr>
              <w:pStyle w:val="P68B1DB1-Normal4"/>
              <w:rPr>
                <w:noProof/>
              </w:rPr>
            </w:pPr>
            <w:r>
              <w:rPr>
                <w:noProof/>
              </w:rPr>
              <w:t>A vállalkozások a 2021. január 1. és 2022. december 31. között benyújtott adóbevallások alapján legalább</w:t>
            </w:r>
            <w:r>
              <w:rPr>
                <w:noProof/>
              </w:rPr>
              <w:t xml:space="preserve"> 69900 átmeneti 4.0 adójóváírást kaptak 4,0 tárgyi eszközhöz, immateriális javakhoz, kutatási, fejlesztési és innovációs tevékenységekhez vagy képzési tevékenységekhez kapcsolódóan. A várakozások szerint különösen:</w:t>
            </w:r>
          </w:p>
          <w:p w14:paraId="3499BF69" w14:textId="3D5DC4FE" w:rsidR="003F5418" w:rsidRDefault="002A6C25">
            <w:pPr>
              <w:pStyle w:val="P68B1DB1-Normal4"/>
              <w:rPr>
                <w:noProof/>
              </w:rPr>
            </w:pPr>
            <w:r>
              <w:rPr>
                <w:noProof/>
              </w:rPr>
              <w:t>– a 2021. január 1. és 2022. december 31.</w:t>
            </w:r>
            <w:r>
              <w:rPr>
                <w:noProof/>
              </w:rPr>
              <w:t xml:space="preserve"> között benyújtott adóbevallások alapján legalább 17700 adójóváírást nyújtottak vállalkozásoknak 4,0 tárgyi tárgyi eszköz tekintetében;</w:t>
            </w:r>
          </w:p>
          <w:p w14:paraId="0951008E" w14:textId="41C96C55" w:rsidR="003F5418" w:rsidRDefault="002A6C25">
            <w:pPr>
              <w:pStyle w:val="P68B1DB1-Normal4"/>
              <w:rPr>
                <w:noProof/>
              </w:rPr>
            </w:pPr>
            <w:r>
              <w:rPr>
                <w:noProof/>
              </w:rPr>
              <w:t>– a 2021. január 1. és 2022. december 31. között benyújtott adóbevallások alapján legalább 27300 adójóváírást nyújtottak</w:t>
            </w:r>
            <w:r>
              <w:rPr>
                <w:noProof/>
              </w:rPr>
              <w:t xml:space="preserve"> vállalkozásoknak 4,0 immateriális tárgyi eszközre vonatkozóan;</w:t>
            </w:r>
          </w:p>
          <w:p w14:paraId="038F0029" w14:textId="10CD4E3E" w:rsidR="003F5418" w:rsidRDefault="002A6C25">
            <w:pPr>
              <w:pStyle w:val="P68B1DB1-Normal4"/>
              <w:rPr>
                <w:noProof/>
              </w:rPr>
            </w:pPr>
            <w:r>
              <w:rPr>
                <w:noProof/>
              </w:rPr>
              <w:t>– a 2021. január 1. és 2022. december 31. között benyújtott adóbevallások alapján legalább 13600 adójóváírást nyújtottak a vállalkozásoknak a standard immateriális tárgyi eszközökre vonatkozóa</w:t>
            </w:r>
            <w:r>
              <w:rPr>
                <w:noProof/>
              </w:rPr>
              <w:t>n;</w:t>
            </w:r>
          </w:p>
          <w:p w14:paraId="2005DDB1" w14:textId="77777777" w:rsidR="003F5418" w:rsidRDefault="002A6C25">
            <w:pPr>
              <w:pStyle w:val="P68B1DB1-Normal9"/>
              <w:rPr>
                <w:rFonts w:ascii="Arial Narrow" w:hAnsi="Arial Narrow"/>
                <w:noProof/>
              </w:rPr>
            </w:pPr>
            <w:r>
              <w:rPr>
                <w:rFonts w:ascii="Arial Narrow" w:hAnsi="Arial Narrow"/>
                <w:noProof/>
              </w:rPr>
              <w:t>– a vállalkozások a 2022. január 1. és december 31. között benyújtott adóbevallások alapján legalább10300 adójóváírást kaptak kutatási, fejlesztési és innovációs tevékenységekre;</w:t>
            </w:r>
          </w:p>
          <w:p w14:paraId="1C169D01" w14:textId="009325E5" w:rsidR="003F5418" w:rsidRDefault="002A6C25">
            <w:pPr>
              <w:pStyle w:val="P68B1DB1-Normal4"/>
              <w:rPr>
                <w:noProof/>
              </w:rPr>
            </w:pPr>
            <w:r>
              <w:rPr>
                <w:noProof/>
              </w:rPr>
              <w:t>– a 2022. január 1. és december 31. között benyújtott adóbevallások alapjá</w:t>
            </w:r>
            <w:r>
              <w:rPr>
                <w:noProof/>
              </w:rPr>
              <w:t>n legalább 1000, képzési tevékenységekre vonatkozó adójóváírást biztosítottak a vállalkozásoknak.</w:t>
            </w:r>
          </w:p>
          <w:p w14:paraId="2A91F0B4" w14:textId="77777777" w:rsidR="003F5418" w:rsidRDefault="002A6C25">
            <w:pPr>
              <w:pStyle w:val="P68B1DB1-Normal4"/>
              <w:rPr>
                <w:noProof/>
              </w:rPr>
            </w:pPr>
            <w:r>
              <w:rPr>
                <w:noProof/>
              </w:rPr>
              <w:t>Azon vállalkozások esetében, amelyek adóéve nem egyezik meg a naptári évvel, a fent felsorolt valamennyi adójóváíráshoz kapcsolódó adóbevallások benyújtása sz</w:t>
            </w:r>
            <w:r>
              <w:rPr>
                <w:noProof/>
              </w:rPr>
              <w:t>empontjából releváns időszak vége 2022. december 31-től 2023. november 30-ig meghosszabbodik.</w:t>
            </w:r>
          </w:p>
        </w:tc>
      </w:tr>
      <w:tr w:rsidR="003F5418" w14:paraId="4689CFB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923E875" w14:textId="77777777" w:rsidR="003F5418" w:rsidRDefault="002A6C25">
            <w:pPr>
              <w:pStyle w:val="P68B1DB1-Normal4"/>
              <w:spacing w:before="120" w:after="120"/>
              <w:jc w:val="center"/>
              <w:rPr>
                <w:noProof/>
              </w:rPr>
            </w:pPr>
            <w:r>
              <w:rPr>
                <w:noProof/>
              </w:rPr>
              <w:t>M1C2–3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1999750" w14:textId="77777777" w:rsidR="003F5418" w:rsidRDefault="002A6C25">
            <w:pPr>
              <w:pStyle w:val="P68B1DB1-Normal4"/>
              <w:spacing w:before="120" w:after="120"/>
              <w:jc w:val="center"/>
              <w:rPr>
                <w:noProof/>
              </w:rPr>
            </w:pPr>
            <w:r>
              <w:rPr>
                <w:noProof/>
              </w:rPr>
              <w:t>Az 1. beruházást Átállás 4.0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4EA47D" w14:textId="77777777" w:rsidR="003F5418" w:rsidRDefault="002A6C25">
            <w:pPr>
              <w:pStyle w:val="P68B1DB1-Normal4"/>
              <w:spacing w:before="120" w:after="120"/>
              <w:jc w:val="center"/>
              <w:rPr>
                <w:noProof/>
              </w:rPr>
            </w:pPr>
            <w:r>
              <w:rPr>
                <w:noProof/>
              </w:rPr>
              <w:t>Cél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00933BE" w14:textId="77777777" w:rsidR="003F5418" w:rsidRDefault="002A6C25">
            <w:pPr>
              <w:pStyle w:val="P68B1DB1-Normal4"/>
              <w:spacing w:before="120" w:after="120"/>
              <w:jc w:val="center"/>
              <w:rPr>
                <w:noProof/>
              </w:rPr>
            </w:pPr>
            <w:r>
              <w:rPr>
                <w:noProof/>
              </w:rPr>
              <w:t>Átmenet 4.0-ás adójóváírások a vállalkozásoknak a 2021–2023-as időszakban benyújtott adóbevallások alapján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C12BBD0" w14:textId="77777777" w:rsidR="003F5418" w:rsidRDefault="002A6C25">
            <w:pPr>
              <w:pStyle w:val="P68B1DB1-Normal4"/>
              <w:spacing w:before="120" w:after="120"/>
              <w:jc w:val="center"/>
              <w:rPr>
                <w:noProof/>
              </w:rPr>
            </w:pPr>
            <w:r>
              <w:rPr>
                <w:noProof/>
              </w:rPr>
              <w:t>NINCS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75BC18D1" w14:textId="77777777" w:rsidR="003F5418" w:rsidRDefault="002A6C25">
            <w:pPr>
              <w:pStyle w:val="P68B1DB1-Normal4"/>
              <w:spacing w:before="120" w:after="120"/>
              <w:jc w:val="center"/>
              <w:rPr>
                <w:noProof/>
              </w:rPr>
            </w:pPr>
            <w:r>
              <w:rPr>
                <w:noProof/>
              </w:rPr>
              <w:t>Szám</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C10F3F3" w14:textId="77777777" w:rsidR="003F5418" w:rsidRDefault="002A6C25">
            <w:pPr>
              <w:pStyle w:val="P68B1DB1-Normal4"/>
              <w:spacing w:before="120" w:after="120"/>
              <w:jc w:val="center"/>
              <w:rPr>
                <w:noProof/>
              </w:rPr>
            </w:pPr>
            <w:r>
              <w:rPr>
                <w:noProof/>
              </w:rPr>
              <w:t>69 900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16B8C04" w14:textId="77777777" w:rsidR="003F5418" w:rsidRDefault="002A6C25">
            <w:pPr>
              <w:pStyle w:val="P68B1DB1-Normal4"/>
              <w:spacing w:before="120" w:after="120"/>
              <w:jc w:val="center"/>
              <w:rPr>
                <w:noProof/>
              </w:rPr>
            </w:pPr>
            <w:r>
              <w:rPr>
                <w:noProof/>
              </w:rPr>
              <w:t>111 700</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5E74E04" w14:textId="77777777" w:rsidR="003F5418" w:rsidRDefault="002A6C25">
            <w:pPr>
              <w:pStyle w:val="P68B1DB1-Normal4"/>
              <w:spacing w:before="120"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5A8E41E" w14:textId="77777777" w:rsidR="003F5418" w:rsidRDefault="002A6C25">
            <w:pPr>
              <w:pStyle w:val="P68B1DB1-Normal4"/>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B44259E" w14:textId="07CE48A0" w:rsidR="003F5418" w:rsidRDefault="002A6C25">
            <w:pPr>
              <w:pStyle w:val="P68B1DB1-Normal4"/>
              <w:rPr>
                <w:noProof/>
              </w:rPr>
            </w:pPr>
            <w:r>
              <w:rPr>
                <w:noProof/>
              </w:rPr>
              <w:t>A vállalkozások a 2021. január 1. és 2023. december 31. között benyújtott adóbevallások alapján legalább 111700 átmeneti 4.0 adójóváírást kaptak 4,0 tárgyi eszközhöz, immateriális javakhoz, kutatási, fejlesztési és innovációs tevéken</w:t>
            </w:r>
            <w:r>
              <w:rPr>
                <w:noProof/>
              </w:rPr>
              <w:t>ységekhez vagy képzési tevékenységekhez kapcsolódóan. A várakozások szerint különösen:</w:t>
            </w:r>
          </w:p>
          <w:p w14:paraId="60640C9E" w14:textId="0FE1087D" w:rsidR="003F5418" w:rsidRDefault="002A6C25">
            <w:pPr>
              <w:pStyle w:val="P68B1DB1-Normal4"/>
              <w:rPr>
                <w:noProof/>
              </w:rPr>
            </w:pPr>
            <w:r>
              <w:rPr>
                <w:noProof/>
              </w:rPr>
              <w:t>– a 2021. január 1. és 2023. december 31. között benyújtott adóbevallások alapján legalább 26900 adójóváírást nyújtottak vállalkozásoknak 4,0 tárgyi tárgyi eszköz tekint</w:t>
            </w:r>
            <w:r>
              <w:rPr>
                <w:noProof/>
              </w:rPr>
              <w:t>etében;</w:t>
            </w:r>
          </w:p>
          <w:p w14:paraId="7944EAA7" w14:textId="2597FF36" w:rsidR="003F5418" w:rsidRDefault="002A6C25">
            <w:pPr>
              <w:pStyle w:val="P68B1DB1-Normal4"/>
              <w:rPr>
                <w:noProof/>
              </w:rPr>
            </w:pPr>
            <w:r>
              <w:rPr>
                <w:noProof/>
              </w:rPr>
              <w:t>– a 2021. január 1. és 2023. december 31. között benyújtott adóbevallások alapján legalább 41500 adójóváírást nyújtottak vállalkozásoknak 4,0 immateriális tárgyi eszközre vonatkozóan;</w:t>
            </w:r>
          </w:p>
          <w:p w14:paraId="63EB0007" w14:textId="3248B6DB" w:rsidR="003F5418" w:rsidRDefault="002A6C25">
            <w:pPr>
              <w:pStyle w:val="P68B1DB1-Normal4"/>
              <w:rPr>
                <w:noProof/>
              </w:rPr>
            </w:pPr>
            <w:r>
              <w:rPr>
                <w:noProof/>
              </w:rPr>
              <w:t>– a 2021. január 1. és 2023. december 31. között benyújtott adób</w:t>
            </w:r>
            <w:r>
              <w:rPr>
                <w:noProof/>
              </w:rPr>
              <w:t>evallások alapján legalább 20700 adójóváírást nyújtottak a vállalkozásoknak a standard immateriális tárgyi eszközökre vonatkozóan;</w:t>
            </w:r>
          </w:p>
          <w:p w14:paraId="496CF405" w14:textId="3131B1C7" w:rsidR="003F5418" w:rsidRDefault="002A6C25">
            <w:pPr>
              <w:pStyle w:val="P68B1DB1-Normal4"/>
              <w:rPr>
                <w:noProof/>
              </w:rPr>
            </w:pPr>
            <w:r>
              <w:rPr>
                <w:noProof/>
              </w:rPr>
              <w:t>– a 2022. január 1. és 2023. december 31. között benyújtott adóbevallások alapján a vállalkozások legalább 20600 adójóváírást</w:t>
            </w:r>
            <w:r>
              <w:rPr>
                <w:noProof/>
              </w:rPr>
              <w:t xml:space="preserve"> kaptak kutatási, fejlesztési és innovációs tevékenységekhez;</w:t>
            </w:r>
          </w:p>
          <w:p w14:paraId="73DA37BC" w14:textId="2B449C20" w:rsidR="003F5418" w:rsidRDefault="002A6C25">
            <w:pPr>
              <w:pStyle w:val="P68B1DB1-Normal4"/>
              <w:rPr>
                <w:noProof/>
              </w:rPr>
            </w:pPr>
            <w:r>
              <w:rPr>
                <w:noProof/>
              </w:rPr>
              <w:t>– a 2022. január 1. és 2023. december 31. között benyújtott adóbevallások alapján legalább 2000 képzési tevékenységre vonatkozó adójóváírást biztosítottak a vállalkozásoknak.</w:t>
            </w:r>
          </w:p>
          <w:p w14:paraId="159911EC" w14:textId="77777777" w:rsidR="003F5418" w:rsidRDefault="002A6C25">
            <w:pPr>
              <w:pStyle w:val="P68B1DB1-Normal4"/>
              <w:rPr>
                <w:noProof/>
              </w:rPr>
            </w:pPr>
            <w:r>
              <w:rPr>
                <w:noProof/>
              </w:rPr>
              <w:t xml:space="preserve">Azon vállalkozások </w:t>
            </w:r>
            <w:r>
              <w:rPr>
                <w:noProof/>
              </w:rPr>
              <w:t>esetében, amelyek adóéve nem egyezik meg a naptári évvel, a fent felsorolt összes adójóváíráshoz kapcsolódó adóbevallások benyújtása szempontjából releváns időszak végét 2023. december 31-től 2024. november 30-ig meg kell hosszabbítani.</w:t>
            </w:r>
          </w:p>
          <w:p w14:paraId="2C51507F" w14:textId="77777777" w:rsidR="003F5418" w:rsidRDefault="002A6C25">
            <w:pPr>
              <w:pStyle w:val="P68B1DB1-Normal4"/>
              <w:rPr>
                <w:noProof/>
              </w:rPr>
            </w:pPr>
            <w:r>
              <w:rPr>
                <w:noProof/>
              </w:rPr>
              <w:t>Az alapforgatókönyv</w:t>
            </w:r>
            <w:r>
              <w:rPr>
                <w:noProof/>
              </w:rPr>
              <w:t xml:space="preserve"> a vállalkozásoknak nyújtott átmeneti 4.0 adójóváírások számára vonatkozik, a 2021. január 1. és 2022. december 31. között benyújtott adóbevallások alapján 4,0 tárgyi eszközre, 4,0 immateriális tárgyi eszközre és standard immateriális javakra vonatkozóan b</w:t>
            </w:r>
            <w:r>
              <w:rPr>
                <w:noProof/>
              </w:rPr>
              <w:t>enyújtott adóbevallások, valamint a kutatási, fejlesztési és innovációs tevékenységekre, valamint a képzési tevékenységekre vonatkozóan 2022. január 1. és december 31. között benyújtott adóbevallások alapján. Azon vállalkozások esetében, amelyek adóéve nem</w:t>
            </w:r>
            <w:r>
              <w:rPr>
                <w:noProof/>
              </w:rPr>
              <w:t xml:space="preserve"> egyezik meg a naptári évvel, a 2023. november 30-ig benyújtott adóbevallásokat is bele kell foglalni a fent felsorolt valamennyi adójóváírás alapértékébe.</w:t>
            </w:r>
          </w:p>
        </w:tc>
      </w:tr>
      <w:tr w:rsidR="003F5418" w14:paraId="18F8C83E"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FF33098" w14:textId="77777777" w:rsidR="003F5418" w:rsidRDefault="002A6C25">
            <w:pPr>
              <w:pStyle w:val="P68B1DB1-Normal4"/>
              <w:spacing w:before="120" w:after="120"/>
              <w:jc w:val="center"/>
              <w:rPr>
                <w:noProof/>
              </w:rPr>
            </w:pPr>
            <w:r>
              <w:rPr>
                <w:noProof/>
              </w:rPr>
              <w:t>M1C2–4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F9C1422" w14:textId="77777777" w:rsidR="003F5418" w:rsidRDefault="002A6C25">
            <w:pPr>
              <w:pStyle w:val="P68B1DB1-Normal4"/>
              <w:spacing w:before="120" w:after="120"/>
              <w:jc w:val="center"/>
              <w:rPr>
                <w:noProof/>
              </w:rPr>
            </w:pPr>
            <w:r>
              <w:rPr>
                <w:noProof/>
              </w:rPr>
              <w:t>Az 1. reformot Az iparjogvédelmi rendszer reformja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1BD18D2"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E6DFA2C" w14:textId="77777777" w:rsidR="003F5418" w:rsidRDefault="002A6C25">
            <w:pPr>
              <w:pStyle w:val="P68B1DB1-Normal4"/>
              <w:spacing w:before="120" w:after="120"/>
              <w:jc w:val="center"/>
              <w:rPr>
                <w:noProof/>
              </w:rPr>
            </w:pPr>
            <w:r>
              <w:rPr>
                <w:noProof/>
              </w:rPr>
              <w:t>Az olasz iparjogvédelmi törvény</w:t>
            </w:r>
            <w:r>
              <w:rPr>
                <w:noProof/>
              </w:rPr>
              <w:t xml:space="preserve"> és a vonatkozó végrehajtási aktusok reformjára irányuló törvényerejű rendelet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C232135" w14:textId="77777777" w:rsidR="003F5418" w:rsidRDefault="002A6C25">
            <w:pPr>
              <w:pStyle w:val="P68B1DB1-Normal4"/>
              <w:spacing w:before="120" w:after="120"/>
              <w:jc w:val="center"/>
              <w:rPr>
                <w:noProof/>
              </w:rPr>
            </w:pPr>
            <w:r>
              <w:rPr>
                <w:noProof/>
              </w:rPr>
              <w:t>Az új iparjogvédelmi törvény hatálybalépését feltüntető jogszabályi rendelkezés és a vonatkozó végrehajtási jogi aktusokban a hatálybalépésüket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ABDC312"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CF17B0E"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70AA90C"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0F03E67D" w14:textId="77777777" w:rsidR="003F5418" w:rsidRDefault="002A6C25">
            <w:pPr>
              <w:pStyle w:val="P68B1DB1-Normal4"/>
              <w:spacing w:before="120" w:after="120"/>
              <w:jc w:val="center"/>
              <w:rPr>
                <w:noProof/>
              </w:rPr>
            </w:pPr>
            <w:r>
              <w:rPr>
                <w:noProof/>
              </w:rPr>
              <w:t>Q3</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23ADF492" w14:textId="77777777" w:rsidR="003F5418" w:rsidRDefault="002A6C25">
            <w:pPr>
              <w:pStyle w:val="P68B1DB1-Normal4"/>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38C507D" w14:textId="77777777" w:rsidR="003F5418" w:rsidRDefault="002A6C25">
            <w:pPr>
              <w:pStyle w:val="P68B1DB1-Normal4"/>
              <w:rPr>
                <w:noProof/>
              </w:rPr>
            </w:pPr>
            <w:r>
              <w:rPr>
                <w:noProof/>
              </w:rPr>
              <w:t>Az új törvényerejű rendelet módosítja az ipari tulajdonról szóló olasz törvényt (2005. február 10-i 30. sz. törvényerejű rendelet), és legalább a következő területekre terjed ki: i. a szabályozási keret felülvizsgálata az ipari tu</w:t>
            </w:r>
            <w:r>
              <w:rPr>
                <w:noProof/>
              </w:rPr>
              <w:t xml:space="preserve">lajdonjogok védelmének megerősítése és az eljárások egyszerűsítése érdekében, ii. a vállalatoknak és kutatóintézeteknek nyújtott támogatás megerősítése, iii. a készség- és kompetenciafejlesztés fokozása, iv. a tudástranszfer megkönnyítése, v. az innovatív </w:t>
            </w:r>
            <w:r>
              <w:rPr>
                <w:noProof/>
              </w:rPr>
              <w:t>szolgáltatások előmozdítása.</w:t>
            </w:r>
          </w:p>
        </w:tc>
      </w:tr>
      <w:tr w:rsidR="003F5418" w14:paraId="33DFEB8B"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B26BD87" w14:textId="77777777" w:rsidR="003F5418" w:rsidRDefault="002A6C25">
            <w:pPr>
              <w:pStyle w:val="P68B1DB1-Normal4"/>
              <w:spacing w:before="120" w:after="120"/>
              <w:jc w:val="center"/>
              <w:rPr>
                <w:noProof/>
              </w:rPr>
            </w:pPr>
            <w:r>
              <w:rPr>
                <w:noProof/>
              </w:rPr>
              <w:t>M1C2–5</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841B710" w14:textId="77777777" w:rsidR="003F5418" w:rsidRDefault="002A6C25">
            <w:pPr>
              <w:pStyle w:val="P68B1DB1-Normal4"/>
              <w:spacing w:before="120" w:after="120"/>
              <w:jc w:val="center"/>
              <w:rPr>
                <w:noProof/>
              </w:rPr>
            </w:pPr>
            <w:r>
              <w:rPr>
                <w:noProof/>
              </w:rPr>
              <w:t>Beruházás: Beruházás az ipari tulajdoni rendszerbe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C18C48B" w14:textId="77777777" w:rsidR="003F5418" w:rsidRDefault="002A6C25">
            <w:pPr>
              <w:pStyle w:val="P68B1DB1-Normal4"/>
              <w:spacing w:before="120" w:after="120"/>
              <w:jc w:val="center"/>
              <w:rPr>
                <w:noProof/>
              </w:rPr>
            </w:pPr>
            <w:r>
              <w:rPr>
                <w:noProof/>
              </w:rPr>
              <w:t>Cél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D38D944" w14:textId="77777777" w:rsidR="003F5418" w:rsidRDefault="002A6C25">
            <w:pPr>
              <w:pStyle w:val="P68B1DB1-Normal4"/>
              <w:spacing w:before="120" w:after="120"/>
              <w:jc w:val="center"/>
              <w:rPr>
                <w:noProof/>
              </w:rPr>
            </w:pPr>
            <w:r>
              <w:rPr>
                <w:noProof/>
              </w:rPr>
              <w:t>Ipari tulajdonnal kapcsolatos finanszírozási lehetőségek által támogatott projektek</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8F3FE90" w14:textId="77777777" w:rsidR="003F5418" w:rsidRDefault="002A6C25">
            <w:pPr>
              <w:pStyle w:val="P68B1DB1-Normal4"/>
              <w:spacing w:before="120" w:after="120"/>
              <w:jc w:val="center"/>
              <w:rPr>
                <w:noProof/>
              </w:rPr>
            </w:pPr>
            <w:r>
              <w:rPr>
                <w:noProof/>
              </w:rPr>
              <w:t>NINCS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379B3B5" w14:textId="77777777" w:rsidR="003F5418" w:rsidRDefault="002A6C25">
            <w:pPr>
              <w:pStyle w:val="P68B1DB1-Normal4"/>
              <w:spacing w:before="120" w:after="120"/>
              <w:jc w:val="center"/>
              <w:rPr>
                <w:noProof/>
              </w:rPr>
            </w:pPr>
            <w:r>
              <w:rPr>
                <w:noProof/>
              </w:rPr>
              <w:t>Szám</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EEFCE9D" w14:textId="77777777" w:rsidR="003F5418" w:rsidRDefault="002A6C25">
            <w:pPr>
              <w:pStyle w:val="P68B1DB1-Normal4"/>
              <w:spacing w:before="120"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0D64F28" w14:textId="77777777" w:rsidR="003F5418" w:rsidRDefault="002A6C25">
            <w:pPr>
              <w:pStyle w:val="P68B1DB1-Normal4"/>
              <w:spacing w:before="120" w:after="120"/>
              <w:jc w:val="center"/>
              <w:rPr>
                <w:noProof/>
              </w:rPr>
            </w:pPr>
            <w:r>
              <w:rPr>
                <w:noProof/>
              </w:rPr>
              <w:t>254</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8A75739"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6C9E733" w14:textId="77777777" w:rsidR="003F5418" w:rsidRDefault="002A6C25">
            <w:pPr>
              <w:pStyle w:val="P68B1DB1-Normal4"/>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0AB74508" w14:textId="77777777" w:rsidR="003F5418" w:rsidRDefault="002A6C25">
            <w:pPr>
              <w:pStyle w:val="P68B1DB1-Normal6"/>
              <w:spacing w:before="120" w:after="120"/>
              <w:rPr>
                <w:noProof/>
              </w:rPr>
            </w:pPr>
            <w:r>
              <w:rPr>
                <w:noProof/>
                <w:color w:val="006100"/>
              </w:rPr>
              <w:t xml:space="preserve">A jelentős károkozás elkerülését célzó technikai </w:t>
            </w:r>
            <w:r>
              <w:rPr>
                <w:noProof/>
                <w:color w:val="006100"/>
              </w:rPr>
              <w:t>iránymutatásnak (2021/C58/01) megfelelően legalább 254 további projektet támogatnak a vállalatok és a kutatóintézetek számára, mint például a szabadalmakkal kapcsolatos intézkedések (Brevetti+), a koncepcióigazolási programok és a technológiaátadási irodák</w:t>
            </w:r>
            <w:r>
              <w:rPr>
                <w:noProof/>
                <w:color w:val="006100"/>
              </w:rPr>
              <w:t xml:space="preserve"> (TTO-k) a kizárási lista, valamint a vonatkozó uniós és nemzeti környezetvédelmi jogszabályoknak való megfelelés követelménye révén.</w:t>
            </w:r>
          </w:p>
        </w:tc>
      </w:tr>
      <w:tr w:rsidR="003F5418" w14:paraId="6B15D012"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05C10B5" w14:textId="77777777" w:rsidR="003F5418" w:rsidRDefault="002A6C25">
            <w:pPr>
              <w:pStyle w:val="P68B1DB1-Normal4"/>
              <w:spacing w:before="120" w:after="120"/>
              <w:jc w:val="center"/>
              <w:rPr>
                <w:noProof/>
              </w:rPr>
            </w:pPr>
            <w:r>
              <w:rPr>
                <w:noProof/>
              </w:rPr>
              <w:t>M1C2–6</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6F9C818"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77E207A"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CB0C767" w14:textId="77777777" w:rsidR="003F5418" w:rsidRDefault="002A6C25">
            <w:pPr>
              <w:pStyle w:val="P68B1DB1-Normal4"/>
              <w:spacing w:before="120" w:after="120"/>
              <w:jc w:val="center"/>
              <w:rPr>
                <w:noProof/>
              </w:rPr>
            </w:pPr>
            <w:r>
              <w:rPr>
                <w:noProof/>
              </w:rPr>
              <w:t>A 2021. évi éves versenyjogi törvény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4DEA784" w14:textId="77777777" w:rsidR="003F5418" w:rsidRDefault="002A6C25">
            <w:pPr>
              <w:pStyle w:val="P68B1DB1-Normal4"/>
              <w:spacing w:before="120" w:after="120"/>
              <w:jc w:val="center"/>
              <w:rPr>
                <w:noProof/>
              </w:rPr>
            </w:pPr>
            <w:r>
              <w:rPr>
                <w:noProof/>
              </w:rPr>
              <w:t xml:space="preserve">A 2021. évi </w:t>
            </w:r>
            <w:r>
              <w:rPr>
                <w:noProof/>
              </w:rPr>
              <w:t>éves versenyjogi törvény hatálybalépését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5CCD3869"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7F9FC98"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C5C3500"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86A1C69"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9D0D90F" w14:textId="77777777" w:rsidR="003F5418" w:rsidRDefault="002A6C25">
            <w:pPr>
              <w:pStyle w:val="P68B1DB1-Normal4"/>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C240A63" w14:textId="77777777" w:rsidR="003F5418" w:rsidRDefault="002A6C25">
            <w:pPr>
              <w:pStyle w:val="P68B1DB1-Normal4"/>
              <w:spacing w:before="120" w:after="120"/>
              <w:rPr>
                <w:noProof/>
              </w:rPr>
            </w:pPr>
            <w:r>
              <w:rPr>
                <w:noProof/>
              </w:rPr>
              <w:t>Az éves versenyjogi törvény legalább a következő kulcsfontosságú elemeket tartalmazza, amelyek végrehajtási intézkedéseit és (szükség esetén) másodlagos jogszabályait leg</w:t>
            </w:r>
            <w:r>
              <w:rPr>
                <w:noProof/>
              </w:rPr>
              <w:t>később 2022. december 31-ig el kell fogadni és hatályba kell léptetni.</w:t>
            </w:r>
          </w:p>
          <w:p w14:paraId="6DAF4E34" w14:textId="77777777" w:rsidR="003F5418" w:rsidRDefault="002A6C25">
            <w:pPr>
              <w:spacing w:before="120" w:after="120"/>
              <w:rPr>
                <w:rFonts w:ascii="Arial Narrow" w:hAnsi="Arial Narrow"/>
                <w:noProof/>
                <w:color w:val="006100"/>
                <w:sz w:val="20"/>
              </w:rPr>
            </w:pPr>
            <w:r>
              <w:rPr>
                <w:rFonts w:ascii="Arial Narrow" w:hAnsi="Arial Narrow"/>
                <w:noProof/>
                <w:color w:val="006100"/>
                <w:sz w:val="20"/>
              </w:rPr>
              <w:t>Az il a következőkre vonatkozik:</w:t>
            </w:r>
            <w:r>
              <w:rPr>
                <w:rFonts w:ascii="Arial Narrow" w:hAnsi="Arial Narrow"/>
                <w:noProof/>
              </w:rPr>
              <w:t xml:space="preserve"> </w:t>
            </w:r>
            <w:r>
              <w:rPr>
                <w:noProof/>
              </w:rPr>
              <w:t xml:space="preserve"> </w:t>
            </w:r>
            <w:r>
              <w:rPr>
                <w:noProof/>
              </w:rPr>
              <w:br/>
            </w:r>
            <w:r>
              <w:rPr>
                <w:rFonts w:ascii="Arial Narrow" w:hAnsi="Arial Narrow"/>
                <w:noProof/>
                <w:color w:val="006100"/>
                <w:sz w:val="20"/>
              </w:rPr>
              <w:t>Az antitrösztszabályok érvényesítése</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Helyi közszolgáltatások</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Energia</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Szállítás</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 Hulladék</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Vállalkozásindítás</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Piacfelügyelet</w:t>
            </w:r>
          </w:p>
          <w:p w14:paraId="795823B6" w14:textId="77777777" w:rsidR="003F5418" w:rsidRDefault="002A6C25">
            <w:pPr>
              <w:pStyle w:val="P68B1DB1-Normal4"/>
              <w:spacing w:before="120" w:after="120"/>
              <w:rPr>
                <w:noProof/>
              </w:rPr>
            </w:pPr>
            <w:r>
              <w:rPr>
                <w:noProof/>
              </w:rPr>
              <w:t xml:space="preserve">A </w:t>
            </w:r>
            <w:r>
              <w:rPr>
                <w:noProof/>
              </w:rPr>
              <w:t>trösztellenes jogszabályok betartásának biztosítása:</w:t>
            </w:r>
          </w:p>
          <w:p w14:paraId="455F0304" w14:textId="77777777" w:rsidR="003F5418" w:rsidRDefault="002A6C25">
            <w:pPr>
              <w:pStyle w:val="P68B1DB1-Normal4"/>
              <w:spacing w:before="120" w:after="120"/>
              <w:rPr>
                <w:noProof/>
              </w:rPr>
            </w:pPr>
            <w:r>
              <w:rPr>
                <w:noProof/>
              </w:rPr>
              <w:t>I. Az összefonódás-ellenőrzés további akadályainak megszüntetése az olasz összefonódás-ellenőrzési szabályoknak az uniós joggal való további összehangolása révén.</w:t>
            </w:r>
          </w:p>
          <w:p w14:paraId="69037AB4" w14:textId="77777777" w:rsidR="003F5418" w:rsidRDefault="002A6C25">
            <w:pPr>
              <w:pStyle w:val="P68B1DB1-Normal4"/>
              <w:spacing w:before="120" w:after="120"/>
              <w:rPr>
                <w:noProof/>
              </w:rPr>
            </w:pPr>
            <w:r>
              <w:rPr>
                <w:noProof/>
              </w:rPr>
              <w:t>Helyi közszolgáltatások:</w:t>
            </w:r>
          </w:p>
          <w:p w14:paraId="45874BD1" w14:textId="77777777" w:rsidR="003F5418" w:rsidRDefault="002A6C25">
            <w:pPr>
              <w:pStyle w:val="P68B1DB1-Normal4"/>
              <w:spacing w:before="120" w:after="120"/>
              <w:rPr>
                <w:noProof/>
              </w:rPr>
            </w:pPr>
            <w:r>
              <w:rPr>
                <w:noProof/>
              </w:rPr>
              <w:t>II. A verseny e</w:t>
            </w:r>
            <w:r>
              <w:rPr>
                <w:noProof/>
              </w:rPr>
              <w:t>lvének megerősítése és szélesebb körű alkalmazása a helyi közszolgáltatási szerződések esetében, különösen a hulladékgazdálkodás és a helyi tömegközlekedés területén.</w:t>
            </w:r>
          </w:p>
          <w:p w14:paraId="72747780" w14:textId="77777777" w:rsidR="003F5418" w:rsidRDefault="002A6C25">
            <w:pPr>
              <w:pStyle w:val="P68B1DB1-Normal4"/>
              <w:spacing w:before="120" w:after="120"/>
              <w:rPr>
                <w:noProof/>
              </w:rPr>
            </w:pPr>
            <w:r>
              <w:rPr>
                <w:noProof/>
              </w:rPr>
              <w:t>III. Korlátozza a közvetlen odaítéléseket azáltal, hogy előírja a helyi hatóságok számára</w:t>
            </w:r>
            <w:r>
              <w:rPr>
                <w:noProof/>
              </w:rPr>
              <w:t>, hogy indokolják a közszolgáltatási szerződések odaítélésétől való bármilyen eltérést (a közbeszerzési törvénykönyv 192. cikke szerint).</w:t>
            </w:r>
          </w:p>
          <w:p w14:paraId="79195CE3" w14:textId="77777777" w:rsidR="003F5418" w:rsidRDefault="002A6C25">
            <w:pPr>
              <w:pStyle w:val="P68B1DB1-Normal4"/>
              <w:spacing w:before="120" w:after="120"/>
              <w:rPr>
                <w:noProof/>
              </w:rPr>
            </w:pPr>
            <w:r>
              <w:rPr>
                <w:noProof/>
              </w:rPr>
              <w:t>IV. A közszolgáltatási szerződések megfelelő szabályozásának előírása a 124/2015. sz. törvény 19. cikkének a helyi köz</w:t>
            </w:r>
            <w:r>
              <w:rPr>
                <w:noProof/>
              </w:rPr>
              <w:t>szolgáltatásokra, különösen a hulladékgazdálkodásra vonatkozó egységes szövegként történő végrehajtásával.</w:t>
            </w:r>
          </w:p>
          <w:p w14:paraId="5D0D662D" w14:textId="77777777" w:rsidR="003F5418" w:rsidRDefault="002A6C25">
            <w:pPr>
              <w:pStyle w:val="P68B1DB1-Normal9"/>
              <w:spacing w:before="120" w:after="120"/>
              <w:rPr>
                <w:rFonts w:ascii="Arial Narrow" w:hAnsi="Arial Narrow"/>
                <w:noProof/>
              </w:rPr>
            </w:pPr>
            <w:r>
              <w:rPr>
                <w:rFonts w:ascii="Arial Narrow" w:hAnsi="Arial Narrow"/>
                <w:noProof/>
              </w:rPr>
              <w:t>V. A szabályok és az összesítési mechanizmusok arra ösztönzik az önkormányzatok szövetségeit, hogy csökkentsék az ajánlatkérők és az ajánlatkérő szer</w:t>
            </w:r>
            <w:r>
              <w:rPr>
                <w:rFonts w:ascii="Arial Narrow" w:hAnsi="Arial Narrow"/>
                <w:noProof/>
              </w:rPr>
              <w:t>vek számát azáltal, hogy összekapcsolják őket a legalább 350000 lakosú, optimális területi csoportosulásokkal („ambiti territoriali ottimali”), valamint a helyi és regionális tömegközlekedési szolgáltatások („bacini e livelli adeguati di servizi di traspor</w:t>
            </w:r>
            <w:r>
              <w:rPr>
                <w:rFonts w:ascii="Arial Narrow" w:hAnsi="Arial Narrow"/>
                <w:noProof/>
              </w:rPr>
              <w:t>to pubblico locale e regionale”) területével és megfelelő szintjével.</w:t>
            </w:r>
          </w:p>
          <w:p w14:paraId="6615B3F9" w14:textId="77777777" w:rsidR="003F5418" w:rsidRDefault="002A6C25">
            <w:pPr>
              <w:pStyle w:val="P68B1DB1-Normal4"/>
              <w:spacing w:before="120" w:after="120"/>
              <w:rPr>
                <w:noProof/>
              </w:rPr>
            </w:pPr>
            <w:r>
              <w:rPr>
                <w:noProof/>
              </w:rPr>
              <w:t>A 124/2015. sz. törvény 19. cikkét végrehajtó, a helyi közszolgáltatásokról szóló jogszabálynak legalább:</w:t>
            </w:r>
          </w:p>
          <w:p w14:paraId="69A63950" w14:textId="77777777" w:rsidR="003F5418" w:rsidRDefault="002A6C25">
            <w:pPr>
              <w:pStyle w:val="P68B1DB1-Normal4"/>
              <w:spacing w:before="120" w:after="120"/>
              <w:rPr>
                <w:noProof/>
              </w:rPr>
            </w:pPr>
            <w:r>
              <w:rPr>
                <w:noProof/>
              </w:rPr>
              <w:t>– a közszolgáltatások uniós jogi kritériumok alapján történő meghatározása;</w:t>
            </w:r>
          </w:p>
          <w:p w14:paraId="28F19472" w14:textId="77777777" w:rsidR="003F5418" w:rsidRDefault="002A6C25">
            <w:pPr>
              <w:pStyle w:val="P68B1DB1-Normal4"/>
              <w:spacing w:before="120" w:after="120"/>
              <w:rPr>
                <w:noProof/>
              </w:rPr>
            </w:pPr>
            <w:r>
              <w:rPr>
                <w:noProof/>
              </w:rPr>
              <w:t>– me</w:t>
            </w:r>
            <w:r>
              <w:rPr>
                <w:noProof/>
              </w:rPr>
              <w:t>ghatározza a helyi közszolgáltatások nyújtásának, szabályozásának és irányításának általános elveit;</w:t>
            </w:r>
          </w:p>
          <w:p w14:paraId="56D89FD8" w14:textId="77777777" w:rsidR="003F5418" w:rsidRDefault="002A6C25">
            <w:pPr>
              <w:pStyle w:val="P68B1DB1-Normal4"/>
              <w:spacing w:before="120" w:after="120"/>
              <w:rPr>
                <w:noProof/>
              </w:rPr>
            </w:pPr>
            <w:r>
              <w:rPr>
                <w:noProof/>
              </w:rPr>
              <w:t>– az arányosság általános elvének megállapítása a közszolgáltatási szerződések időtartama tekintetében;</w:t>
            </w:r>
          </w:p>
          <w:p w14:paraId="4F7917C8" w14:textId="77777777" w:rsidR="003F5418" w:rsidRDefault="002A6C25">
            <w:pPr>
              <w:pStyle w:val="P68B1DB1-Normal4"/>
              <w:spacing w:before="120" w:after="120"/>
              <w:rPr>
                <w:noProof/>
              </w:rPr>
            </w:pPr>
            <w:r>
              <w:rPr>
                <w:noProof/>
              </w:rPr>
              <w:t>– a közszolgáltatási szerződések szabályozási és el</w:t>
            </w:r>
            <w:r>
              <w:rPr>
                <w:noProof/>
              </w:rPr>
              <w:t>lenőrzési funkcióinak egyértelmű elkülönítése;</w:t>
            </w:r>
          </w:p>
          <w:p w14:paraId="73922639" w14:textId="77777777" w:rsidR="003F5418" w:rsidRDefault="002A6C25">
            <w:pPr>
              <w:pStyle w:val="P68B1DB1-Normal4"/>
              <w:spacing w:before="120" w:after="120"/>
              <w:rPr>
                <w:noProof/>
              </w:rPr>
            </w:pPr>
            <w:r>
              <w:rPr>
                <w:noProof/>
              </w:rPr>
              <w:t>biztosítsa, hogy a helyi hatóságok indokolják az in house odaítélésben részt vevő társaságok részesedésének növelését;</w:t>
            </w:r>
          </w:p>
          <w:p w14:paraId="48D15F5A" w14:textId="77777777" w:rsidR="003F5418" w:rsidRDefault="002A6C25">
            <w:pPr>
              <w:pStyle w:val="P68B1DB1-Normal4"/>
              <w:spacing w:before="120" w:after="120"/>
              <w:rPr>
                <w:noProof/>
              </w:rPr>
            </w:pPr>
            <w:r>
              <w:rPr>
                <w:noProof/>
              </w:rPr>
              <w:t>– a közszolgáltatási szerződések megfelelő ellentételezésének biztosítása független szabál</w:t>
            </w:r>
            <w:r>
              <w:rPr>
                <w:noProof/>
              </w:rPr>
              <w:t>yozók által felügyelt költségszámítás alapján (pl. az energia esetében az ARERA vagy a közlekedés esetében az ART);</w:t>
            </w:r>
          </w:p>
          <w:p w14:paraId="2343E945" w14:textId="77777777" w:rsidR="003F5418" w:rsidRDefault="002A6C25">
            <w:pPr>
              <w:pStyle w:val="P68B1DB1-Normal4"/>
              <w:spacing w:before="120" w:after="120"/>
              <w:rPr>
                <w:noProof/>
              </w:rPr>
            </w:pPr>
            <w:r>
              <w:rPr>
                <w:noProof/>
              </w:rPr>
              <w:t xml:space="preserve">– korlátozza a házon belüli szerződések átlagos időtartamát, és csökkenti és harmonizálja a pályáztatott szerződések szokásos időtartamát, </w:t>
            </w:r>
            <w:r>
              <w:rPr>
                <w:noProof/>
              </w:rPr>
              <w:t>feltéve, hogy az időtartam biztosítja a szerződések gazdasági és pénzügyi egyensúlyát, többek között a Közlekedési Hatóság által meghatározott kritériumok alapján.</w:t>
            </w:r>
          </w:p>
          <w:p w14:paraId="7F58D348" w14:textId="77777777" w:rsidR="003F5418" w:rsidRDefault="002A6C25">
            <w:pPr>
              <w:pStyle w:val="P68B1DB1-Normal4"/>
              <w:spacing w:before="120" w:after="120"/>
              <w:rPr>
                <w:noProof/>
              </w:rPr>
            </w:pPr>
            <w:r>
              <w:rPr>
                <w:noProof/>
              </w:rPr>
              <w:t>Energia:</w:t>
            </w:r>
          </w:p>
          <w:p w14:paraId="0DAE5B7C" w14:textId="77777777" w:rsidR="003F5418" w:rsidRDefault="002A6C25">
            <w:pPr>
              <w:pStyle w:val="P68B1DB1-Normal15"/>
              <w:spacing w:before="120" w:after="120"/>
              <w:rPr>
                <w:noProof/>
                <w:color w:val="006100"/>
                <w:sz w:val="20"/>
              </w:rPr>
            </w:pPr>
            <w:r>
              <w:rPr>
                <w:noProof/>
                <w:color w:val="006100"/>
                <w:sz w:val="20"/>
              </w:rPr>
              <w:t>VI.</w:t>
            </w:r>
            <w:r>
              <w:rPr>
                <w:noProof/>
              </w:rPr>
              <w:t xml:space="preserve"> </w:t>
            </w:r>
            <w:r>
              <w:rPr>
                <w:noProof/>
                <w:color w:val="006100"/>
                <w:sz w:val="20"/>
              </w:rPr>
              <w:t>A vízenergiára vonatkozó koncessziós szerződések pályáztatásának kötelezővé tét</w:t>
            </w:r>
            <w:r>
              <w:rPr>
                <w:noProof/>
                <w:color w:val="006100"/>
                <w:sz w:val="20"/>
              </w:rPr>
              <w:t>ele és a vízenergia-koncessziók szabályozási keretének meghatározása.</w:t>
            </w:r>
          </w:p>
          <w:p w14:paraId="74F84DEE" w14:textId="77777777" w:rsidR="003F5418" w:rsidRDefault="002A6C25">
            <w:pPr>
              <w:pStyle w:val="P68B1DB1-Normal15"/>
              <w:spacing w:before="120" w:after="120"/>
              <w:rPr>
                <w:noProof/>
                <w:color w:val="006100"/>
                <w:sz w:val="20"/>
              </w:rPr>
            </w:pPr>
            <w:r>
              <w:rPr>
                <w:noProof/>
                <w:color w:val="006100"/>
                <w:sz w:val="20"/>
              </w:rPr>
              <w:t>VII.</w:t>
            </w:r>
            <w:r>
              <w:rPr>
                <w:noProof/>
              </w:rPr>
              <w:t xml:space="preserve"> </w:t>
            </w:r>
            <w:r>
              <w:rPr>
                <w:noProof/>
                <w:color w:val="006100"/>
                <w:sz w:val="20"/>
              </w:rPr>
              <w:t>A koncessziós szerződések kiírásának kötelezővé tétele a gázelosztás tekintetében.</w:t>
            </w:r>
          </w:p>
          <w:p w14:paraId="74D291E7" w14:textId="77777777" w:rsidR="003F5418" w:rsidRDefault="002A6C25">
            <w:pPr>
              <w:pStyle w:val="P68B1DB1-Normal15"/>
              <w:spacing w:before="120" w:after="120"/>
              <w:rPr>
                <w:noProof/>
                <w:color w:val="006100"/>
                <w:sz w:val="20"/>
              </w:rPr>
            </w:pPr>
            <w:r>
              <w:rPr>
                <w:noProof/>
                <w:color w:val="006100"/>
                <w:sz w:val="20"/>
              </w:rPr>
              <w:t>VIII.</w:t>
            </w:r>
            <w:r>
              <w:rPr>
                <w:noProof/>
              </w:rPr>
              <w:t xml:space="preserve"> </w:t>
            </w:r>
            <w:r>
              <w:rPr>
                <w:noProof/>
                <w:color w:val="006100"/>
                <w:sz w:val="20"/>
              </w:rPr>
              <w:t>Átlátható és megkülönböztetésmentes követelményeket állapít meg az elektromos töltésre szolg</w:t>
            </w:r>
            <w:r>
              <w:rPr>
                <w:noProof/>
                <w:color w:val="006100"/>
                <w:sz w:val="20"/>
              </w:rPr>
              <w:t>áló nyilvános terek kijelölésére vagy a töltőállomások/állomások üzemeltetőinek kiválasztására vonatkozóan.</w:t>
            </w:r>
          </w:p>
          <w:p w14:paraId="4D34413B" w14:textId="77777777" w:rsidR="003F5418" w:rsidRDefault="002A6C25">
            <w:pPr>
              <w:pStyle w:val="P68B1DB1-Normal15"/>
              <w:spacing w:before="120" w:after="120"/>
              <w:rPr>
                <w:noProof/>
                <w:color w:val="006100"/>
                <w:sz w:val="20"/>
              </w:rPr>
            </w:pPr>
            <w:r>
              <w:rPr>
                <w:noProof/>
                <w:color w:val="006100"/>
                <w:sz w:val="20"/>
              </w:rPr>
              <w:t>IX.</w:t>
            </w:r>
            <w:r>
              <w:rPr>
                <w:noProof/>
              </w:rPr>
              <w:t xml:space="preserve"> </w:t>
            </w:r>
            <w:r>
              <w:rPr>
                <w:noProof/>
                <w:color w:val="006100"/>
                <w:sz w:val="20"/>
              </w:rPr>
              <w:t>Az elektromos járművek töltésére vonatkozó szabályozott villamosenergia-ellátási díjak megszüntetése.</w:t>
            </w:r>
          </w:p>
          <w:p w14:paraId="68B74714" w14:textId="77777777" w:rsidR="003F5418" w:rsidRDefault="002A6C25">
            <w:pPr>
              <w:pStyle w:val="P68B1DB1-Normal4"/>
              <w:spacing w:before="120" w:after="120"/>
              <w:rPr>
                <w:noProof/>
              </w:rPr>
            </w:pPr>
            <w:r>
              <w:rPr>
                <w:noProof/>
              </w:rPr>
              <w:t xml:space="preserve">A vízenergia-koncessziók versenykerete </w:t>
            </w:r>
            <w:r>
              <w:rPr>
                <w:noProof/>
              </w:rPr>
              <w:t>legalább:</w:t>
            </w:r>
          </w:p>
          <w:p w14:paraId="5A2EB184" w14:textId="77777777" w:rsidR="003F5418" w:rsidRDefault="002A6C25">
            <w:pPr>
              <w:pStyle w:val="P68B1DB1-Normal15"/>
              <w:spacing w:before="120" w:after="120"/>
              <w:rPr>
                <w:noProof/>
                <w:color w:val="006100"/>
                <w:sz w:val="20"/>
              </w:rPr>
            </w:pPr>
            <w:r>
              <w:rPr>
                <w:noProof/>
                <w:color w:val="006100"/>
                <w:sz w:val="20"/>
              </w:rPr>
              <w:t>Előírja, hogy a fontos vízerőműveket központi szinten általános és egységes kritériumokkal kell szabályozni.</w:t>
            </w:r>
          </w:p>
          <w:p w14:paraId="4C5CFA55" w14:textId="77777777" w:rsidR="003F5418" w:rsidRDefault="002A6C25">
            <w:pPr>
              <w:pStyle w:val="P68B1DB1-Normal15"/>
              <w:spacing w:before="120" w:after="120"/>
              <w:rPr>
                <w:noProof/>
                <w:color w:val="006100"/>
                <w:sz w:val="20"/>
              </w:rPr>
            </w:pPr>
            <w:r>
              <w:rPr>
                <w:noProof/>
                <w:color w:val="006100"/>
                <w:sz w:val="20"/>
              </w:rPr>
              <w:t>A</w:t>
            </w:r>
            <w:r>
              <w:rPr>
                <w:noProof/>
              </w:rPr>
              <w:t xml:space="preserve"> </w:t>
            </w:r>
            <w:r>
              <w:rPr>
                <w:noProof/>
                <w:color w:val="006100"/>
                <w:sz w:val="20"/>
              </w:rPr>
              <w:t>régiók kötelezése arra, hogy határozzák meg a koncessziós szerződések időtartamát alátámasztó gazdasági kritériumokat.</w:t>
            </w:r>
          </w:p>
          <w:p w14:paraId="25FC5F81" w14:textId="77777777" w:rsidR="003F5418" w:rsidRDefault="002A6C25">
            <w:pPr>
              <w:pStyle w:val="P68B1DB1-Normal4"/>
              <w:spacing w:before="120" w:after="120"/>
              <w:rPr>
                <w:noProof/>
              </w:rPr>
            </w:pPr>
            <w:r>
              <w:rPr>
                <w:noProof/>
              </w:rPr>
              <w:t xml:space="preserve">Ki kell zárni a </w:t>
            </w:r>
            <w:r>
              <w:rPr>
                <w:noProof/>
              </w:rPr>
              <w:t>szerződések meghosszabbításának lehetőségét (amint azt az olasz Alkotmánybíróság már megállapította).</w:t>
            </w:r>
          </w:p>
          <w:p w14:paraId="5DE89C6C" w14:textId="77777777" w:rsidR="003F5418" w:rsidRDefault="002A6C25">
            <w:pPr>
              <w:pStyle w:val="P68B1DB1-Normal15"/>
              <w:spacing w:before="120" w:after="120"/>
              <w:rPr>
                <w:noProof/>
                <w:color w:val="006100"/>
                <w:sz w:val="20"/>
              </w:rPr>
            </w:pPr>
            <w:r>
              <w:rPr>
                <w:noProof/>
                <w:color w:val="006100"/>
                <w:sz w:val="20"/>
              </w:rPr>
              <w:t>A</w:t>
            </w:r>
            <w:r>
              <w:rPr>
                <w:noProof/>
              </w:rPr>
              <w:t xml:space="preserve"> </w:t>
            </w:r>
            <w:r>
              <w:rPr>
                <w:noProof/>
                <w:color w:val="006100"/>
                <w:sz w:val="20"/>
              </w:rPr>
              <w:t>régiók kötelezése arra, hogy harmonizálják a pályázati kritériumokhoz való hozzáférés feltételeit (a kiszámítható üzleti környezet megteremtése érdekébe</w:t>
            </w:r>
            <w:r>
              <w:rPr>
                <w:noProof/>
                <w:color w:val="006100"/>
                <w:sz w:val="20"/>
              </w:rPr>
              <w:t>n).</w:t>
            </w:r>
          </w:p>
          <w:p w14:paraId="3FC5BCCB" w14:textId="77777777" w:rsidR="003F5418" w:rsidRDefault="002A6C25">
            <w:pPr>
              <w:pStyle w:val="P68B1DB1-Normal4"/>
              <w:spacing w:before="120" w:after="120"/>
              <w:rPr>
                <w:noProof/>
              </w:rPr>
            </w:pPr>
            <w:r>
              <w:rPr>
                <w:noProof/>
              </w:rPr>
              <w:t>Utazás:</w:t>
            </w:r>
          </w:p>
          <w:p w14:paraId="1FE87E42" w14:textId="77777777" w:rsidR="003F5418" w:rsidRDefault="002A6C25">
            <w:pPr>
              <w:pStyle w:val="P68B1DB1-Normal15"/>
              <w:spacing w:before="120" w:after="120"/>
              <w:rPr>
                <w:noProof/>
                <w:color w:val="006100"/>
                <w:sz w:val="20"/>
              </w:rPr>
            </w:pPr>
            <w:r>
              <w:rPr>
                <w:noProof/>
                <w:color w:val="006100"/>
                <w:sz w:val="20"/>
              </w:rPr>
              <w:t>X. Egyértelmű, megkülönböztetésmentes és átlátható kritériumok megállapításaa kikötői koncessziók odaítélésekor.</w:t>
            </w:r>
          </w:p>
          <w:p w14:paraId="35405A88" w14:textId="77777777" w:rsidR="003F5418" w:rsidRDefault="002A6C25">
            <w:pPr>
              <w:pStyle w:val="P68B1DB1-Normal15"/>
              <w:spacing w:before="120" w:after="120"/>
              <w:rPr>
                <w:noProof/>
                <w:color w:val="006100"/>
                <w:sz w:val="20"/>
              </w:rPr>
            </w:pPr>
            <w:r>
              <w:rPr>
                <w:noProof/>
                <w:color w:val="006100"/>
                <w:sz w:val="20"/>
              </w:rPr>
              <w:t>XI.</w:t>
            </w:r>
            <w:r>
              <w:rPr>
                <w:noProof/>
              </w:rPr>
              <w:t xml:space="preserve"> </w:t>
            </w:r>
            <w:r>
              <w:rPr>
                <w:noProof/>
                <w:color w:val="006100"/>
                <w:sz w:val="20"/>
              </w:rPr>
              <w:t xml:space="preserve">Meg kell szüntetni azokat az akadályokat, amelyek gátolják a kikötői koncessziós jogosultakat abban, hogy több nagy és közepes </w:t>
            </w:r>
            <w:r>
              <w:rPr>
                <w:noProof/>
                <w:color w:val="006100"/>
                <w:sz w:val="20"/>
              </w:rPr>
              <w:t>méretű kikötőben egyesítsék a kikötői koncessziós tevékenységeket.</w:t>
            </w:r>
          </w:p>
          <w:p w14:paraId="00DDE1DC" w14:textId="77777777" w:rsidR="003F5418" w:rsidRDefault="002A6C25">
            <w:pPr>
              <w:pStyle w:val="P68B1DB1-Normal15"/>
              <w:spacing w:before="120" w:after="120"/>
              <w:rPr>
                <w:noProof/>
                <w:color w:val="006100"/>
                <w:sz w:val="20"/>
              </w:rPr>
            </w:pPr>
            <w:r>
              <w:rPr>
                <w:noProof/>
                <w:color w:val="006100"/>
                <w:sz w:val="20"/>
              </w:rPr>
              <w:t>XII.</w:t>
            </w:r>
            <w:r>
              <w:rPr>
                <w:noProof/>
              </w:rPr>
              <w:t xml:space="preserve"> </w:t>
            </w:r>
            <w:r>
              <w:rPr>
                <w:noProof/>
                <w:color w:val="006100"/>
                <w:sz w:val="20"/>
              </w:rPr>
              <w:t>A munkavállalók biztonságának sérelme nélkül meg kell szüntetni azokat az akadályokat, amelyek megakadályozzák a koncessziós jogosultakat abban, hogy maguk nyújtsák a kikötői szolgálta</w:t>
            </w:r>
            <w:r>
              <w:rPr>
                <w:noProof/>
                <w:color w:val="006100"/>
                <w:sz w:val="20"/>
              </w:rPr>
              <w:t>tások egy részét és saját berendezéseiket használják, feltéve, hogy a munkavállalók biztonságának védelméhez szükséges feltételek szükségesek és arányosak a kikötői területek biztonságának garantálására irányuló célkitűzéssel.</w:t>
            </w:r>
          </w:p>
          <w:p w14:paraId="5B2E6F37" w14:textId="77777777" w:rsidR="003F5418" w:rsidRDefault="002A6C25">
            <w:pPr>
              <w:pStyle w:val="P68B1DB1-Normal15"/>
              <w:spacing w:before="120" w:after="120"/>
              <w:rPr>
                <w:noProof/>
                <w:color w:val="006100"/>
                <w:sz w:val="20"/>
              </w:rPr>
            </w:pPr>
            <w:r>
              <w:rPr>
                <w:noProof/>
                <w:color w:val="006100"/>
                <w:sz w:val="20"/>
              </w:rPr>
              <w:t>XIII.</w:t>
            </w:r>
            <w:r>
              <w:rPr>
                <w:noProof/>
              </w:rPr>
              <w:t xml:space="preserve"> </w:t>
            </w:r>
            <w:r>
              <w:rPr>
                <w:noProof/>
                <w:color w:val="006100"/>
                <w:sz w:val="20"/>
              </w:rPr>
              <w:t>Egyszerűsítse a kikötői</w:t>
            </w:r>
            <w:r>
              <w:rPr>
                <w:noProof/>
                <w:color w:val="006100"/>
                <w:sz w:val="20"/>
              </w:rPr>
              <w:t xml:space="preserve"> engedélyezési tervek felülvizsgálatára vonatkozó eljárások felülvizsgálatát.</w:t>
            </w:r>
          </w:p>
          <w:p w14:paraId="1F6D76F6" w14:textId="77777777" w:rsidR="003F5418" w:rsidRDefault="002A6C25">
            <w:pPr>
              <w:pStyle w:val="P68B1DB1-Normal15"/>
              <w:spacing w:before="120" w:after="120"/>
              <w:rPr>
                <w:noProof/>
                <w:color w:val="006100"/>
                <w:sz w:val="20"/>
              </w:rPr>
            </w:pPr>
            <w:r>
              <w:rPr>
                <w:noProof/>
                <w:color w:val="006100"/>
                <w:sz w:val="20"/>
              </w:rPr>
              <w:t>XIV.</w:t>
            </w:r>
            <w:r>
              <w:rPr>
                <w:noProof/>
              </w:rPr>
              <w:t xml:space="preserve"> </w:t>
            </w:r>
            <w:r>
              <w:rPr>
                <w:noProof/>
                <w:color w:val="006100"/>
                <w:sz w:val="20"/>
              </w:rPr>
              <w:t>Az 50/2017. sz. törvényerejű rendelet 27. cikke (2) bekezdése d) pontjának végrehajtása, amely arra ösztönzi a régiókat, hogy pályázzanak regionális vasúti szerződéseikre.</w:t>
            </w:r>
          </w:p>
          <w:p w14:paraId="45798279" w14:textId="77777777" w:rsidR="003F5418" w:rsidRDefault="002A6C25">
            <w:pPr>
              <w:pStyle w:val="P68B1DB1-Normal4"/>
              <w:spacing w:before="120" w:after="120"/>
              <w:rPr>
                <w:noProof/>
              </w:rPr>
            </w:pPr>
            <w:r>
              <w:rPr>
                <w:noProof/>
              </w:rPr>
              <w:t>H</w:t>
            </w:r>
            <w:r>
              <w:rPr>
                <w:noProof/>
              </w:rPr>
              <w:t>ulladék:</w:t>
            </w:r>
          </w:p>
          <w:p w14:paraId="618F4441" w14:textId="77777777" w:rsidR="003F5418" w:rsidRDefault="002A6C25">
            <w:pPr>
              <w:pStyle w:val="P68B1DB1-Normal15"/>
              <w:spacing w:before="120" w:after="120"/>
              <w:rPr>
                <w:noProof/>
                <w:color w:val="006100"/>
                <w:sz w:val="20"/>
              </w:rPr>
            </w:pPr>
            <w:r>
              <w:rPr>
                <w:noProof/>
                <w:color w:val="006100"/>
                <w:sz w:val="20"/>
              </w:rPr>
              <w:t>XV.</w:t>
            </w:r>
            <w:r>
              <w:rPr>
                <w:noProof/>
              </w:rPr>
              <w:t xml:space="preserve"> </w:t>
            </w:r>
            <w:r>
              <w:rPr>
                <w:noProof/>
                <w:color w:val="006100"/>
                <w:sz w:val="20"/>
              </w:rPr>
              <w:t>A hulladékkezelő létesítmények engedélyezési eljárásainak egyszerűsítése.</w:t>
            </w:r>
          </w:p>
          <w:p w14:paraId="503A6BD2" w14:textId="77777777" w:rsidR="003F5418" w:rsidRDefault="002A6C25">
            <w:pPr>
              <w:pStyle w:val="P68B1DB1-Normal4"/>
              <w:spacing w:before="120" w:after="120"/>
              <w:rPr>
                <w:noProof/>
              </w:rPr>
            </w:pPr>
            <w:r>
              <w:rPr>
                <w:noProof/>
              </w:rPr>
              <w:t>Vállalkozásindítás:</w:t>
            </w:r>
          </w:p>
          <w:p w14:paraId="6C473AF1" w14:textId="77777777" w:rsidR="003F5418" w:rsidRDefault="002A6C25">
            <w:pPr>
              <w:pStyle w:val="P68B1DB1-Normal15"/>
              <w:spacing w:before="120" w:after="120"/>
              <w:rPr>
                <w:noProof/>
                <w:color w:val="006100"/>
                <w:sz w:val="20"/>
              </w:rPr>
            </w:pPr>
            <w:r>
              <w:rPr>
                <w:noProof/>
                <w:color w:val="006100"/>
                <w:sz w:val="20"/>
              </w:rPr>
              <w:t>XVI.</w:t>
            </w:r>
            <w:r>
              <w:rPr>
                <w:noProof/>
              </w:rPr>
              <w:t xml:space="preserve"> </w:t>
            </w:r>
            <w:r>
              <w:rPr>
                <w:noProof/>
                <w:color w:val="006100"/>
                <w:sz w:val="20"/>
              </w:rPr>
              <w:t>A munkavállalókkal kapcsolatos tájékoztatásra vonatkozó akkreditáció időtartamát hét napról négy napra kell csökkenteni a vállalkozásindítási na</w:t>
            </w:r>
            <w:r>
              <w:rPr>
                <w:noProof/>
                <w:color w:val="006100"/>
                <w:sz w:val="20"/>
              </w:rPr>
              <w:t>pok számának csökkentése érdekében.</w:t>
            </w:r>
          </w:p>
          <w:p w14:paraId="03AD1FB9" w14:textId="77777777" w:rsidR="003F5418" w:rsidRDefault="002A6C25">
            <w:pPr>
              <w:pStyle w:val="P68B1DB1-Normal4"/>
              <w:spacing w:before="120" w:after="120"/>
              <w:rPr>
                <w:noProof/>
              </w:rPr>
            </w:pPr>
            <w:r>
              <w:rPr>
                <w:noProof/>
              </w:rPr>
              <w:t>Piacfelügyelet:</w:t>
            </w:r>
          </w:p>
          <w:p w14:paraId="23A6AC8A" w14:textId="77777777" w:rsidR="003F5418" w:rsidRDefault="002A6C25">
            <w:pPr>
              <w:pStyle w:val="P68B1DB1-Normal15"/>
              <w:spacing w:before="120" w:after="120"/>
              <w:rPr>
                <w:noProof/>
                <w:color w:val="006100"/>
                <w:sz w:val="20"/>
              </w:rPr>
            </w:pPr>
            <w:r>
              <w:rPr>
                <w:noProof/>
                <w:color w:val="006100"/>
                <w:sz w:val="20"/>
              </w:rPr>
              <w:t>XVII.</w:t>
            </w:r>
            <w:r>
              <w:rPr>
                <w:noProof/>
              </w:rPr>
              <w:t xml:space="preserve"> </w:t>
            </w:r>
            <w:r>
              <w:rPr>
                <w:noProof/>
                <w:color w:val="006100"/>
                <w:sz w:val="20"/>
              </w:rPr>
              <w:t xml:space="preserve">A nemzeti piacfelügyeleti hatóságok konszolidációja az Olaszország főbb régióiban található legfeljebb tíz ügynökségben, amelyek mindegyike valamennyi termékcsoportra kiterjed, és jelentést tesz az </w:t>
            </w:r>
            <w:r>
              <w:rPr>
                <w:noProof/>
                <w:color w:val="006100"/>
                <w:sz w:val="20"/>
              </w:rPr>
              <w:t>(EU) 2019/1020 rendelet („árucsomag”) szerint létrehozott összekötő tisztviselőnek.</w:t>
            </w:r>
          </w:p>
          <w:p w14:paraId="4C35E3AD" w14:textId="77777777" w:rsidR="003F5418" w:rsidRDefault="002A6C25">
            <w:pPr>
              <w:pStyle w:val="P68B1DB1-Normal15"/>
              <w:spacing w:before="120" w:after="120"/>
              <w:rPr>
                <w:noProof/>
                <w:color w:val="006100"/>
                <w:sz w:val="20"/>
              </w:rPr>
            </w:pPr>
            <w:r>
              <w:rPr>
                <w:noProof/>
                <w:color w:val="006100"/>
                <w:sz w:val="20"/>
              </w:rPr>
              <w:t>XVIII.</w:t>
            </w:r>
            <w:r>
              <w:rPr>
                <w:noProof/>
              </w:rPr>
              <w:t xml:space="preserve"> </w:t>
            </w:r>
            <w:r>
              <w:rPr>
                <w:noProof/>
                <w:color w:val="006100"/>
                <w:sz w:val="20"/>
              </w:rPr>
              <w:t>A nemzeti piacfelügyeleti hatóságok kötelezése arra, hogy digitalizált termékellenőrzéseket és adatgyűjtést végezzenek, mesterséges intelligenciát alkalmazzanak a ve</w:t>
            </w:r>
            <w:r>
              <w:rPr>
                <w:noProof/>
                <w:color w:val="006100"/>
                <w:sz w:val="20"/>
              </w:rPr>
              <w:t>szélyes és tiltott termékek nyomon követésére, valamint az egységes piacon tapasztalható tendenciák és kockázatok azonosítására.</w:t>
            </w:r>
          </w:p>
          <w:p w14:paraId="4A6C50DE" w14:textId="77777777" w:rsidR="003F5418" w:rsidRDefault="002A6C25">
            <w:pPr>
              <w:pStyle w:val="P68B1DB1-Normal15"/>
              <w:spacing w:before="120" w:after="120"/>
              <w:rPr>
                <w:noProof/>
                <w:color w:val="006100"/>
                <w:sz w:val="20"/>
              </w:rPr>
            </w:pPr>
            <w:r>
              <w:rPr>
                <w:noProof/>
                <w:color w:val="006100"/>
                <w:sz w:val="20"/>
              </w:rPr>
              <w:t>XIX.</w:t>
            </w:r>
            <w:r>
              <w:rPr>
                <w:noProof/>
              </w:rPr>
              <w:t xml:space="preserve"> </w:t>
            </w:r>
            <w:r>
              <w:rPr>
                <w:noProof/>
                <w:color w:val="006100"/>
                <w:sz w:val="20"/>
              </w:rPr>
              <w:t>Annak előírása a nemzeti piacfelügyeleti hatóságok számára, hogy biztosítsanak képzést és a páneurópai piacfelügyeletre sz</w:t>
            </w:r>
            <w:r>
              <w:rPr>
                <w:noProof/>
                <w:color w:val="006100"/>
                <w:sz w:val="20"/>
              </w:rPr>
              <w:t>olgáló információs és kommunikációs rendszer használatát.</w:t>
            </w:r>
          </w:p>
          <w:p w14:paraId="38673981" w14:textId="77777777" w:rsidR="003F5418" w:rsidRDefault="002A6C25">
            <w:pPr>
              <w:pStyle w:val="P68B1DB1-Normal15"/>
              <w:spacing w:before="120" w:after="120"/>
              <w:rPr>
                <w:noProof/>
                <w:color w:val="006100"/>
                <w:sz w:val="20"/>
              </w:rPr>
            </w:pPr>
            <w:r>
              <w:rPr>
                <w:noProof/>
                <w:color w:val="006100"/>
                <w:sz w:val="20"/>
              </w:rPr>
              <w:t>XX.</w:t>
            </w:r>
            <w:r w:rsidRPr="00240F92">
              <w:rPr>
                <w:noProof/>
                <w:color w:val="006100"/>
                <w:sz w:val="20"/>
              </w:rPr>
              <w:t xml:space="preserve"> Új akkreditált laboratóriumok</w:t>
            </w:r>
            <w:r>
              <w:rPr>
                <w:noProof/>
                <w:color w:val="006100"/>
                <w:sz w:val="20"/>
              </w:rPr>
              <w:t>létrehozása valamennyi termékcsoport termékvizsgálatára. Ezek a laboratóriumok elvégzik az e-kereskedelem vizsgálatát, a fizikai laboratóriumi vizsgálatokat és az eg</w:t>
            </w:r>
            <w:r>
              <w:rPr>
                <w:noProof/>
                <w:color w:val="006100"/>
                <w:sz w:val="20"/>
              </w:rPr>
              <w:t>yüttes fellépéseket (vám-/piacfelügyeleti hatóságok; két vagy több nemzeti piacfelügyeleti hatóság, nemzeti és uniós piacfelügyeleti hatóság).</w:t>
            </w:r>
          </w:p>
        </w:tc>
      </w:tr>
      <w:tr w:rsidR="003F5418" w14:paraId="1DD2A14B"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EDC23F2" w14:textId="77777777" w:rsidR="003F5418" w:rsidRDefault="002A6C25">
            <w:pPr>
              <w:pStyle w:val="P68B1DB1-Normal4"/>
              <w:spacing w:before="120" w:after="120"/>
              <w:jc w:val="center"/>
              <w:rPr>
                <w:noProof/>
              </w:rPr>
            </w:pPr>
            <w:r>
              <w:rPr>
                <w:noProof/>
              </w:rPr>
              <w:t>M1C2–7</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E5BD9DA"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C138FE"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3B435F9" w14:textId="77777777" w:rsidR="003F5418" w:rsidRDefault="002A6C25">
            <w:pPr>
              <w:pStyle w:val="P68B1DB1-Normal4"/>
              <w:spacing w:before="120" w:after="120"/>
              <w:jc w:val="center"/>
              <w:rPr>
                <w:noProof/>
              </w:rPr>
            </w:pPr>
            <w:r>
              <w:rPr>
                <w:noProof/>
              </w:rPr>
              <w:t xml:space="preserve">Az energiával kapcsolatos valamennyi végrehajtási </w:t>
            </w:r>
            <w:r>
              <w:rPr>
                <w:noProof/>
              </w:rPr>
              <w:t>intézkedés és másodlagos jog hatálybalépése (szükség esetén)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73877928" w14:textId="77777777" w:rsidR="003F5418" w:rsidRDefault="002A6C25">
            <w:pPr>
              <w:pStyle w:val="P68B1DB1-Normal4"/>
              <w:spacing w:before="120" w:after="120"/>
              <w:jc w:val="center"/>
              <w:rPr>
                <w:noProof/>
              </w:rPr>
            </w:pPr>
            <w:r>
              <w:rPr>
                <w:noProof/>
              </w:rPr>
              <w:t>Az energiával kapcsolatos valamennyi végrehajtási intézkedés és másodlagos jog hatálybalépése (szükség esetén)</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F3FDC5B"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3FF56D65"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5728978"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61088E6"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360C442" w14:textId="77777777" w:rsidR="003F5418" w:rsidRDefault="002A6C25">
            <w:pPr>
              <w:pStyle w:val="P68B1DB1-Normal4"/>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4255F69C" w14:textId="77777777" w:rsidR="003F5418" w:rsidRDefault="002A6C25">
            <w:pPr>
              <w:pStyle w:val="P68B1DB1-Normal4"/>
              <w:spacing w:before="120" w:after="120"/>
              <w:rPr>
                <w:noProof/>
              </w:rPr>
            </w:pPr>
            <w:r>
              <w:rPr>
                <w:noProof/>
              </w:rPr>
              <w:t xml:space="preserve">Az energiával kapcsolatos valamennyi végrehajtási </w:t>
            </w:r>
            <w:r>
              <w:rPr>
                <w:noProof/>
              </w:rPr>
              <w:t>intézkedés és (szükség esetén) másodlagos jogszabályok hatálybalépése a következők érdekében:</w:t>
            </w:r>
          </w:p>
          <w:p w14:paraId="76E2A851" w14:textId="77777777" w:rsidR="003F5418" w:rsidRDefault="002A6C25">
            <w:pPr>
              <w:pStyle w:val="P68B1DB1-Normal15"/>
              <w:spacing w:before="120" w:after="120"/>
              <w:rPr>
                <w:noProof/>
                <w:color w:val="006100"/>
                <w:sz w:val="20"/>
              </w:rPr>
            </w:pPr>
            <w:r>
              <w:rPr>
                <w:noProof/>
                <w:color w:val="006100"/>
                <w:sz w:val="20"/>
              </w:rPr>
              <w:t>I. A</w:t>
            </w:r>
            <w:r>
              <w:rPr>
                <w:noProof/>
              </w:rPr>
              <w:t xml:space="preserve"> </w:t>
            </w:r>
            <w:r>
              <w:rPr>
                <w:noProof/>
                <w:color w:val="006100"/>
                <w:sz w:val="20"/>
              </w:rPr>
              <w:t>mikrovállalkozások és a háztartások szabályozott árainak fokozatos megszüntetése 2023. január 1-jétől.</w:t>
            </w:r>
          </w:p>
          <w:p w14:paraId="70602FF9" w14:textId="77777777" w:rsidR="003F5418" w:rsidRDefault="002A6C25">
            <w:pPr>
              <w:pStyle w:val="P68B1DB1-Normal15"/>
              <w:spacing w:before="120" w:after="120"/>
              <w:rPr>
                <w:noProof/>
                <w:color w:val="006100"/>
                <w:sz w:val="20"/>
              </w:rPr>
            </w:pPr>
            <w:r>
              <w:rPr>
                <w:noProof/>
                <w:color w:val="006100"/>
                <w:sz w:val="20"/>
              </w:rPr>
              <w:t>II.</w:t>
            </w:r>
            <w:r>
              <w:rPr>
                <w:noProof/>
              </w:rPr>
              <w:t xml:space="preserve"> </w:t>
            </w:r>
            <w:r>
              <w:rPr>
                <w:noProof/>
                <w:color w:val="006100"/>
                <w:sz w:val="20"/>
              </w:rPr>
              <w:t xml:space="preserve">Kísérő intézkedések elfogadása a villamos energia </w:t>
            </w:r>
            <w:r>
              <w:rPr>
                <w:noProof/>
                <w:color w:val="006100"/>
                <w:sz w:val="20"/>
              </w:rPr>
              <w:t>kiskereskedelmi piacain a verseny elterjedésének támogatása érdekében.</w:t>
            </w:r>
          </w:p>
          <w:p w14:paraId="351D49BC" w14:textId="77777777" w:rsidR="003F5418" w:rsidRDefault="002A6C25">
            <w:pPr>
              <w:pStyle w:val="P68B1DB1-Normal4"/>
              <w:spacing w:before="120" w:after="120"/>
              <w:rPr>
                <w:noProof/>
              </w:rPr>
            </w:pPr>
            <w:r>
              <w:rPr>
                <w:noProof/>
              </w:rPr>
              <w:t>A kiskereskedelmi villamosenergia-piacokon a verseny elterjedését biztosító kísérő intézkedéseknek legalább a következőket kell biztosítaniuk:</w:t>
            </w:r>
          </w:p>
          <w:p w14:paraId="3FA288E3" w14:textId="77777777" w:rsidR="003F5418" w:rsidRDefault="002A6C25">
            <w:pPr>
              <w:pStyle w:val="P68B1DB1-Normal4"/>
              <w:spacing w:before="120" w:after="120"/>
              <w:rPr>
                <w:noProof/>
              </w:rPr>
            </w:pPr>
            <w:r>
              <w:rPr>
                <w:noProof/>
              </w:rPr>
              <w:t>– Az új belépők számára egyenlő versenyfel</w:t>
            </w:r>
            <w:r>
              <w:rPr>
                <w:noProof/>
              </w:rPr>
              <w:t>tételek biztosítása érdekében árverés útján értékesítik az ügyfélkört.</w:t>
            </w:r>
          </w:p>
          <w:p w14:paraId="596A5344" w14:textId="77777777" w:rsidR="003F5418" w:rsidRDefault="002A6C25">
            <w:pPr>
              <w:pStyle w:val="P68B1DB1-Normal4"/>
              <w:spacing w:before="120" w:after="120"/>
              <w:rPr>
                <w:noProof/>
              </w:rPr>
            </w:pPr>
            <w:r>
              <w:rPr>
                <w:noProof/>
              </w:rPr>
              <w:t>– Felső határt állapíthat meg az egyes szállítók rendelkezésére álló maximális piaci részesedésként;</w:t>
            </w:r>
          </w:p>
          <w:p w14:paraId="5F0939A2" w14:textId="77777777" w:rsidR="003F5418" w:rsidRDefault="002A6C25">
            <w:pPr>
              <w:pStyle w:val="P68B1DB1-Normal4"/>
              <w:spacing w:before="120" w:after="120"/>
              <w:rPr>
                <w:noProof/>
              </w:rPr>
            </w:pPr>
            <w:r>
              <w:rPr>
                <w:noProof/>
              </w:rPr>
              <w:t>Lehetővé teszi az olasz fogyasztók számára, hogy felkérjék energiaszolgáltatójukat s</w:t>
            </w:r>
            <w:r>
              <w:rPr>
                <w:noProof/>
              </w:rPr>
              <w:t>zámlaadataik harmadik fél szolgáltatókkal való közlésére;</w:t>
            </w:r>
          </w:p>
          <w:p w14:paraId="7FF4E532" w14:textId="77777777" w:rsidR="003F5418" w:rsidRDefault="002A6C25">
            <w:pPr>
              <w:pStyle w:val="P68B1DB1-Normal4"/>
              <w:spacing w:before="120" w:after="120"/>
              <w:rPr>
                <w:noProof/>
              </w:rPr>
            </w:pPr>
            <w:r>
              <w:rPr>
                <w:noProof/>
              </w:rPr>
              <w:t>A villamosenergia-számlák átláthatóságának növelése azáltal, hogy a fogyasztók számára hozzáférést biztosítanak a „spesi per oneri di sistema” alkomponenseihez;</w:t>
            </w:r>
          </w:p>
          <w:p w14:paraId="7109BE33" w14:textId="77777777" w:rsidR="003F5418" w:rsidRDefault="002A6C25">
            <w:pPr>
              <w:pStyle w:val="P68B1DB1-Normal4"/>
              <w:spacing w:before="120" w:after="120"/>
              <w:rPr>
                <w:noProof/>
              </w:rPr>
            </w:pPr>
            <w:r>
              <w:rPr>
                <w:noProof/>
              </w:rPr>
              <w:t>– A szolgáltatók azon kötelezettségén</w:t>
            </w:r>
            <w:r>
              <w:rPr>
                <w:noProof/>
              </w:rPr>
              <w:t>ek megszüntetése, hogy az energiaágazattól független díjakat szedjenek be.</w:t>
            </w:r>
          </w:p>
        </w:tc>
      </w:tr>
      <w:tr w:rsidR="003F5418" w14:paraId="7AF9784C"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48269FA" w14:textId="77777777" w:rsidR="003F5418" w:rsidRDefault="002A6C25">
            <w:pPr>
              <w:pStyle w:val="P68B1DB1-Normal4"/>
              <w:spacing w:before="120" w:after="120"/>
              <w:jc w:val="center"/>
              <w:rPr>
                <w:noProof/>
              </w:rPr>
            </w:pPr>
            <w:r>
              <w:rPr>
                <w:noProof/>
              </w:rPr>
              <w:t>M1C2–8</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A286A59"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49998"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39053E13" w14:textId="77777777" w:rsidR="003F5418" w:rsidRDefault="002A6C25">
            <w:pPr>
              <w:pStyle w:val="P68B1DB1-Normal4"/>
              <w:spacing w:before="120" w:after="120"/>
              <w:jc w:val="center"/>
              <w:rPr>
                <w:noProof/>
              </w:rPr>
            </w:pPr>
            <w:r>
              <w:rPr>
                <w:noProof/>
              </w:rPr>
              <w:t xml:space="preserve">A 2021. évi éves versenyjogi törvényből eredő intézkedések hatékony végrehajtását és alkalmazását szolgáló valamennyi </w:t>
            </w:r>
            <w:r>
              <w:rPr>
                <w:noProof/>
              </w:rPr>
              <w:t>végrehajtási intézkedés (beleértve szükség esetén a másodlagos jogszabályokat is)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192B4149" w14:textId="77777777" w:rsidR="003F5418" w:rsidRDefault="002A6C25">
            <w:pPr>
              <w:pStyle w:val="P68B1DB1-Normal4"/>
              <w:spacing w:before="120" w:after="120"/>
              <w:jc w:val="center"/>
              <w:rPr>
                <w:noProof/>
              </w:rPr>
            </w:pPr>
            <w:r>
              <w:rPr>
                <w:noProof/>
              </w:rPr>
              <w:t>Valamennyi másodlagos jogszabály hatálybalépése, beleértve a 2021. évi éves versenyjogi törvényből eredő intézkedésekhez szükséges valamennyi rendeletet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2B7453F4"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8C58797"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CEF7E6D"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4AD1FBE1"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4B8D03C" w14:textId="77777777" w:rsidR="003F5418" w:rsidRDefault="002A6C25">
            <w:pPr>
              <w:pStyle w:val="P68B1DB1-Normal4"/>
              <w:spacing w:before="120" w:after="120"/>
              <w:jc w:val="center"/>
              <w:rPr>
                <w:noProof/>
              </w:rPr>
            </w:pPr>
            <w:r>
              <w:rPr>
                <w:noProof/>
              </w:rPr>
              <w:t>2022</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1198468" w14:textId="77777777" w:rsidR="003F5418" w:rsidRDefault="002A6C25">
            <w:pPr>
              <w:pStyle w:val="P68B1DB1-Normal4"/>
              <w:spacing w:before="120" w:after="120"/>
              <w:rPr>
                <w:noProof/>
              </w:rPr>
            </w:pPr>
            <w:r>
              <w:rPr>
                <w:noProof/>
              </w:rPr>
              <w:t>Valamennyi végrehajtási intézkedés (ideértve szükség esetén a másodlagos jogszabályokat is) hatálybalépése a 2021. évi éves versenyjogi törvényből eredő intézkedések hatékony végrehajtása és alkalmazása érdekében.</w:t>
            </w:r>
          </w:p>
        </w:tc>
      </w:tr>
      <w:tr w:rsidR="003F5418" w14:paraId="0AA955FE"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F88F8D0" w14:textId="77777777" w:rsidR="003F5418" w:rsidRDefault="002A6C25">
            <w:pPr>
              <w:pStyle w:val="P68B1DB1-Normal4"/>
              <w:spacing w:before="120" w:after="120"/>
              <w:jc w:val="center"/>
              <w:rPr>
                <w:noProof/>
              </w:rPr>
            </w:pPr>
            <w:r>
              <w:rPr>
                <w:noProof/>
              </w:rPr>
              <w:t>M1C2–9</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4BE317B" w14:textId="77777777" w:rsidR="003F5418" w:rsidRDefault="002A6C25">
            <w:pPr>
              <w:pStyle w:val="P68B1DB1-Normal4"/>
              <w:spacing w:before="120" w:after="120"/>
              <w:jc w:val="center"/>
              <w:rPr>
                <w:noProof/>
              </w:rPr>
            </w:pPr>
            <w:r>
              <w:rPr>
                <w:noProof/>
              </w:rPr>
              <w:t xml:space="preserve">Reform: Éves </w:t>
            </w:r>
            <w:r>
              <w:rPr>
                <w:noProof/>
              </w:rPr>
              <w:t>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F7D276F"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F5E8872" w14:textId="77777777" w:rsidR="003F5418" w:rsidRDefault="002A6C25">
            <w:pPr>
              <w:pStyle w:val="P68B1DB1-Normal4"/>
              <w:spacing w:before="120" w:after="120"/>
              <w:jc w:val="center"/>
              <w:rPr>
                <w:noProof/>
              </w:rPr>
            </w:pPr>
            <w:r>
              <w:rPr>
                <w:noProof/>
              </w:rPr>
              <w:t>A 2022. évi éves versenyjogi törvény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08A53CF5" w14:textId="77777777" w:rsidR="003F5418" w:rsidRDefault="002A6C25">
            <w:pPr>
              <w:pStyle w:val="P68B1DB1-Normal4"/>
              <w:spacing w:before="120" w:after="120"/>
              <w:jc w:val="center"/>
              <w:rPr>
                <w:noProof/>
              </w:rPr>
            </w:pPr>
            <w:r>
              <w:rPr>
                <w:noProof/>
              </w:rPr>
              <w:t>A 2022. évi éves versenyjogi törvény hatálybalépését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462037AE"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5D04DC49"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E83C0B3"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3F84673F"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579BC05" w14:textId="77777777" w:rsidR="003F5418" w:rsidRDefault="002A6C25">
            <w:pPr>
              <w:pStyle w:val="P68B1DB1-Normal4"/>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A2EE761" w14:textId="77777777" w:rsidR="003F5418" w:rsidRDefault="002A6C25">
            <w:pPr>
              <w:spacing w:after="120"/>
              <w:rPr>
                <w:rFonts w:ascii="Arial Narrow" w:hAnsi="Arial Narrow"/>
                <w:noProof/>
                <w:color w:val="006100"/>
                <w:sz w:val="20"/>
              </w:rPr>
            </w:pPr>
            <w:r>
              <w:rPr>
                <w:rFonts w:ascii="Arial Narrow" w:hAnsi="Arial Narrow"/>
                <w:noProof/>
                <w:color w:val="006100"/>
                <w:sz w:val="20"/>
              </w:rPr>
              <w:t xml:space="preserve">A 2022. évi éves versenyjogi törvény hatálybalépése </w:t>
            </w:r>
            <w:r>
              <w:rPr>
                <w:rFonts w:ascii="Arial Narrow" w:hAnsi="Arial Narrow"/>
                <w:noProof/>
              </w:rPr>
              <w:t xml:space="preserve"> </w:t>
            </w:r>
            <w:r>
              <w:rPr>
                <w:noProof/>
              </w:rPr>
              <w:t xml:space="preserve"> </w:t>
            </w:r>
            <w:r>
              <w:rPr>
                <w:noProof/>
              </w:rPr>
              <w:br/>
            </w:r>
            <w:r>
              <w:rPr>
                <w:rFonts w:ascii="Arial Narrow" w:hAnsi="Arial Narrow"/>
                <w:noProof/>
                <w:color w:val="006100"/>
                <w:sz w:val="20"/>
              </w:rPr>
              <w:t xml:space="preserve">Az éves </w:t>
            </w:r>
            <w:r>
              <w:rPr>
                <w:rFonts w:ascii="Arial Narrow" w:hAnsi="Arial Narrow"/>
                <w:noProof/>
                <w:color w:val="006100"/>
                <w:sz w:val="20"/>
              </w:rPr>
              <w:t>versenyjog legalább a következő kulcsfontosságú elemeket tartalmazza, amelyek végrehajtási intézkedéseit és (szükség esetén) másodlagos jogszabályait legkésőbb 2023. december 31-ig el kell fogadni és hatályba kell léptetni.</w:t>
            </w:r>
          </w:p>
          <w:p w14:paraId="346F4CBB" w14:textId="77777777" w:rsidR="003F5418" w:rsidRDefault="002A6C25">
            <w:pPr>
              <w:pStyle w:val="P68B1DB1-Normal4"/>
              <w:spacing w:before="120" w:after="120"/>
              <w:rPr>
                <w:noProof/>
              </w:rPr>
            </w:pPr>
            <w:r>
              <w:rPr>
                <w:noProof/>
              </w:rPr>
              <w:t xml:space="preserve">A bizottság: </w:t>
            </w:r>
          </w:p>
          <w:p w14:paraId="2CDF6944" w14:textId="77777777" w:rsidR="003F5418" w:rsidRDefault="002A6C25">
            <w:pPr>
              <w:pStyle w:val="P68B1DB1-Normal4"/>
              <w:spacing w:before="120" w:after="120"/>
              <w:rPr>
                <w:noProof/>
              </w:rPr>
            </w:pPr>
            <w:r>
              <w:rPr>
                <w:b/>
                <w:noProof/>
              </w:rPr>
              <w:t>i)</w:t>
            </w:r>
            <w:r>
              <w:rPr>
                <w:noProof/>
              </w:rPr>
              <w:t xml:space="preserve"> Egyértelmű eljá</w:t>
            </w:r>
            <w:r>
              <w:rPr>
                <w:noProof/>
              </w:rPr>
              <w:t>rás kialakítása a következő évtizedre vonatkozó villamosenergia-hálózat-fejlesztési terv előre meghatározott határidőn</w:t>
            </w:r>
            <w:r>
              <w:rPr>
                <w:b/>
                <w:noProof/>
              </w:rPr>
              <w:t>belül</w:t>
            </w:r>
            <w:r>
              <w:rPr>
                <w:noProof/>
              </w:rPr>
              <w:t>, de mindenképpen december 31-ig (kétévente)(*) történő elfogadására, amely biztosítja az eljárás lezárását és a jóváhagyási folyamat</w:t>
            </w:r>
            <w:r>
              <w:rPr>
                <w:noProof/>
              </w:rPr>
              <w:t xml:space="preserve"> egyszerűsítését.</w:t>
            </w:r>
          </w:p>
          <w:p w14:paraId="11D62C8C" w14:textId="77777777" w:rsidR="003F5418" w:rsidRDefault="002A6C25">
            <w:pPr>
              <w:pStyle w:val="P68B1DB1-Normal4"/>
              <w:spacing w:before="120" w:after="120"/>
              <w:rPr>
                <w:noProof/>
              </w:rPr>
            </w:pPr>
            <w:r>
              <w:rPr>
                <w:noProof/>
              </w:rPr>
              <w:t>(*) A 2021. évi villamosenergia-hálózat-fejlesztési tervet 2023. december 31-ig kell elfogadni.</w:t>
            </w:r>
          </w:p>
          <w:p w14:paraId="6077BE57" w14:textId="77777777" w:rsidR="003F5418" w:rsidRDefault="002A6C25">
            <w:pPr>
              <w:pStyle w:val="P68B1DB1-Normal4"/>
              <w:spacing w:before="120" w:after="120"/>
              <w:rPr>
                <w:noProof/>
              </w:rPr>
            </w:pPr>
            <w:r>
              <w:rPr>
                <w:noProof/>
              </w:rPr>
              <w:t>a</w:t>
            </w:r>
            <w:r>
              <w:rPr>
                <w:b/>
                <w:noProof/>
              </w:rPr>
              <w:t>2.</w:t>
            </w:r>
            <w:r>
              <w:rPr>
                <w:noProof/>
                <w:vertAlign w:val="superscript"/>
              </w:rPr>
              <w:t>generációs</w:t>
            </w:r>
            <w:r>
              <w:rPr>
                <w:b/>
                <w:noProof/>
              </w:rPr>
              <w:t xml:space="preserve"> intelligens villamosenergia-fogyasztásmérők bevezetésének előmozdítása</w:t>
            </w:r>
            <w:r>
              <w:rPr>
                <w:noProof/>
              </w:rPr>
              <w:t xml:space="preserve">; </w:t>
            </w:r>
          </w:p>
          <w:p w14:paraId="6CCDF462" w14:textId="77777777" w:rsidR="003F5418" w:rsidRDefault="003F5418">
            <w:pPr>
              <w:rPr>
                <w:rFonts w:ascii="Arial Narrow" w:hAnsi="Arial Narrow"/>
                <w:b/>
                <w:noProof/>
                <w:color w:val="006100"/>
                <w:sz w:val="20"/>
              </w:rPr>
            </w:pPr>
          </w:p>
          <w:p w14:paraId="34253935" w14:textId="77777777" w:rsidR="003F5418" w:rsidRDefault="002A6C25">
            <w:pPr>
              <w:pStyle w:val="P68B1DB1-Normal8"/>
              <w:rPr>
                <w:noProof/>
              </w:rPr>
            </w:pPr>
            <w:r>
              <w:rPr>
                <w:noProof/>
              </w:rPr>
              <w:t>Antitröszt:</w:t>
            </w:r>
          </w:p>
          <w:p w14:paraId="1310656C" w14:textId="77777777" w:rsidR="003F5418" w:rsidRDefault="002A6C25">
            <w:pPr>
              <w:pStyle w:val="P68B1DB1-Normal4"/>
              <w:rPr>
                <w:noProof/>
              </w:rPr>
            </w:pPr>
            <w:r>
              <w:rPr>
                <w:noProof/>
              </w:rPr>
              <w:t>a</w:t>
            </w:r>
            <w:r>
              <w:rPr>
                <w:b/>
                <w:noProof/>
              </w:rPr>
              <w:t>287/1990. sz. törvény 6. cikke értelmében</w:t>
            </w:r>
            <w:r>
              <w:rPr>
                <w:b/>
                <w:noProof/>
              </w:rPr>
              <w:t xml:space="preserve"> a hatékony versenyt jelentősen akadályozó összefonódások olasz versenyhatóság (autorità</w:t>
            </w:r>
            <w:r>
              <w:rPr>
                <w:i/>
                <w:noProof/>
              </w:rPr>
              <w:t>Garante della Concorrenza e del Mercato</w:t>
            </w:r>
            <w:r>
              <w:rPr>
                <w:b/>
                <w:noProof/>
              </w:rPr>
              <w:t>) általi értékelésének időtartamát 45 napról 90 napra kell növelni</w:t>
            </w:r>
            <w:r>
              <w:rPr>
                <w:noProof/>
              </w:rPr>
              <w:t>.</w:t>
            </w:r>
          </w:p>
          <w:p w14:paraId="770F986D" w14:textId="77777777" w:rsidR="003F5418" w:rsidRDefault="003F5418">
            <w:pPr>
              <w:rPr>
                <w:rFonts w:ascii="Arial Narrow" w:hAnsi="Arial Narrow"/>
                <w:b/>
                <w:noProof/>
                <w:color w:val="006100"/>
                <w:sz w:val="20"/>
              </w:rPr>
            </w:pPr>
          </w:p>
          <w:p w14:paraId="2C5796A5" w14:textId="77777777" w:rsidR="003F5418" w:rsidRDefault="002A6C25">
            <w:pPr>
              <w:pStyle w:val="P68B1DB1-Normal8"/>
              <w:rPr>
                <w:noProof/>
              </w:rPr>
            </w:pPr>
            <w:r>
              <w:rPr>
                <w:noProof/>
              </w:rPr>
              <w:t>Kiskereskedelem:</w:t>
            </w:r>
          </w:p>
          <w:p w14:paraId="373AF3F6" w14:textId="77777777" w:rsidR="003F5418" w:rsidRDefault="002A6C25">
            <w:pPr>
              <w:pStyle w:val="P68B1DB1-Normal4"/>
              <w:rPr>
                <w:noProof/>
              </w:rPr>
            </w:pPr>
            <w:r>
              <w:rPr>
                <w:noProof/>
              </w:rPr>
              <w:t>a különböző településeken értékesítési lehe</w:t>
            </w:r>
            <w:r>
              <w:rPr>
                <w:noProof/>
              </w:rPr>
              <w:t>tőségekkel rendelkező vállalkozások promóciós értékesítéseire vonatkozó engedélyezési eljárások</w:t>
            </w:r>
            <w:r>
              <w:rPr>
                <w:b/>
                <w:noProof/>
              </w:rPr>
              <w:t>egyszerűsítése</w:t>
            </w:r>
            <w:r>
              <w:rPr>
                <w:noProof/>
              </w:rPr>
              <w:t>.</w:t>
            </w:r>
          </w:p>
          <w:p w14:paraId="6BADEACC" w14:textId="77777777" w:rsidR="003F5418" w:rsidRDefault="003F5418">
            <w:pPr>
              <w:rPr>
                <w:rFonts w:ascii="Arial Narrow" w:hAnsi="Arial Narrow"/>
                <w:b/>
                <w:noProof/>
                <w:color w:val="006100"/>
                <w:sz w:val="20"/>
              </w:rPr>
            </w:pPr>
          </w:p>
          <w:p w14:paraId="0A158A6D" w14:textId="77777777" w:rsidR="003F5418" w:rsidRDefault="002A6C25">
            <w:pPr>
              <w:pStyle w:val="P68B1DB1-Normal8"/>
              <w:rPr>
                <w:noProof/>
              </w:rPr>
            </w:pPr>
            <w:r>
              <w:rPr>
                <w:noProof/>
              </w:rPr>
              <w:t>Gyógyszeripar:</w:t>
            </w:r>
          </w:p>
          <w:p w14:paraId="776C23E1" w14:textId="77777777" w:rsidR="003F5418" w:rsidRDefault="002A6C25">
            <w:pPr>
              <w:pStyle w:val="P68B1DB1-Normal4"/>
              <w:rPr>
                <w:noProof/>
              </w:rPr>
            </w:pPr>
            <w:r>
              <w:rPr>
                <w:b/>
                <w:noProof/>
              </w:rPr>
              <w:t>v. a galéntartalmú gyógyszerek értékesítésére vonatkozó engedélyezési követelmények arányosságának biztosítása</w:t>
            </w:r>
            <w:r>
              <w:rPr>
                <w:noProof/>
              </w:rPr>
              <w:t>.</w:t>
            </w:r>
          </w:p>
        </w:tc>
      </w:tr>
      <w:tr w:rsidR="003F5418" w14:paraId="5F29709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1D54B071" w14:textId="77777777" w:rsidR="003F5418" w:rsidRDefault="002A6C25">
            <w:pPr>
              <w:pStyle w:val="P68B1DB1-Normal4"/>
              <w:spacing w:before="120" w:after="120"/>
              <w:jc w:val="center"/>
              <w:rPr>
                <w:noProof/>
              </w:rPr>
            </w:pPr>
            <w:r>
              <w:rPr>
                <w:noProof/>
              </w:rPr>
              <w:t>M1C2–10</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501973F" w14:textId="77777777" w:rsidR="003F5418" w:rsidRDefault="002A6C25">
            <w:pPr>
              <w:pStyle w:val="P68B1DB1-Normal4"/>
              <w:spacing w:before="120" w:after="120"/>
              <w:jc w:val="center"/>
              <w:rPr>
                <w:noProof/>
              </w:rPr>
            </w:pPr>
            <w:r>
              <w:rPr>
                <w:noProof/>
              </w:rPr>
              <w:t xml:space="preserve">Reform: </w:t>
            </w:r>
            <w:r>
              <w:rPr>
                <w:noProof/>
              </w:rPr>
              <w:t>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9142E91"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64B52FB" w14:textId="77777777" w:rsidR="003F5418" w:rsidRDefault="002A6C25">
            <w:pPr>
              <w:pStyle w:val="P68B1DB1-Normal4"/>
              <w:spacing w:before="120" w:after="120"/>
              <w:jc w:val="center"/>
              <w:rPr>
                <w:noProof/>
              </w:rPr>
            </w:pPr>
            <w:r>
              <w:rPr>
                <w:noProof/>
              </w:rPr>
              <w:t>A 2022. évi éves versenyjogi törvényből eredő intézkedések hatékony végrehajtását és alkalmazását szolgáló valamennyi végrehajtási intézkedés (beleértve szükség esetén a másodlagos jogszabályokat is)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22BB4D03" w14:textId="77777777" w:rsidR="003F5418" w:rsidRDefault="002A6C25">
            <w:pPr>
              <w:pStyle w:val="P68B1DB1-Normal4"/>
              <w:spacing w:before="120" w:after="120"/>
              <w:jc w:val="center"/>
              <w:rPr>
                <w:noProof/>
              </w:rPr>
            </w:pPr>
            <w:r>
              <w:rPr>
                <w:noProof/>
              </w:rPr>
              <w:t>Valamennyi másodlagos jogszabály hatálybalépése, beleértve a 2022. évi éves versenyjogi törvényből eredő intézkedésekhez szükséges valamennyi rendeletet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686402A"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7583717"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E465129"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AA469A3"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0756098" w14:textId="77777777" w:rsidR="003F5418" w:rsidRDefault="002A6C25">
            <w:pPr>
              <w:pStyle w:val="P68B1DB1-Normal4"/>
              <w:spacing w:before="120" w:after="120"/>
              <w:jc w:val="center"/>
              <w:rPr>
                <w:noProof/>
              </w:rPr>
            </w:pPr>
            <w:r>
              <w:rPr>
                <w:noProof/>
              </w:rPr>
              <w:t>2023</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2075A8C" w14:textId="77777777" w:rsidR="003F5418" w:rsidRDefault="002A6C25">
            <w:pPr>
              <w:pStyle w:val="P68B1DB1-Normal4"/>
              <w:spacing w:before="120" w:after="120"/>
              <w:rPr>
                <w:noProof/>
              </w:rPr>
            </w:pPr>
            <w:r>
              <w:rPr>
                <w:noProof/>
              </w:rPr>
              <w:t>Valamennyi másodlagos jogszabály hatálybalépése (szükség esetén), beleértve a</w:t>
            </w:r>
            <w:r>
              <w:rPr>
                <w:noProof/>
              </w:rPr>
              <w:t xml:space="preserve"> 2022. évi éves versenyjogi törvényből eredő valamennyi fent említett intézkedés hatékony végrehajtásához és alkalmazásához szükséges valamennyi rendeletet.</w:t>
            </w:r>
          </w:p>
        </w:tc>
      </w:tr>
      <w:tr w:rsidR="003F5418" w14:paraId="0C371F59"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53D1645A" w14:textId="77777777" w:rsidR="003F5418" w:rsidRDefault="002A6C25">
            <w:pPr>
              <w:pStyle w:val="P68B1DB1-Normal4"/>
              <w:spacing w:before="120" w:after="120"/>
              <w:jc w:val="center"/>
              <w:rPr>
                <w:noProof/>
              </w:rPr>
            </w:pPr>
            <w:r>
              <w:rPr>
                <w:noProof/>
              </w:rPr>
              <w:t>M1C2–11</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303ACDC"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B376E"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C5A6A0D" w14:textId="77777777" w:rsidR="003F5418" w:rsidRDefault="002A6C25">
            <w:pPr>
              <w:pStyle w:val="P68B1DB1-Normal4"/>
              <w:spacing w:before="120" w:after="120"/>
              <w:jc w:val="center"/>
              <w:rPr>
                <w:noProof/>
              </w:rPr>
            </w:pPr>
            <w:r>
              <w:rPr>
                <w:noProof/>
              </w:rPr>
              <w:t xml:space="preserve">A 2023. évi éves versenyjogi törvény </w:t>
            </w:r>
            <w:r>
              <w:rPr>
                <w:noProof/>
              </w:rPr>
              <w:t>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43A34E90" w14:textId="77777777" w:rsidR="003F5418" w:rsidRDefault="002A6C25">
            <w:pPr>
              <w:pStyle w:val="P68B1DB1-Normal4"/>
              <w:spacing w:before="120" w:after="120"/>
              <w:jc w:val="center"/>
              <w:rPr>
                <w:noProof/>
              </w:rPr>
            </w:pPr>
            <w:r>
              <w:rPr>
                <w:noProof/>
              </w:rPr>
              <w:t>A 2023. évi éves versenyjogi törvény hatálybalépését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B09BBFB"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F7D8BEF"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E6E447D"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7464235"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D66BA14" w14:textId="77777777" w:rsidR="003F5418" w:rsidRDefault="002A6C25">
            <w:pPr>
              <w:pStyle w:val="P68B1DB1-Normal4"/>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8FD6E66" w14:textId="77777777" w:rsidR="003F5418" w:rsidRDefault="002A6C25">
            <w:pPr>
              <w:pStyle w:val="P68B1DB1-Normal4"/>
              <w:rPr>
                <w:noProof/>
              </w:rPr>
            </w:pPr>
            <w:r>
              <w:rPr>
                <w:noProof/>
              </w:rPr>
              <w:t xml:space="preserve">A 2023. évi éves versenyjogi törvény hatálybalépése. Az éves versenyjog legalább a következő kulcsfontosságú elemeket tartalmazza, amelyek </w:t>
            </w:r>
            <w:r>
              <w:rPr>
                <w:noProof/>
              </w:rPr>
              <w:t>végrehajtási intézkedéseit és (szükség esetén) másodlagos jogszabályait legkésőbb 2024. december 31-ig el kell fogadni és hatályba kell léptetni.</w:t>
            </w:r>
          </w:p>
          <w:p w14:paraId="2D8136CB" w14:textId="77777777" w:rsidR="003F5418" w:rsidRDefault="003F5418">
            <w:pPr>
              <w:rPr>
                <w:rFonts w:ascii="Arial Narrow" w:hAnsi="Arial Narrow"/>
                <w:noProof/>
                <w:color w:val="006100"/>
                <w:sz w:val="20"/>
              </w:rPr>
            </w:pPr>
          </w:p>
          <w:p w14:paraId="511FC769" w14:textId="77777777" w:rsidR="003F5418" w:rsidRDefault="002A6C25">
            <w:pPr>
              <w:pStyle w:val="P68B1DB1-Normal4"/>
              <w:rPr>
                <w:noProof/>
              </w:rPr>
            </w:pPr>
            <w:r>
              <w:rPr>
                <w:noProof/>
              </w:rPr>
              <w:t>Annak legalább a következő intézkedéseket kell magában foglalnia:</w:t>
            </w:r>
          </w:p>
          <w:p w14:paraId="4B31F3CA" w14:textId="77777777" w:rsidR="003F5418" w:rsidRDefault="003F5418">
            <w:pPr>
              <w:rPr>
                <w:rFonts w:ascii="Arial Narrow" w:hAnsi="Arial Narrow"/>
                <w:noProof/>
                <w:color w:val="006100"/>
                <w:sz w:val="20"/>
              </w:rPr>
            </w:pPr>
          </w:p>
          <w:p w14:paraId="566274C2" w14:textId="77777777" w:rsidR="003F5418" w:rsidRDefault="002A6C25">
            <w:pPr>
              <w:pStyle w:val="P68B1DB1-Normal8"/>
              <w:rPr>
                <w:noProof/>
              </w:rPr>
            </w:pPr>
            <w:r>
              <w:rPr>
                <w:noProof/>
              </w:rPr>
              <w:t>Autópályák:</w:t>
            </w:r>
          </w:p>
          <w:p w14:paraId="1A26114B" w14:textId="77777777" w:rsidR="003F5418" w:rsidRDefault="003F5418">
            <w:pPr>
              <w:rPr>
                <w:rFonts w:ascii="Arial Narrow" w:hAnsi="Arial Narrow"/>
                <w:noProof/>
                <w:color w:val="006100"/>
                <w:sz w:val="20"/>
              </w:rPr>
            </w:pPr>
          </w:p>
          <w:p w14:paraId="4172236B" w14:textId="77777777" w:rsidR="003F5418" w:rsidRDefault="002A6C25">
            <w:pPr>
              <w:pStyle w:val="P68B1DB1-Normal4"/>
              <w:spacing w:after="120"/>
              <w:jc w:val="both"/>
              <w:rPr>
                <w:noProof/>
              </w:rPr>
            </w:pPr>
            <w:r>
              <w:rPr>
                <w:b/>
                <w:noProof/>
              </w:rPr>
              <w:t>a koncessziókhoz való hozzáfé</w:t>
            </w:r>
            <w:r>
              <w:rPr>
                <w:b/>
                <w:noProof/>
              </w:rPr>
              <w:t>résről</w:t>
            </w:r>
            <w:r>
              <w:rPr>
                <w:noProof/>
              </w:rPr>
              <w:t xml:space="preserve"> és a szerződés felmondásáról szóló éves versenyjogi törvény legalább:</w:t>
            </w:r>
          </w:p>
          <w:p w14:paraId="52C58A0D" w14:textId="77777777" w:rsidR="003F5418" w:rsidRDefault="002A6C25">
            <w:pPr>
              <w:pStyle w:val="P68B1DB1-Normal4"/>
              <w:spacing w:after="80"/>
              <w:ind w:left="340"/>
              <w:jc w:val="both"/>
              <w:rPr>
                <w:noProof/>
              </w:rPr>
            </w:pPr>
            <w:r>
              <w:rPr>
                <w:noProof/>
              </w:rPr>
              <w:t>az autópályák esetében kötelezővé kell tenni a koncessziós szerződések pályáztatását, és meg kell erősíteni az autópálya-koncessziók odaítélésére vonatkozó szabályozási keret végr</w:t>
            </w:r>
            <w:r>
              <w:rPr>
                <w:noProof/>
              </w:rPr>
              <w:t xml:space="preserve">ehajthatóságát és a megfelelő szolgáltatási szintek biztosítását az úthasználók számára, az uniós jog által megállapított korlátokon belül történő házon belüli szolgáltatásnyújtás sérelme nélkül(*); </w:t>
            </w:r>
          </w:p>
          <w:p w14:paraId="7F4DE7D1" w14:textId="77777777" w:rsidR="003F5418" w:rsidRDefault="002A6C25">
            <w:pPr>
              <w:pStyle w:val="P68B1DB1-Normal4"/>
              <w:autoSpaceDE w:val="0"/>
              <w:autoSpaceDN w:val="0"/>
              <w:adjustRightInd w:val="0"/>
              <w:spacing w:after="80"/>
              <w:ind w:left="340"/>
              <w:jc w:val="both"/>
              <w:rPr>
                <w:b/>
                <w:noProof/>
              </w:rPr>
            </w:pPr>
            <w:r>
              <w:rPr>
                <w:noProof/>
              </w:rPr>
              <w:t xml:space="preserve">a koncessziós szerződésekkel kapcsolatos döntéshozatali </w:t>
            </w:r>
            <w:r>
              <w:rPr>
                <w:noProof/>
              </w:rPr>
              <w:t>közigazgatási eljárások hatékonyságának</w:t>
            </w:r>
            <w:r>
              <w:rPr>
                <w:b/>
                <w:noProof/>
              </w:rPr>
              <w:t>javítása</w:t>
            </w:r>
            <w:r>
              <w:rPr>
                <w:noProof/>
              </w:rPr>
              <w:t>;</w:t>
            </w:r>
          </w:p>
          <w:p w14:paraId="6AC3279F" w14:textId="77777777" w:rsidR="003F5418" w:rsidRDefault="002A6C25">
            <w:pPr>
              <w:pStyle w:val="P68B1DB1-Normal4"/>
              <w:spacing w:after="80"/>
              <w:ind w:left="340"/>
              <w:jc w:val="both"/>
              <w:rPr>
                <w:noProof/>
              </w:rPr>
            </w:pPr>
            <w:r>
              <w:rPr>
                <w:noProof/>
              </w:rPr>
              <w:t>– a koncessziós szerződés tárgyának részletes és átlátható leírását írja elő</w:t>
            </w:r>
          </w:p>
          <w:p w14:paraId="5BD3F1C6" w14:textId="77777777" w:rsidR="003F5418" w:rsidRDefault="002A6C25">
            <w:pPr>
              <w:pStyle w:val="P68B1DB1-Normal4"/>
              <w:spacing w:after="80"/>
              <w:ind w:left="340"/>
              <w:jc w:val="both"/>
              <w:rPr>
                <w:noProof/>
              </w:rPr>
            </w:pPr>
            <w:r>
              <w:rPr>
                <w:noProof/>
              </w:rPr>
              <w:t xml:space="preserve">a koncessziós hatóságok kötelezése arra, hogy az autópálya-koncessziók tekintetében nyilvános eljárás keretében koncessziót </w:t>
            </w:r>
            <w:r>
              <w:rPr>
                <w:noProof/>
              </w:rPr>
              <w:t>jelöljenek ki, figyelembe véve a szabályozó hatóság (</w:t>
            </w:r>
            <w:r>
              <w:rPr>
                <w:i/>
                <w:noProof/>
              </w:rPr>
              <w:t xml:space="preserve">Autorità di Regolazione dei Trasporti </w:t>
            </w:r>
            <w:r>
              <w:rPr>
                <w:noProof/>
              </w:rPr>
              <w:t xml:space="preserve">– ART) által kidolgozott, a mérethatékonyságra és az autópálya-koncessziós jogosultak költségeire vonatkozó becsléseket; </w:t>
            </w:r>
          </w:p>
          <w:p w14:paraId="6CEF3229" w14:textId="77777777" w:rsidR="003F5418" w:rsidRDefault="002A6C25">
            <w:pPr>
              <w:pStyle w:val="P68B1DB1-Normal4"/>
              <w:spacing w:after="80"/>
              <w:ind w:left="340"/>
              <w:jc w:val="both"/>
              <w:rPr>
                <w:noProof/>
              </w:rPr>
            </w:pPr>
            <w:r>
              <w:rPr>
                <w:noProof/>
              </w:rPr>
              <w:t>az infrastruktúra-minisztérium által az aut</w:t>
            </w:r>
            <w:r>
              <w:rPr>
                <w:noProof/>
              </w:rPr>
              <w:t>ópálya-infrastruktúrák költségei és kivitelezése tekintetében végzett ellenőrzések megerősítése;</w:t>
            </w:r>
          </w:p>
          <w:p w14:paraId="2F644B0D" w14:textId="77777777" w:rsidR="003F5418" w:rsidRDefault="002A6C25">
            <w:pPr>
              <w:pStyle w:val="P68B1DB1-Normal4"/>
              <w:spacing w:after="80"/>
              <w:ind w:left="340"/>
              <w:jc w:val="both"/>
              <w:rPr>
                <w:noProof/>
              </w:rPr>
            </w:pPr>
            <w:r>
              <w:rPr>
                <w:noProof/>
              </w:rPr>
              <w:t>a koncessziós szerződések automatikus megújításának megakadályozása, többek között a gazdasági és pénzügyi tervek időszakos naprakésszé tételével és e tervek é</w:t>
            </w:r>
            <w:r>
              <w:rPr>
                <w:noProof/>
              </w:rPr>
              <w:t>ves végrehajtásával kapcsolatos valamennyi műszaki és adminisztratív eljárás irányítási hatékonyságának jelentős javítása, valamint a közbeszerzési törvénykönyv 193. cikkében szabályozott eljárások alkalmazásának tilalma révén a lejárt vagy lejárt autópály</w:t>
            </w:r>
            <w:r>
              <w:rPr>
                <w:noProof/>
              </w:rPr>
              <w:t>a-koncessziós szerződések odaítélésének eszközeként;</w:t>
            </w:r>
          </w:p>
          <w:p w14:paraId="35A00AD0" w14:textId="77777777" w:rsidR="003F5418" w:rsidRDefault="002A6C25">
            <w:pPr>
              <w:pStyle w:val="P68B1DB1-Normal4"/>
              <w:spacing w:after="80"/>
              <w:ind w:left="340"/>
              <w:jc w:val="both"/>
              <w:rPr>
                <w:noProof/>
              </w:rPr>
            </w:pPr>
            <w:r>
              <w:rPr>
                <w:noProof/>
              </w:rPr>
              <w:t>egyszerűsítse/pontosítsa a szerződés felbontására és felmondására vonatkozó feltételek szabályozását, többek között a koncessziók megfelelő szintű megtámadhatóságának megőrzése érdekében az érintett piac</w:t>
            </w:r>
            <w:r>
              <w:rPr>
                <w:noProof/>
              </w:rPr>
              <w:t xml:space="preserve">(ok) tekintetében; </w:t>
            </w:r>
          </w:p>
          <w:p w14:paraId="57CBA647" w14:textId="77777777" w:rsidR="003F5418" w:rsidRDefault="002A6C25">
            <w:pPr>
              <w:pStyle w:val="P68B1DB1-Normal4"/>
              <w:spacing w:after="80"/>
              <w:ind w:left="340"/>
              <w:jc w:val="both"/>
              <w:rPr>
                <w:noProof/>
              </w:rPr>
            </w:pPr>
            <w:r>
              <w:rPr>
                <w:noProof/>
              </w:rPr>
              <w:t>– a hozzáférési díjakra vonatkozó szabályozási modell időben történő és teljes körű végrehajtása, figyelembe véve az alábbiakat: i. a koncessziós jogosultak többéves gazdasági és pénzügyi tervének időszakos frissítései (az illetékes sza</w:t>
            </w:r>
            <w:r>
              <w:rPr>
                <w:noProof/>
              </w:rPr>
              <w:t>bályozó hatóság által jóváhagyottak szerint), és ii. e tervek éves bevezetése.</w:t>
            </w:r>
          </w:p>
          <w:p w14:paraId="3AB6CE08" w14:textId="77777777" w:rsidR="003F5418" w:rsidRDefault="002A6C25">
            <w:pPr>
              <w:pStyle w:val="P68B1DB1-Normal4"/>
              <w:spacing w:after="80"/>
              <w:ind w:left="340"/>
              <w:jc w:val="both"/>
              <w:rPr>
                <w:noProof/>
              </w:rPr>
            </w:pPr>
            <w:r>
              <w:rPr>
                <w:noProof/>
              </w:rPr>
              <w:t>– a szerződés közérdekből történő felmondása esetén a törvénynek legalább olyan megfelelő ellentételezésről kell rendelkeznie, amely lehetővé teszi a koncessziós jogosult számár</w:t>
            </w:r>
            <w:r>
              <w:rPr>
                <w:noProof/>
              </w:rPr>
              <w:t>a a nem teljes mértékben amortizált beruházások megtérülését. Ami a szerződés súlyos szerződésszegés miatti felmondását illeti, a törvénynek megfelelő egyensúlyt kell teremtenie a koncessziós jogosulttól követelt kártérítés és a még vissza nem térített ber</w:t>
            </w:r>
            <w:r>
              <w:rPr>
                <w:noProof/>
              </w:rPr>
              <w:t>uházások méltányos ellentételezése között. A súlyos jogsértés eseteit jogszabályban egyértelműen meg kell határozni.</w:t>
            </w:r>
          </w:p>
          <w:p w14:paraId="120AD363" w14:textId="77777777" w:rsidR="003F5418" w:rsidRDefault="002A6C25">
            <w:pPr>
              <w:pStyle w:val="P68B1DB1-Normal4"/>
              <w:jc w:val="both"/>
              <w:rPr>
                <w:noProof/>
              </w:rPr>
            </w:pPr>
            <w:r>
              <w:rPr>
                <w:noProof/>
              </w:rPr>
              <w:t xml:space="preserve"> </w:t>
            </w:r>
          </w:p>
          <w:p w14:paraId="445C4592" w14:textId="77777777" w:rsidR="003F5418" w:rsidRDefault="002A6C25">
            <w:pPr>
              <w:pStyle w:val="P68B1DB1-Normal4"/>
              <w:spacing w:after="120"/>
              <w:jc w:val="both"/>
              <w:rPr>
                <w:noProof/>
              </w:rPr>
            </w:pPr>
            <w:r>
              <w:rPr>
                <w:b/>
                <w:noProof/>
              </w:rPr>
              <w:t>a díjszabásra vonatkozó</w:t>
            </w:r>
            <w:r>
              <w:rPr>
                <w:noProof/>
              </w:rPr>
              <w:t xml:space="preserve"> szabályozási modell esetében az éves versenyjogi törvénynek legalább:</w:t>
            </w:r>
          </w:p>
          <w:p w14:paraId="22E5CC41" w14:textId="77777777" w:rsidR="003F5418" w:rsidRDefault="002A6C25">
            <w:pPr>
              <w:pStyle w:val="P68B1DB1-Normal4"/>
              <w:spacing w:after="80"/>
              <w:ind w:left="340"/>
              <w:jc w:val="both"/>
              <w:rPr>
                <w:noProof/>
              </w:rPr>
            </w:pPr>
            <w:r>
              <w:rPr>
                <w:noProof/>
              </w:rPr>
              <w:t>A koncessziós jogosultak kötelezése arra, h</w:t>
            </w:r>
            <w:r>
              <w:rPr>
                <w:noProof/>
              </w:rPr>
              <w:t>ogy biztosítsák az ART díjszabásra vonatkozó szabályozási modelljének teljes körű és időben történő végrehajtását a hozzáférési díjak kiszámításához.  </w:t>
            </w:r>
          </w:p>
          <w:p w14:paraId="64D9A7C3" w14:textId="77777777" w:rsidR="003F5418" w:rsidRDefault="002A6C25">
            <w:pPr>
              <w:pStyle w:val="P68B1DB1-Normal4"/>
              <w:spacing w:after="80"/>
              <w:ind w:left="340"/>
              <w:jc w:val="both"/>
              <w:rPr>
                <w:noProof/>
              </w:rPr>
            </w:pPr>
            <w:r>
              <w:rPr>
                <w:noProof/>
              </w:rPr>
              <w:t>A koncessziós jogosultak kötelezése arra, hogy biztosítsák az ART szabályozási modelljének teljes körű é</w:t>
            </w:r>
            <w:r>
              <w:rPr>
                <w:noProof/>
              </w:rPr>
              <w:t>s időben történő végrehajtását az elektromos járművek feltöltésére és egyéb szolgáltatások nyújtására vonatkozó alkoncessziók árképzési és pályázati rendszereire vonatkozóan. </w:t>
            </w:r>
          </w:p>
          <w:p w14:paraId="0D05CEFE" w14:textId="77777777" w:rsidR="003F5418" w:rsidRDefault="002A6C25">
            <w:pPr>
              <w:pStyle w:val="P68B1DB1-Normal4"/>
              <w:spacing w:after="80"/>
              <w:ind w:left="340"/>
              <w:jc w:val="both"/>
              <w:rPr>
                <w:noProof/>
              </w:rPr>
            </w:pPr>
            <w:r>
              <w:rPr>
                <w:noProof/>
              </w:rPr>
              <w:t>– A hozzáférési díjaknak ösztönözniük kell a beruházásokat, és a teljes gazdaság</w:t>
            </w:r>
            <w:r>
              <w:rPr>
                <w:noProof/>
              </w:rPr>
              <w:t>i ágazat költségeinek átlátható összehasonlító elemzésén alapuló árplafon-módszertanon kell alapulniuk, egyértelmű, egységes és átlátható kritériumok alapján.</w:t>
            </w:r>
          </w:p>
          <w:p w14:paraId="32E29002" w14:textId="77777777" w:rsidR="003F5418" w:rsidRDefault="002A6C25">
            <w:pPr>
              <w:pStyle w:val="P68B1DB1-Normal4"/>
              <w:spacing w:after="120"/>
              <w:jc w:val="both"/>
              <w:rPr>
                <w:noProof/>
              </w:rPr>
            </w:pPr>
            <w:r>
              <w:rPr>
                <w:b/>
                <w:noProof/>
              </w:rPr>
              <w:t>a</w:t>
            </w:r>
            <w:r>
              <w:rPr>
                <w:noProof/>
              </w:rPr>
              <w:t xml:space="preserve"> felhasználói jogok tekintetében az éves versenyjogi törvénynek legalább:</w:t>
            </w:r>
          </w:p>
          <w:p w14:paraId="38BB7D3C" w14:textId="77777777" w:rsidR="003F5418" w:rsidRDefault="002A6C25">
            <w:pPr>
              <w:pStyle w:val="P68B1DB1-Normal4"/>
              <w:spacing w:after="80"/>
              <w:ind w:left="340"/>
              <w:jc w:val="both"/>
              <w:rPr>
                <w:noProof/>
              </w:rPr>
            </w:pPr>
            <w:r>
              <w:rPr>
                <w:noProof/>
              </w:rPr>
              <w:t>– a felhasználói jogok</w:t>
            </w:r>
            <w:r>
              <w:rPr>
                <w:noProof/>
              </w:rPr>
              <w:t xml:space="preserve"> védelmével és a megfelelő szolgáltatási szintek biztosításával kapcsolatos ART szabályozási keret teljes körű és időben történő végrehajtásának biztosítása.</w:t>
            </w:r>
          </w:p>
          <w:p w14:paraId="0BC03ED7" w14:textId="77777777" w:rsidR="003F5418" w:rsidRDefault="003F5418">
            <w:pPr>
              <w:jc w:val="both"/>
              <w:rPr>
                <w:rFonts w:ascii="Arial Narrow" w:hAnsi="Arial Narrow"/>
                <w:noProof/>
                <w:color w:val="006100"/>
                <w:sz w:val="20"/>
              </w:rPr>
            </w:pPr>
          </w:p>
          <w:p w14:paraId="693781FD" w14:textId="77777777" w:rsidR="003F5418" w:rsidRDefault="002A6C25">
            <w:pPr>
              <w:pStyle w:val="P68B1DB1-Normal4"/>
              <w:jc w:val="both"/>
              <w:rPr>
                <w:noProof/>
              </w:rPr>
            </w:pPr>
            <w:r>
              <w:rPr>
                <w:b/>
                <w:noProof/>
              </w:rPr>
              <w:t>az</w:t>
            </w:r>
            <w:r>
              <w:rPr>
                <w:noProof/>
              </w:rPr>
              <w:t xml:space="preserve"> építési munkák kiszervezése tekintetében az éves versenyjogi törvény legalább: </w:t>
            </w:r>
          </w:p>
          <w:p w14:paraId="1182B67B" w14:textId="77777777" w:rsidR="003F5418" w:rsidRDefault="002A6C25">
            <w:pPr>
              <w:pStyle w:val="P68B1DB1-Normal4"/>
              <w:spacing w:after="80"/>
              <w:ind w:left="340"/>
              <w:jc w:val="both"/>
              <w:rPr>
                <w:noProof/>
              </w:rPr>
            </w:pPr>
            <w:r>
              <w:rPr>
                <w:noProof/>
              </w:rPr>
              <w:t xml:space="preserve">– A 36/2023. </w:t>
            </w:r>
            <w:r>
              <w:rPr>
                <w:noProof/>
              </w:rPr>
              <w:t>sz. törvényerejű rendelet 186. cikkének (2) bekezdése szerint az autópálya-koncessziós jogosultakat arra kötelezi, hogy az építési beruházásra, szolgáltatásnyújtásra és árubeszerzésre irányuló szerződések 50–60%-át nyilvános bizonyítási eljárás útján harma</w:t>
            </w:r>
            <w:r>
              <w:rPr>
                <w:noProof/>
              </w:rPr>
              <w:t>dik személyekkel bízzák meg. A részesedéseket a koncessziós dokumentációhoz csatolt gazdasági és pénzügyi tervek összege alapján kell kiszámítani, figyelembe véve a koncessziós jogosult gazdasági méretét és jellemzőit, a koncesszió odaítélésének időtartamá</w:t>
            </w:r>
            <w:r>
              <w:rPr>
                <w:noProof/>
              </w:rPr>
              <w:t>t, fennmaradó időtartamát, tárgyát, gazdasági értékét és a megvalósított beruházások összegét.</w:t>
            </w:r>
          </w:p>
          <w:p w14:paraId="5E9F51EA" w14:textId="77777777" w:rsidR="003F5418" w:rsidRDefault="003F5418">
            <w:pPr>
              <w:jc w:val="both"/>
              <w:rPr>
                <w:rFonts w:ascii="Arial Narrow" w:hAnsi="Arial Narrow"/>
                <w:noProof/>
                <w:color w:val="006100"/>
                <w:sz w:val="20"/>
              </w:rPr>
            </w:pPr>
          </w:p>
          <w:p w14:paraId="211677EB" w14:textId="77777777" w:rsidR="003F5418" w:rsidRDefault="002A6C25">
            <w:pPr>
              <w:pStyle w:val="P68B1DB1-Normal4"/>
              <w:jc w:val="both"/>
              <w:rPr>
                <w:noProof/>
              </w:rPr>
            </w:pPr>
            <w:r>
              <w:rPr>
                <w:noProof/>
              </w:rPr>
              <w:t>(*) a házon belüli megbízás esetén a törvény:</w:t>
            </w:r>
          </w:p>
          <w:p w14:paraId="76033A26" w14:textId="77777777" w:rsidR="003F5418" w:rsidRDefault="002A6C25">
            <w:pPr>
              <w:pStyle w:val="P68B1DB1-Normal4"/>
              <w:spacing w:after="80"/>
              <w:ind w:left="340"/>
              <w:jc w:val="both"/>
              <w:rPr>
                <w:noProof/>
              </w:rPr>
            </w:pPr>
            <w:r>
              <w:rPr>
                <w:noProof/>
              </w:rPr>
              <w:t xml:space="preserve">– előírják a házon belüli megbízás jogszerűségének kötelező </w:t>
            </w:r>
            <w:r>
              <w:rPr>
                <w:i/>
                <w:noProof/>
              </w:rPr>
              <w:t>előzetes</w:t>
            </w:r>
            <w:r>
              <w:rPr>
                <w:noProof/>
              </w:rPr>
              <w:t xml:space="preserve"> ellenőrzését, és tiltsák meg a közbeszerzési </w:t>
            </w:r>
            <w:r>
              <w:rPr>
                <w:noProof/>
              </w:rPr>
              <w:t>eljárás vagy a házon belüli megbízás ilyen ellenőrzés nélküli megindítását;</w:t>
            </w:r>
          </w:p>
          <w:p w14:paraId="74DAC474" w14:textId="77777777" w:rsidR="003F5418" w:rsidRDefault="002A6C25">
            <w:pPr>
              <w:pStyle w:val="P68B1DB1-Normal4"/>
              <w:spacing w:after="80"/>
              <w:ind w:left="340"/>
              <w:jc w:val="both"/>
              <w:rPr>
                <w:noProof/>
              </w:rPr>
            </w:pPr>
            <w:r>
              <w:rPr>
                <w:noProof/>
              </w:rPr>
              <w:t>– bízza meg a Közlekedési Szabályozó Hatóságot (ART) a fent említett ellenőrzések elvégzéséhez szükséges megfelelő eszközökkel és hatáskörökkel, valamint a Nemzeti Korrupcióellenes</w:t>
            </w:r>
            <w:r>
              <w:rPr>
                <w:noProof/>
              </w:rPr>
              <w:t xml:space="preserve"> Hatóság (ANAC) (jogi) támogatásával;</w:t>
            </w:r>
          </w:p>
          <w:p w14:paraId="07AF91B3" w14:textId="77777777" w:rsidR="003F5418" w:rsidRDefault="002A6C25">
            <w:pPr>
              <w:pStyle w:val="P68B1DB1-Normal4"/>
              <w:spacing w:after="80"/>
              <w:ind w:left="340"/>
              <w:jc w:val="both"/>
              <w:rPr>
                <w:noProof/>
              </w:rPr>
            </w:pPr>
            <w:r>
              <w:rPr>
                <w:noProof/>
              </w:rPr>
              <w:t>– az új autópálya-koncessziók odaítélési kritériumaként elő kell írnia egy minimális számú elektromos töltőállomás létesítését, a megfelelő parkoló- és pihenőhelyek kialakítását az áruszállítási szolgáltatók számára, v</w:t>
            </w:r>
            <w:r>
              <w:rPr>
                <w:noProof/>
              </w:rPr>
              <w:t>alamint az ART által a felhasználói jogok védelme és a megfelelő szolgáltatási szintek biztosítása érdekében kidolgozott szabályozási keret teljes körű betartását.</w:t>
            </w:r>
          </w:p>
          <w:p w14:paraId="757547BB" w14:textId="77777777" w:rsidR="003F5418" w:rsidRDefault="003F5418">
            <w:pPr>
              <w:jc w:val="both"/>
              <w:rPr>
                <w:rFonts w:ascii="Arial Narrow" w:hAnsi="Arial Narrow"/>
                <w:noProof/>
                <w:color w:val="006100"/>
                <w:sz w:val="20"/>
              </w:rPr>
            </w:pPr>
          </w:p>
          <w:p w14:paraId="2F4DCA9E" w14:textId="77777777" w:rsidR="003F5418" w:rsidRDefault="002A6C25">
            <w:pPr>
              <w:pStyle w:val="P68B1DB1-Normal4"/>
              <w:jc w:val="both"/>
              <w:rPr>
                <w:noProof/>
              </w:rPr>
            </w:pPr>
            <w:r>
              <w:rPr>
                <w:b/>
                <w:noProof/>
              </w:rPr>
              <w:t>Hideg vasalás</w:t>
            </w:r>
            <w:r>
              <w:rPr>
                <w:noProof/>
              </w:rPr>
              <w:t xml:space="preserve">: </w:t>
            </w:r>
          </w:p>
          <w:p w14:paraId="5662E8A3" w14:textId="77777777" w:rsidR="003F5418" w:rsidRDefault="002A6C25">
            <w:pPr>
              <w:pStyle w:val="P68B1DB1-Normal4"/>
              <w:rPr>
                <w:noProof/>
              </w:rPr>
            </w:pPr>
            <w:r>
              <w:rPr>
                <w:b/>
                <w:noProof/>
              </w:rPr>
              <w:t>a hidegvasúti</w:t>
            </w:r>
            <w:r>
              <w:rPr>
                <w:noProof/>
              </w:rPr>
              <w:t xml:space="preserve"> szolgáltatások kikötőkben történő igénybevételére irányuló szabályozási ösztönzők hatálybalépése;</w:t>
            </w:r>
          </w:p>
          <w:p w14:paraId="2B839BDE" w14:textId="77777777" w:rsidR="003F5418" w:rsidRDefault="003F5418">
            <w:pPr>
              <w:jc w:val="both"/>
              <w:rPr>
                <w:rFonts w:ascii="Arial Narrow" w:hAnsi="Arial Narrow"/>
                <w:noProof/>
                <w:color w:val="006100"/>
                <w:sz w:val="20"/>
              </w:rPr>
            </w:pPr>
          </w:p>
          <w:p w14:paraId="72FF67A4" w14:textId="77777777" w:rsidR="003F5418" w:rsidRDefault="002A6C25">
            <w:pPr>
              <w:pStyle w:val="P68B1DB1-Normal8"/>
              <w:jc w:val="both"/>
              <w:rPr>
                <w:noProof/>
              </w:rPr>
            </w:pPr>
            <w:r>
              <w:rPr>
                <w:noProof/>
              </w:rPr>
              <w:t>A földgáz kiskereskedelmi értékesítőinek jegyzéke:</w:t>
            </w:r>
          </w:p>
          <w:p w14:paraId="4B37F02B" w14:textId="77777777" w:rsidR="003F5418" w:rsidRDefault="002A6C25">
            <w:pPr>
              <w:pStyle w:val="P68B1DB1-Normal4"/>
              <w:jc w:val="both"/>
              <w:rPr>
                <w:noProof/>
              </w:rPr>
            </w:pPr>
            <w:r>
              <w:rPr>
                <w:noProof/>
              </w:rPr>
              <w:t>a</w:t>
            </w:r>
            <w:r>
              <w:rPr>
                <w:b/>
                <w:noProof/>
              </w:rPr>
              <w:t>164/2000.</w:t>
            </w:r>
            <w:r>
              <w:rPr>
                <w:noProof/>
              </w:rPr>
              <w:t xml:space="preserve"> sz. törvényerejű rendelet 17. cikke által létrehozott, a földgáz kiskereskedelmi értékesítőine</w:t>
            </w:r>
            <w:r>
              <w:rPr>
                <w:noProof/>
              </w:rPr>
              <w:t>k listáján a vállalkozások hozzáférésére és állandóságára vonatkozó kritériumok és követelmények meghatározása, amelynek célja az átláthatóság növelése és a fogyasztók választásának támogatása a versenypiacokon;</w:t>
            </w:r>
          </w:p>
          <w:p w14:paraId="3C05898C" w14:textId="77777777" w:rsidR="003F5418" w:rsidRDefault="003F5418">
            <w:pPr>
              <w:rPr>
                <w:rFonts w:ascii="Arial Narrow" w:hAnsi="Arial Narrow"/>
                <w:noProof/>
                <w:color w:val="006100"/>
                <w:sz w:val="20"/>
              </w:rPr>
            </w:pPr>
          </w:p>
          <w:p w14:paraId="3B7A973A" w14:textId="77777777" w:rsidR="003F5418" w:rsidRDefault="002A6C25">
            <w:pPr>
              <w:pStyle w:val="P68B1DB1-Normal8"/>
              <w:rPr>
                <w:noProof/>
              </w:rPr>
            </w:pPr>
            <w:r>
              <w:rPr>
                <w:noProof/>
              </w:rPr>
              <w:t>Biztosítás:</w:t>
            </w:r>
          </w:p>
          <w:p w14:paraId="69085DF7" w14:textId="77777777" w:rsidR="003F5418" w:rsidRDefault="002A6C25">
            <w:pPr>
              <w:pStyle w:val="P68B1DB1-Normal4"/>
              <w:rPr>
                <w:noProof/>
              </w:rPr>
            </w:pPr>
            <w:r>
              <w:rPr>
                <w:b/>
                <w:noProof/>
              </w:rPr>
              <w:t>az autók fekete dobozaira vonat</w:t>
            </w:r>
            <w:r>
              <w:rPr>
                <w:b/>
                <w:noProof/>
              </w:rPr>
              <w:t>kozó adatok biztosítók közötti hordozhatóságának lehetővé tételéhez szükséges jogi aktusok hatálybalépése</w:t>
            </w:r>
            <w:r>
              <w:rPr>
                <w:noProof/>
              </w:rPr>
              <w:t>;</w:t>
            </w:r>
          </w:p>
          <w:p w14:paraId="0109BB07" w14:textId="77777777" w:rsidR="003F5418" w:rsidRDefault="003F5418">
            <w:pPr>
              <w:rPr>
                <w:rFonts w:ascii="Arial Narrow" w:hAnsi="Arial Narrow"/>
                <w:noProof/>
                <w:color w:val="006100"/>
                <w:sz w:val="20"/>
              </w:rPr>
            </w:pPr>
          </w:p>
          <w:p w14:paraId="6D58BD67" w14:textId="77777777" w:rsidR="003F5418" w:rsidRDefault="002A6C25">
            <w:pPr>
              <w:pStyle w:val="P68B1DB1-Normal8"/>
              <w:rPr>
                <w:noProof/>
              </w:rPr>
            </w:pPr>
            <w:r>
              <w:rPr>
                <w:noProof/>
              </w:rPr>
              <w:t>Vállalkozásindítás:</w:t>
            </w:r>
          </w:p>
          <w:p w14:paraId="00670BAA" w14:textId="77777777" w:rsidR="003F5418" w:rsidRDefault="002A6C25">
            <w:pPr>
              <w:pStyle w:val="P68B1DB1-Normal4"/>
              <w:jc w:val="both"/>
              <w:rPr>
                <w:noProof/>
              </w:rPr>
            </w:pPr>
            <w:r>
              <w:rPr>
                <w:b/>
                <w:noProof/>
              </w:rPr>
              <w:t>az induló vállalkozásokra, az innovatív kkv-kra és a kockázati tőkére vonatkozó jogszabályok (pl. a 2012. évi Start Up Act) felü</w:t>
            </w:r>
            <w:r>
              <w:rPr>
                <w:b/>
                <w:noProof/>
              </w:rPr>
              <w:t>lvizsgálata</w:t>
            </w:r>
            <w:r>
              <w:rPr>
                <w:noProof/>
              </w:rPr>
              <w:t xml:space="preserve"> és aktualizálása a meglévő jogszabályok észszerűsítése, az induló vállalkozások fogalommeghatározásának felülvizsgálata, valamint a magán- és intézményi befektetők kockázatitőke-befektetéseinek előmozdítása érdekében.</w:t>
            </w:r>
          </w:p>
        </w:tc>
      </w:tr>
      <w:tr w:rsidR="003F5418" w14:paraId="5E6C76F1"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39BA61B7" w14:textId="77777777" w:rsidR="003F5418" w:rsidRDefault="002A6C25">
            <w:pPr>
              <w:pStyle w:val="P68B1DB1-Normal4"/>
              <w:spacing w:before="120" w:after="120"/>
              <w:jc w:val="center"/>
              <w:rPr>
                <w:noProof/>
              </w:rPr>
            </w:pPr>
            <w:r>
              <w:rPr>
                <w:noProof/>
              </w:rPr>
              <w:t>M1C2–12</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437D2B" w14:textId="77777777" w:rsidR="003F5418" w:rsidRDefault="002A6C25">
            <w:pPr>
              <w:pStyle w:val="P68B1DB1-Normal4"/>
              <w:spacing w:before="120" w:after="120"/>
              <w:jc w:val="center"/>
              <w:rPr>
                <w:noProof/>
              </w:rPr>
            </w:pPr>
            <w:r>
              <w:rPr>
                <w:noProof/>
              </w:rPr>
              <w:t xml:space="preserve">Reform: Éves </w:t>
            </w:r>
            <w:r>
              <w:rPr>
                <w:noProof/>
              </w:rPr>
              <w:t>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E25A10E"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4A06609" w14:textId="77777777" w:rsidR="003F5418" w:rsidRDefault="002A6C25">
            <w:pPr>
              <w:pStyle w:val="P68B1DB1-Normal4"/>
              <w:spacing w:before="120" w:after="120"/>
              <w:jc w:val="center"/>
              <w:rPr>
                <w:noProof/>
              </w:rPr>
            </w:pPr>
            <w:r>
              <w:rPr>
                <w:noProof/>
              </w:rPr>
              <w:t>Valamennyi végrehajtási intézkedés (szükség esetén beleértve a másodlagos jogszabályokat is) hatálybalépése a 2023. évi éves versenyjogi törvényből eredő intézkedések hatékony végrehajtása és alkalmazása érdekében</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87739D7" w14:textId="77777777" w:rsidR="003F5418" w:rsidRDefault="002A6C25">
            <w:pPr>
              <w:pStyle w:val="P68B1DB1-Normal4"/>
              <w:spacing w:before="120" w:after="120"/>
              <w:jc w:val="center"/>
              <w:rPr>
                <w:noProof/>
              </w:rPr>
            </w:pPr>
            <w:r>
              <w:rPr>
                <w:noProof/>
              </w:rPr>
              <w:t>Valamennyi másodlagos jogszabály hatálybalépése, beleértve a 2023. évi éves versenyjogi törvényből eredő intézkedésekhez szükséges valamennyi rendeletet</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70F2CD63"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2DBE3877"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588FD7A"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3711FC4"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45DC7227" w14:textId="77777777" w:rsidR="003F5418" w:rsidRDefault="002A6C25">
            <w:pPr>
              <w:pStyle w:val="P68B1DB1-Normal4"/>
              <w:spacing w:before="120" w:after="120"/>
              <w:jc w:val="center"/>
              <w:rPr>
                <w:noProof/>
              </w:rPr>
            </w:pPr>
            <w:r>
              <w:rPr>
                <w:noProof/>
              </w:rPr>
              <w:t>2024</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351414BD" w14:textId="77777777" w:rsidR="003F5418" w:rsidRDefault="002A6C25">
            <w:pPr>
              <w:pStyle w:val="P68B1DB1-Normal4"/>
              <w:spacing w:before="120" w:after="120"/>
              <w:rPr>
                <w:noProof/>
              </w:rPr>
            </w:pPr>
            <w:r>
              <w:rPr>
                <w:noProof/>
              </w:rPr>
              <w:t>Valamennyi másodlagos jogszabály hatálybalépése (szükség esetén), beleértve a</w:t>
            </w:r>
            <w:r>
              <w:rPr>
                <w:noProof/>
              </w:rPr>
              <w:t xml:space="preserve"> 2023. évi éves versenyjogi törvényből eredő valamennyi intézkedés hatékony végrehajtásához és alkalmazásához szükséges valamennyi rendeletet.</w:t>
            </w:r>
          </w:p>
        </w:tc>
      </w:tr>
      <w:tr w:rsidR="003F5418" w14:paraId="4CE28C2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21BE50E" w14:textId="77777777" w:rsidR="003F5418" w:rsidRDefault="002A6C25">
            <w:pPr>
              <w:pStyle w:val="P68B1DB1-Normal4"/>
              <w:spacing w:before="120" w:after="120"/>
              <w:jc w:val="center"/>
              <w:rPr>
                <w:noProof/>
              </w:rPr>
            </w:pPr>
            <w:r>
              <w:rPr>
                <w:noProof/>
              </w:rPr>
              <w:t>M1C2–13</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032EF3FA"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B525F8A" w14:textId="77777777" w:rsidR="003F5418" w:rsidRDefault="002A6C25">
            <w:pPr>
              <w:pStyle w:val="P68B1DB1-Normal4"/>
              <w:spacing w:before="120" w:after="120"/>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22817EE" w14:textId="77777777" w:rsidR="003F5418" w:rsidRDefault="002A6C25">
            <w:pPr>
              <w:pStyle w:val="P68B1DB1-Normal4"/>
              <w:spacing w:before="120" w:after="120"/>
              <w:jc w:val="center"/>
              <w:rPr>
                <w:noProof/>
              </w:rPr>
            </w:pPr>
            <w:r>
              <w:rPr>
                <w:noProof/>
              </w:rPr>
              <w:t>A 2024. évi éves versenyjogi törvény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72ADFC0" w14:textId="77777777" w:rsidR="003F5418" w:rsidRDefault="002A6C25">
            <w:pPr>
              <w:pStyle w:val="P68B1DB1-Normal4"/>
              <w:spacing w:before="120" w:after="120"/>
              <w:jc w:val="center"/>
              <w:rPr>
                <w:noProof/>
              </w:rPr>
            </w:pPr>
            <w:r>
              <w:rPr>
                <w:noProof/>
              </w:rPr>
              <w:t xml:space="preserve">A </w:t>
            </w:r>
            <w:r>
              <w:rPr>
                <w:noProof/>
              </w:rPr>
              <w:t>2024. évi éves versenyjogi törvény hatálybalépését jelző rendelkezés.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02D69DDF" w14:textId="77777777" w:rsidR="003F5418" w:rsidRDefault="002A6C25">
            <w:pPr>
              <w:pStyle w:val="P68B1DB1-Normal4"/>
              <w:spacing w:before="120" w:after="120"/>
              <w:jc w:val="center"/>
              <w:rPr>
                <w:noProof/>
              </w:rPr>
            </w:pPr>
            <w:r>
              <w:rPr>
                <w:noProof/>
              </w:rPr>
              <w:t>NINCS</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E7334AC" w14:textId="77777777" w:rsidR="003F5418" w:rsidRDefault="002A6C25">
            <w:pPr>
              <w:pStyle w:val="P68B1DB1-Normal4"/>
              <w:spacing w:before="120" w:after="120"/>
              <w:jc w:val="center"/>
              <w:rPr>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4B8A153" w14:textId="77777777" w:rsidR="003F5418" w:rsidRDefault="002A6C25">
            <w:pPr>
              <w:pStyle w:val="P68B1DB1-Normal4"/>
              <w:spacing w:before="120" w:after="120"/>
              <w:jc w:val="center"/>
              <w:rPr>
                <w:noProof/>
              </w:rPr>
            </w:pPr>
            <w:r>
              <w:rPr>
                <w:noProof/>
              </w:rPr>
              <w:t>NINCS</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5A11BADA"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53A24E5" w14:textId="77777777" w:rsidR="003F5418" w:rsidRDefault="002A6C25">
            <w:pPr>
              <w:pStyle w:val="P68B1DB1-Normal4"/>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52A64E04" w14:textId="77777777" w:rsidR="003F5418" w:rsidRDefault="002A6C25">
            <w:pPr>
              <w:pStyle w:val="P68B1DB1-Normal4"/>
              <w:spacing w:before="120" w:after="120"/>
              <w:rPr>
                <w:noProof/>
              </w:rPr>
            </w:pPr>
            <w:r>
              <w:rPr>
                <w:noProof/>
              </w:rPr>
              <w:t>A 2024. évi éves versenyjogi törvény hatálybalépése.</w:t>
            </w:r>
          </w:p>
          <w:p w14:paraId="510BCDCA" w14:textId="77777777" w:rsidR="003F5418" w:rsidRDefault="002A6C25">
            <w:pPr>
              <w:pStyle w:val="P68B1DB1-Normal4"/>
              <w:spacing w:before="120" w:after="120"/>
              <w:rPr>
                <w:noProof/>
              </w:rPr>
            </w:pPr>
            <w:r>
              <w:rPr>
                <w:noProof/>
              </w:rPr>
              <w:t>A törvényjavaslatot 2024 júniusáig kell benyújtani a Parlamentnek. A kamaráknak 2024 végéig jóvá kell hagyn</w:t>
            </w:r>
            <w:r>
              <w:rPr>
                <w:noProof/>
              </w:rPr>
              <w:t>iuk a határozatot. Másodlagos jogszabályok (szükség esetén) legkésőbb 2025 negyedik negyedévéig.</w:t>
            </w:r>
          </w:p>
        </w:tc>
      </w:tr>
      <w:tr w:rsidR="003F5418" w14:paraId="2F649405"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2A27C934" w14:textId="77777777" w:rsidR="003F5418" w:rsidRDefault="002A6C25">
            <w:pPr>
              <w:pStyle w:val="P68B1DB1-Normal4"/>
              <w:spacing w:before="120" w:after="120"/>
              <w:jc w:val="center"/>
              <w:rPr>
                <w:noProof/>
              </w:rPr>
            </w:pPr>
            <w:r>
              <w:rPr>
                <w:noProof/>
              </w:rPr>
              <w:t>M1C2–14</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35E8E3B" w14:textId="77777777" w:rsidR="003F5418" w:rsidRDefault="002A6C25">
            <w:pPr>
              <w:pStyle w:val="P68B1DB1-Normal4"/>
              <w:spacing w:before="120" w:after="120"/>
              <w:jc w:val="center"/>
              <w:rPr>
                <w:noProof/>
              </w:rPr>
            </w:pPr>
            <w:r>
              <w:rPr>
                <w:noProof/>
              </w:rPr>
              <w:t>Reform: Éves versenyjogi jogszabályok</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834C11" w14:textId="77777777" w:rsidR="003F5418" w:rsidRDefault="002A6C25">
            <w:pPr>
              <w:pStyle w:val="P68B1DB1-Normal4"/>
              <w:spacing w:before="120" w:after="120"/>
              <w:jc w:val="center"/>
              <w:rPr>
                <w:noProof/>
              </w:rPr>
            </w:pPr>
            <w:r>
              <w:rPr>
                <w:noProof/>
              </w:rPr>
              <w:t>Cél</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10A11D3" w14:textId="77777777" w:rsidR="003F5418" w:rsidRDefault="002A6C25">
            <w:pPr>
              <w:pStyle w:val="P68B1DB1-Normal4"/>
              <w:spacing w:before="120" w:after="120"/>
              <w:jc w:val="center"/>
              <w:rPr>
                <w:noProof/>
              </w:rPr>
            </w:pPr>
            <w:r>
              <w:rPr>
                <w:noProof/>
              </w:rPr>
              <w:t>2G intelligens fogyasztásmérők millióit telepítették.</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A5AA9FC" w14:textId="77777777" w:rsidR="003F5418" w:rsidRDefault="002A6C25">
            <w:pPr>
              <w:pStyle w:val="P68B1DB1-Normal4"/>
              <w:spacing w:before="120" w:after="120"/>
              <w:jc w:val="center"/>
              <w:rPr>
                <w:noProof/>
              </w:rPr>
            </w:pPr>
            <w:r>
              <w:rPr>
                <w:noProof/>
              </w:rPr>
              <w:t>NINCS</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63381CAF" w14:textId="77777777" w:rsidR="003F5418" w:rsidRDefault="002A6C25">
            <w:pPr>
              <w:pStyle w:val="P68B1DB1-Normal4"/>
              <w:spacing w:before="120" w:after="120"/>
              <w:jc w:val="center"/>
              <w:rPr>
                <w:noProof/>
              </w:rPr>
            </w:pPr>
            <w:r>
              <w:rPr>
                <w:noProof/>
              </w:rPr>
              <w:t>Szám</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7AB1543D" w14:textId="77777777" w:rsidR="003F5418" w:rsidRDefault="002A6C25">
            <w:pPr>
              <w:pStyle w:val="P68B1DB1-Normal4"/>
              <w:spacing w:before="120" w:after="120"/>
              <w:jc w:val="center"/>
              <w:rPr>
                <w:noProof/>
              </w:rPr>
            </w:pPr>
            <w:r>
              <w:rPr>
                <w:noProof/>
              </w:rPr>
              <w:t>20</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FF9B339" w14:textId="77777777" w:rsidR="003F5418" w:rsidRDefault="002A6C25">
            <w:pPr>
              <w:pStyle w:val="P68B1DB1-Normal4"/>
              <w:spacing w:before="120" w:after="120"/>
              <w:jc w:val="center"/>
              <w:rPr>
                <w:noProof/>
              </w:rPr>
            </w:pPr>
            <w:r>
              <w:rPr>
                <w:noProof/>
              </w:rPr>
              <w:t>33</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95D96B5" w14:textId="77777777" w:rsidR="003F5418" w:rsidRDefault="002A6C25">
            <w:pPr>
              <w:pStyle w:val="P68B1DB1-Normal4"/>
              <w:spacing w:before="120" w:after="120"/>
              <w:jc w:val="center"/>
              <w:rPr>
                <w:noProof/>
              </w:rPr>
            </w:pPr>
            <w:r>
              <w:rPr>
                <w:noProof/>
              </w:rPr>
              <w:t>Q4</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066B611E" w14:textId="77777777" w:rsidR="003F5418" w:rsidRDefault="002A6C25">
            <w:pPr>
              <w:pStyle w:val="P68B1DB1-Normal4"/>
              <w:spacing w:before="120" w:after="120"/>
              <w:jc w:val="center"/>
              <w:rPr>
                <w:noProof/>
              </w:rPr>
            </w:pPr>
            <w:r>
              <w:rPr>
                <w:noProof/>
              </w:rPr>
              <w:t>2025</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0797AB0" w14:textId="77777777" w:rsidR="003F5418" w:rsidRDefault="002A6C25">
            <w:pPr>
              <w:pStyle w:val="P68B1DB1-Normal4"/>
              <w:rPr>
                <w:noProof/>
              </w:rPr>
            </w:pPr>
            <w:r>
              <w:rPr>
                <w:noProof/>
              </w:rPr>
              <w:t xml:space="preserve">Legalább 33 millió 2G </w:t>
            </w:r>
            <w:r>
              <w:rPr>
                <w:noProof/>
              </w:rPr>
              <w:t>intelligens fogyasztásmérőt kell alkalmazni.</w:t>
            </w:r>
          </w:p>
        </w:tc>
      </w:tr>
      <w:tr w:rsidR="003F5418" w14:paraId="1F89C9C6"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408F54BD" w14:textId="77777777" w:rsidR="003F5418" w:rsidRDefault="002A6C25">
            <w:pPr>
              <w:pStyle w:val="P68B1DB1-Normal4"/>
              <w:jc w:val="center"/>
              <w:rPr>
                <w:noProof/>
              </w:rPr>
            </w:pPr>
            <w:r>
              <w:rPr>
                <w:noProof/>
              </w:rPr>
              <w:t>M1C2–14a</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5B2B718" w14:textId="77777777" w:rsidR="003F5418" w:rsidRDefault="002A6C25">
            <w:pPr>
              <w:pStyle w:val="P68B1DB1-Normal4"/>
              <w:jc w:val="center"/>
              <w:rPr>
                <w:noProof/>
              </w:rPr>
            </w:pPr>
            <w:r>
              <w:rPr>
                <w:noProof/>
              </w:rPr>
              <w:t>Reform:   a vállalkozásokat célzó ösztönzők észszerűsítése és egyszerűsítése.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426E4CB" w14:textId="77777777" w:rsidR="003F5418" w:rsidRDefault="002A6C25">
            <w:pPr>
              <w:pStyle w:val="P68B1DB1-Normal4"/>
              <w:jc w:val="center"/>
              <w:rPr>
                <w:noProof/>
              </w:rPr>
            </w:pPr>
            <w:r>
              <w:rPr>
                <w:noProof/>
              </w:rPr>
              <w:t xml:space="preserve">Mérföldkő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32407C1" w14:textId="77777777" w:rsidR="003F5418" w:rsidRDefault="002A6C25">
            <w:pPr>
              <w:pStyle w:val="P68B1DB1-Normal4"/>
              <w:jc w:val="center"/>
              <w:rPr>
                <w:noProof/>
              </w:rPr>
            </w:pPr>
            <w:r>
              <w:rPr>
                <w:noProof/>
              </w:rPr>
              <w:t>A jelentés értékelésének közzététele a vállalkozásoknak nyújtott valamennyi ösztönzőről</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384A3FF2" w14:textId="77777777" w:rsidR="003F5418" w:rsidRDefault="002A6C25">
            <w:pPr>
              <w:pStyle w:val="P68B1DB1-Normal4"/>
              <w:jc w:val="center"/>
              <w:rPr>
                <w:noProof/>
              </w:rPr>
            </w:pPr>
            <w:r>
              <w:rPr>
                <w:noProof/>
              </w:rPr>
              <w:t xml:space="preserve">A jelentés közzététele </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383EFAC" w14:textId="77777777" w:rsidR="003F5418" w:rsidRDefault="002A6C25">
            <w:pPr>
              <w:pStyle w:val="P68B1DB1-Normal4"/>
              <w:jc w:val="center"/>
              <w:rPr>
                <w:noProof/>
              </w:rPr>
            </w:pPr>
            <w:r>
              <w:rPr>
                <w:noProof/>
              </w:rPr>
              <w:t xml:space="preserve">NINCS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478E5B45" w14:textId="77777777" w:rsidR="003F5418" w:rsidRDefault="002A6C25">
            <w:pPr>
              <w:pStyle w:val="P68B1DB1-Normal4"/>
              <w:jc w:val="center"/>
              <w:rPr>
                <w:noProof/>
              </w:rPr>
            </w:pPr>
            <w:r>
              <w:rPr>
                <w:noProof/>
              </w:rPr>
              <w:t xml:space="preserve">NINCS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B505257" w14:textId="77777777" w:rsidR="003F5418" w:rsidRDefault="002A6C25">
            <w:pPr>
              <w:pStyle w:val="P68B1DB1-Normal4"/>
              <w:jc w:val="center"/>
              <w:rPr>
                <w:noProof/>
              </w:rPr>
            </w:pPr>
            <w:r>
              <w:rPr>
                <w:noProof/>
              </w:rPr>
              <w:t xml:space="preserve">NINCS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13739924" w14:textId="77777777" w:rsidR="003F5418" w:rsidRDefault="002A6C25">
            <w:pPr>
              <w:pStyle w:val="P68B1DB1-Normal4"/>
              <w:jc w:val="center"/>
              <w:rPr>
                <w:noProof/>
              </w:rPr>
            </w:pPr>
            <w:r>
              <w:rPr>
                <w:noProof/>
              </w:rPr>
              <w:t xml:space="preserve">Q2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54C6C322" w14:textId="77777777" w:rsidR="003F5418" w:rsidRDefault="002A6C25">
            <w:pPr>
              <w:pStyle w:val="P68B1DB1-Normal4"/>
              <w:jc w:val="center"/>
              <w:rPr>
                <w:noProof/>
              </w:rPr>
            </w:pPr>
            <w:r>
              <w:rPr>
                <w:noProof/>
              </w:rPr>
              <w:t xml:space="preserve">2025 </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6838CD03" w14:textId="77777777" w:rsidR="003F5418" w:rsidRDefault="002A6C25">
            <w:pPr>
              <w:pStyle w:val="P68B1DB1-Normal4"/>
              <w:jc w:val="both"/>
              <w:rPr>
                <w:noProof/>
              </w:rPr>
            </w:pPr>
            <w:r>
              <w:rPr>
                <w:noProof/>
              </w:rPr>
              <w:t>Az olaszországi Vállalkozásügyi Minisztérium és Made jelentést tesz közzé, amelyben értékeli a vállalkozásokat célzó valamennyi ösztönzőt és beruházást.</w:t>
            </w:r>
          </w:p>
          <w:p w14:paraId="661DC7E0" w14:textId="77777777" w:rsidR="003F5418" w:rsidRDefault="002A6C25">
            <w:pPr>
              <w:pStyle w:val="P68B1DB1-Normal4"/>
              <w:jc w:val="both"/>
              <w:rPr>
                <w:rFonts w:eastAsia="Calibri" w:cs="Calibri"/>
                <w:noProof/>
                <w:highlight w:val="yellow"/>
              </w:rPr>
            </w:pPr>
            <w:r>
              <w:rPr>
                <w:noProof/>
              </w:rPr>
              <w:t>A jelentés konkrét javaslatokat dolgoz ki a nemzeti ösztönzők racionaliz</w:t>
            </w:r>
            <w:r>
              <w:rPr>
                <w:noProof/>
              </w:rPr>
              <w:t>álására.</w:t>
            </w:r>
          </w:p>
        </w:tc>
      </w:tr>
      <w:tr w:rsidR="003F5418" w14:paraId="52B5E108" w14:textId="77777777">
        <w:trPr>
          <w:trHeight w:val="315"/>
        </w:trPr>
        <w:tc>
          <w:tcPr>
            <w:tcW w:w="1135" w:type="dxa"/>
            <w:tcBorders>
              <w:top w:val="single" w:sz="4" w:space="0" w:color="auto"/>
              <w:left w:val="single" w:sz="4" w:space="0" w:color="auto"/>
              <w:bottom w:val="single" w:sz="4" w:space="0" w:color="auto"/>
              <w:right w:val="single" w:sz="4" w:space="0" w:color="auto"/>
            </w:tcBorders>
            <w:shd w:val="clear" w:color="auto" w:fill="C6EFCE"/>
            <w:vAlign w:val="center"/>
          </w:tcPr>
          <w:p w14:paraId="040E6BE7" w14:textId="77777777" w:rsidR="003F5418" w:rsidRDefault="002A6C25">
            <w:pPr>
              <w:pStyle w:val="P68B1DB1-Normal4"/>
              <w:jc w:val="center"/>
              <w:rPr>
                <w:noProof/>
              </w:rPr>
            </w:pPr>
            <w:r>
              <w:rPr>
                <w:noProof/>
              </w:rPr>
              <w:t>M1C2–14ter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84E2E85" w14:textId="77777777" w:rsidR="003F5418" w:rsidRDefault="002A6C25">
            <w:pPr>
              <w:pStyle w:val="P68B1DB1-Normal4"/>
              <w:jc w:val="center"/>
              <w:rPr>
                <w:noProof/>
              </w:rPr>
            </w:pPr>
            <w:r>
              <w:rPr>
                <w:noProof/>
              </w:rPr>
              <w:t>Reform: a vállalkozásokat célzó ösztönzők észszerűsítése és egyszerűsítése.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5B8799" w14:textId="77777777" w:rsidR="003F5418" w:rsidRDefault="002A6C25">
            <w:pPr>
              <w:pStyle w:val="P68B1DB1-Normal4"/>
              <w:jc w:val="center"/>
              <w:rPr>
                <w:noProof/>
              </w:rPr>
            </w:pPr>
            <w:r>
              <w:rPr>
                <w:noProof/>
              </w:rPr>
              <w:t xml:space="preserve">Mérföldkő </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146DC5E9" w14:textId="77777777" w:rsidR="003F5418" w:rsidRDefault="002A6C25">
            <w:pPr>
              <w:pStyle w:val="P68B1DB1-Normal4"/>
              <w:jc w:val="center"/>
              <w:rPr>
                <w:noProof/>
              </w:rPr>
            </w:pPr>
            <w:r>
              <w:rPr>
                <w:noProof/>
              </w:rPr>
              <w:t>A határozott ösztönzők racionalizálására vonatkozó elsődleges jogszabályok hatálybalépése</w:t>
            </w:r>
          </w:p>
        </w:tc>
        <w:tc>
          <w:tcPr>
            <w:tcW w:w="1456" w:type="dxa"/>
            <w:tcBorders>
              <w:top w:val="single" w:sz="4" w:space="0" w:color="auto"/>
              <w:left w:val="single" w:sz="4" w:space="0" w:color="auto"/>
              <w:bottom w:val="single" w:sz="4" w:space="0" w:color="auto"/>
              <w:right w:val="single" w:sz="4" w:space="0" w:color="auto"/>
            </w:tcBorders>
            <w:shd w:val="clear" w:color="auto" w:fill="C6EFCE"/>
            <w:vAlign w:val="center"/>
          </w:tcPr>
          <w:p w14:paraId="524E4081" w14:textId="77777777" w:rsidR="003F5418" w:rsidRDefault="002A6C25">
            <w:pPr>
              <w:pStyle w:val="P68B1DB1-Normal4"/>
              <w:jc w:val="center"/>
              <w:rPr>
                <w:noProof/>
              </w:rPr>
            </w:pPr>
            <w:r>
              <w:rPr>
                <w:noProof/>
              </w:rPr>
              <w:t>Az elsődleges jog hatálybalépése</w:t>
            </w:r>
          </w:p>
        </w:tc>
        <w:tc>
          <w:tcPr>
            <w:tcW w:w="960" w:type="dxa"/>
            <w:tcBorders>
              <w:top w:val="single" w:sz="4" w:space="0" w:color="auto"/>
              <w:left w:val="single" w:sz="4" w:space="0" w:color="auto"/>
              <w:bottom w:val="single" w:sz="4" w:space="0" w:color="auto"/>
              <w:right w:val="single" w:sz="4" w:space="0" w:color="auto"/>
            </w:tcBorders>
            <w:shd w:val="clear" w:color="auto" w:fill="C6EFCE"/>
            <w:vAlign w:val="center"/>
          </w:tcPr>
          <w:p w14:paraId="1F0D6BEF" w14:textId="77777777" w:rsidR="003F5418" w:rsidRDefault="002A6C25">
            <w:pPr>
              <w:pStyle w:val="P68B1DB1-Normal4"/>
              <w:jc w:val="center"/>
              <w:rPr>
                <w:noProof/>
              </w:rPr>
            </w:pPr>
            <w:r>
              <w:rPr>
                <w:noProof/>
              </w:rPr>
              <w:t xml:space="preserve">NINCS </w:t>
            </w:r>
          </w:p>
        </w:tc>
        <w:tc>
          <w:tcPr>
            <w:tcW w:w="1127" w:type="dxa"/>
            <w:tcBorders>
              <w:top w:val="single" w:sz="4" w:space="0" w:color="auto"/>
              <w:left w:val="single" w:sz="4" w:space="0" w:color="auto"/>
              <w:bottom w:val="single" w:sz="4" w:space="0" w:color="auto"/>
              <w:right w:val="single" w:sz="4" w:space="0" w:color="auto"/>
            </w:tcBorders>
            <w:shd w:val="clear" w:color="auto" w:fill="C6EFCE"/>
            <w:vAlign w:val="center"/>
          </w:tcPr>
          <w:p w14:paraId="60F265D9" w14:textId="77777777" w:rsidR="003F5418" w:rsidRDefault="002A6C25">
            <w:pPr>
              <w:pStyle w:val="P68B1DB1-Normal4"/>
              <w:jc w:val="center"/>
              <w:rPr>
                <w:noProof/>
              </w:rPr>
            </w:pPr>
            <w:r>
              <w:rPr>
                <w:noProof/>
              </w:rPr>
              <w:t xml:space="preserve">NINCS </w:t>
            </w:r>
          </w:p>
        </w:tc>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3A0E3F" w14:textId="77777777" w:rsidR="003F5418" w:rsidRDefault="002A6C25">
            <w:pPr>
              <w:pStyle w:val="P68B1DB1-Normal4"/>
              <w:jc w:val="center"/>
              <w:rPr>
                <w:noProof/>
              </w:rPr>
            </w:pPr>
            <w:r>
              <w:rPr>
                <w:noProof/>
              </w:rPr>
              <w:t xml:space="preserve">NINCS </w:t>
            </w:r>
          </w:p>
        </w:tc>
        <w:tc>
          <w:tcPr>
            <w:tcW w:w="851" w:type="dxa"/>
            <w:tcBorders>
              <w:top w:val="single" w:sz="4" w:space="0" w:color="auto"/>
              <w:left w:val="single" w:sz="4" w:space="0" w:color="auto"/>
              <w:bottom w:val="single" w:sz="4" w:space="0" w:color="auto"/>
              <w:right w:val="single" w:sz="4" w:space="0" w:color="auto"/>
            </w:tcBorders>
            <w:shd w:val="clear" w:color="auto" w:fill="C6EFCE"/>
            <w:vAlign w:val="center"/>
          </w:tcPr>
          <w:p w14:paraId="24416D9E" w14:textId="77777777" w:rsidR="003F5418" w:rsidRDefault="002A6C25">
            <w:pPr>
              <w:pStyle w:val="P68B1DB1-Normal4"/>
              <w:jc w:val="center"/>
              <w:rPr>
                <w:noProof/>
              </w:rPr>
            </w:pPr>
            <w:r>
              <w:rPr>
                <w:noProof/>
              </w:rPr>
              <w:t xml:space="preserve">Q2 </w:t>
            </w:r>
          </w:p>
        </w:tc>
        <w:tc>
          <w:tcPr>
            <w:tcW w:w="708" w:type="dxa"/>
            <w:tcBorders>
              <w:top w:val="single" w:sz="4" w:space="0" w:color="auto"/>
              <w:left w:val="single" w:sz="4" w:space="0" w:color="auto"/>
              <w:bottom w:val="single" w:sz="4" w:space="0" w:color="auto"/>
              <w:right w:val="single" w:sz="4" w:space="0" w:color="auto"/>
            </w:tcBorders>
            <w:shd w:val="clear" w:color="auto" w:fill="C6EFCE"/>
            <w:vAlign w:val="center"/>
          </w:tcPr>
          <w:p w14:paraId="7D16FAFF" w14:textId="77777777" w:rsidR="003F5418" w:rsidRDefault="002A6C25">
            <w:pPr>
              <w:pStyle w:val="P68B1DB1-Normal4"/>
              <w:jc w:val="center"/>
              <w:rPr>
                <w:noProof/>
              </w:rPr>
            </w:pPr>
            <w:r>
              <w:rPr>
                <w:noProof/>
              </w:rPr>
              <w:t>2026</w:t>
            </w:r>
          </w:p>
        </w:tc>
        <w:tc>
          <w:tcPr>
            <w:tcW w:w="4094" w:type="dxa"/>
            <w:tcBorders>
              <w:top w:val="single" w:sz="4" w:space="0" w:color="auto"/>
              <w:left w:val="single" w:sz="4" w:space="0" w:color="auto"/>
              <w:bottom w:val="single" w:sz="4" w:space="0" w:color="auto"/>
              <w:right w:val="single" w:sz="4" w:space="0" w:color="auto"/>
            </w:tcBorders>
            <w:shd w:val="clear" w:color="auto" w:fill="C6EFCE"/>
            <w:vAlign w:val="center"/>
          </w:tcPr>
          <w:p w14:paraId="75A7F61B" w14:textId="77777777" w:rsidR="003F5418" w:rsidRDefault="002A6C25">
            <w:pPr>
              <w:pStyle w:val="P68B1DB1-Normal4"/>
              <w:jc w:val="both"/>
              <w:rPr>
                <w:noProof/>
              </w:rPr>
            </w:pPr>
            <w:r>
              <w:rPr>
                <w:noProof/>
              </w:rPr>
              <w:t>A határozott ösztönzők racionalizálását célzó valamennyi jogalkotási aktus hatálybalépése.</w:t>
            </w:r>
          </w:p>
          <w:p w14:paraId="4799522F" w14:textId="77777777" w:rsidR="003F5418" w:rsidRDefault="002A6C25">
            <w:pPr>
              <w:pStyle w:val="P68B1DB1-Normal4"/>
              <w:jc w:val="both"/>
              <w:rPr>
                <w:noProof/>
              </w:rPr>
            </w:pPr>
            <w:r>
              <w:rPr>
                <w:noProof/>
              </w:rPr>
              <w:t>A reform a nemzeti szintű ösztönzőkre vonatkozik.</w:t>
            </w:r>
          </w:p>
          <w:p w14:paraId="5FF2AFF6" w14:textId="7315CC26" w:rsidR="003F5418" w:rsidRDefault="002A6C25">
            <w:pPr>
              <w:pStyle w:val="P68B1DB1-Normal4"/>
              <w:jc w:val="both"/>
              <w:rPr>
                <w:noProof/>
              </w:rPr>
            </w:pPr>
            <w:r>
              <w:rPr>
                <w:noProof/>
              </w:rPr>
              <w:t>A reform magában foglalja az olaszországi Vállalkozásügyi Minisztérium és a Made (MIMIT) által kezelt két kulc</w:t>
            </w:r>
            <w:r>
              <w:rPr>
                <w:noProof/>
              </w:rPr>
              <w:t>sfontosságú eszköz szerkezetátalakítását és további végrehajtását: az RNA (állami támogatások nemzeti nyilvántartása) és b) az incentivi.gov.it platform.</w:t>
            </w:r>
          </w:p>
          <w:p w14:paraId="70F26F11" w14:textId="77777777" w:rsidR="003F5418" w:rsidRDefault="003F5418">
            <w:pPr>
              <w:jc w:val="both"/>
              <w:rPr>
                <w:rFonts w:ascii="Arial Narrow" w:hAnsi="Arial Narrow"/>
                <w:noProof/>
                <w:color w:val="006100"/>
                <w:sz w:val="20"/>
              </w:rPr>
            </w:pPr>
          </w:p>
          <w:p w14:paraId="309B5919" w14:textId="6E3D5D22" w:rsidR="003F5418" w:rsidRDefault="002A6C25">
            <w:pPr>
              <w:pStyle w:val="P68B1DB1-Normal4"/>
              <w:jc w:val="both"/>
              <w:rPr>
                <w:noProof/>
              </w:rPr>
            </w:pPr>
            <w:r>
              <w:rPr>
                <w:noProof/>
              </w:rPr>
              <w:t>..</w:t>
            </w:r>
          </w:p>
        </w:tc>
      </w:tr>
    </w:tbl>
    <w:p w14:paraId="2686DEA7" w14:textId="77777777" w:rsidR="003F5418" w:rsidRDefault="002A6C25">
      <w:pPr>
        <w:spacing w:before="120" w:after="120"/>
        <w:jc w:val="both"/>
        <w:rPr>
          <w:noProof/>
        </w:rPr>
      </w:pPr>
      <w:r>
        <w:rPr>
          <w:noProof/>
        </w:rPr>
        <w:t xml:space="preserve">  </w:t>
      </w:r>
      <w:r>
        <w:rPr>
          <w:noProof/>
        </w:rPr>
        <w:br/>
      </w:r>
    </w:p>
    <w:p w14:paraId="1F1871FB" w14:textId="77777777" w:rsidR="003F5418" w:rsidRDefault="003F5418">
      <w:pPr>
        <w:spacing w:before="120" w:after="120"/>
        <w:ind w:left="709"/>
        <w:jc w:val="both"/>
        <w:rPr>
          <w:rFonts w:eastAsia="Calibri"/>
          <w:noProof/>
        </w:rPr>
      </w:pPr>
    </w:p>
    <w:p w14:paraId="07D95E56" w14:textId="77777777" w:rsidR="003F5418" w:rsidRDefault="003F5418">
      <w:pPr>
        <w:spacing w:before="120" w:after="120"/>
        <w:ind w:left="709"/>
        <w:jc w:val="both"/>
        <w:rPr>
          <w:noProof/>
        </w:rPr>
        <w:sectPr w:rsidR="003F5418">
          <w:headerReference w:type="even" r:id="rId50"/>
          <w:headerReference w:type="default" r:id="rId51"/>
          <w:footerReference w:type="even" r:id="rId52"/>
          <w:footerReference w:type="default" r:id="rId53"/>
          <w:headerReference w:type="first" r:id="rId54"/>
          <w:footerReference w:type="first" r:id="rId55"/>
          <w:pgSz w:w="16839" w:h="11907" w:orient="landscape"/>
          <w:pgMar w:top="1134" w:right="1134" w:bottom="1134" w:left="1134" w:header="567" w:footer="567" w:gutter="0"/>
          <w:cols w:space="720"/>
          <w:docGrid w:linePitch="360"/>
        </w:sectPr>
      </w:pPr>
    </w:p>
    <w:p w14:paraId="3904CCE7" w14:textId="77777777" w:rsidR="003F5418" w:rsidRDefault="002A6C25">
      <w:pPr>
        <w:pStyle w:val="Heading3"/>
        <w:numPr>
          <w:ilvl w:val="2"/>
          <w:numId w:val="0"/>
        </w:numPr>
        <w:ind w:left="850" w:hanging="850"/>
        <w:rPr>
          <w:b/>
          <w:i w:val="0"/>
          <w:noProof/>
          <w:color w:val="4472C4" w:themeColor="accent1"/>
          <w:u w:val="single"/>
        </w:rPr>
      </w:pPr>
      <w:r>
        <w:rPr>
          <w:b/>
          <w:i w:val="0"/>
          <w:noProof/>
          <w:u w:val="single"/>
        </w:rPr>
        <w:t xml:space="preserve">B.3. </w:t>
      </w:r>
      <w:r>
        <w:rPr>
          <w:noProof/>
        </w:rPr>
        <w:t xml:space="preserve"> </w:t>
      </w:r>
      <w:r>
        <w:rPr>
          <w:b/>
          <w:i w:val="0"/>
          <w:noProof/>
          <w:u w:val="single"/>
        </w:rPr>
        <w:t xml:space="preserve">A hitelhez kapcsolódó reformok és beruházások ismertetése </w:t>
      </w:r>
    </w:p>
    <w:p w14:paraId="08359496" w14:textId="4E311D19" w:rsidR="003F5418" w:rsidRDefault="002A6C25">
      <w:pPr>
        <w:pStyle w:val="P68B1DB1-Normal2"/>
        <w:spacing w:before="120" w:after="120"/>
        <w:jc w:val="both"/>
        <w:rPr>
          <w:i/>
          <w:noProof/>
        </w:rPr>
      </w:pPr>
      <w:r>
        <w:rPr>
          <w:noProof/>
        </w:rPr>
        <w:t>2. beruházás</w:t>
      </w:r>
      <w:r w:rsidR="00240F92">
        <w:rPr>
          <w:noProof/>
        </w:rPr>
        <w:t>:</w:t>
      </w:r>
      <w:r>
        <w:rPr>
          <w:noProof/>
        </w:rPr>
        <w:t xml:space="preserve"> Mikroelektronikai innováció és technológia </w:t>
      </w:r>
    </w:p>
    <w:p w14:paraId="0A91E9BB" w14:textId="77777777" w:rsidR="003F5418" w:rsidRDefault="002A6C25">
      <w:pPr>
        <w:spacing w:before="120" w:after="120"/>
        <w:jc w:val="both"/>
        <w:rPr>
          <w:noProof/>
        </w:rPr>
      </w:pPr>
      <w:r>
        <w:rPr>
          <w:noProof/>
        </w:rPr>
        <w:t>A beruházás célja, hogy támogassa a mikroelektronika stratégiai értékláncának fejlesztését a szilícium-karbid szubsztrátumokba való beruház</w:t>
      </w:r>
      <w:r>
        <w:rPr>
          <w:noProof/>
        </w:rPr>
        <w:t>ás révén, amely a nagy teljesítményű berendezések gyártásához szükséges input. A beruházást a meglévő állami támogatási szabályokkal összhangban kell végrehajtani, és várhatóan pozitív hatással lesz a foglalkoztatásra.</w:t>
      </w:r>
    </w:p>
    <w:p w14:paraId="1AC056FE" w14:textId="21E886F1" w:rsidR="003F5418" w:rsidRDefault="00240F92">
      <w:pPr>
        <w:pStyle w:val="P68B1DB1-Normal2"/>
        <w:spacing w:before="120" w:after="120"/>
        <w:jc w:val="both"/>
        <w:rPr>
          <w:noProof/>
        </w:rPr>
      </w:pPr>
      <w:r>
        <w:rPr>
          <w:noProof/>
        </w:rPr>
        <w:t>3. Beruházás: Gyors internetkapcsolat (Ultra Broadband és 5G)</w:t>
      </w:r>
    </w:p>
    <w:p w14:paraId="5FD6209E" w14:textId="77777777" w:rsidR="003F5418" w:rsidRDefault="002A6C25">
      <w:pPr>
        <w:spacing w:after="120"/>
        <w:jc w:val="both"/>
        <w:rPr>
          <w:noProof/>
        </w:rPr>
      </w:pPr>
      <w:r>
        <w:rPr>
          <w:noProof/>
        </w:rPr>
        <w:t>A beruházás célja a nemzeti ultragyors és 5G távközlési hálózat kiépítése az ország egész területén. Ez a beruházás várhatóan jelentősen hozzájárul a digitális átállás célkitűzéseihez és csökkenti a digitális szakadékot Olaszország</w:t>
      </w:r>
      <w:r>
        <w:rPr>
          <w:noProof/>
        </w:rPr>
        <w:t xml:space="preserve">ban. </w:t>
      </w:r>
    </w:p>
    <w:p w14:paraId="34AE3F24" w14:textId="77777777" w:rsidR="003F5418" w:rsidRDefault="002A6C25">
      <w:pPr>
        <w:spacing w:after="120"/>
        <w:jc w:val="both"/>
        <w:rPr>
          <w:noProof/>
        </w:rPr>
      </w:pPr>
      <w:r>
        <w:rPr>
          <w:noProof/>
        </w:rPr>
        <w:t>A beruházás magában foglalja a koncessziók odaítélését, és öt gyorsabb csatlakozási projektet foglal magában:</w:t>
      </w:r>
    </w:p>
    <w:p w14:paraId="1BB91794" w14:textId="77777777" w:rsidR="003F5418" w:rsidRDefault="002A6C25">
      <w:pPr>
        <w:pStyle w:val="ListParagraph"/>
        <w:numPr>
          <w:ilvl w:val="0"/>
          <w:numId w:val="73"/>
        </w:numPr>
        <w:spacing w:before="0" w:after="0"/>
        <w:rPr>
          <w:rFonts w:eastAsiaTheme="minorEastAsia"/>
          <w:noProof/>
        </w:rPr>
      </w:pPr>
      <w:r>
        <w:rPr>
          <w:noProof/>
        </w:rPr>
        <w:t>„Italia az 1 giga”, amely 1 gigabit/s letöltést és 200 Mbit/s feltöltési kapcsolatot biztosít a szürke és fekete következő generációs hozzáf</w:t>
      </w:r>
      <w:r>
        <w:rPr>
          <w:noProof/>
        </w:rPr>
        <w:t>érési (NGA) piaci hiányosságokkal érintett területeken. Ezeket a területeket a feltérképezési gyakorlat befejezését követően kell meghatározni;</w:t>
      </w:r>
    </w:p>
    <w:p w14:paraId="26CA57E4" w14:textId="77777777" w:rsidR="003F5418" w:rsidRDefault="002A6C25">
      <w:pPr>
        <w:pStyle w:val="ListParagraph"/>
        <w:numPr>
          <w:ilvl w:val="0"/>
          <w:numId w:val="73"/>
        </w:numPr>
        <w:spacing w:before="0" w:after="0"/>
        <w:rPr>
          <w:rFonts w:eastAsiaTheme="minorEastAsia"/>
          <w:noProof/>
        </w:rPr>
      </w:pPr>
      <w:r>
        <w:rPr>
          <w:noProof/>
        </w:rPr>
        <w:t>„Italia 5G”, amely 5G kapcsolatokat biztosít a piaci hiányosságok által érintett területeken, azaz azokon a terü</w:t>
      </w:r>
      <w:r>
        <w:rPr>
          <w:noProof/>
        </w:rPr>
        <w:t>leteken, ahol a mobilhálózatokat nem építették ki; vagy csak 3G hálózatok állnak rendelkezésre, és a közeljövőben nem terveznek 4G és/vagy 5G mobilhálózatot; vagy bizonyított piaci hiányosság áll fenn;</w:t>
      </w:r>
    </w:p>
    <w:p w14:paraId="3B9A987A" w14:textId="77777777" w:rsidR="003F5418" w:rsidRDefault="002A6C25">
      <w:pPr>
        <w:pStyle w:val="ListParagraph"/>
        <w:numPr>
          <w:ilvl w:val="0"/>
          <w:numId w:val="73"/>
        </w:numPr>
        <w:spacing w:before="0" w:after="0"/>
        <w:rPr>
          <w:rFonts w:eastAsiaTheme="minorEastAsia"/>
          <w:noProof/>
        </w:rPr>
      </w:pPr>
      <w:r>
        <w:rPr>
          <w:noProof/>
        </w:rPr>
        <w:t>„Összekapcsolt iskolák”, amelyek 1 gigabit/s széles sá</w:t>
      </w:r>
      <w:r>
        <w:rPr>
          <w:noProof/>
        </w:rPr>
        <w:t>vú kapcsolatot biztosítanak az iskolaépületek számára;</w:t>
      </w:r>
    </w:p>
    <w:p w14:paraId="34D84136" w14:textId="77777777" w:rsidR="003F5418" w:rsidRDefault="002A6C25">
      <w:pPr>
        <w:pStyle w:val="ListParagraph"/>
        <w:numPr>
          <w:ilvl w:val="0"/>
          <w:numId w:val="73"/>
        </w:numPr>
        <w:spacing w:before="0" w:after="0"/>
        <w:rPr>
          <w:rFonts w:eastAsiaTheme="minorEastAsia"/>
          <w:noProof/>
        </w:rPr>
      </w:pPr>
      <w:r>
        <w:rPr>
          <w:noProof/>
        </w:rPr>
        <w:t>„Összekapcsolt egészségügyi létesítmények”, amelyek 1 gigabit/s széles sávú kapcsolatot biztosítanak a közegészségügyi létesítmények számára;</w:t>
      </w:r>
    </w:p>
    <w:p w14:paraId="674A73A1" w14:textId="77777777" w:rsidR="003F5418" w:rsidRDefault="002A6C25">
      <w:pPr>
        <w:pStyle w:val="ListParagraph"/>
        <w:numPr>
          <w:ilvl w:val="0"/>
          <w:numId w:val="73"/>
        </w:numPr>
        <w:spacing w:before="0" w:after="0"/>
        <w:rPr>
          <w:noProof/>
        </w:rPr>
      </w:pPr>
      <w:r>
        <w:rPr>
          <w:noProof/>
        </w:rPr>
        <w:t>„Összekapcsolt kisebb szigetek”, amelyek ultraszéles sávú ö</w:t>
      </w:r>
      <w:r>
        <w:rPr>
          <w:noProof/>
        </w:rPr>
        <w:t>sszeköttetést biztosítanak a kontinenssel szálas összeköttetéssel nem rendelkező kiválasztott kisebb szigetek számára.</w:t>
      </w:r>
    </w:p>
    <w:p w14:paraId="2E42DE7A" w14:textId="77777777" w:rsidR="003F5418" w:rsidRDefault="003F5418">
      <w:pPr>
        <w:pStyle w:val="ListParagraph"/>
        <w:spacing w:before="0" w:after="0"/>
        <w:rPr>
          <w:noProof/>
        </w:rPr>
      </w:pPr>
    </w:p>
    <w:p w14:paraId="565DB2E1" w14:textId="42416C4E" w:rsidR="003F5418" w:rsidRDefault="00240F92">
      <w:pPr>
        <w:pStyle w:val="P68B1DB1-Normal2"/>
        <w:spacing w:before="120" w:after="120"/>
        <w:jc w:val="both"/>
        <w:rPr>
          <w:noProof/>
        </w:rPr>
      </w:pPr>
      <w:r>
        <w:rPr>
          <w:noProof/>
        </w:rPr>
        <w:t>4. Beruházás: Műholdas tehnológia és űrgazdaság</w:t>
      </w:r>
    </w:p>
    <w:p w14:paraId="63A4434B" w14:textId="77777777" w:rsidR="003F5418" w:rsidRDefault="002A6C25">
      <w:pPr>
        <w:jc w:val="both"/>
        <w:rPr>
          <w:noProof/>
          <w:color w:val="000000" w:themeColor="text1"/>
        </w:rPr>
      </w:pPr>
      <w:r>
        <w:rPr>
          <w:noProof/>
        </w:rPr>
        <w:t xml:space="preserve">A beruházás célja a műholdas kapcsolatok fejlesztése a digitális és zöld átállásra való </w:t>
      </w:r>
      <w:r>
        <w:rPr>
          <w:noProof/>
        </w:rPr>
        <w:t>tekintettel, valamint az űrágazat fejlődéséhez való hozzájárulás. A beruházás célja az is, hogy lehetővé tegye az olyan szolgáltatásokat, mint a biztonságos kommunikációs és nyomonkövetési infrastruktúra a gazdaság különböző ágazatai számára, és ennek érde</w:t>
      </w:r>
      <w:r>
        <w:rPr>
          <w:noProof/>
        </w:rPr>
        <w:t>kében magában foglalja mind az upstream (</w:t>
      </w:r>
      <w:r>
        <w:rPr>
          <w:noProof/>
          <w:color w:val="000000" w:themeColor="text1"/>
        </w:rPr>
        <w:t xml:space="preserve">felbocsátási szolgáltatások, műholdak és infrastruktúra gyártása és üzemeltetése), mind a downstream (az engedélyezett termékek és szolgáltatások előállítása) tevékenységeket. </w:t>
      </w:r>
    </w:p>
    <w:p w14:paraId="2FB6811E" w14:textId="77777777" w:rsidR="003F5418" w:rsidRDefault="002A6C25">
      <w:pPr>
        <w:jc w:val="both"/>
        <w:rPr>
          <w:noProof/>
        </w:rPr>
      </w:pPr>
      <w:r>
        <w:rPr>
          <w:noProof/>
          <w:color w:val="000000" w:themeColor="text1"/>
        </w:rPr>
        <w:t xml:space="preserve">A beruházás </w:t>
      </w:r>
      <w:r>
        <w:rPr>
          <w:noProof/>
        </w:rPr>
        <w:t>kiterjed az ajánlatok odaí</w:t>
      </w:r>
      <w:r>
        <w:rPr>
          <w:noProof/>
        </w:rPr>
        <w:t>télésére, és négy projektet foglal magában:</w:t>
      </w:r>
    </w:p>
    <w:p w14:paraId="078432D2" w14:textId="77777777" w:rsidR="003F5418" w:rsidRDefault="002A6C25">
      <w:pPr>
        <w:pStyle w:val="ListParagraph"/>
        <w:numPr>
          <w:ilvl w:val="0"/>
          <w:numId w:val="75"/>
        </w:numPr>
        <w:spacing w:before="0" w:after="0"/>
        <w:rPr>
          <w:rFonts w:eastAsiaTheme="minorEastAsia"/>
          <w:noProof/>
        </w:rPr>
      </w:pPr>
      <w:r>
        <w:rPr>
          <w:noProof/>
        </w:rPr>
        <w:t>Satcom, amely kormányzati felhasználásra szánt, fokozottan biztonságos és innovatív műholdas kommunikációs szolgáltatások nyújtását lehetővé tévő kettős felhasználású technológiák és rendszerek fejlesztéséből áll</w:t>
      </w:r>
      <w:r>
        <w:rPr>
          <w:noProof/>
        </w:rPr>
        <w:t xml:space="preserve">; </w:t>
      </w:r>
    </w:p>
    <w:p w14:paraId="759E4A5F" w14:textId="77777777" w:rsidR="003F5418" w:rsidRDefault="002A6C25">
      <w:pPr>
        <w:pStyle w:val="ListParagraph"/>
        <w:numPr>
          <w:ilvl w:val="0"/>
          <w:numId w:val="75"/>
        </w:numPr>
        <w:spacing w:before="0" w:after="0"/>
        <w:rPr>
          <w:rFonts w:eastAsiaTheme="minorEastAsia"/>
          <w:noProof/>
        </w:rPr>
      </w:pPr>
      <w:r>
        <w:rPr>
          <w:noProof/>
        </w:rPr>
        <w:t xml:space="preserve">Föld-megfigyelés, amely a következőkből áll: i. upstream tevékenységek, ezen belül egy távérzékelő konstelláció (hiperspektrális apertúraszintézis-radar) műszaki paramétereinek meghatározása, tervezése és fejlesztése, valamint az indítások beszerzése a </w:t>
      </w:r>
      <w:r>
        <w:rPr>
          <w:noProof/>
        </w:rPr>
        <w:t xml:space="preserve">földfelszín, a tengerek és a légkör megfigyelésére összpontosítva; ii. downstream tevékenységek: a CyberItaly projekt megvalósítása, amelynek keretében elkészül az ország digitális hasonmása; </w:t>
      </w:r>
    </w:p>
    <w:p w14:paraId="54982588" w14:textId="77777777" w:rsidR="003F5418" w:rsidRDefault="002A6C25">
      <w:pPr>
        <w:pStyle w:val="ListParagraph"/>
        <w:numPr>
          <w:ilvl w:val="0"/>
          <w:numId w:val="75"/>
        </w:numPr>
        <w:spacing w:before="0" w:after="0"/>
        <w:rPr>
          <w:rFonts w:eastAsiaTheme="minorEastAsia"/>
          <w:noProof/>
        </w:rPr>
      </w:pPr>
      <w:r>
        <w:rPr>
          <w:noProof/>
        </w:rPr>
        <w:t>Űripari háttértevékenység, amely két alprojektből áll: i) Űripa</w:t>
      </w:r>
      <w:r>
        <w:rPr>
          <w:noProof/>
        </w:rPr>
        <w:t>ri üzem 4.0: kisméretű műholdak gyártására, összeszerelésére és tesztelésére szolgáló digitális létesítmények műszaki paramétereinek meghatározása, tervezése és építése, valamint egy kiberfizikai gyártási és műhold-összekapcsoló rendszer kialakítása a digi</w:t>
      </w:r>
      <w:r>
        <w:rPr>
          <w:noProof/>
        </w:rPr>
        <w:t>tális modell és a fizikai valóság közötti kétirányú kapcsolat létrehozására; hozzáférés a világűrhöz: zöld technológiák kutatása, fejlesztése és prototípusának elkészítése a helyzetbeállító hajtóművek és a hordozórakéták jövőbeli generációjához, valamint a</w:t>
      </w:r>
      <w:r>
        <w:rPr>
          <w:noProof/>
        </w:rPr>
        <w:t xml:space="preserve"> kiválasztott műszaki megoldások repülés közbeni demonstrációja;</w:t>
      </w:r>
    </w:p>
    <w:p w14:paraId="6BE4B888" w14:textId="77777777" w:rsidR="003F5418" w:rsidRDefault="002A6C25">
      <w:pPr>
        <w:pStyle w:val="ListParagraph"/>
        <w:numPr>
          <w:ilvl w:val="0"/>
          <w:numId w:val="75"/>
        </w:numPr>
        <w:spacing w:before="0" w:after="0"/>
        <w:rPr>
          <w:rFonts w:eastAsiaTheme="minorEastAsia"/>
          <w:noProof/>
        </w:rPr>
      </w:pPr>
      <w:r>
        <w:rPr>
          <w:noProof/>
        </w:rPr>
        <w:t>Orbitalapú gazdaság, amelynek keretében a következő tevékenységeket tervezik: demonstrációs jármű készítése a keringési pályán igénybe vehető, műszaki átjárhatóságot biztosító szervizjármű-te</w:t>
      </w:r>
      <w:r>
        <w:rPr>
          <w:noProof/>
        </w:rPr>
        <w:t>chnológiák számára; a nemzeti világűrfigyelő és objektum-nyomonkövető képesség növelése, ezen belül egy földi érzékelőket tartalmazó hálózat kiépítése az űrszemét figyeléséhez és mozgásának nyomon követéséhez; eszközök tervezése, fejlesztése és üzembe hely</w:t>
      </w:r>
      <w:r>
        <w:rPr>
          <w:noProof/>
        </w:rPr>
        <w:t>ezése az űrforgalom-irányítást támogató adatszolgáltatás beszerzéséhez, fenntartásához és működtetéséhez.</w:t>
      </w:r>
    </w:p>
    <w:p w14:paraId="40882959" w14:textId="77777777" w:rsidR="003F5418" w:rsidRDefault="002A6C25">
      <w:pPr>
        <w:spacing w:before="120" w:after="120"/>
        <w:jc w:val="both"/>
        <w:rPr>
          <w:noProof/>
        </w:rPr>
      </w:pPr>
      <w:r>
        <w:rPr>
          <w:noProof/>
        </w:rPr>
        <w:t>A tervek szerint a beruházásnak nem lesznek katonai és védelmi jellegű céljai és következményei.</w:t>
      </w:r>
    </w:p>
    <w:p w14:paraId="42A7238F" w14:textId="3A2DFB2B" w:rsidR="003F5418" w:rsidRDefault="00240F92">
      <w:pPr>
        <w:pStyle w:val="P68B1DB1-Normal2"/>
        <w:spacing w:before="120" w:after="120"/>
        <w:jc w:val="both"/>
        <w:rPr>
          <w:noProof/>
        </w:rPr>
      </w:pPr>
      <w:r>
        <w:rPr>
          <w:noProof/>
        </w:rPr>
        <w:t xml:space="preserve">5. Beruházás: Az ipari ellátási lánccal kapcsolatos politikák és a nemzetközivé válás </w:t>
      </w:r>
    </w:p>
    <w:p w14:paraId="210BF1D4" w14:textId="77777777" w:rsidR="003F5418" w:rsidRDefault="002A6C25">
      <w:pPr>
        <w:jc w:val="both"/>
        <w:rPr>
          <w:noProof/>
        </w:rPr>
      </w:pPr>
      <w:r>
        <w:rPr>
          <w:noProof/>
        </w:rPr>
        <w:t>A beruházás célja az ipari ellátási láncok megerősítése, különösen a finanszírozáshoz való hozzáférés megkönnyítése révén, valamint a vállalkozások (különösen a kkv-k) versenyképességének előmozdítása, különösen nemzetközi</w:t>
      </w:r>
      <w:r>
        <w:rPr>
          <w:noProof/>
        </w:rPr>
        <w:t>vé válásuk támogatása és a Covid19-válság utáni rezilienciájuk megerősítése révén.</w:t>
      </w:r>
    </w:p>
    <w:p w14:paraId="6249136D" w14:textId="77777777" w:rsidR="003F5418" w:rsidRDefault="002A6C25">
      <w:pPr>
        <w:jc w:val="both"/>
        <w:rPr>
          <w:noProof/>
        </w:rPr>
      </w:pPr>
      <w:r>
        <w:rPr>
          <w:noProof/>
        </w:rPr>
        <w:t>A beruházás két beavatkozási irányból áll:</w:t>
      </w:r>
    </w:p>
    <w:p w14:paraId="287B2C64" w14:textId="77777777" w:rsidR="003F5418" w:rsidRDefault="002A6C25">
      <w:pPr>
        <w:pStyle w:val="ListParagraph"/>
        <w:numPr>
          <w:ilvl w:val="3"/>
          <w:numId w:val="109"/>
        </w:numPr>
        <w:ind w:left="1134"/>
        <w:rPr>
          <w:rFonts w:eastAsiaTheme="minorEastAsia"/>
          <w:noProof/>
        </w:rPr>
      </w:pPr>
      <w:r>
        <w:rPr>
          <w:noProof/>
        </w:rPr>
        <w:t>A SIMEST által kezelt 394/81 alap refinanszírozása. A program egy meglévő, jelenleg a SIMEST állami ügynökség által kezelt alap re</w:t>
      </w:r>
      <w:r>
        <w:rPr>
          <w:noProof/>
        </w:rPr>
        <w:t>finanszírozásából áll, amely pénzügyi támogatást nyújt a vállalkozásoknak, különösen a kkv-knak a nemzetközivé válásuk támogatása érdekében különböző eszközök, például a külföldi piacokra való belépést célzó programok és az e-kereskedelem fejlesztése révén</w:t>
      </w:r>
      <w:r>
        <w:rPr>
          <w:noProof/>
        </w:rPr>
        <w:t xml:space="preserve">. </w:t>
      </w:r>
    </w:p>
    <w:p w14:paraId="1862D278" w14:textId="77777777" w:rsidR="003F5418" w:rsidRDefault="002A6C25">
      <w:pPr>
        <w:pStyle w:val="ListParagraph"/>
        <w:numPr>
          <w:ilvl w:val="3"/>
          <w:numId w:val="109"/>
        </w:numPr>
        <w:ind w:left="1134"/>
        <w:rPr>
          <w:rFonts w:eastAsiaTheme="minorEastAsia"/>
          <w:noProof/>
        </w:rPr>
      </w:pPr>
      <w:r>
        <w:rPr>
          <w:noProof/>
        </w:rPr>
        <w:t>Az ellátási láncok versenyképessége és rezilienciája. A támogatás a vállalkozásoknak a fejlesztési szerződés eszközén keresztül nyújtott pénzügyi támogatásból áll a kulcsfontosságú stratégiai értékláncokhoz kapcsolódó projektekhez, például az ipari fejl</w:t>
      </w:r>
      <w:r>
        <w:rPr>
          <w:noProof/>
        </w:rPr>
        <w:t xml:space="preserve">esztési programokhoz, a környezetvédelmi fejlesztési programokhoz, a fenntartható mobilitáshoz és az idegenforgalmi tevékenységekhez. </w:t>
      </w:r>
    </w:p>
    <w:p w14:paraId="22310CC7" w14:textId="77777777" w:rsidR="003F5418" w:rsidRDefault="002A6C25">
      <w:pPr>
        <w:spacing w:after="120"/>
        <w:jc w:val="both"/>
        <w:rPr>
          <w:noProof/>
        </w:rPr>
      </w:pPr>
      <w:r>
        <w:rPr>
          <w:noProof/>
        </w:rPr>
        <w:t xml:space="preserve">A fenti beavatkozásokat az (EU) 2021/241 rendelet célkitűzéseivel – többek között a jelentős károkozás elkerülését célzó </w:t>
      </w:r>
      <w:r>
        <w:rPr>
          <w:noProof/>
        </w:rPr>
        <w:t>technikai iránymutatásban (2021/C58/01) részletesebben meghatározott, a jelentős károkozás elkerülését célzó elv alkalmazásával – összhangban a beruházási politikáknak megfelelően kell végrehajtani.</w:t>
      </w:r>
    </w:p>
    <w:p w14:paraId="4EC3F733" w14:textId="77777777" w:rsidR="003F5418" w:rsidRDefault="002A6C25">
      <w:pPr>
        <w:spacing w:after="120"/>
        <w:jc w:val="both"/>
        <w:rPr>
          <w:noProof/>
        </w:rPr>
      </w:pPr>
      <w:r>
        <w:rPr>
          <w:noProof/>
        </w:rPr>
        <w:t>Annak biztosítása érdekében, hogy az intézkedés megfelelj</w:t>
      </w:r>
      <w:r>
        <w:rPr>
          <w:noProof/>
        </w:rPr>
        <w:t>en a jelentős károkozás elkerülését célzó technikai iránymutatásnak (2021/C58/01), az Olaszország és a pénzügyi eszközért felelős megbízott szervezet vagy pénzügyi közvetítő közötti jogi megállapodásnak és a pénzügyi eszköz ezt követő befektetési politikáj</w:t>
      </w:r>
      <w:r>
        <w:rPr>
          <w:noProof/>
        </w:rPr>
        <w:t xml:space="preserve">ának: </w:t>
      </w:r>
    </w:p>
    <w:p w14:paraId="4EEF2F40" w14:textId="77777777" w:rsidR="003F5418" w:rsidRDefault="002A6C25">
      <w:pPr>
        <w:pStyle w:val="ListParagraph"/>
        <w:numPr>
          <w:ilvl w:val="0"/>
          <w:numId w:val="74"/>
        </w:numPr>
        <w:spacing w:before="0" w:after="0"/>
        <w:rPr>
          <w:rFonts w:eastAsiaTheme="minorEastAsia"/>
          <w:noProof/>
        </w:rPr>
      </w:pPr>
      <w:r>
        <w:rPr>
          <w:noProof/>
        </w:rPr>
        <w:t>az InvestEU Alap fenntarthatósági vizsgálatára vonatkozó bizottsági technikai iránymutatás alkalmazásának előírása; és</w:t>
      </w:r>
    </w:p>
    <w:p w14:paraId="48F48E47" w14:textId="77777777" w:rsidR="003F5418" w:rsidRDefault="002A6C25">
      <w:pPr>
        <w:pStyle w:val="ListParagraph"/>
        <w:numPr>
          <w:ilvl w:val="0"/>
          <w:numId w:val="74"/>
        </w:numPr>
        <w:spacing w:before="0" w:after="0"/>
        <w:rPr>
          <w:rFonts w:eastAsiaTheme="minorEastAsia"/>
          <w:noProof/>
        </w:rPr>
      </w:pPr>
      <w:r>
        <w:rPr>
          <w:noProof/>
        </w:rPr>
        <w:t>a tevékenységek és eszközök alábbi listájának kizárása a támogathatóság köréből:</w:t>
      </w:r>
      <w:r>
        <w:rPr>
          <w:noProof/>
          <w:color w:val="FF0000"/>
        </w:rPr>
        <w:t xml:space="preserve"> a fosszilis tüzelőanyagokhoz kapcsolódó</w:t>
      </w:r>
      <w:r>
        <w:rPr>
          <w:noProof/>
        </w:rPr>
        <w:t>tevékenysé</w:t>
      </w:r>
      <w:r>
        <w:rPr>
          <w:noProof/>
        </w:rPr>
        <w:t>gek és eszközök, beleértve a downstream felhasználást is</w:t>
      </w:r>
      <w:r>
        <w:rPr>
          <w:noProof/>
        </w:rPr>
        <w:footnoteReference w:id="6"/>
      </w:r>
      <w:r>
        <w:rPr>
          <w:noProof/>
        </w:rPr>
        <w:t>; ii. az uniós kibocsátáskereskedelmi rendszer (ETS) keretében végzett olyan tevékenységek és eszközök, amelyek elérik a vonatkozó referenciaértékeket meg nem haladó, előre jelzett üvegházhatásúgáz-k</w:t>
      </w:r>
      <w:r>
        <w:rPr>
          <w:noProof/>
        </w:rPr>
        <w:t>ibocsátást</w:t>
      </w:r>
      <w:r>
        <w:rPr>
          <w:noProof/>
        </w:rPr>
        <w:footnoteReference w:id="7"/>
      </w:r>
      <w:r>
        <w:rPr>
          <w:noProof/>
        </w:rPr>
        <w:t>; a hulladéklerakókkal, hulladékégetőkkel és mechanikai-biológiai hulladékkezelő létesítményekkel kapcsolatos tevékenységek</w:t>
      </w:r>
      <w:r>
        <w:rPr>
          <w:noProof/>
        </w:rPr>
        <w:footnoteReference w:id="8"/>
      </w:r>
      <w:r>
        <w:rPr>
          <w:noProof/>
        </w:rPr>
        <w:t xml:space="preserve"> és eszközök</w:t>
      </w:r>
      <w:r>
        <w:rPr>
          <w:noProof/>
        </w:rPr>
        <w:footnoteReference w:id="9"/>
      </w:r>
      <w:r>
        <w:rPr>
          <w:noProof/>
        </w:rPr>
        <w:t>; valamint iv. olyan tevékenységek és eszközök, amelyek esetében a hosszú távú hulladékártalmatlanítás káros</w:t>
      </w:r>
      <w:r>
        <w:rPr>
          <w:noProof/>
        </w:rPr>
        <w:t>íthatja a környezetet; és</w:t>
      </w:r>
    </w:p>
    <w:p w14:paraId="69032670" w14:textId="77777777" w:rsidR="003F5418" w:rsidRDefault="002A6C25">
      <w:pPr>
        <w:pStyle w:val="ListParagraph"/>
        <w:numPr>
          <w:ilvl w:val="0"/>
          <w:numId w:val="74"/>
        </w:numPr>
        <w:spacing w:before="0" w:after="0"/>
        <w:rPr>
          <w:rFonts w:eastAsiaTheme="minorEastAsia"/>
          <w:noProof/>
        </w:rPr>
      </w:pPr>
      <w:r>
        <w:rPr>
          <w:noProof/>
        </w:rPr>
        <w:t>annak előírása, hogy a megbízott szervezet vagy a pénzügyi közvetítő ellenőrizze, hogy a projektek megfelelnek-e a vonatkozó uniós és nemzeti környezetvédelmi jogszabályoknak, valamennyi ügylet esetében, beleértve a fenntarthatósá</w:t>
      </w:r>
      <w:r>
        <w:rPr>
          <w:noProof/>
        </w:rPr>
        <w:t>gi vizsgálat alól mentesített ügyleteket is.</w:t>
      </w:r>
    </w:p>
    <w:p w14:paraId="38E67F10" w14:textId="77777777" w:rsidR="003F5418" w:rsidRDefault="003F5418">
      <w:pPr>
        <w:rPr>
          <w:b/>
          <w:noProof/>
          <w:u w:val="single"/>
        </w:rPr>
      </w:pPr>
    </w:p>
    <w:p w14:paraId="7DA5639F" w14:textId="303ABA37" w:rsidR="003F5418" w:rsidRDefault="00240F92">
      <w:pPr>
        <w:pStyle w:val="P68B1DB1-Normal10"/>
        <w:rPr>
          <w:noProof/>
        </w:rPr>
      </w:pPr>
      <w:r>
        <w:rPr>
          <w:noProof/>
        </w:rPr>
        <w:t>7. Beruházás. Az ökológiai átálláshoz, a nettó zéró technológiákhoz, valamint a stratégiai ellátási láncok versenyképességéhez és rezilienciájához szükséges termelési rendszer támogatása:</w:t>
      </w:r>
    </w:p>
    <w:p w14:paraId="4CEBD0A8" w14:textId="77777777" w:rsidR="003F5418" w:rsidRDefault="002A6C25">
      <w:pPr>
        <w:spacing w:before="120" w:after="120"/>
        <w:jc w:val="both"/>
        <w:rPr>
          <w:noProof/>
        </w:rPr>
      </w:pPr>
      <w:r>
        <w:rPr>
          <w:noProof/>
        </w:rPr>
        <w:t>Ez az intézkedés két r</w:t>
      </w:r>
      <w:r>
        <w:rPr>
          <w:noProof/>
        </w:rPr>
        <w:t>észberuházásból áll.</w:t>
      </w:r>
    </w:p>
    <w:p w14:paraId="0DB0ADA7" w14:textId="63319326" w:rsidR="003F5418" w:rsidRDefault="00240F92">
      <w:pPr>
        <w:pStyle w:val="P68B1DB1-Normal2"/>
        <w:spacing w:before="120" w:after="120"/>
        <w:jc w:val="both"/>
        <w:rPr>
          <w:noProof/>
        </w:rPr>
      </w:pPr>
      <w:r>
        <w:rPr>
          <w:noProof/>
        </w:rPr>
        <w:t>1. Részberuházás:</w:t>
      </w:r>
    </w:p>
    <w:p w14:paraId="4E02935E" w14:textId="77777777" w:rsidR="003F5418" w:rsidRDefault="002A6C25">
      <w:pPr>
        <w:spacing w:after="120"/>
        <w:jc w:val="both"/>
        <w:rPr>
          <w:rFonts w:eastAsia="Calibri"/>
          <w:noProof/>
        </w:rPr>
      </w:pPr>
      <w:r>
        <w:rPr>
          <w:noProof/>
        </w:rPr>
        <w:t>Ez a részberuházás a „Net Zero Technologies” elnevezésű eszközbe történő állami beruházásból áll, amelynek célja a magánberuházások ösztönzése és a finanszírozáshoz való hozzáférés javítása az energiahatékonyság, a sa</w:t>
      </w:r>
      <w:r>
        <w:rPr>
          <w:noProof/>
        </w:rPr>
        <w:t xml:space="preserve">ját fogyasztás céljából történő megújulóenergia-termelés és a termelési folyamat fenntartható átalakítása terén. </w:t>
      </w:r>
    </w:p>
    <w:p w14:paraId="53DC63B9" w14:textId="77777777" w:rsidR="003F5418" w:rsidRDefault="002A6C25">
      <w:pPr>
        <w:spacing w:after="120"/>
        <w:jc w:val="both"/>
        <w:rPr>
          <w:noProof/>
        </w:rPr>
      </w:pPr>
      <w:r>
        <w:rPr>
          <w:noProof/>
        </w:rPr>
        <w:t>A beruházás a következőket támogatja:</w:t>
      </w:r>
    </w:p>
    <w:p w14:paraId="48EAA399" w14:textId="77777777" w:rsidR="003F5418" w:rsidRDefault="002A6C25">
      <w:pPr>
        <w:pStyle w:val="ListParagraph"/>
        <w:numPr>
          <w:ilvl w:val="0"/>
          <w:numId w:val="138"/>
        </w:numPr>
        <w:spacing w:before="0"/>
        <w:contextualSpacing w:val="0"/>
        <w:rPr>
          <w:noProof/>
        </w:rPr>
      </w:pPr>
      <w:r>
        <w:rPr>
          <w:noProof/>
        </w:rPr>
        <w:t>a nemzeti termelési rendszer ökológiai átállása különböző szinteken az ökológiai átállás szempontjából releváns eszközök (például akkumulátorok, napelemek, szélturbinák, hőszivattyúk, elektrolizátorok és szén-dioxid-leválasztásra és -tárolásra szolgáló esz</w:t>
      </w:r>
      <w:r>
        <w:rPr>
          <w:noProof/>
        </w:rPr>
        <w:t xml:space="preserve">közök) termelési láncainak megerősítésére irányuló beruházások támogatásával,  </w:t>
      </w:r>
    </w:p>
    <w:p w14:paraId="6C92F3EE" w14:textId="77777777" w:rsidR="003F5418" w:rsidRDefault="002A6C25">
      <w:pPr>
        <w:pStyle w:val="ListParagraph"/>
        <w:numPr>
          <w:ilvl w:val="0"/>
          <w:numId w:val="138"/>
        </w:numPr>
        <w:spacing w:before="0"/>
        <w:contextualSpacing w:val="0"/>
        <w:rPr>
          <w:noProof/>
        </w:rPr>
      </w:pPr>
      <w:r>
        <w:rPr>
          <w:noProof/>
        </w:rPr>
        <w:t>a termelési folyamatok energiahatékonysága (a megújuló energiaforrásokból előállított villamos energia saját termelése révén is, a biomassza kivételével),</w:t>
      </w:r>
    </w:p>
    <w:p w14:paraId="5CA4D903" w14:textId="77777777" w:rsidR="003F5418" w:rsidRDefault="002A6C25">
      <w:pPr>
        <w:pStyle w:val="ListParagraph"/>
        <w:numPr>
          <w:ilvl w:val="0"/>
          <w:numId w:val="138"/>
        </w:numPr>
        <w:spacing w:before="0"/>
        <w:contextualSpacing w:val="0"/>
        <w:rPr>
          <w:noProof/>
        </w:rPr>
      </w:pPr>
      <w:r>
        <w:rPr>
          <w:noProof/>
        </w:rPr>
        <w:t>a termelési folyamato</w:t>
      </w:r>
      <w:r>
        <w:rPr>
          <w:noProof/>
        </w:rPr>
        <w:t>k fenntarthatósága, tekintettel a körforgásos gazdaságra és az erőforrások hatékonyabb felhasználására is.</w:t>
      </w:r>
    </w:p>
    <w:p w14:paraId="3B262321" w14:textId="77777777" w:rsidR="003F5418" w:rsidRDefault="002A6C25">
      <w:pPr>
        <w:spacing w:after="120"/>
        <w:jc w:val="both"/>
        <w:rPr>
          <w:noProof/>
        </w:rPr>
      </w:pPr>
      <w:r>
        <w:rPr>
          <w:noProof/>
        </w:rPr>
        <w:t>Az eszköz úgy működik, hogy közvetlenül a magánszektornak nyújt vissza nem térítendő támogatásokat, támogatott kölcsönöket és kamattámogatásokat. A H</w:t>
      </w:r>
      <w:r>
        <w:rPr>
          <w:noProof/>
        </w:rPr>
        <w:t>elyreállítási és Rezilienciaépítési Eszköz beruházásai alapján az eszköz célja kezdetben legalább 3600000000</w:t>
      </w:r>
      <w:r>
        <w:rPr>
          <w:noProof/>
          <w:color w:val="006100"/>
          <w:sz w:val="20"/>
        </w:rPr>
        <w:t xml:space="preserve"> </w:t>
      </w:r>
      <w:r>
        <w:rPr>
          <w:noProof/>
        </w:rPr>
        <w:t>EUR</w:t>
      </w:r>
      <w:r>
        <w:rPr>
          <w:noProof/>
          <w:color w:val="006100"/>
          <w:sz w:val="20"/>
        </w:rPr>
        <w:t xml:space="preserve">  </w:t>
      </w:r>
      <w:r>
        <w:rPr>
          <w:noProof/>
        </w:rPr>
        <w:t>összegű finanszírozás biztosítása.</w:t>
      </w:r>
    </w:p>
    <w:p w14:paraId="411E7710" w14:textId="77777777" w:rsidR="003F5418" w:rsidRDefault="002A6C25">
      <w:pPr>
        <w:spacing w:after="120"/>
        <w:jc w:val="both"/>
        <w:rPr>
          <w:noProof/>
        </w:rPr>
      </w:pPr>
      <w:r>
        <w:rPr>
          <w:noProof/>
        </w:rPr>
        <w:t xml:space="preserve">Az eszközt végrehajtó partnerként az Invitalia S.p.A. kezeli. Az eszköz a következő pénzügyi eszközöket </w:t>
      </w:r>
      <w:r>
        <w:rPr>
          <w:noProof/>
        </w:rPr>
        <w:t>foglalja magában:</w:t>
      </w:r>
    </w:p>
    <w:p w14:paraId="48CA84FE" w14:textId="22AA7650" w:rsidR="003F5418" w:rsidRDefault="002A6C25">
      <w:pPr>
        <w:pStyle w:val="ListParagraph"/>
        <w:numPr>
          <w:ilvl w:val="0"/>
          <w:numId w:val="108"/>
        </w:numPr>
        <w:spacing w:before="0"/>
        <w:contextualSpacing w:val="0"/>
        <w:rPr>
          <w:noProof/>
        </w:rPr>
      </w:pPr>
      <w:r>
        <w:rPr>
          <w:noProof/>
        </w:rPr>
        <w:t>Fejlesztési szerződés, amely vissza nem térítendő támogatások, kamattámogatások és támogatott hitelek révén támogatja a 20 000 000 EUR-t meghaladó nettó zéró technológiai projekteket.</w:t>
      </w:r>
    </w:p>
    <w:p w14:paraId="1C5CD87F" w14:textId="20AF1F92" w:rsidR="003F5418" w:rsidRDefault="002A6C25">
      <w:pPr>
        <w:pStyle w:val="ListParagraph"/>
        <w:numPr>
          <w:ilvl w:val="0"/>
          <w:numId w:val="108"/>
        </w:numPr>
        <w:spacing w:before="0"/>
        <w:contextualSpacing w:val="0"/>
        <w:rPr>
          <w:noProof/>
        </w:rPr>
      </w:pPr>
      <w:r>
        <w:rPr>
          <w:noProof/>
        </w:rPr>
        <w:t>Ipari Átalakítási Alap, amely vissza nem térítendő tám</w:t>
      </w:r>
      <w:r>
        <w:rPr>
          <w:noProof/>
        </w:rPr>
        <w:t>ogatások, kamattámogatások és támogatott kölcsönök révén 3 000 000 EUR és 20 000 000 EUR közötti összegű projekteket támogat.</w:t>
      </w:r>
    </w:p>
    <w:p w14:paraId="30EA39E8" w14:textId="77777777" w:rsidR="003F5418" w:rsidRDefault="002A6C25">
      <w:pPr>
        <w:spacing w:after="120"/>
        <w:jc w:val="both"/>
        <w:rPr>
          <w:noProof/>
        </w:rPr>
      </w:pPr>
      <w:r>
        <w:rPr>
          <w:noProof/>
        </w:rPr>
        <w:t>Az eszközbe történő beruházás végrehajtása érdekében Olaszország és az Invitalia S.p.A. végrehajtási megállapodást ír alá, amely a</w:t>
      </w:r>
      <w:r>
        <w:rPr>
          <w:noProof/>
        </w:rPr>
        <w:t xml:space="preserve"> következő tartalmat tartalmazza:</w:t>
      </w:r>
    </w:p>
    <w:p w14:paraId="24BC54D8" w14:textId="77777777" w:rsidR="003F5418" w:rsidRDefault="002A6C25">
      <w:pPr>
        <w:pStyle w:val="ListParagraph"/>
        <w:numPr>
          <w:ilvl w:val="3"/>
          <w:numId w:val="27"/>
        </w:numPr>
        <w:spacing w:before="0"/>
        <w:ind w:left="709"/>
        <w:contextualSpacing w:val="0"/>
        <w:rPr>
          <w:noProof/>
        </w:rPr>
      </w:pPr>
      <w:r>
        <w:rPr>
          <w:noProof/>
        </w:rPr>
        <w:t>Az eszköz döntéshozatali folyamatának leírása: A Békekeret végleges beruházási és odaítélési határozatait beruházási bizottság vagy más, azzal egyenértékű irányító testület hozza meg, és a kormánytól független tagok szavaz</w:t>
      </w:r>
      <w:r>
        <w:rPr>
          <w:noProof/>
        </w:rPr>
        <w:t>atainak többségével hagyja jóvá.</w:t>
      </w:r>
    </w:p>
    <w:p w14:paraId="680FBAF5" w14:textId="77777777" w:rsidR="003F5418" w:rsidRDefault="002A6C25">
      <w:pPr>
        <w:pStyle w:val="ListParagraph"/>
        <w:numPr>
          <w:ilvl w:val="3"/>
          <w:numId w:val="27"/>
        </w:numPr>
        <w:spacing w:before="0"/>
        <w:ind w:left="709"/>
        <w:contextualSpacing w:val="0"/>
        <w:rPr>
          <w:noProof/>
        </w:rPr>
      </w:pPr>
      <w:r>
        <w:rPr>
          <w:noProof/>
        </w:rPr>
        <w:t>A kapcsolódó beruházási politika fő követelményei, amelyek a következőket foglalják magukban:</w:t>
      </w:r>
    </w:p>
    <w:p w14:paraId="3E8436B3" w14:textId="77777777" w:rsidR="003F5418" w:rsidRDefault="002A6C25">
      <w:pPr>
        <w:pStyle w:val="ListParagraph"/>
        <w:numPr>
          <w:ilvl w:val="4"/>
          <w:numId w:val="27"/>
        </w:numPr>
        <w:spacing w:before="0"/>
        <w:ind w:left="1276"/>
        <w:contextualSpacing w:val="0"/>
        <w:rPr>
          <w:noProof/>
        </w:rPr>
      </w:pPr>
      <w:r>
        <w:rPr>
          <w:noProof/>
        </w:rPr>
        <w:t xml:space="preserve">A pénzügyi termékek és a támogatható végső kedvezményezettek leírása. </w:t>
      </w:r>
    </w:p>
    <w:p w14:paraId="713347DE" w14:textId="77777777" w:rsidR="003F5418" w:rsidRDefault="002A6C25">
      <w:pPr>
        <w:pStyle w:val="ListParagraph"/>
        <w:numPr>
          <w:ilvl w:val="4"/>
          <w:numId w:val="27"/>
        </w:numPr>
        <w:spacing w:before="0"/>
        <w:ind w:left="1276"/>
        <w:contextualSpacing w:val="0"/>
        <w:rPr>
          <w:noProof/>
        </w:rPr>
      </w:pPr>
      <w:r>
        <w:rPr>
          <w:noProof/>
        </w:rPr>
        <w:t>Az a követelmény, hogy minden támogatott beruházás gazdasá</w:t>
      </w:r>
      <w:r>
        <w:rPr>
          <w:noProof/>
        </w:rPr>
        <w:t xml:space="preserve">gilag életképes legyen. </w:t>
      </w:r>
    </w:p>
    <w:p w14:paraId="5758FD7E" w14:textId="77777777" w:rsidR="003F5418" w:rsidRDefault="002A6C25">
      <w:pPr>
        <w:pStyle w:val="ListParagraph"/>
        <w:numPr>
          <w:ilvl w:val="4"/>
          <w:numId w:val="27"/>
        </w:numPr>
        <w:spacing w:before="0"/>
        <w:ind w:left="1276"/>
        <w:contextualSpacing w:val="0"/>
        <w:rPr>
          <w:noProof/>
        </w:rPr>
      </w:pPr>
      <w:r>
        <w:rPr>
          <w:noProof/>
        </w:rPr>
        <w:t xml:space="preserve">A jelentős károkozás elkerülését célzó elvnek való megfelelés követelménye a DNSH technikai iránymutatásban (2021/C58/01) meghatározottak szerint. A beruházási politikának különösen a tevékenységek és eszközök alábbi listáját kell </w:t>
      </w:r>
      <w:r>
        <w:rPr>
          <w:noProof/>
        </w:rPr>
        <w:t>kizárnia a támogathatóság köréből: i. a fosszilis tüzelőanyagokhoz kapcsolódó tevékenységek és eszközök, beleértve a downstream felhasználást is, ii. az uniós kibocsátáskereskedelmi rendszer</w:t>
      </w:r>
      <w:r>
        <w:rPr>
          <w:rStyle w:val="FootnoteReference"/>
          <w:noProof/>
        </w:rPr>
        <w:footnoteReference w:id="10"/>
      </w:r>
      <w:r>
        <w:rPr>
          <w:noProof/>
        </w:rPr>
        <w:t xml:space="preserve">(ETS) keretébe tartozó tevékenységek és eszközök, amelyek elérik </w:t>
      </w:r>
      <w:r>
        <w:rPr>
          <w:noProof/>
        </w:rPr>
        <w:t>a vonatkozó referenciaértékeket meg nem haladó, előre jelzett üvegházhatásúgáz-kibocsátást, iii. a hulladéklerakókhoz, égetőművekhez és mechanikai-biológiai hulladékkezelő létesítményekhez kapcsolódó</w:t>
      </w:r>
      <w:r>
        <w:rPr>
          <w:rStyle w:val="FootnoteReference"/>
          <w:noProof/>
        </w:rPr>
        <w:footnoteReference w:id="11"/>
      </w:r>
      <w:r>
        <w:rPr>
          <w:noProof/>
        </w:rPr>
        <w:t>tevékenységek</w:t>
      </w:r>
      <w:r>
        <w:rPr>
          <w:rStyle w:val="FootnoteReference"/>
          <w:noProof/>
        </w:rPr>
        <w:footnoteReference w:id="12"/>
      </w:r>
      <w:r>
        <w:rPr>
          <w:noProof/>
        </w:rPr>
        <w:t xml:space="preserve"> és eszközök</w:t>
      </w:r>
      <w:r>
        <w:rPr>
          <w:rStyle w:val="FootnoteReference"/>
          <w:noProof/>
        </w:rPr>
        <w:footnoteReference w:id="13"/>
      </w:r>
      <w:r>
        <w:rPr>
          <w:noProof/>
        </w:rPr>
        <w:t xml:space="preserve">. </w:t>
      </w:r>
    </w:p>
    <w:p w14:paraId="0C01AFB5" w14:textId="77777777" w:rsidR="003F5418" w:rsidRDefault="002A6C25">
      <w:pPr>
        <w:pStyle w:val="ListParagraph"/>
        <w:numPr>
          <w:ilvl w:val="4"/>
          <w:numId w:val="27"/>
        </w:numPr>
        <w:spacing w:before="0"/>
        <w:ind w:left="1276"/>
        <w:contextualSpacing w:val="0"/>
        <w:rPr>
          <w:noProof/>
        </w:rPr>
      </w:pPr>
      <w:r>
        <w:rPr>
          <w:noProof/>
        </w:rPr>
        <w:t xml:space="preserve">Az a követelmény, hogy az </w:t>
      </w:r>
      <w:r>
        <w:rPr>
          <w:noProof/>
        </w:rPr>
        <w:t>eszköz végső kedvezményezettjei nem részesülhetnek támogatásban más uniós eszközökből ugyanazon költségek fedezésére.</w:t>
      </w:r>
    </w:p>
    <w:p w14:paraId="37BE5991" w14:textId="77777777" w:rsidR="003F5418" w:rsidRDefault="002A6C25">
      <w:pPr>
        <w:pStyle w:val="ListParagraph"/>
        <w:numPr>
          <w:ilvl w:val="3"/>
          <w:numId w:val="27"/>
        </w:numPr>
        <w:spacing w:before="0"/>
        <w:ind w:left="709"/>
        <w:contextualSpacing w:val="0"/>
        <w:rPr>
          <w:noProof/>
        </w:rPr>
      </w:pPr>
      <w:r>
        <w:rPr>
          <w:noProof/>
        </w:rPr>
        <w:t>A végrehajtási megállapodás hatálya alá tartozó összeg, a végrehajtó partner díjstruktúrája, valamint az eszköz beruházási politikájának m</w:t>
      </w:r>
      <w:r>
        <w:rPr>
          <w:noProof/>
        </w:rPr>
        <w:t>egfelelően a visszafolyó bevételek újbóli befektetésére vonatkozó követelmény.</w:t>
      </w:r>
    </w:p>
    <w:p w14:paraId="1C7EECF7" w14:textId="77777777" w:rsidR="003F5418" w:rsidRDefault="002A6C25">
      <w:pPr>
        <w:pStyle w:val="ListParagraph"/>
        <w:numPr>
          <w:ilvl w:val="3"/>
          <w:numId w:val="27"/>
        </w:numPr>
        <w:spacing w:before="0"/>
        <w:ind w:left="709"/>
        <w:contextualSpacing w:val="0"/>
        <w:rPr>
          <w:noProof/>
        </w:rPr>
      </w:pPr>
      <w:r>
        <w:rPr>
          <w:noProof/>
        </w:rPr>
        <w:t>Nyomonkövetési, ellenőrzési és kontrollkövetelmények, beleértve a következőket:</w:t>
      </w:r>
      <w:bookmarkStart w:id="7" w:name="_Hlk139218377"/>
    </w:p>
    <w:p w14:paraId="4C5578AD" w14:textId="77777777" w:rsidR="003F5418" w:rsidRDefault="002A6C25">
      <w:pPr>
        <w:pStyle w:val="ListParagraph"/>
        <w:numPr>
          <w:ilvl w:val="4"/>
          <w:numId w:val="27"/>
        </w:numPr>
        <w:spacing w:before="0"/>
        <w:ind w:left="1276"/>
        <w:contextualSpacing w:val="0"/>
        <w:rPr>
          <w:noProof/>
        </w:rPr>
      </w:pPr>
      <w:r>
        <w:rPr>
          <w:noProof/>
        </w:rPr>
        <w:t>A végrehajtó partner által a mozgósított beruházásról való jelentéstételhez használt monitoringre</w:t>
      </w:r>
      <w:r>
        <w:rPr>
          <w:noProof/>
        </w:rPr>
        <w:t>ndszer leírása.</w:t>
      </w:r>
    </w:p>
    <w:p w14:paraId="0603607D" w14:textId="77777777" w:rsidR="003F5418" w:rsidRDefault="002A6C25">
      <w:pPr>
        <w:pStyle w:val="ListParagraph"/>
        <w:numPr>
          <w:ilvl w:val="4"/>
          <w:numId w:val="27"/>
        </w:numPr>
        <w:spacing w:before="0"/>
        <w:ind w:left="1276"/>
        <w:contextualSpacing w:val="0"/>
        <w:rPr>
          <w:noProof/>
        </w:rPr>
      </w:pPr>
      <w:r>
        <w:rPr>
          <w:noProof/>
        </w:rPr>
        <w:t xml:space="preserve">A végrehajtó partner azon eljárásainak leírása, amelyek biztosítják a csalás, a korrupció és az összeférhetetlenség megelőzését, felderítését és korrekcióját. </w:t>
      </w:r>
    </w:p>
    <w:p w14:paraId="4A995481" w14:textId="77777777" w:rsidR="003F5418" w:rsidRDefault="002A6C25">
      <w:pPr>
        <w:pStyle w:val="ListParagraph"/>
        <w:numPr>
          <w:ilvl w:val="4"/>
          <w:numId w:val="27"/>
        </w:numPr>
        <w:spacing w:before="0"/>
        <w:ind w:left="1276"/>
        <w:contextualSpacing w:val="0"/>
        <w:rPr>
          <w:noProof/>
        </w:rPr>
      </w:pPr>
      <w:r>
        <w:rPr>
          <w:noProof/>
        </w:rPr>
        <w:t>Az egyes műveletek támogathatóságának a végrehajtási megállapodásban meghatározo</w:t>
      </w:r>
      <w:r>
        <w:rPr>
          <w:noProof/>
        </w:rPr>
        <w:t>tt követelményekkel összhangban történő, az egyes műveletek finanszírozására való kötelezettségvállalást megelőző ellenőrzésére vonatkozó kötelezettség.</w:t>
      </w:r>
      <w:bookmarkEnd w:id="7"/>
    </w:p>
    <w:p w14:paraId="774BC26F" w14:textId="77777777" w:rsidR="003F5418" w:rsidRDefault="002A6C25">
      <w:pPr>
        <w:pStyle w:val="ListParagraph"/>
        <w:numPr>
          <w:ilvl w:val="4"/>
          <w:numId w:val="27"/>
        </w:numPr>
        <w:spacing w:before="0"/>
        <w:ind w:left="1276"/>
        <w:contextualSpacing w:val="0"/>
        <w:rPr>
          <w:noProof/>
        </w:rPr>
      </w:pPr>
      <w:r>
        <w:rPr>
          <w:noProof/>
        </w:rPr>
        <w:t>A kockázatalapú utólagos ellenőrzéseknek az Invitalia S.p.A. ellenőrzési tervével összhangban történő e</w:t>
      </w:r>
      <w:r>
        <w:rPr>
          <w:noProof/>
        </w:rPr>
        <w:t>lvégzésére vonatkozó kötelezettség. Ezek az ellenőrzések a következőket ellenőrzik:</w:t>
      </w:r>
    </w:p>
    <w:p w14:paraId="306F19E8" w14:textId="77777777" w:rsidR="003F5418" w:rsidRDefault="002A6C25">
      <w:pPr>
        <w:pStyle w:val="ListParagraph"/>
        <w:numPr>
          <w:ilvl w:val="5"/>
          <w:numId w:val="27"/>
        </w:numPr>
        <w:spacing w:before="0"/>
        <w:ind w:left="1985"/>
        <w:contextualSpacing w:val="0"/>
        <w:rPr>
          <w:noProof/>
        </w:rPr>
      </w:pPr>
      <w:r>
        <w:rPr>
          <w:noProof/>
        </w:rPr>
        <w:t>az ellenőrzési rendszerek hatékonyak-e, beleértve a csalás, a korrupció és az összeférhetetlenség felderítését;</w:t>
      </w:r>
    </w:p>
    <w:p w14:paraId="31419D3E" w14:textId="77777777" w:rsidR="003F5418" w:rsidRDefault="002A6C25">
      <w:pPr>
        <w:pStyle w:val="ListParagraph"/>
        <w:numPr>
          <w:ilvl w:val="5"/>
          <w:numId w:val="27"/>
        </w:numPr>
        <w:spacing w:before="0"/>
        <w:ind w:left="1985"/>
        <w:contextualSpacing w:val="0"/>
        <w:rPr>
          <w:noProof/>
        </w:rPr>
      </w:pPr>
      <w:r>
        <w:rPr>
          <w:noProof/>
        </w:rPr>
        <w:t xml:space="preserve">a DNSH-elvnek, az állami támogatásokra vonatkozó szabályoknak és az éghajlat-politikai célok követelményeinek való megfelelés; és </w:t>
      </w:r>
    </w:p>
    <w:p w14:paraId="3D3A23B2" w14:textId="77777777" w:rsidR="003F5418" w:rsidRDefault="002A6C25">
      <w:pPr>
        <w:pStyle w:val="ListParagraph"/>
        <w:numPr>
          <w:ilvl w:val="5"/>
          <w:numId w:val="27"/>
        </w:numPr>
        <w:spacing w:before="0"/>
        <w:ind w:left="1985"/>
        <w:contextualSpacing w:val="0"/>
        <w:rPr>
          <w:noProof/>
        </w:rPr>
      </w:pPr>
      <w:r>
        <w:rPr>
          <w:noProof/>
        </w:rPr>
        <w:t>tiszteletben tartják azt a követelményt, hogy az eszköz végső kedvezményezettjei nem részesültek támogatásban más uniós eszkö</w:t>
      </w:r>
      <w:r>
        <w:rPr>
          <w:noProof/>
        </w:rPr>
        <w:t xml:space="preserve">zökből ugyanazon költségek fedezésére. Az ellenőrzések azt is ellenőrzik, hogy az ügyletek jogszerűek-e, és hogy betartják-e az alkalmazandó végrehajtási megállapodás feltételeit. </w:t>
      </w:r>
    </w:p>
    <w:p w14:paraId="7A784B23" w14:textId="5D95D3CF" w:rsidR="003F5418" w:rsidRDefault="002A6C25">
      <w:pPr>
        <w:spacing w:before="120" w:after="120"/>
        <w:jc w:val="both"/>
        <w:rPr>
          <w:noProof/>
        </w:rPr>
      </w:pPr>
      <w:r>
        <w:rPr>
          <w:noProof/>
        </w:rPr>
        <w:t>5. A végrehajtó partner által végrehajtott éghajlat-politikai beruházásokra</w:t>
      </w:r>
      <w:r>
        <w:rPr>
          <w:noProof/>
        </w:rPr>
        <w:t xml:space="preserve"> vonatkozó követelmények: a Helyreállítási és Rezilienciaépítési Eszközbe történő beruházásból legalább 1 430 000 000 EUR-nak a Helyreállítási és Rezilienciaépítési Eszközről szóló rendelet VI. mellékletével összhangban hozzá kell járulnia az éghajlatválto</w:t>
      </w:r>
      <w:r>
        <w:rPr>
          <w:noProof/>
        </w:rPr>
        <w:t>zással kapcsolatos célkitűzésekhez.</w:t>
      </w:r>
      <w:r>
        <w:rPr>
          <w:rStyle w:val="FootnoteReference"/>
          <w:noProof/>
        </w:rPr>
        <w:footnoteReference w:id="14"/>
      </w:r>
    </w:p>
    <w:p w14:paraId="73E777FF" w14:textId="7FE6F364" w:rsidR="003F5418" w:rsidRDefault="00240F92">
      <w:pPr>
        <w:pStyle w:val="P68B1DB1-Normal2"/>
        <w:spacing w:before="120" w:after="120"/>
        <w:jc w:val="both"/>
        <w:rPr>
          <w:noProof/>
        </w:rPr>
      </w:pPr>
      <w:r>
        <w:rPr>
          <w:noProof/>
        </w:rPr>
        <w:t>2. Részberuházás:</w:t>
      </w:r>
    </w:p>
    <w:p w14:paraId="11F35C43" w14:textId="77777777" w:rsidR="003F5418" w:rsidRDefault="002A6C25">
      <w:pPr>
        <w:spacing w:after="120"/>
        <w:jc w:val="both"/>
        <w:rPr>
          <w:noProof/>
        </w:rPr>
      </w:pPr>
      <w:r>
        <w:rPr>
          <w:noProof/>
        </w:rPr>
        <w:t xml:space="preserve">Ez a részberuházás a „Versenyképesség és a stratégiai ellátási láncok rezilienciája” elnevezésű eszközbe történő közberuházásból áll, amelynek célja a magánberuházások ösztönzése és a finanszírozáshoz </w:t>
      </w:r>
      <w:r>
        <w:rPr>
          <w:noProof/>
        </w:rPr>
        <w:t>való hozzáférés javítása az ipari ellátási láncok megerősítése érdekében.</w:t>
      </w:r>
    </w:p>
    <w:p w14:paraId="40273C19" w14:textId="77777777" w:rsidR="003F5418" w:rsidRDefault="002A6C25">
      <w:pPr>
        <w:spacing w:after="120"/>
        <w:jc w:val="both"/>
        <w:rPr>
          <w:noProof/>
        </w:rPr>
      </w:pPr>
      <w:r>
        <w:rPr>
          <w:noProof/>
        </w:rPr>
        <w:t>A beruházásnak a kulcsfontosságú stratégiai értékláncokhoz, például az ipari fejlesztési programokhoz és a környezetvédelmi fejlesztési programokhoz kapcsolódó projekteket kell támog</w:t>
      </w:r>
      <w:r>
        <w:rPr>
          <w:noProof/>
        </w:rPr>
        <w:t>atnia.</w:t>
      </w:r>
    </w:p>
    <w:p w14:paraId="3C39690B" w14:textId="46743D4C" w:rsidR="003F5418" w:rsidRDefault="002A6C25">
      <w:pPr>
        <w:spacing w:after="120"/>
        <w:jc w:val="both"/>
        <w:rPr>
          <w:noProof/>
        </w:rPr>
      </w:pPr>
      <w:r>
        <w:rPr>
          <w:noProof/>
        </w:rPr>
        <w:t>Az eszköz úgy működik, hogy közvetlenül a magánszektornak nyújt vissza nem térítendő támogatásokat, támogatott kölcsönöket és kamattámogatásokat. A Helyreállítási és Rezilienciaépítési Eszköz beruházásai alapján az eszköz célja legalább 700 000 000 </w:t>
      </w:r>
      <w:r>
        <w:rPr>
          <w:noProof/>
        </w:rPr>
        <w:t xml:space="preserve">EUR összegű finanszírozás aktiválása. </w:t>
      </w:r>
    </w:p>
    <w:p w14:paraId="017F9C4C" w14:textId="77777777" w:rsidR="003F5418" w:rsidRDefault="002A6C25">
      <w:pPr>
        <w:spacing w:after="120"/>
        <w:jc w:val="both"/>
        <w:rPr>
          <w:noProof/>
        </w:rPr>
      </w:pPr>
      <w:r>
        <w:rPr>
          <w:noProof/>
        </w:rPr>
        <w:t xml:space="preserve">Az eszközt végrehajtó partnerként az Invitalia S.p.A. kezeli. </w:t>
      </w:r>
    </w:p>
    <w:p w14:paraId="179BC629" w14:textId="77777777" w:rsidR="003F5418" w:rsidRDefault="002A6C25">
      <w:pPr>
        <w:spacing w:after="120"/>
        <w:jc w:val="both"/>
        <w:rPr>
          <w:noProof/>
        </w:rPr>
      </w:pPr>
      <w:r>
        <w:rPr>
          <w:noProof/>
        </w:rPr>
        <w:t>Az eszközbe történő beruházás végrehajtása érdekében Olaszország és Invitalia végrehajtási megállapodást ír alá, amely a következő tartalmat tartalmazza:</w:t>
      </w:r>
    </w:p>
    <w:p w14:paraId="4E0DCF5D" w14:textId="77777777" w:rsidR="003F5418" w:rsidRDefault="002A6C25">
      <w:pPr>
        <w:pStyle w:val="ListParagraph"/>
        <w:numPr>
          <w:ilvl w:val="0"/>
          <w:numId w:val="130"/>
        </w:numPr>
        <w:spacing w:before="0"/>
        <w:contextualSpacing w:val="0"/>
        <w:rPr>
          <w:noProof/>
        </w:rPr>
      </w:pPr>
      <w:r>
        <w:rPr>
          <w:noProof/>
        </w:rPr>
        <w:t>Az eszköz döntéshozatali folyamatának leírása: A Békekeret végleges beruházási és odaítélési határozatait beruházási bizottság vagy más, azzal egyenértékű irányító testület hozza meg, és a kormánytól független tagok szavazatainak többségével hagyja jóvá.</w:t>
      </w:r>
    </w:p>
    <w:p w14:paraId="02D8F82C" w14:textId="77777777" w:rsidR="003F5418" w:rsidRDefault="002A6C25">
      <w:pPr>
        <w:pStyle w:val="ListParagraph"/>
        <w:numPr>
          <w:ilvl w:val="0"/>
          <w:numId w:val="130"/>
        </w:numPr>
        <w:spacing w:before="0"/>
        <w:contextualSpacing w:val="0"/>
        <w:rPr>
          <w:noProof/>
        </w:rPr>
      </w:pPr>
      <w:r>
        <w:rPr>
          <w:noProof/>
        </w:rPr>
        <w:t>A</w:t>
      </w:r>
      <w:r>
        <w:rPr>
          <w:noProof/>
        </w:rPr>
        <w:t xml:space="preserve"> kapcsolódó beruházási politika fő követelményei, amelyek a következőket foglalják magukban:</w:t>
      </w:r>
    </w:p>
    <w:p w14:paraId="58B54F74" w14:textId="77777777" w:rsidR="003F5418" w:rsidRDefault="002A6C25">
      <w:pPr>
        <w:pStyle w:val="ListParagraph"/>
        <w:numPr>
          <w:ilvl w:val="0"/>
          <w:numId w:val="131"/>
        </w:numPr>
        <w:spacing w:before="0"/>
        <w:contextualSpacing w:val="0"/>
        <w:rPr>
          <w:noProof/>
        </w:rPr>
      </w:pPr>
      <w:r>
        <w:rPr>
          <w:noProof/>
        </w:rPr>
        <w:t xml:space="preserve">A pénzügyi termék(ek) és a támogatható végső kedvezményezettek leírása. </w:t>
      </w:r>
    </w:p>
    <w:p w14:paraId="3EB5FA12" w14:textId="77777777" w:rsidR="003F5418" w:rsidRDefault="002A6C25">
      <w:pPr>
        <w:pStyle w:val="ListParagraph"/>
        <w:numPr>
          <w:ilvl w:val="0"/>
          <w:numId w:val="131"/>
        </w:numPr>
        <w:spacing w:before="0"/>
        <w:contextualSpacing w:val="0"/>
        <w:rPr>
          <w:noProof/>
        </w:rPr>
      </w:pPr>
      <w:r>
        <w:rPr>
          <w:noProof/>
        </w:rPr>
        <w:t xml:space="preserve">Az a követelmény, hogy minden támogatott beruházás gazdaságilag életképes legyen. </w:t>
      </w:r>
    </w:p>
    <w:p w14:paraId="664768B7" w14:textId="77777777" w:rsidR="003F5418" w:rsidRDefault="002A6C25">
      <w:pPr>
        <w:pStyle w:val="ListParagraph"/>
        <w:numPr>
          <w:ilvl w:val="0"/>
          <w:numId w:val="131"/>
        </w:numPr>
        <w:spacing w:before="0"/>
        <w:contextualSpacing w:val="0"/>
        <w:rPr>
          <w:noProof/>
        </w:rPr>
      </w:pPr>
      <w:r>
        <w:rPr>
          <w:noProof/>
        </w:rPr>
        <w:t>A jelen</w:t>
      </w:r>
      <w:r>
        <w:rPr>
          <w:noProof/>
        </w:rPr>
        <w:t>tős károkozás elkerülését célzó elvnek való megfelelés követelménye a DNSH technikai iránymutatásban (2021/C58/01) meghatározottak szerint. A beruházási politikának különösen a tevékenységek és eszközök alábbi listáját kell kizárnia a támogathatóság körébő</w:t>
      </w:r>
      <w:r>
        <w:rPr>
          <w:noProof/>
        </w:rPr>
        <w:t>l: i. a fosszilis tüzelőanyagokhoz kapcsolódó tevékenységek és eszközök, beleértve a downstream felhasználást is, ii. az uniós kibocsátáskereskedelmi rendszer</w:t>
      </w:r>
      <w:r>
        <w:rPr>
          <w:rStyle w:val="FootnoteReference"/>
          <w:noProof/>
        </w:rPr>
        <w:footnoteReference w:id="15"/>
      </w:r>
      <w:r>
        <w:rPr>
          <w:noProof/>
        </w:rPr>
        <w:t xml:space="preserve">(ETS) keretébe tartozó tevékenységek és eszközök, amelyek elérik a vonatkozó referenciaértékeket </w:t>
      </w:r>
      <w:r>
        <w:rPr>
          <w:noProof/>
        </w:rPr>
        <w:t>meg nem haladó, előre jelzett üvegházhatásúgáz-kibocsátást, iii. a hulladéklerakókhoz, égetőművekhez és mechanikai-biológiai hulladékkezelő létesítményekhez kapcsolódó</w:t>
      </w:r>
      <w:r>
        <w:rPr>
          <w:rStyle w:val="FootnoteReference"/>
          <w:noProof/>
        </w:rPr>
        <w:footnoteReference w:id="16"/>
      </w:r>
      <w:r>
        <w:rPr>
          <w:noProof/>
        </w:rPr>
        <w:t>tevékenységek</w:t>
      </w:r>
      <w:r>
        <w:rPr>
          <w:rStyle w:val="FootnoteReference"/>
          <w:noProof/>
        </w:rPr>
        <w:footnoteReference w:id="17"/>
      </w:r>
      <w:r>
        <w:rPr>
          <w:noProof/>
        </w:rPr>
        <w:t xml:space="preserve"> és eszközök</w:t>
      </w:r>
      <w:r>
        <w:rPr>
          <w:rStyle w:val="FootnoteReference"/>
          <w:noProof/>
        </w:rPr>
        <w:footnoteReference w:id="18"/>
      </w:r>
      <w:r>
        <w:rPr>
          <w:noProof/>
        </w:rPr>
        <w:t xml:space="preserve">. </w:t>
      </w:r>
    </w:p>
    <w:p w14:paraId="5C892F10" w14:textId="77777777" w:rsidR="003F5418" w:rsidRDefault="002A6C25">
      <w:pPr>
        <w:pStyle w:val="ListParagraph"/>
        <w:numPr>
          <w:ilvl w:val="0"/>
          <w:numId w:val="131"/>
        </w:numPr>
        <w:spacing w:before="0"/>
        <w:contextualSpacing w:val="0"/>
        <w:rPr>
          <w:noProof/>
        </w:rPr>
      </w:pPr>
      <w:r>
        <w:rPr>
          <w:noProof/>
        </w:rPr>
        <w:t xml:space="preserve">Az a követelmény, hogy az eszköz végső kedvezményezettjei </w:t>
      </w:r>
      <w:r>
        <w:rPr>
          <w:noProof/>
        </w:rPr>
        <w:t>nem részesülhetnek támogatásban más uniós eszközökből ugyanazon költségek fedezésére.</w:t>
      </w:r>
    </w:p>
    <w:p w14:paraId="15DF58F3" w14:textId="77777777" w:rsidR="003F5418" w:rsidRDefault="002A6C25">
      <w:pPr>
        <w:pStyle w:val="ListParagraph"/>
        <w:numPr>
          <w:ilvl w:val="0"/>
          <w:numId w:val="130"/>
        </w:numPr>
        <w:spacing w:before="0"/>
        <w:contextualSpacing w:val="0"/>
        <w:rPr>
          <w:noProof/>
        </w:rPr>
      </w:pPr>
      <w:r>
        <w:rPr>
          <w:noProof/>
        </w:rPr>
        <w:t>A végrehajtási megállapodás hatálya alá tartozó összeg, a végrehajtó partner díjstruktúrája, valamint az eszköz beruházási politikájának megfelelően a visszafolyó bevétel</w:t>
      </w:r>
      <w:r>
        <w:rPr>
          <w:noProof/>
        </w:rPr>
        <w:t>ek újbóli befektetésére vonatkozó követelmény.</w:t>
      </w:r>
    </w:p>
    <w:p w14:paraId="3464177A" w14:textId="77777777" w:rsidR="003F5418" w:rsidRDefault="002A6C25">
      <w:pPr>
        <w:pStyle w:val="ListParagraph"/>
        <w:numPr>
          <w:ilvl w:val="0"/>
          <w:numId w:val="130"/>
        </w:numPr>
        <w:spacing w:before="0"/>
        <w:contextualSpacing w:val="0"/>
        <w:rPr>
          <w:noProof/>
        </w:rPr>
      </w:pPr>
      <w:r>
        <w:rPr>
          <w:noProof/>
        </w:rPr>
        <w:t>Nyomonkövetési, ellenőrzési és kontrollkövetelmények, beleértve a következőket:</w:t>
      </w:r>
    </w:p>
    <w:p w14:paraId="7EE57BCF" w14:textId="77777777" w:rsidR="003F5418" w:rsidRDefault="002A6C25">
      <w:pPr>
        <w:pStyle w:val="ListParagraph"/>
        <w:numPr>
          <w:ilvl w:val="1"/>
          <w:numId w:val="132"/>
        </w:numPr>
        <w:spacing w:before="0"/>
        <w:contextualSpacing w:val="0"/>
        <w:rPr>
          <w:noProof/>
        </w:rPr>
      </w:pPr>
      <w:r>
        <w:rPr>
          <w:noProof/>
        </w:rPr>
        <w:t>A végrehajtó partner által a mozgósított beruházásról való jelentéstételhez használt monitoringrendszer leírása.</w:t>
      </w:r>
    </w:p>
    <w:p w14:paraId="44CBA1E5" w14:textId="77777777" w:rsidR="003F5418" w:rsidRDefault="002A6C25">
      <w:pPr>
        <w:pStyle w:val="ListParagraph"/>
        <w:numPr>
          <w:ilvl w:val="1"/>
          <w:numId w:val="132"/>
        </w:numPr>
        <w:spacing w:before="0"/>
        <w:contextualSpacing w:val="0"/>
        <w:rPr>
          <w:noProof/>
        </w:rPr>
      </w:pPr>
      <w:r>
        <w:rPr>
          <w:noProof/>
        </w:rPr>
        <w:t>A végrehajtó par</w:t>
      </w:r>
      <w:r>
        <w:rPr>
          <w:noProof/>
        </w:rPr>
        <w:t xml:space="preserve">tner azon eljárásainak leírása, amelyek biztosítják a csalás, a korrupció és az összeférhetetlenség megelőzését, felderítését és korrekcióját. </w:t>
      </w:r>
    </w:p>
    <w:p w14:paraId="530EA508" w14:textId="77777777" w:rsidR="003F5418" w:rsidRDefault="002A6C25">
      <w:pPr>
        <w:pStyle w:val="ListParagraph"/>
        <w:numPr>
          <w:ilvl w:val="1"/>
          <w:numId w:val="132"/>
        </w:numPr>
        <w:spacing w:before="0"/>
        <w:contextualSpacing w:val="0"/>
        <w:rPr>
          <w:noProof/>
        </w:rPr>
      </w:pPr>
      <w:r>
        <w:rPr>
          <w:noProof/>
        </w:rPr>
        <w:t xml:space="preserve">Az egyes műveletek támogathatóságának a végrehajtási megállapodásban meghatározott követelményekkel összhangban </w:t>
      </w:r>
      <w:r>
        <w:rPr>
          <w:noProof/>
        </w:rPr>
        <w:t>történő, az egyes műveletek finanszírozására való kötelezettségvállalást megelőző ellenőrzésére vonatkozó kötelezettség.</w:t>
      </w:r>
    </w:p>
    <w:p w14:paraId="73DE11C0" w14:textId="77777777" w:rsidR="003F5418" w:rsidRDefault="002A6C25">
      <w:pPr>
        <w:pStyle w:val="ListParagraph"/>
        <w:numPr>
          <w:ilvl w:val="1"/>
          <w:numId w:val="132"/>
        </w:numPr>
        <w:spacing w:before="0"/>
        <w:contextualSpacing w:val="0"/>
        <w:rPr>
          <w:noProof/>
        </w:rPr>
      </w:pPr>
      <w:r>
        <w:rPr>
          <w:noProof/>
        </w:rPr>
        <w:t>A kockázatalapú utólagos ellenőrzések elvégzésére vonatkozó kötelezettség az Invitalia SPA ellenőrzési tervével összhangban. Ezek az el</w:t>
      </w:r>
      <w:r>
        <w:rPr>
          <w:noProof/>
        </w:rPr>
        <w:t>lenőrzések a következőket ellenőrzik:</w:t>
      </w:r>
    </w:p>
    <w:p w14:paraId="295BD788" w14:textId="77777777" w:rsidR="003F5418" w:rsidRDefault="002A6C25">
      <w:pPr>
        <w:pStyle w:val="ListParagraph"/>
        <w:numPr>
          <w:ilvl w:val="2"/>
          <w:numId w:val="132"/>
        </w:numPr>
        <w:spacing w:before="0"/>
        <w:contextualSpacing w:val="0"/>
        <w:rPr>
          <w:noProof/>
        </w:rPr>
      </w:pPr>
      <w:r>
        <w:rPr>
          <w:noProof/>
        </w:rPr>
        <w:t>az ellenőrzési rendszerek hatékonyak-e, beleértve a csalás, a korrupció és az összeférhetetlenség felderítését;</w:t>
      </w:r>
    </w:p>
    <w:p w14:paraId="43683BB9" w14:textId="77777777" w:rsidR="003F5418" w:rsidRDefault="002A6C25">
      <w:pPr>
        <w:pStyle w:val="ListParagraph"/>
        <w:numPr>
          <w:ilvl w:val="2"/>
          <w:numId w:val="132"/>
        </w:numPr>
        <w:spacing w:before="0"/>
        <w:contextualSpacing w:val="0"/>
        <w:rPr>
          <w:noProof/>
        </w:rPr>
      </w:pPr>
      <w:r>
        <w:rPr>
          <w:noProof/>
        </w:rPr>
        <w:t xml:space="preserve">a DNSH-elvnek, az állami támogatásokra vonatkozó szabályoknak és az éghajlat-politikai célok követelményeinek való megfelelés; és </w:t>
      </w:r>
    </w:p>
    <w:p w14:paraId="10C7EE58" w14:textId="77777777" w:rsidR="003F5418" w:rsidRDefault="002A6C25">
      <w:pPr>
        <w:pStyle w:val="ListParagraph"/>
        <w:numPr>
          <w:ilvl w:val="2"/>
          <w:numId w:val="132"/>
        </w:numPr>
        <w:spacing w:before="0"/>
        <w:contextualSpacing w:val="0"/>
        <w:rPr>
          <w:noProof/>
        </w:rPr>
      </w:pPr>
      <w:r>
        <w:rPr>
          <w:noProof/>
        </w:rPr>
        <w:t>tiszteletben tartják azt a követelményt, hogy az eszköz végső kedvezményezettjei nem részesültek támogatásban más uniós eszkö</w:t>
      </w:r>
      <w:r>
        <w:rPr>
          <w:noProof/>
        </w:rPr>
        <w:t xml:space="preserve">zökből ugyanazon költségek fedezésére. Az ellenőrzések azt is ellenőrzik, hogy az ügyletek jogszerűek-e, és hogy betartják-e az alkalmazandó végrehajtási megállapodás feltételeit. </w:t>
      </w:r>
    </w:p>
    <w:p w14:paraId="610F5A0B" w14:textId="77777777" w:rsidR="003F5418" w:rsidRDefault="002A6C25">
      <w:pPr>
        <w:spacing w:before="120" w:after="120"/>
        <w:jc w:val="both"/>
        <w:rPr>
          <w:noProof/>
        </w:rPr>
        <w:sectPr w:rsidR="003F5418">
          <w:headerReference w:type="even" r:id="rId56"/>
          <w:headerReference w:type="default" r:id="rId57"/>
          <w:footerReference w:type="even" r:id="rId58"/>
          <w:footerReference w:type="default" r:id="rId59"/>
          <w:headerReference w:type="first" r:id="rId60"/>
          <w:footerReference w:type="first" r:id="rId61"/>
          <w:pgSz w:w="11907" w:h="16838" w:code="12"/>
          <w:pgMar w:top="1134" w:right="1134" w:bottom="1134" w:left="1134" w:header="567" w:footer="567" w:gutter="0"/>
          <w:cols w:space="720"/>
          <w:docGrid w:linePitch="360"/>
        </w:sectPr>
      </w:pPr>
      <w:r>
        <w:rPr>
          <w:noProof/>
        </w:rPr>
        <w:t>Az intézkedés végr</w:t>
      </w:r>
      <w:r>
        <w:rPr>
          <w:noProof/>
        </w:rPr>
        <w:t>ehajtását 2026. augusztus 31-ig be kell fejezni.</w:t>
      </w:r>
    </w:p>
    <w:p w14:paraId="24FE3B0E" w14:textId="77777777" w:rsidR="003F5418" w:rsidRDefault="002A6C25">
      <w:pPr>
        <w:pStyle w:val="Heading3"/>
        <w:numPr>
          <w:ilvl w:val="2"/>
          <w:numId w:val="0"/>
        </w:numPr>
        <w:ind w:left="850" w:hanging="850"/>
        <w:rPr>
          <w:b/>
          <w:i w:val="0"/>
          <w:noProof/>
          <w:u w:val="single"/>
        </w:rPr>
      </w:pPr>
      <w:r>
        <w:rPr>
          <w:b/>
          <w:i w:val="0"/>
          <w:noProof/>
          <w:u w:val="single"/>
        </w:rPr>
        <w:t xml:space="preserve">B.4. </w:t>
      </w:r>
      <w:r>
        <w:rPr>
          <w:noProof/>
        </w:rPr>
        <w:t xml:space="preserve"> </w:t>
      </w:r>
      <w:r>
        <w:rPr>
          <w:b/>
          <w:i w:val="0"/>
          <w:noProof/>
          <w:u w:val="single"/>
        </w:rPr>
        <w:t xml:space="preserve">Hitel – a végrehajtáshoz és a nyomon követéshez kapcsolódó mérföldkövek, célok, mutatók és ütemterv </w:t>
      </w:r>
    </w:p>
    <w:tbl>
      <w:tblPr>
        <w:tblW w:w="151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578"/>
        <w:gridCol w:w="1078"/>
        <w:gridCol w:w="1329"/>
        <w:gridCol w:w="1275"/>
        <w:gridCol w:w="1134"/>
        <w:gridCol w:w="993"/>
        <w:gridCol w:w="992"/>
        <w:gridCol w:w="850"/>
        <w:gridCol w:w="709"/>
        <w:gridCol w:w="3794"/>
      </w:tblGrid>
      <w:tr w:rsidR="003F5418" w14:paraId="146D48D9" w14:textId="77777777">
        <w:trPr>
          <w:trHeight w:val="315"/>
          <w:tblHeader/>
        </w:trPr>
        <w:tc>
          <w:tcPr>
            <w:tcW w:w="1424" w:type="dxa"/>
            <w:vMerge w:val="restart"/>
            <w:shd w:val="clear" w:color="auto" w:fill="BDD7EE"/>
            <w:vAlign w:val="center"/>
          </w:tcPr>
          <w:p w14:paraId="482C4082" w14:textId="77777777" w:rsidR="003F5418" w:rsidRDefault="002A6C25">
            <w:pPr>
              <w:pStyle w:val="P68B1DB1-Normal3"/>
              <w:spacing w:before="120" w:after="120"/>
              <w:jc w:val="center"/>
              <w:rPr>
                <w:noProof/>
                <w:color w:val="006100"/>
              </w:rPr>
            </w:pPr>
            <w:r>
              <w:rPr>
                <w:noProof/>
              </w:rPr>
              <w:t>Sorszám</w:t>
            </w:r>
          </w:p>
        </w:tc>
        <w:tc>
          <w:tcPr>
            <w:tcW w:w="1578" w:type="dxa"/>
            <w:vMerge w:val="restart"/>
            <w:shd w:val="clear" w:color="auto" w:fill="BDD7EE"/>
            <w:vAlign w:val="center"/>
          </w:tcPr>
          <w:p w14:paraId="64B38C72" w14:textId="77777777" w:rsidR="003F5418" w:rsidRDefault="002A6C25">
            <w:pPr>
              <w:pStyle w:val="P68B1DB1-Normal3"/>
              <w:spacing w:before="120" w:after="120"/>
              <w:jc w:val="center"/>
              <w:rPr>
                <w:noProof/>
                <w:color w:val="006100"/>
              </w:rPr>
            </w:pPr>
            <w:r>
              <w:rPr>
                <w:noProof/>
              </w:rPr>
              <w:t>Intézkedés</w:t>
            </w:r>
          </w:p>
        </w:tc>
        <w:tc>
          <w:tcPr>
            <w:tcW w:w="1078" w:type="dxa"/>
            <w:vMerge w:val="restart"/>
            <w:shd w:val="clear" w:color="auto" w:fill="BDD7EE"/>
            <w:vAlign w:val="center"/>
          </w:tcPr>
          <w:p w14:paraId="571FEDB8" w14:textId="77777777" w:rsidR="003F5418" w:rsidRDefault="002A6C25">
            <w:pPr>
              <w:pStyle w:val="P68B1DB1-Normal3"/>
              <w:spacing w:before="120" w:after="120"/>
              <w:jc w:val="center"/>
              <w:rPr>
                <w:noProof/>
                <w:color w:val="006100"/>
              </w:rPr>
            </w:pPr>
            <w:r>
              <w:rPr>
                <w:noProof/>
              </w:rPr>
              <w:t>Mérföldkő/cél</w:t>
            </w:r>
          </w:p>
        </w:tc>
        <w:tc>
          <w:tcPr>
            <w:tcW w:w="1329" w:type="dxa"/>
            <w:vMerge w:val="restart"/>
            <w:shd w:val="clear" w:color="auto" w:fill="BDD7EE"/>
            <w:vAlign w:val="center"/>
          </w:tcPr>
          <w:p w14:paraId="7EEF92CB" w14:textId="77777777" w:rsidR="003F5418" w:rsidRDefault="002A6C25">
            <w:pPr>
              <w:pStyle w:val="P68B1DB1-Normal3"/>
              <w:spacing w:before="120" w:after="120"/>
              <w:jc w:val="center"/>
              <w:rPr>
                <w:noProof/>
                <w:color w:val="006100"/>
              </w:rPr>
            </w:pPr>
            <w:r>
              <w:rPr>
                <w:noProof/>
              </w:rPr>
              <w:t>Név</w:t>
            </w:r>
          </w:p>
        </w:tc>
        <w:tc>
          <w:tcPr>
            <w:tcW w:w="1275" w:type="dxa"/>
            <w:vMerge w:val="restart"/>
            <w:shd w:val="clear" w:color="auto" w:fill="BDD7EE"/>
            <w:vAlign w:val="center"/>
          </w:tcPr>
          <w:p w14:paraId="47DF659D" w14:textId="77777777" w:rsidR="003F5418" w:rsidRDefault="002A6C25">
            <w:pPr>
              <w:spacing w:before="120" w:after="120"/>
              <w:jc w:val="center"/>
              <w:rPr>
                <w:rFonts w:ascii="Arial Narrow" w:hAnsi="Arial Narrow"/>
                <w:noProof/>
                <w:color w:val="006100"/>
                <w:sz w:val="20"/>
              </w:rPr>
            </w:pPr>
            <w:r>
              <w:rPr>
                <w:rFonts w:ascii="Arial Narrow" w:hAnsi="Arial Narrow"/>
                <w:b/>
                <w:noProof/>
                <w:sz w:val="20"/>
              </w:rPr>
              <w:t>Minőségi mutatók</w:t>
            </w:r>
            <w:r>
              <w:rPr>
                <w:noProof/>
              </w:rPr>
              <w:t xml:space="preserve"> </w:t>
            </w:r>
            <w:r>
              <w:rPr>
                <w:noProof/>
              </w:rPr>
              <w:br/>
            </w:r>
            <w:r>
              <w:rPr>
                <w:rFonts w:ascii="Arial Narrow" w:hAnsi="Arial Narrow"/>
                <w:b/>
                <w:noProof/>
                <w:sz w:val="20"/>
              </w:rPr>
              <w:t>(a részcélokra vonatkozóan)</w:t>
            </w:r>
          </w:p>
        </w:tc>
        <w:tc>
          <w:tcPr>
            <w:tcW w:w="3119" w:type="dxa"/>
            <w:gridSpan w:val="3"/>
            <w:shd w:val="clear" w:color="auto" w:fill="BDD7EE"/>
            <w:vAlign w:val="center"/>
          </w:tcPr>
          <w:p w14:paraId="604A1937" w14:textId="77777777" w:rsidR="003F5418" w:rsidRDefault="002A6C25">
            <w:pPr>
              <w:spacing w:before="120" w:after="120"/>
              <w:jc w:val="center"/>
              <w:rPr>
                <w:rFonts w:ascii="Arial Narrow" w:hAnsi="Arial Narrow"/>
                <w:noProof/>
                <w:color w:val="006100"/>
                <w:sz w:val="20"/>
              </w:rPr>
            </w:pPr>
            <w:r>
              <w:rPr>
                <w:rFonts w:ascii="Arial Narrow" w:hAnsi="Arial Narrow"/>
                <w:b/>
                <w:noProof/>
                <w:sz w:val="20"/>
              </w:rPr>
              <w:t>Mennyiségi mutató</w:t>
            </w:r>
            <w:r>
              <w:rPr>
                <w:rFonts w:ascii="Arial Narrow" w:hAnsi="Arial Narrow"/>
                <w:b/>
                <w:noProof/>
                <w:sz w:val="20"/>
              </w:rPr>
              <w:t>k</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59" w:type="dxa"/>
            <w:gridSpan w:val="2"/>
            <w:shd w:val="clear" w:color="auto" w:fill="BDD7EE"/>
            <w:vAlign w:val="center"/>
          </w:tcPr>
          <w:p w14:paraId="15B64360" w14:textId="77777777" w:rsidR="003F5418" w:rsidRDefault="002A6C25">
            <w:pPr>
              <w:pStyle w:val="P68B1DB1-Normal3"/>
              <w:spacing w:before="120" w:after="120"/>
              <w:jc w:val="center"/>
              <w:rPr>
                <w:noProof/>
                <w:color w:val="006100"/>
              </w:rPr>
            </w:pPr>
            <w:r>
              <w:rPr>
                <w:noProof/>
              </w:rPr>
              <w:t>A végrehajtás indikatív ütemterve</w:t>
            </w:r>
          </w:p>
        </w:tc>
        <w:tc>
          <w:tcPr>
            <w:tcW w:w="3794" w:type="dxa"/>
            <w:vMerge w:val="restart"/>
            <w:shd w:val="clear" w:color="auto" w:fill="BDD7EE"/>
            <w:vAlign w:val="center"/>
          </w:tcPr>
          <w:p w14:paraId="0C437F0A" w14:textId="77777777" w:rsidR="003F5418" w:rsidRDefault="002A6C25">
            <w:pPr>
              <w:pStyle w:val="P68B1DB1-Normal3"/>
              <w:spacing w:before="120" w:after="120"/>
              <w:jc w:val="center"/>
              <w:rPr>
                <w:noProof/>
              </w:rPr>
            </w:pPr>
            <w:r>
              <w:rPr>
                <w:noProof/>
              </w:rPr>
              <w:t>Az egyes mérföldkövek és célértékek leírása</w:t>
            </w:r>
          </w:p>
        </w:tc>
      </w:tr>
      <w:tr w:rsidR="003F5418" w14:paraId="1DA208F1" w14:textId="77777777">
        <w:trPr>
          <w:trHeight w:val="315"/>
          <w:tblHeader/>
        </w:trPr>
        <w:tc>
          <w:tcPr>
            <w:tcW w:w="1424" w:type="dxa"/>
            <w:vMerge/>
            <w:vAlign w:val="center"/>
          </w:tcPr>
          <w:p w14:paraId="3F9078BC" w14:textId="77777777" w:rsidR="003F5418" w:rsidRDefault="003F5418">
            <w:pPr>
              <w:spacing w:before="120" w:after="120"/>
              <w:jc w:val="center"/>
              <w:rPr>
                <w:rFonts w:ascii="Arial Narrow" w:hAnsi="Arial Narrow"/>
                <w:noProof/>
                <w:color w:val="006100"/>
                <w:sz w:val="20"/>
              </w:rPr>
            </w:pPr>
          </w:p>
        </w:tc>
        <w:tc>
          <w:tcPr>
            <w:tcW w:w="1578" w:type="dxa"/>
            <w:vMerge/>
            <w:vAlign w:val="center"/>
          </w:tcPr>
          <w:p w14:paraId="24749E36" w14:textId="77777777" w:rsidR="003F5418" w:rsidRDefault="003F5418">
            <w:pPr>
              <w:spacing w:before="120" w:after="120"/>
              <w:jc w:val="center"/>
              <w:rPr>
                <w:rFonts w:ascii="Arial Narrow" w:hAnsi="Arial Narrow"/>
                <w:noProof/>
                <w:color w:val="006100"/>
                <w:sz w:val="20"/>
              </w:rPr>
            </w:pPr>
          </w:p>
        </w:tc>
        <w:tc>
          <w:tcPr>
            <w:tcW w:w="1078" w:type="dxa"/>
            <w:vMerge/>
            <w:vAlign w:val="center"/>
          </w:tcPr>
          <w:p w14:paraId="28E65642" w14:textId="77777777" w:rsidR="003F5418" w:rsidRDefault="003F5418">
            <w:pPr>
              <w:spacing w:before="120" w:after="120"/>
              <w:jc w:val="center"/>
              <w:rPr>
                <w:rFonts w:ascii="Arial Narrow" w:hAnsi="Arial Narrow"/>
                <w:noProof/>
                <w:color w:val="006100"/>
                <w:sz w:val="20"/>
              </w:rPr>
            </w:pPr>
          </w:p>
        </w:tc>
        <w:tc>
          <w:tcPr>
            <w:tcW w:w="1329" w:type="dxa"/>
            <w:vMerge/>
            <w:vAlign w:val="center"/>
          </w:tcPr>
          <w:p w14:paraId="2787F73F" w14:textId="77777777" w:rsidR="003F5418" w:rsidRDefault="003F5418">
            <w:pPr>
              <w:spacing w:before="120" w:after="120"/>
              <w:jc w:val="center"/>
              <w:rPr>
                <w:rFonts w:ascii="Arial Narrow" w:hAnsi="Arial Narrow"/>
                <w:noProof/>
                <w:color w:val="006100"/>
                <w:sz w:val="20"/>
              </w:rPr>
            </w:pPr>
          </w:p>
        </w:tc>
        <w:tc>
          <w:tcPr>
            <w:tcW w:w="1275" w:type="dxa"/>
            <w:vMerge/>
            <w:vAlign w:val="center"/>
          </w:tcPr>
          <w:p w14:paraId="2624FA7D" w14:textId="77777777" w:rsidR="003F5418" w:rsidRDefault="003F5418">
            <w:pPr>
              <w:spacing w:before="120" w:after="120"/>
              <w:jc w:val="center"/>
              <w:rPr>
                <w:rFonts w:ascii="Arial Narrow" w:hAnsi="Arial Narrow"/>
                <w:noProof/>
                <w:color w:val="006100"/>
                <w:sz w:val="20"/>
              </w:rPr>
            </w:pPr>
          </w:p>
        </w:tc>
        <w:tc>
          <w:tcPr>
            <w:tcW w:w="1134" w:type="dxa"/>
            <w:shd w:val="clear" w:color="auto" w:fill="BDD7EE"/>
            <w:vAlign w:val="center"/>
          </w:tcPr>
          <w:p w14:paraId="73AA55A3" w14:textId="77777777" w:rsidR="003F5418" w:rsidRDefault="002A6C25">
            <w:pPr>
              <w:pStyle w:val="P68B1DB1-Normal3"/>
              <w:spacing w:before="120" w:after="120"/>
              <w:jc w:val="center"/>
              <w:rPr>
                <w:noProof/>
                <w:color w:val="006100"/>
              </w:rPr>
            </w:pPr>
            <w:r>
              <w:rPr>
                <w:noProof/>
              </w:rPr>
              <w:t>Mértékegység</w:t>
            </w:r>
          </w:p>
        </w:tc>
        <w:tc>
          <w:tcPr>
            <w:tcW w:w="993" w:type="dxa"/>
            <w:shd w:val="clear" w:color="auto" w:fill="BDD7EE"/>
            <w:vAlign w:val="center"/>
          </w:tcPr>
          <w:p w14:paraId="68A45250" w14:textId="77777777" w:rsidR="003F5418" w:rsidRDefault="002A6C25">
            <w:pPr>
              <w:pStyle w:val="P68B1DB1-Normal3"/>
              <w:spacing w:before="120" w:after="120"/>
              <w:jc w:val="center"/>
              <w:rPr>
                <w:noProof/>
                <w:color w:val="006100"/>
              </w:rPr>
            </w:pPr>
            <w:r>
              <w:rPr>
                <w:noProof/>
              </w:rPr>
              <w:t>Kiindulási</w:t>
            </w:r>
          </w:p>
        </w:tc>
        <w:tc>
          <w:tcPr>
            <w:tcW w:w="992" w:type="dxa"/>
            <w:shd w:val="clear" w:color="auto" w:fill="BDD7EE"/>
            <w:vAlign w:val="center"/>
          </w:tcPr>
          <w:p w14:paraId="02F6A9E6" w14:textId="77777777" w:rsidR="003F5418" w:rsidRDefault="002A6C25">
            <w:pPr>
              <w:pStyle w:val="P68B1DB1-Normal3"/>
              <w:spacing w:before="120" w:after="120"/>
              <w:jc w:val="center"/>
              <w:rPr>
                <w:noProof/>
                <w:color w:val="006100"/>
              </w:rPr>
            </w:pPr>
            <w:r>
              <w:rPr>
                <w:noProof/>
              </w:rPr>
              <w:t>Cél</w:t>
            </w:r>
          </w:p>
        </w:tc>
        <w:tc>
          <w:tcPr>
            <w:tcW w:w="850" w:type="dxa"/>
            <w:shd w:val="clear" w:color="auto" w:fill="BDD7EE"/>
            <w:vAlign w:val="center"/>
          </w:tcPr>
          <w:p w14:paraId="4BE08012" w14:textId="77777777" w:rsidR="003F5418" w:rsidRDefault="002A6C25">
            <w:pPr>
              <w:pStyle w:val="P68B1DB1-Normal3"/>
              <w:spacing w:before="120" w:after="120"/>
              <w:jc w:val="center"/>
              <w:rPr>
                <w:noProof/>
                <w:color w:val="006100"/>
              </w:rPr>
            </w:pPr>
            <w:r>
              <w:rPr>
                <w:noProof/>
              </w:rPr>
              <w:t>Negyedév</w:t>
            </w:r>
          </w:p>
        </w:tc>
        <w:tc>
          <w:tcPr>
            <w:tcW w:w="709" w:type="dxa"/>
            <w:shd w:val="clear" w:color="auto" w:fill="BDD7EE"/>
            <w:vAlign w:val="center"/>
          </w:tcPr>
          <w:p w14:paraId="7E9E1020" w14:textId="77777777" w:rsidR="003F5418" w:rsidRDefault="002A6C25">
            <w:pPr>
              <w:pStyle w:val="P68B1DB1-Normal3"/>
              <w:spacing w:before="120" w:after="120"/>
              <w:jc w:val="center"/>
              <w:rPr>
                <w:noProof/>
                <w:color w:val="006100"/>
              </w:rPr>
            </w:pPr>
            <w:r>
              <w:rPr>
                <w:noProof/>
              </w:rPr>
              <w:t>Éve</w:t>
            </w:r>
          </w:p>
        </w:tc>
        <w:tc>
          <w:tcPr>
            <w:tcW w:w="3794" w:type="dxa"/>
            <w:vMerge/>
            <w:vAlign w:val="center"/>
          </w:tcPr>
          <w:p w14:paraId="10DD8773" w14:textId="77777777" w:rsidR="003F5418" w:rsidRDefault="003F5418">
            <w:pPr>
              <w:spacing w:before="120" w:after="120"/>
              <w:rPr>
                <w:rFonts w:ascii="Arial Narrow" w:hAnsi="Arial Narrow"/>
                <w:noProof/>
                <w:color w:val="006100"/>
                <w:sz w:val="20"/>
              </w:rPr>
            </w:pPr>
          </w:p>
        </w:tc>
      </w:tr>
      <w:tr w:rsidR="003F5418" w14:paraId="228768FA" w14:textId="77777777">
        <w:trPr>
          <w:trHeight w:val="315"/>
        </w:trPr>
        <w:tc>
          <w:tcPr>
            <w:tcW w:w="1424" w:type="dxa"/>
            <w:shd w:val="clear" w:color="auto" w:fill="C6EFCE"/>
            <w:vAlign w:val="center"/>
          </w:tcPr>
          <w:p w14:paraId="6C3DC7EF" w14:textId="77777777" w:rsidR="003F5418" w:rsidRDefault="002A6C25">
            <w:pPr>
              <w:pStyle w:val="P68B1DB1-Normal4"/>
              <w:spacing w:before="120" w:after="120"/>
              <w:jc w:val="center"/>
              <w:rPr>
                <w:noProof/>
              </w:rPr>
            </w:pPr>
            <w:r>
              <w:rPr>
                <w:noProof/>
              </w:rPr>
              <w:t>M1C2–15</w:t>
            </w:r>
          </w:p>
        </w:tc>
        <w:tc>
          <w:tcPr>
            <w:tcW w:w="1578" w:type="dxa"/>
            <w:shd w:val="clear" w:color="auto" w:fill="C6EFCE"/>
            <w:vAlign w:val="center"/>
          </w:tcPr>
          <w:p w14:paraId="192C197B" w14:textId="77777777" w:rsidR="003F5418" w:rsidRDefault="002A6C25">
            <w:pPr>
              <w:pStyle w:val="P68B1DB1-Normal4"/>
              <w:spacing w:before="120" w:after="120"/>
              <w:jc w:val="center"/>
              <w:rPr>
                <w:noProof/>
              </w:rPr>
            </w:pPr>
            <w:r>
              <w:rPr>
                <w:noProof/>
              </w:rPr>
              <w:t>A 2. beruházást Mikroelektronikai innováció és technológia</w:t>
            </w:r>
          </w:p>
        </w:tc>
        <w:tc>
          <w:tcPr>
            <w:tcW w:w="1078" w:type="dxa"/>
            <w:shd w:val="clear" w:color="auto" w:fill="C6EFCE"/>
            <w:vAlign w:val="center"/>
          </w:tcPr>
          <w:p w14:paraId="4BDA4EB0"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110988F6" w14:textId="77777777" w:rsidR="003F5418" w:rsidRDefault="002A6C25">
            <w:pPr>
              <w:pStyle w:val="P68B1DB1-Normal4"/>
              <w:spacing w:before="120" w:after="120"/>
              <w:jc w:val="center"/>
              <w:rPr>
                <w:noProof/>
              </w:rPr>
            </w:pPr>
            <w:r>
              <w:rPr>
                <w:noProof/>
              </w:rPr>
              <w:t>A szilícium-karbid szubsztrátum</w:t>
            </w:r>
            <w:r>
              <w:rPr>
                <w:noProof/>
              </w:rPr>
              <w:t xml:space="preserve"> gyártási kapacitása</w:t>
            </w:r>
          </w:p>
        </w:tc>
        <w:tc>
          <w:tcPr>
            <w:tcW w:w="1275" w:type="dxa"/>
            <w:shd w:val="clear" w:color="auto" w:fill="C6EFCE"/>
            <w:vAlign w:val="center"/>
          </w:tcPr>
          <w:p w14:paraId="35D802BC"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3AEDB712"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4C950009"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0B2F3296" w14:textId="77777777" w:rsidR="003F5418" w:rsidRDefault="002A6C25">
            <w:pPr>
              <w:pStyle w:val="P68B1DB1-Normal4"/>
              <w:spacing w:before="120" w:after="120"/>
              <w:jc w:val="center"/>
              <w:rPr>
                <w:noProof/>
              </w:rPr>
            </w:pPr>
            <w:r>
              <w:rPr>
                <w:noProof/>
              </w:rPr>
              <w:t xml:space="preserve">374 400 </w:t>
            </w:r>
          </w:p>
        </w:tc>
        <w:tc>
          <w:tcPr>
            <w:tcW w:w="850" w:type="dxa"/>
            <w:shd w:val="clear" w:color="auto" w:fill="C6EFCE"/>
            <w:vAlign w:val="center"/>
          </w:tcPr>
          <w:p w14:paraId="2CB46BC0"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209674A0"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4704E9BA" w14:textId="77777777" w:rsidR="003F5418" w:rsidRDefault="002A6C25">
            <w:pPr>
              <w:pStyle w:val="P68B1DB1-Normal9"/>
              <w:spacing w:before="120" w:after="120"/>
              <w:rPr>
                <w:rFonts w:ascii="Arial Narrow" w:hAnsi="Arial Narrow"/>
                <w:noProof/>
              </w:rPr>
            </w:pPr>
            <w:r>
              <w:rPr>
                <w:rFonts w:ascii="Arial Narrow" w:hAnsi="Arial Narrow"/>
                <w:noProof/>
              </w:rPr>
              <w:t xml:space="preserve">Legalább évi 374400 szilícium-karbid szubsztrátum további termelési kapacitás megvalósítása. A cél kielégítő teljesítése attól is függ, hogy a további kapacitáshoz kapcsolódóan legalább 700 további embert </w:t>
            </w:r>
            <w:r>
              <w:rPr>
                <w:rFonts w:ascii="Arial Narrow" w:hAnsi="Arial Narrow"/>
                <w:noProof/>
              </w:rPr>
              <w:t>foglalkoztatnak-e.</w:t>
            </w:r>
          </w:p>
        </w:tc>
      </w:tr>
      <w:tr w:rsidR="003F5418" w14:paraId="04030EE0" w14:textId="77777777">
        <w:trPr>
          <w:trHeight w:val="315"/>
        </w:trPr>
        <w:tc>
          <w:tcPr>
            <w:tcW w:w="1424" w:type="dxa"/>
            <w:shd w:val="clear" w:color="auto" w:fill="C6EFCE"/>
            <w:vAlign w:val="center"/>
          </w:tcPr>
          <w:p w14:paraId="3FD30195" w14:textId="77777777" w:rsidR="003F5418" w:rsidRDefault="002A6C25">
            <w:pPr>
              <w:pStyle w:val="P68B1DB1-Normal4"/>
              <w:spacing w:before="120" w:after="120"/>
              <w:jc w:val="center"/>
              <w:rPr>
                <w:noProof/>
              </w:rPr>
            </w:pPr>
            <w:r>
              <w:rPr>
                <w:noProof/>
              </w:rPr>
              <w:t>M1C2–16</w:t>
            </w:r>
          </w:p>
        </w:tc>
        <w:tc>
          <w:tcPr>
            <w:tcW w:w="1578" w:type="dxa"/>
            <w:shd w:val="clear" w:color="auto" w:fill="C6EFCE"/>
            <w:vAlign w:val="center"/>
          </w:tcPr>
          <w:p w14:paraId="1CF084E7"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5227483D" w14:textId="77777777" w:rsidR="003F5418" w:rsidRDefault="002A6C25">
            <w:pPr>
              <w:pStyle w:val="P68B1DB1-Normal4"/>
              <w:spacing w:before="120" w:after="120"/>
              <w:jc w:val="center"/>
              <w:rPr>
                <w:noProof/>
              </w:rPr>
            </w:pPr>
            <w:r>
              <w:rPr>
                <w:noProof/>
              </w:rPr>
              <w:t>Mérföldkő</w:t>
            </w:r>
          </w:p>
        </w:tc>
        <w:tc>
          <w:tcPr>
            <w:tcW w:w="1329" w:type="dxa"/>
            <w:shd w:val="clear" w:color="auto" w:fill="C6EFCE"/>
            <w:vAlign w:val="center"/>
          </w:tcPr>
          <w:p w14:paraId="480B4073" w14:textId="77777777" w:rsidR="003F5418" w:rsidRDefault="002A6C25">
            <w:pPr>
              <w:pStyle w:val="P68B1DB1-Normal4"/>
              <w:spacing w:before="120" w:after="120"/>
              <w:jc w:val="center"/>
              <w:rPr>
                <w:noProof/>
              </w:rPr>
            </w:pPr>
            <w:r>
              <w:rPr>
                <w:noProof/>
              </w:rPr>
              <w:t>Az összes közbeszerzési szerződés odaítélése a gyorsabb csatlakozási projektek érdekében</w:t>
            </w:r>
          </w:p>
        </w:tc>
        <w:tc>
          <w:tcPr>
            <w:tcW w:w="1275" w:type="dxa"/>
            <w:shd w:val="clear" w:color="auto" w:fill="C6EFCE"/>
            <w:vAlign w:val="center"/>
          </w:tcPr>
          <w:p w14:paraId="72B45204" w14:textId="77777777" w:rsidR="003F5418" w:rsidRDefault="002A6C25">
            <w:pPr>
              <w:pStyle w:val="P68B1DB1-Normal4"/>
              <w:spacing w:before="120" w:after="120"/>
              <w:jc w:val="center"/>
              <w:rPr>
                <w:noProof/>
              </w:rPr>
            </w:pPr>
            <w:r>
              <w:rPr>
                <w:noProof/>
              </w:rPr>
              <w:t xml:space="preserve">Értesítés a gyorsabb csatlakozási projektekre vonatkozó valamennyi </w:t>
            </w:r>
            <w:r>
              <w:rPr>
                <w:noProof/>
              </w:rPr>
              <w:t>közbeszerzési szerződés odaítéléséről</w:t>
            </w:r>
          </w:p>
        </w:tc>
        <w:tc>
          <w:tcPr>
            <w:tcW w:w="1134" w:type="dxa"/>
            <w:shd w:val="clear" w:color="auto" w:fill="C6EFCE"/>
            <w:vAlign w:val="center"/>
          </w:tcPr>
          <w:p w14:paraId="0ABB6648" w14:textId="77777777" w:rsidR="003F5418" w:rsidRDefault="002A6C25">
            <w:pPr>
              <w:pStyle w:val="P68B1DB1-Normal4"/>
              <w:spacing w:before="120" w:after="120"/>
              <w:jc w:val="center"/>
              <w:rPr>
                <w:noProof/>
              </w:rPr>
            </w:pPr>
            <w:r>
              <w:rPr>
                <w:noProof/>
              </w:rPr>
              <w:t>NINCS</w:t>
            </w:r>
          </w:p>
        </w:tc>
        <w:tc>
          <w:tcPr>
            <w:tcW w:w="993" w:type="dxa"/>
            <w:shd w:val="clear" w:color="auto" w:fill="C6EFCE"/>
            <w:vAlign w:val="center"/>
          </w:tcPr>
          <w:p w14:paraId="524F9153" w14:textId="77777777" w:rsidR="003F5418" w:rsidRDefault="002A6C25">
            <w:pPr>
              <w:pStyle w:val="P68B1DB1-Normal4"/>
              <w:spacing w:before="120" w:after="120"/>
              <w:jc w:val="center"/>
              <w:rPr>
                <w:noProof/>
              </w:rPr>
            </w:pPr>
            <w:r>
              <w:rPr>
                <w:noProof/>
              </w:rPr>
              <w:t>NINCS</w:t>
            </w:r>
          </w:p>
        </w:tc>
        <w:tc>
          <w:tcPr>
            <w:tcW w:w="992" w:type="dxa"/>
            <w:shd w:val="clear" w:color="auto" w:fill="C6EFCE"/>
            <w:vAlign w:val="center"/>
          </w:tcPr>
          <w:p w14:paraId="51870DB2" w14:textId="77777777" w:rsidR="003F5418" w:rsidRDefault="002A6C25">
            <w:pPr>
              <w:pStyle w:val="P68B1DB1-Normal4"/>
              <w:spacing w:before="120" w:after="120"/>
              <w:jc w:val="center"/>
              <w:rPr>
                <w:noProof/>
              </w:rPr>
            </w:pPr>
            <w:r>
              <w:rPr>
                <w:noProof/>
              </w:rPr>
              <w:t>NINCS</w:t>
            </w:r>
          </w:p>
        </w:tc>
        <w:tc>
          <w:tcPr>
            <w:tcW w:w="850" w:type="dxa"/>
            <w:shd w:val="clear" w:color="auto" w:fill="C6EFCE"/>
            <w:vAlign w:val="center"/>
          </w:tcPr>
          <w:p w14:paraId="452538C2"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3FFF552D" w14:textId="77777777" w:rsidR="003F5418" w:rsidRDefault="002A6C25">
            <w:pPr>
              <w:pStyle w:val="P68B1DB1-Normal4"/>
              <w:spacing w:before="120" w:after="120"/>
              <w:jc w:val="center"/>
              <w:rPr>
                <w:noProof/>
              </w:rPr>
            </w:pPr>
            <w:r>
              <w:rPr>
                <w:noProof/>
              </w:rPr>
              <w:t>2022</w:t>
            </w:r>
          </w:p>
        </w:tc>
        <w:tc>
          <w:tcPr>
            <w:tcW w:w="3794" w:type="dxa"/>
            <w:shd w:val="clear" w:color="auto" w:fill="C6EFCE"/>
            <w:vAlign w:val="center"/>
          </w:tcPr>
          <w:p w14:paraId="41736C00" w14:textId="77777777" w:rsidR="003F5418" w:rsidRDefault="002A6C25">
            <w:pPr>
              <w:pStyle w:val="P68B1DB1-Normal4"/>
              <w:spacing w:before="120" w:after="120"/>
              <w:rPr>
                <w:noProof/>
              </w:rPr>
            </w:pPr>
            <w:r>
              <w:rPr>
                <w:noProof/>
              </w:rPr>
              <w:t>Értesítés a gyorsabb csatlakozási projektekre vonatkozó valamennyi közbeszerzési szerződés odaítéléséről, amelyek a következőkből állnak: i. „Italia az 1 giga”, ii. „Italia 5G”, iii. „összekap</w:t>
            </w:r>
            <w:r>
              <w:rPr>
                <w:noProof/>
              </w:rPr>
              <w:t>csolt iskolák”, iv. „összekapcsolt egészségügyi létesítmények”; és v. „összekapcsolt kisebb szigetek”.</w:t>
            </w:r>
          </w:p>
        </w:tc>
      </w:tr>
      <w:tr w:rsidR="003F5418" w14:paraId="2D05DBBA" w14:textId="77777777">
        <w:trPr>
          <w:trHeight w:val="315"/>
        </w:trPr>
        <w:tc>
          <w:tcPr>
            <w:tcW w:w="1424" w:type="dxa"/>
            <w:shd w:val="clear" w:color="auto" w:fill="C6EFCE"/>
            <w:vAlign w:val="center"/>
          </w:tcPr>
          <w:p w14:paraId="045E56CF" w14:textId="77777777" w:rsidR="003F5418" w:rsidRDefault="002A6C25">
            <w:pPr>
              <w:pStyle w:val="P68B1DB1-Normal4"/>
              <w:spacing w:before="120" w:after="120"/>
              <w:jc w:val="center"/>
              <w:rPr>
                <w:noProof/>
              </w:rPr>
            </w:pPr>
            <w:r>
              <w:rPr>
                <w:noProof/>
              </w:rPr>
              <w:t>M1C2–17</w:t>
            </w:r>
          </w:p>
        </w:tc>
        <w:tc>
          <w:tcPr>
            <w:tcW w:w="1578" w:type="dxa"/>
            <w:shd w:val="clear" w:color="auto" w:fill="C6EFCE"/>
            <w:vAlign w:val="center"/>
          </w:tcPr>
          <w:p w14:paraId="3234F5DA"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34C87DF1"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0A9466EA" w14:textId="77777777" w:rsidR="003F5418" w:rsidRDefault="002A6C25">
            <w:pPr>
              <w:pStyle w:val="P68B1DB1-Normal4"/>
              <w:spacing w:before="120" w:after="120"/>
              <w:jc w:val="center"/>
              <w:rPr>
                <w:noProof/>
              </w:rPr>
            </w:pPr>
            <w:r>
              <w:rPr>
                <w:noProof/>
              </w:rPr>
              <w:t>1 Gbps kapcsolattal biztosított házszámok</w:t>
            </w:r>
          </w:p>
        </w:tc>
        <w:tc>
          <w:tcPr>
            <w:tcW w:w="1275" w:type="dxa"/>
            <w:shd w:val="clear" w:color="auto" w:fill="C6EFCE"/>
            <w:vAlign w:val="center"/>
          </w:tcPr>
          <w:p w14:paraId="7A3CC2BF"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08080BE2"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37BC7F32"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55686D71" w14:textId="77777777" w:rsidR="003F5418" w:rsidRDefault="002A6C25">
            <w:pPr>
              <w:pStyle w:val="P68B1DB1-Normal4"/>
              <w:spacing w:before="120" w:after="120"/>
              <w:jc w:val="center"/>
              <w:rPr>
                <w:noProof/>
              </w:rPr>
            </w:pPr>
            <w:r>
              <w:rPr>
                <w:noProof/>
              </w:rPr>
              <w:t>3 400 000</w:t>
            </w:r>
          </w:p>
        </w:tc>
        <w:tc>
          <w:tcPr>
            <w:tcW w:w="850" w:type="dxa"/>
            <w:shd w:val="clear" w:color="auto" w:fill="C6EFCE"/>
            <w:vAlign w:val="center"/>
          </w:tcPr>
          <w:p w14:paraId="223B5E72"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5AA2FF73"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3A2EB5EB" w14:textId="77777777" w:rsidR="003F5418" w:rsidRDefault="002A6C25">
            <w:pPr>
              <w:pStyle w:val="P68B1DB1-Normal4"/>
              <w:rPr>
                <w:noProof/>
              </w:rPr>
            </w:pPr>
            <w:r>
              <w:rPr>
                <w:noProof/>
              </w:rPr>
              <w:t>Legalább</w:t>
            </w:r>
            <w:r>
              <w:rPr>
                <w:noProof/>
              </w:rPr>
              <w:t xml:space="preserve"> 3400000 további házszám (ebből legalább 450000 elszórt, azaz távoli területeken található háztartás), amelyek legalább 1 Gbps sebességű internetkapcsolattal rendelkeznek Fiber-to-home/épület (FTTH/B), vezeték nélküli helyhez kötött hozzáférés (FWA)</w:t>
            </w:r>
          </w:p>
        </w:tc>
      </w:tr>
      <w:tr w:rsidR="003F5418" w14:paraId="74C04433" w14:textId="77777777">
        <w:trPr>
          <w:trHeight w:val="315"/>
        </w:trPr>
        <w:tc>
          <w:tcPr>
            <w:tcW w:w="1424" w:type="dxa"/>
            <w:shd w:val="clear" w:color="auto" w:fill="C6EFCE"/>
            <w:vAlign w:val="center"/>
          </w:tcPr>
          <w:p w14:paraId="54CB42DD" w14:textId="77777777" w:rsidR="003F5418" w:rsidRDefault="002A6C25">
            <w:pPr>
              <w:pStyle w:val="P68B1DB1-Normal4"/>
              <w:spacing w:before="120" w:after="120"/>
              <w:jc w:val="center"/>
              <w:rPr>
                <w:noProof/>
              </w:rPr>
            </w:pPr>
            <w:r>
              <w:rPr>
                <w:noProof/>
              </w:rPr>
              <w:t>M1C2–18</w:t>
            </w:r>
          </w:p>
        </w:tc>
        <w:tc>
          <w:tcPr>
            <w:tcW w:w="1578" w:type="dxa"/>
            <w:shd w:val="clear" w:color="auto" w:fill="C6EFCE"/>
            <w:vAlign w:val="center"/>
          </w:tcPr>
          <w:p w14:paraId="14D0FF64"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30E25068"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75337EA5" w14:textId="77777777" w:rsidR="003F5418" w:rsidRDefault="002A6C25">
            <w:pPr>
              <w:pStyle w:val="P68B1DB1-Normal4"/>
              <w:spacing w:before="120" w:after="120"/>
              <w:jc w:val="center"/>
              <w:rPr>
                <w:noProof/>
              </w:rPr>
            </w:pPr>
            <w:r>
              <w:rPr>
                <w:noProof/>
              </w:rPr>
              <w:t>1 Gbps internetkapcsolattal rendelkező iskolaépületek és egészségügyi létesítmények</w:t>
            </w:r>
          </w:p>
        </w:tc>
        <w:tc>
          <w:tcPr>
            <w:tcW w:w="1275" w:type="dxa"/>
            <w:shd w:val="clear" w:color="auto" w:fill="C6EFCE"/>
            <w:vAlign w:val="center"/>
          </w:tcPr>
          <w:p w14:paraId="538E6A1D"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1989C336"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5512BEF0"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4B33F29A" w14:textId="77777777" w:rsidR="003F5418" w:rsidRDefault="002A6C25">
            <w:pPr>
              <w:pStyle w:val="P68B1DB1-Normal4"/>
              <w:spacing w:before="120" w:after="120"/>
              <w:jc w:val="center"/>
              <w:rPr>
                <w:noProof/>
              </w:rPr>
            </w:pPr>
            <w:r>
              <w:rPr>
                <w:noProof/>
              </w:rPr>
              <w:t>17 700</w:t>
            </w:r>
          </w:p>
        </w:tc>
        <w:tc>
          <w:tcPr>
            <w:tcW w:w="850" w:type="dxa"/>
            <w:shd w:val="clear" w:color="auto" w:fill="C6EFCE"/>
            <w:vAlign w:val="center"/>
          </w:tcPr>
          <w:p w14:paraId="22EEC9A0"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3DB9C422"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1AA6315C" w14:textId="77777777" w:rsidR="003F5418" w:rsidRDefault="002A6C25">
            <w:pPr>
              <w:pStyle w:val="P68B1DB1-Normal4"/>
              <w:spacing w:before="120" w:after="120"/>
              <w:rPr>
                <w:noProof/>
              </w:rPr>
            </w:pPr>
            <w:r>
              <w:rPr>
                <w:noProof/>
              </w:rPr>
              <w:t xml:space="preserve">Legalább 9000 további iskola és 8700 állami egészségügyi létesítmény </w:t>
            </w:r>
            <w:r>
              <w:rPr>
                <w:noProof/>
              </w:rPr>
              <w:t>legalább 1 Gbps sebességű internetkapcsolattal.</w:t>
            </w:r>
          </w:p>
        </w:tc>
      </w:tr>
      <w:tr w:rsidR="003F5418" w14:paraId="072F1C47" w14:textId="77777777">
        <w:trPr>
          <w:trHeight w:val="315"/>
        </w:trPr>
        <w:tc>
          <w:tcPr>
            <w:tcW w:w="1424" w:type="dxa"/>
            <w:shd w:val="clear" w:color="auto" w:fill="C6EFCE"/>
            <w:vAlign w:val="center"/>
          </w:tcPr>
          <w:p w14:paraId="0F05580F" w14:textId="77777777" w:rsidR="003F5418" w:rsidRDefault="002A6C25">
            <w:pPr>
              <w:pStyle w:val="P68B1DB1-Normal4"/>
              <w:spacing w:before="120" w:after="120"/>
              <w:jc w:val="center"/>
              <w:rPr>
                <w:noProof/>
              </w:rPr>
            </w:pPr>
            <w:r>
              <w:rPr>
                <w:noProof/>
              </w:rPr>
              <w:t>M1C2–19</w:t>
            </w:r>
          </w:p>
        </w:tc>
        <w:tc>
          <w:tcPr>
            <w:tcW w:w="1578" w:type="dxa"/>
            <w:shd w:val="clear" w:color="auto" w:fill="C6EFCE"/>
            <w:vAlign w:val="center"/>
          </w:tcPr>
          <w:p w14:paraId="5B0FF0EB"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0D9A4D6D"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73991135" w14:textId="77777777" w:rsidR="003F5418" w:rsidRDefault="002A6C25">
            <w:pPr>
              <w:pStyle w:val="P68B1DB1-Normal4"/>
              <w:spacing w:before="120" w:after="120"/>
              <w:jc w:val="center"/>
              <w:rPr>
                <w:noProof/>
              </w:rPr>
            </w:pPr>
            <w:r>
              <w:rPr>
                <w:noProof/>
              </w:rPr>
              <w:t>A szigetek ultraszéles sávú összeköttetéssel rendelkeznek</w:t>
            </w:r>
          </w:p>
        </w:tc>
        <w:tc>
          <w:tcPr>
            <w:tcW w:w="1275" w:type="dxa"/>
            <w:shd w:val="clear" w:color="auto" w:fill="C6EFCE"/>
            <w:vAlign w:val="center"/>
          </w:tcPr>
          <w:p w14:paraId="52360A73"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7E3BC2B4"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55A966EE"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5EDE95E5" w14:textId="77777777" w:rsidR="003F5418" w:rsidRDefault="002A6C25">
            <w:pPr>
              <w:pStyle w:val="P68B1DB1-Normal4"/>
              <w:spacing w:before="120" w:after="120"/>
              <w:jc w:val="center"/>
              <w:rPr>
                <w:noProof/>
              </w:rPr>
            </w:pPr>
            <w:r>
              <w:rPr>
                <w:noProof/>
              </w:rPr>
              <w:t>18</w:t>
            </w:r>
          </w:p>
        </w:tc>
        <w:tc>
          <w:tcPr>
            <w:tcW w:w="850" w:type="dxa"/>
            <w:shd w:val="clear" w:color="auto" w:fill="C6EFCE"/>
            <w:vAlign w:val="center"/>
          </w:tcPr>
          <w:p w14:paraId="1C295F70" w14:textId="77777777" w:rsidR="003F5418" w:rsidRDefault="002A6C25">
            <w:pPr>
              <w:pStyle w:val="P68B1DB1-Normal4"/>
              <w:spacing w:before="120" w:after="120"/>
              <w:jc w:val="center"/>
              <w:rPr>
                <w:noProof/>
              </w:rPr>
            </w:pPr>
            <w:r>
              <w:rPr>
                <w:noProof/>
              </w:rPr>
              <w:t>Q4</w:t>
            </w:r>
          </w:p>
        </w:tc>
        <w:tc>
          <w:tcPr>
            <w:tcW w:w="709" w:type="dxa"/>
            <w:shd w:val="clear" w:color="auto" w:fill="C6EFCE"/>
            <w:vAlign w:val="center"/>
          </w:tcPr>
          <w:p w14:paraId="7A3F1F14" w14:textId="77777777" w:rsidR="003F5418" w:rsidRDefault="002A6C25">
            <w:pPr>
              <w:pStyle w:val="P68B1DB1-Normal4"/>
              <w:spacing w:before="120" w:after="120"/>
              <w:jc w:val="center"/>
              <w:rPr>
                <w:noProof/>
              </w:rPr>
            </w:pPr>
            <w:r>
              <w:rPr>
                <w:noProof/>
              </w:rPr>
              <w:t>2024</w:t>
            </w:r>
          </w:p>
        </w:tc>
        <w:tc>
          <w:tcPr>
            <w:tcW w:w="3794" w:type="dxa"/>
            <w:shd w:val="clear" w:color="auto" w:fill="C6EFCE"/>
            <w:vAlign w:val="center"/>
          </w:tcPr>
          <w:p w14:paraId="629848D6" w14:textId="77777777" w:rsidR="003F5418" w:rsidRDefault="002A6C25">
            <w:pPr>
              <w:pStyle w:val="P68B1DB1-Normal4"/>
              <w:spacing w:before="120" w:after="120"/>
              <w:rPr>
                <w:noProof/>
              </w:rPr>
            </w:pPr>
            <w:r>
              <w:rPr>
                <w:noProof/>
              </w:rPr>
              <w:t xml:space="preserve">Legalább további 18 sziget rendelkezik szálas </w:t>
            </w:r>
            <w:r>
              <w:rPr>
                <w:noProof/>
              </w:rPr>
              <w:t>összeköttetéssel a kontinenssel, amelyek új optikai felhordók révén ultraszéles sávú összeköttetéssel rendelkeznek.</w:t>
            </w:r>
          </w:p>
        </w:tc>
      </w:tr>
      <w:tr w:rsidR="003F5418" w14:paraId="142F2B2A" w14:textId="77777777">
        <w:trPr>
          <w:trHeight w:val="315"/>
        </w:trPr>
        <w:tc>
          <w:tcPr>
            <w:tcW w:w="1424" w:type="dxa"/>
            <w:shd w:val="clear" w:color="auto" w:fill="C6EFCE"/>
            <w:vAlign w:val="center"/>
          </w:tcPr>
          <w:p w14:paraId="355C7DCD" w14:textId="77777777" w:rsidR="003F5418" w:rsidRDefault="002A6C25">
            <w:pPr>
              <w:pStyle w:val="P68B1DB1-Normal4"/>
              <w:spacing w:before="120" w:after="120"/>
              <w:jc w:val="center"/>
              <w:rPr>
                <w:noProof/>
              </w:rPr>
            </w:pPr>
            <w:r>
              <w:rPr>
                <w:noProof/>
              </w:rPr>
              <w:t>M1C2–20</w:t>
            </w:r>
          </w:p>
        </w:tc>
        <w:tc>
          <w:tcPr>
            <w:tcW w:w="1578" w:type="dxa"/>
            <w:shd w:val="clear" w:color="auto" w:fill="C6EFCE"/>
            <w:vAlign w:val="center"/>
          </w:tcPr>
          <w:p w14:paraId="3852E92E"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5FC85D08"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24A5D526" w14:textId="77777777" w:rsidR="003F5418" w:rsidRDefault="002A6C25">
            <w:pPr>
              <w:pStyle w:val="P68B1DB1-Normal4"/>
              <w:spacing w:before="120" w:after="120"/>
              <w:jc w:val="center"/>
              <w:rPr>
                <w:noProof/>
              </w:rPr>
            </w:pPr>
            <w:r>
              <w:rPr>
                <w:noProof/>
              </w:rPr>
              <w:t>5G lefedettséggel lehetővé tett városon kívüli utak és folyosók</w:t>
            </w:r>
          </w:p>
        </w:tc>
        <w:tc>
          <w:tcPr>
            <w:tcW w:w="1275" w:type="dxa"/>
            <w:shd w:val="clear" w:color="auto" w:fill="C6EFCE"/>
            <w:vAlign w:val="center"/>
          </w:tcPr>
          <w:p w14:paraId="08EED319"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4D2513B6"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22721EB6"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0F10EDAF" w14:textId="77777777" w:rsidR="003F5418" w:rsidRDefault="002A6C25">
            <w:pPr>
              <w:pStyle w:val="P68B1DB1-Normal4"/>
              <w:spacing w:before="120" w:after="160" w:line="257" w:lineRule="auto"/>
              <w:jc w:val="center"/>
              <w:rPr>
                <w:noProof/>
              </w:rPr>
            </w:pPr>
            <w:r>
              <w:rPr>
                <w:noProof/>
              </w:rPr>
              <w:t>12 600</w:t>
            </w:r>
          </w:p>
        </w:tc>
        <w:tc>
          <w:tcPr>
            <w:tcW w:w="850" w:type="dxa"/>
            <w:shd w:val="clear" w:color="auto" w:fill="C6EFCE"/>
            <w:vAlign w:val="center"/>
          </w:tcPr>
          <w:p w14:paraId="177B0395"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654516A9"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26833FB1" w14:textId="77777777" w:rsidR="003F5418" w:rsidRDefault="002A6C25">
            <w:pPr>
              <w:pStyle w:val="P68B1DB1-Normal4"/>
              <w:spacing w:before="120" w:after="120"/>
              <w:rPr>
                <w:noProof/>
              </w:rPr>
            </w:pPr>
            <w:r>
              <w:rPr>
                <w:noProof/>
              </w:rPr>
              <w:t>Legalább további 12 600 km városon kívüli út és folyosó 5G lefedettséggel.</w:t>
            </w:r>
          </w:p>
        </w:tc>
      </w:tr>
      <w:tr w:rsidR="003F5418" w14:paraId="4F059470" w14:textId="77777777">
        <w:trPr>
          <w:trHeight w:val="315"/>
        </w:trPr>
        <w:tc>
          <w:tcPr>
            <w:tcW w:w="1424" w:type="dxa"/>
            <w:shd w:val="clear" w:color="auto" w:fill="C6EFCE"/>
            <w:vAlign w:val="center"/>
          </w:tcPr>
          <w:p w14:paraId="7097B722" w14:textId="77777777" w:rsidR="003F5418" w:rsidRDefault="002A6C25">
            <w:pPr>
              <w:pStyle w:val="P68B1DB1-Normal4"/>
              <w:spacing w:before="120" w:after="120"/>
              <w:jc w:val="center"/>
              <w:rPr>
                <w:noProof/>
              </w:rPr>
            </w:pPr>
            <w:r>
              <w:rPr>
                <w:noProof/>
              </w:rPr>
              <w:t>M1C2–21</w:t>
            </w:r>
          </w:p>
        </w:tc>
        <w:tc>
          <w:tcPr>
            <w:tcW w:w="1578" w:type="dxa"/>
            <w:shd w:val="clear" w:color="auto" w:fill="C6EFCE"/>
            <w:vAlign w:val="center"/>
          </w:tcPr>
          <w:p w14:paraId="07597B22" w14:textId="77777777" w:rsidR="003F5418" w:rsidRDefault="002A6C25">
            <w:pPr>
              <w:pStyle w:val="P68B1DB1-Normal4"/>
              <w:spacing w:before="120" w:after="120"/>
              <w:jc w:val="center"/>
              <w:rPr>
                <w:noProof/>
              </w:rPr>
            </w:pPr>
            <w:r>
              <w:rPr>
                <w:noProof/>
              </w:rPr>
              <w:t>Beruházás: Gyors internetkapcsolat (Ultra-Broadband és 5G)</w:t>
            </w:r>
          </w:p>
        </w:tc>
        <w:tc>
          <w:tcPr>
            <w:tcW w:w="1078" w:type="dxa"/>
            <w:shd w:val="clear" w:color="auto" w:fill="C6EFCE"/>
            <w:vAlign w:val="center"/>
          </w:tcPr>
          <w:p w14:paraId="0ED56A7F"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2C6344E2" w14:textId="77777777" w:rsidR="003F5418" w:rsidRDefault="002A6C25">
            <w:pPr>
              <w:pStyle w:val="P68B1DB1-Normal4"/>
              <w:spacing w:before="120" w:after="120"/>
              <w:jc w:val="center"/>
              <w:rPr>
                <w:noProof/>
              </w:rPr>
            </w:pPr>
            <w:r>
              <w:rPr>
                <w:noProof/>
              </w:rPr>
              <w:t>Az 5G lefedettséggel lehetővé tett piaci hiányosságok által érintett területek</w:t>
            </w:r>
          </w:p>
        </w:tc>
        <w:tc>
          <w:tcPr>
            <w:tcW w:w="1275" w:type="dxa"/>
            <w:shd w:val="clear" w:color="auto" w:fill="C6EFCE"/>
            <w:vAlign w:val="center"/>
          </w:tcPr>
          <w:p w14:paraId="77565529"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460DF58A"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20917B7D"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083B2169" w14:textId="77777777" w:rsidR="003F5418" w:rsidRDefault="002A6C25">
            <w:pPr>
              <w:pStyle w:val="P68B1DB1-Normal4"/>
              <w:spacing w:before="120" w:after="120"/>
              <w:jc w:val="center"/>
              <w:rPr>
                <w:noProof/>
              </w:rPr>
            </w:pPr>
            <w:r>
              <w:rPr>
                <w:noProof/>
              </w:rPr>
              <w:t>1 400</w:t>
            </w:r>
          </w:p>
        </w:tc>
        <w:tc>
          <w:tcPr>
            <w:tcW w:w="850" w:type="dxa"/>
            <w:shd w:val="clear" w:color="auto" w:fill="C6EFCE"/>
            <w:vAlign w:val="center"/>
          </w:tcPr>
          <w:p w14:paraId="5F7D790F"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6B9A0BF7"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0FC9E291" w14:textId="77777777" w:rsidR="003F5418" w:rsidRDefault="002A6C25">
            <w:pPr>
              <w:pStyle w:val="P68B1DB1-Normal4"/>
              <w:spacing w:before="120" w:after="120"/>
              <w:rPr>
                <w:noProof/>
              </w:rPr>
            </w:pPr>
            <w:r>
              <w:rPr>
                <w:noProof/>
              </w:rPr>
              <w:t>Legalább további 1400 négyzetkilométernyi, 5G lefedettséggel rendelkező, piaci hiányossággal rendelkező lakott terület, amelyből legalább 500 négyzetkilométer 5G lefedettséggel rendelkezik.</w:t>
            </w:r>
          </w:p>
        </w:tc>
      </w:tr>
      <w:tr w:rsidR="003F5418" w14:paraId="158C688E" w14:textId="77777777">
        <w:trPr>
          <w:trHeight w:val="315"/>
        </w:trPr>
        <w:tc>
          <w:tcPr>
            <w:tcW w:w="1424" w:type="dxa"/>
            <w:shd w:val="clear" w:color="auto" w:fill="C6EFCE"/>
            <w:vAlign w:val="center"/>
          </w:tcPr>
          <w:p w14:paraId="241C7CA2" w14:textId="77777777" w:rsidR="003F5418" w:rsidRDefault="002A6C25">
            <w:pPr>
              <w:pStyle w:val="P68B1DB1-Normal4"/>
              <w:spacing w:before="120" w:after="120"/>
              <w:jc w:val="center"/>
              <w:rPr>
                <w:noProof/>
              </w:rPr>
            </w:pPr>
            <w:r>
              <w:rPr>
                <w:noProof/>
              </w:rPr>
              <w:t>M1C2–22</w:t>
            </w:r>
          </w:p>
        </w:tc>
        <w:tc>
          <w:tcPr>
            <w:tcW w:w="1578" w:type="dxa"/>
            <w:shd w:val="clear" w:color="auto" w:fill="C6EFCE"/>
            <w:vAlign w:val="center"/>
          </w:tcPr>
          <w:p w14:paraId="73E61490" w14:textId="77777777" w:rsidR="003F5418" w:rsidRDefault="002A6C25">
            <w:pPr>
              <w:pStyle w:val="P68B1DB1-Normal4"/>
              <w:spacing w:before="120" w:after="120"/>
              <w:jc w:val="center"/>
              <w:rPr>
                <w:noProof/>
              </w:rPr>
            </w:pPr>
            <w:r>
              <w:rPr>
                <w:noProof/>
              </w:rPr>
              <w:t xml:space="preserve">Beruházás: Műholdas </w:t>
            </w:r>
            <w:r>
              <w:rPr>
                <w:noProof/>
              </w:rPr>
              <w:t>technológia és űrgazdaság</w:t>
            </w:r>
          </w:p>
        </w:tc>
        <w:tc>
          <w:tcPr>
            <w:tcW w:w="1078" w:type="dxa"/>
            <w:shd w:val="clear" w:color="auto" w:fill="C6EFCE"/>
            <w:vAlign w:val="center"/>
          </w:tcPr>
          <w:p w14:paraId="5CAFBD9D" w14:textId="77777777" w:rsidR="003F5418" w:rsidRDefault="002A6C25">
            <w:pPr>
              <w:pStyle w:val="P68B1DB1-Normal4"/>
              <w:spacing w:before="120" w:after="120"/>
              <w:jc w:val="center"/>
              <w:rPr>
                <w:noProof/>
              </w:rPr>
            </w:pPr>
            <w:r>
              <w:rPr>
                <w:noProof/>
              </w:rPr>
              <w:t>Mérföldkő</w:t>
            </w:r>
          </w:p>
        </w:tc>
        <w:tc>
          <w:tcPr>
            <w:tcW w:w="1329" w:type="dxa"/>
            <w:shd w:val="clear" w:color="auto" w:fill="C6EFCE"/>
            <w:vAlign w:val="center"/>
          </w:tcPr>
          <w:p w14:paraId="5D0A200D" w14:textId="77777777" w:rsidR="003F5418" w:rsidRDefault="002A6C25">
            <w:pPr>
              <w:pStyle w:val="P68B1DB1-Normal4"/>
              <w:spacing w:before="120" w:after="120"/>
              <w:jc w:val="center"/>
              <w:rPr>
                <w:noProof/>
              </w:rPr>
            </w:pPr>
            <w:r>
              <w:rPr>
                <w:noProof/>
              </w:rPr>
              <w:t>A műholdas technológiai és űrprojektekre vonatkozó valamennyi közbeszerzési szerződés odaítélése</w:t>
            </w:r>
          </w:p>
        </w:tc>
        <w:tc>
          <w:tcPr>
            <w:tcW w:w="1275" w:type="dxa"/>
            <w:shd w:val="clear" w:color="auto" w:fill="C6EFCE"/>
            <w:vAlign w:val="center"/>
          </w:tcPr>
          <w:p w14:paraId="687C81C4" w14:textId="77777777" w:rsidR="003F5418" w:rsidRDefault="002A6C25">
            <w:pPr>
              <w:pStyle w:val="P68B1DB1-Normal4"/>
              <w:spacing w:before="120" w:after="120"/>
              <w:jc w:val="center"/>
              <w:rPr>
                <w:noProof/>
              </w:rPr>
            </w:pPr>
            <w:r>
              <w:rPr>
                <w:noProof/>
              </w:rPr>
              <w:t>Értesítés a műholdas technológiai és űrprojektekre vonatkozó valamennyi közbeszerzési szerződés odaítéléséről</w:t>
            </w:r>
          </w:p>
        </w:tc>
        <w:tc>
          <w:tcPr>
            <w:tcW w:w="1134" w:type="dxa"/>
            <w:shd w:val="clear" w:color="auto" w:fill="C6EFCE"/>
            <w:vAlign w:val="center"/>
          </w:tcPr>
          <w:p w14:paraId="0B8B1D63" w14:textId="77777777" w:rsidR="003F5418" w:rsidRDefault="002A6C25">
            <w:pPr>
              <w:pStyle w:val="P68B1DB1-Normal4"/>
              <w:spacing w:before="120" w:after="120"/>
              <w:jc w:val="center"/>
              <w:rPr>
                <w:noProof/>
              </w:rPr>
            </w:pPr>
            <w:r>
              <w:rPr>
                <w:noProof/>
              </w:rPr>
              <w:t>NINCS</w:t>
            </w:r>
          </w:p>
        </w:tc>
        <w:tc>
          <w:tcPr>
            <w:tcW w:w="993" w:type="dxa"/>
            <w:shd w:val="clear" w:color="auto" w:fill="C6EFCE"/>
            <w:vAlign w:val="center"/>
          </w:tcPr>
          <w:p w14:paraId="72F328FE" w14:textId="77777777" w:rsidR="003F5418" w:rsidRDefault="002A6C25">
            <w:pPr>
              <w:pStyle w:val="P68B1DB1-Normal4"/>
              <w:spacing w:before="120" w:after="120"/>
              <w:jc w:val="center"/>
              <w:rPr>
                <w:noProof/>
              </w:rPr>
            </w:pPr>
            <w:r>
              <w:rPr>
                <w:noProof/>
              </w:rPr>
              <w:t>NINCS</w:t>
            </w:r>
          </w:p>
        </w:tc>
        <w:tc>
          <w:tcPr>
            <w:tcW w:w="992" w:type="dxa"/>
            <w:shd w:val="clear" w:color="auto" w:fill="C6EFCE"/>
            <w:vAlign w:val="center"/>
          </w:tcPr>
          <w:p w14:paraId="757883CB" w14:textId="77777777" w:rsidR="003F5418" w:rsidRDefault="002A6C25">
            <w:pPr>
              <w:pStyle w:val="P68B1DB1-Normal4"/>
              <w:spacing w:before="120" w:after="120"/>
              <w:jc w:val="center"/>
              <w:rPr>
                <w:noProof/>
              </w:rPr>
            </w:pPr>
            <w:r>
              <w:rPr>
                <w:noProof/>
              </w:rPr>
              <w:t>NINCS</w:t>
            </w:r>
          </w:p>
        </w:tc>
        <w:tc>
          <w:tcPr>
            <w:tcW w:w="850" w:type="dxa"/>
            <w:shd w:val="clear" w:color="auto" w:fill="C6EFCE"/>
            <w:vAlign w:val="center"/>
          </w:tcPr>
          <w:p w14:paraId="2B64F5C3" w14:textId="77777777" w:rsidR="003F5418" w:rsidRDefault="002A6C25">
            <w:pPr>
              <w:pStyle w:val="P68B1DB1-Normal4"/>
              <w:spacing w:before="120" w:after="120"/>
              <w:jc w:val="center"/>
              <w:rPr>
                <w:noProof/>
              </w:rPr>
            </w:pPr>
            <w:r>
              <w:rPr>
                <w:noProof/>
              </w:rPr>
              <w:t>Q1</w:t>
            </w:r>
          </w:p>
        </w:tc>
        <w:tc>
          <w:tcPr>
            <w:tcW w:w="709" w:type="dxa"/>
            <w:shd w:val="clear" w:color="auto" w:fill="C6EFCE"/>
            <w:vAlign w:val="center"/>
          </w:tcPr>
          <w:p w14:paraId="5B350CC9" w14:textId="77777777" w:rsidR="003F5418" w:rsidRDefault="002A6C25">
            <w:pPr>
              <w:pStyle w:val="P68B1DB1-Normal4"/>
              <w:spacing w:before="120" w:after="120"/>
              <w:jc w:val="center"/>
              <w:rPr>
                <w:noProof/>
              </w:rPr>
            </w:pPr>
            <w:r>
              <w:rPr>
                <w:noProof/>
              </w:rPr>
              <w:t>2023</w:t>
            </w:r>
          </w:p>
        </w:tc>
        <w:tc>
          <w:tcPr>
            <w:tcW w:w="3794" w:type="dxa"/>
            <w:shd w:val="clear" w:color="auto" w:fill="C6EFCE"/>
            <w:vAlign w:val="center"/>
          </w:tcPr>
          <w:p w14:paraId="1D3857C9" w14:textId="77777777" w:rsidR="003F5418" w:rsidRDefault="002A6C25">
            <w:pPr>
              <w:pStyle w:val="P68B1DB1-Normal4"/>
              <w:spacing w:before="120" w:after="120"/>
              <w:rPr>
                <w:noProof/>
              </w:rPr>
            </w:pPr>
            <w:r>
              <w:rPr>
                <w:noProof/>
              </w:rPr>
              <w:t>Értesítés a műholdas technológiai és űrprojektekre vonatkozó valamennyi közbeszerzési szerződés odaítéléséről, amelyek a következőkből állnak: i. Satcom, ii. Föld-megfigyelés, iii. űripari üzem és iv. keringési pályán alapuló gazdaság.</w:t>
            </w:r>
          </w:p>
        </w:tc>
      </w:tr>
      <w:tr w:rsidR="003F5418" w14:paraId="5A7FFFE4" w14:textId="77777777">
        <w:trPr>
          <w:trHeight w:val="315"/>
        </w:trPr>
        <w:tc>
          <w:tcPr>
            <w:tcW w:w="1424" w:type="dxa"/>
            <w:shd w:val="clear" w:color="auto" w:fill="C6EFCE"/>
            <w:vAlign w:val="center"/>
          </w:tcPr>
          <w:p w14:paraId="4693BB58" w14:textId="77777777" w:rsidR="003F5418" w:rsidRDefault="002A6C25">
            <w:pPr>
              <w:pStyle w:val="P68B1DB1-Normal4"/>
              <w:spacing w:before="120" w:after="120"/>
              <w:jc w:val="center"/>
              <w:rPr>
                <w:noProof/>
              </w:rPr>
            </w:pPr>
            <w:r>
              <w:rPr>
                <w:noProof/>
              </w:rPr>
              <w:t>M1C2–23</w:t>
            </w:r>
          </w:p>
        </w:tc>
        <w:tc>
          <w:tcPr>
            <w:tcW w:w="1578" w:type="dxa"/>
            <w:shd w:val="clear" w:color="auto" w:fill="C6EFCE"/>
            <w:vAlign w:val="center"/>
          </w:tcPr>
          <w:p w14:paraId="2C86FBCE" w14:textId="77777777" w:rsidR="003F5418" w:rsidRDefault="002A6C25">
            <w:pPr>
              <w:pStyle w:val="P68B1DB1-Normal4"/>
              <w:spacing w:before="120" w:after="120"/>
              <w:jc w:val="center"/>
              <w:rPr>
                <w:noProof/>
              </w:rPr>
            </w:pPr>
            <w:r>
              <w:rPr>
                <w:noProof/>
              </w:rPr>
              <w:t>Beruházás: Műholdas technológia és űrgazdaság</w:t>
            </w:r>
          </w:p>
        </w:tc>
        <w:tc>
          <w:tcPr>
            <w:tcW w:w="1078" w:type="dxa"/>
            <w:shd w:val="clear" w:color="auto" w:fill="C6EFCE"/>
            <w:vAlign w:val="center"/>
          </w:tcPr>
          <w:p w14:paraId="5176E9B3"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59F04607" w14:textId="77777777" w:rsidR="003F5418" w:rsidRDefault="002A6C25">
            <w:pPr>
              <w:pStyle w:val="P68B1DB1-Normal4"/>
              <w:spacing w:before="120" w:after="120"/>
              <w:jc w:val="center"/>
              <w:rPr>
                <w:noProof/>
              </w:rPr>
            </w:pPr>
            <w:r>
              <w:rPr>
                <w:noProof/>
              </w:rPr>
              <w:t>Földi teleszkópok, működő SST-központ, űrgyár és folyékony meghajtó demonstrátor telepítése</w:t>
            </w:r>
          </w:p>
        </w:tc>
        <w:tc>
          <w:tcPr>
            <w:tcW w:w="1275" w:type="dxa"/>
            <w:shd w:val="clear" w:color="auto" w:fill="C6EFCE"/>
            <w:vAlign w:val="center"/>
          </w:tcPr>
          <w:p w14:paraId="71BB57C0"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3B225F74"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30B4C4FA"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21F56A83" w14:textId="77777777" w:rsidR="003F5418" w:rsidRDefault="002A6C25">
            <w:pPr>
              <w:pStyle w:val="P68B1DB1-Normal4"/>
              <w:spacing w:before="120" w:after="120"/>
              <w:jc w:val="center"/>
              <w:rPr>
                <w:noProof/>
              </w:rPr>
            </w:pPr>
            <w:r>
              <w:rPr>
                <w:noProof/>
              </w:rPr>
              <w:t>6</w:t>
            </w:r>
          </w:p>
        </w:tc>
        <w:tc>
          <w:tcPr>
            <w:tcW w:w="850" w:type="dxa"/>
            <w:shd w:val="clear" w:color="auto" w:fill="C6EFCE"/>
            <w:vAlign w:val="center"/>
          </w:tcPr>
          <w:p w14:paraId="5F03E633"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33A31EBA"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13DE8423" w14:textId="77777777" w:rsidR="003F5418" w:rsidRDefault="002A6C25">
            <w:pPr>
              <w:pStyle w:val="P68B1DB1-Normal4"/>
              <w:spacing w:before="120" w:after="120"/>
              <w:rPr>
                <w:noProof/>
              </w:rPr>
            </w:pPr>
            <w:r>
              <w:rPr>
                <w:noProof/>
              </w:rPr>
              <w:t>Legalább három további nagy</w:t>
            </w:r>
            <w:r>
              <w:rPr>
                <w:noProof/>
              </w:rPr>
              <w:t xml:space="preserve"> teljesítményű teleszkóp, amely alkalmas az űrobjektumok azonosítására, egy működő űrmegfigyelési és nyomon követési (SST) központ (az űrszemét megfigyelésének és nyomon követésének hálózata), egy űripari üzem (a kis műholdak gyártására, összeszerelésére, </w:t>
            </w:r>
            <w:r>
              <w:rPr>
                <w:noProof/>
              </w:rPr>
              <w:t>integrálására és tesztelésére szolgáló integrált vonalak [M-AIT]), egy folyékony meghajtó-demonstrátor a telepített hordozórakéták új generációja számára.</w:t>
            </w:r>
          </w:p>
        </w:tc>
      </w:tr>
      <w:tr w:rsidR="003F5418" w14:paraId="0874E3B1" w14:textId="77777777">
        <w:trPr>
          <w:trHeight w:val="315"/>
        </w:trPr>
        <w:tc>
          <w:tcPr>
            <w:tcW w:w="1424" w:type="dxa"/>
            <w:shd w:val="clear" w:color="auto" w:fill="C6EFCE"/>
            <w:vAlign w:val="center"/>
          </w:tcPr>
          <w:p w14:paraId="7B88AB1C" w14:textId="77777777" w:rsidR="003F5418" w:rsidRDefault="002A6C25">
            <w:pPr>
              <w:pStyle w:val="P68B1DB1-Normal4"/>
              <w:spacing w:before="120" w:after="120"/>
              <w:jc w:val="center"/>
              <w:rPr>
                <w:noProof/>
              </w:rPr>
            </w:pPr>
            <w:r>
              <w:rPr>
                <w:noProof/>
              </w:rPr>
              <w:t>M1C2–24</w:t>
            </w:r>
          </w:p>
        </w:tc>
        <w:tc>
          <w:tcPr>
            <w:tcW w:w="1578" w:type="dxa"/>
            <w:shd w:val="clear" w:color="auto" w:fill="C6EFCE"/>
            <w:vAlign w:val="center"/>
          </w:tcPr>
          <w:p w14:paraId="451956D8" w14:textId="77777777" w:rsidR="003F5418" w:rsidRDefault="002A6C25">
            <w:pPr>
              <w:pStyle w:val="P68B1DB1-Normal4"/>
              <w:spacing w:before="120" w:after="120"/>
              <w:jc w:val="center"/>
              <w:rPr>
                <w:rFonts w:eastAsia="Calibri"/>
                <w:noProof/>
              </w:rPr>
            </w:pPr>
            <w:r>
              <w:rPr>
                <w:noProof/>
              </w:rPr>
              <w:t>Beruházás: Műholdas technológia és űrgazdaság</w:t>
            </w:r>
          </w:p>
        </w:tc>
        <w:tc>
          <w:tcPr>
            <w:tcW w:w="1078" w:type="dxa"/>
            <w:shd w:val="clear" w:color="auto" w:fill="C6EFCE"/>
            <w:vAlign w:val="center"/>
          </w:tcPr>
          <w:p w14:paraId="7825781A"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507D8344" w14:textId="77777777" w:rsidR="003F5418" w:rsidRDefault="002A6C25">
            <w:pPr>
              <w:pStyle w:val="P68B1DB1-Normal4"/>
              <w:spacing w:before="120" w:after="120"/>
              <w:jc w:val="center"/>
              <w:rPr>
                <w:noProof/>
              </w:rPr>
            </w:pPr>
            <w:r>
              <w:rPr>
                <w:noProof/>
              </w:rPr>
              <w:t xml:space="preserve">Telepített konstellációk vagy </w:t>
            </w:r>
            <w:r>
              <w:rPr>
                <w:noProof/>
              </w:rPr>
              <w:t>konstellációk koncepciójának igazolása</w:t>
            </w:r>
          </w:p>
        </w:tc>
        <w:tc>
          <w:tcPr>
            <w:tcW w:w="1275" w:type="dxa"/>
            <w:shd w:val="clear" w:color="auto" w:fill="C6EFCE"/>
            <w:vAlign w:val="center"/>
          </w:tcPr>
          <w:p w14:paraId="7A21B16C"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79A087BF"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1E84B2FC"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63D3261E" w14:textId="77777777" w:rsidR="003F5418" w:rsidRDefault="002A6C25">
            <w:pPr>
              <w:pStyle w:val="P68B1DB1-Normal4"/>
              <w:spacing w:before="120" w:after="120"/>
              <w:jc w:val="center"/>
              <w:rPr>
                <w:noProof/>
              </w:rPr>
            </w:pPr>
            <w:r>
              <w:rPr>
                <w:noProof/>
              </w:rPr>
              <w:t>2</w:t>
            </w:r>
          </w:p>
        </w:tc>
        <w:tc>
          <w:tcPr>
            <w:tcW w:w="850" w:type="dxa"/>
            <w:shd w:val="clear" w:color="auto" w:fill="C6EFCE"/>
            <w:vAlign w:val="center"/>
          </w:tcPr>
          <w:p w14:paraId="366A2C0F"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22290927"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1B50DE82" w14:textId="77777777" w:rsidR="003F5418" w:rsidRDefault="002A6C25">
            <w:pPr>
              <w:pStyle w:val="P68B1DB1-Normal4"/>
              <w:spacing w:before="120" w:after="120"/>
              <w:rPr>
                <w:noProof/>
              </w:rPr>
            </w:pPr>
            <w:r>
              <w:rPr>
                <w:noProof/>
              </w:rPr>
              <w:t>Legalább két további konstelláció vagy a Satcom és Föld-megfigyelési kezdeményezések keretében telepített konstellációk koncepciójának igazolása</w:t>
            </w:r>
          </w:p>
        </w:tc>
      </w:tr>
      <w:tr w:rsidR="003F5418" w14:paraId="1BD242C7" w14:textId="77777777">
        <w:trPr>
          <w:trHeight w:val="315"/>
        </w:trPr>
        <w:tc>
          <w:tcPr>
            <w:tcW w:w="1424" w:type="dxa"/>
            <w:shd w:val="clear" w:color="auto" w:fill="C6EFCE"/>
            <w:vAlign w:val="center"/>
          </w:tcPr>
          <w:p w14:paraId="074FB533" w14:textId="77777777" w:rsidR="003F5418" w:rsidRDefault="002A6C25">
            <w:pPr>
              <w:pStyle w:val="P68B1DB1-Normal4"/>
              <w:spacing w:before="120" w:after="120"/>
              <w:jc w:val="center"/>
              <w:rPr>
                <w:noProof/>
              </w:rPr>
            </w:pPr>
            <w:r>
              <w:rPr>
                <w:noProof/>
              </w:rPr>
              <w:t>M1C2–25</w:t>
            </w:r>
          </w:p>
        </w:tc>
        <w:tc>
          <w:tcPr>
            <w:tcW w:w="1578" w:type="dxa"/>
            <w:shd w:val="clear" w:color="auto" w:fill="C6EFCE"/>
            <w:vAlign w:val="center"/>
          </w:tcPr>
          <w:p w14:paraId="17E72C56" w14:textId="77777777" w:rsidR="003F5418" w:rsidRDefault="002A6C25">
            <w:pPr>
              <w:pStyle w:val="P68B1DB1-Normal4"/>
              <w:spacing w:before="120" w:after="120"/>
              <w:jc w:val="center"/>
              <w:rPr>
                <w:rFonts w:eastAsia="Calibri"/>
                <w:noProof/>
              </w:rPr>
            </w:pPr>
            <w:r>
              <w:rPr>
                <w:noProof/>
              </w:rPr>
              <w:t xml:space="preserve">Beruházás: Műholdas technológia és </w:t>
            </w:r>
            <w:r>
              <w:rPr>
                <w:noProof/>
              </w:rPr>
              <w:t>űrgazdaság</w:t>
            </w:r>
          </w:p>
        </w:tc>
        <w:tc>
          <w:tcPr>
            <w:tcW w:w="1078" w:type="dxa"/>
            <w:shd w:val="clear" w:color="auto" w:fill="C6EFCE"/>
            <w:vAlign w:val="center"/>
          </w:tcPr>
          <w:p w14:paraId="1A9CABAC"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0772A374" w14:textId="77777777" w:rsidR="003F5418" w:rsidRDefault="002A6C25">
            <w:pPr>
              <w:pStyle w:val="P68B1DB1-Normal4"/>
              <w:spacing w:before="120" w:after="120"/>
              <w:jc w:val="center"/>
              <w:rPr>
                <w:noProof/>
              </w:rPr>
            </w:pPr>
            <w:r>
              <w:rPr>
                <w:noProof/>
              </w:rPr>
              <w:t>Közigazgatási szervek részére nyújtott szolgáltatások</w:t>
            </w:r>
          </w:p>
        </w:tc>
        <w:tc>
          <w:tcPr>
            <w:tcW w:w="1275" w:type="dxa"/>
            <w:shd w:val="clear" w:color="auto" w:fill="C6EFCE"/>
            <w:vAlign w:val="center"/>
          </w:tcPr>
          <w:p w14:paraId="53F554EF"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05C82CB8"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6B6844CA"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1A23F132" w14:textId="77777777" w:rsidR="003F5418" w:rsidRDefault="002A6C25">
            <w:pPr>
              <w:pStyle w:val="P68B1DB1-Normal4"/>
              <w:spacing w:before="120" w:after="120"/>
              <w:jc w:val="center"/>
              <w:rPr>
                <w:noProof/>
              </w:rPr>
            </w:pPr>
            <w:r>
              <w:rPr>
                <w:noProof/>
              </w:rPr>
              <w:t>8</w:t>
            </w:r>
          </w:p>
        </w:tc>
        <w:tc>
          <w:tcPr>
            <w:tcW w:w="850" w:type="dxa"/>
            <w:shd w:val="clear" w:color="auto" w:fill="C6EFCE"/>
            <w:vAlign w:val="center"/>
          </w:tcPr>
          <w:p w14:paraId="6FE8CFB9" w14:textId="77777777" w:rsidR="003F5418" w:rsidRDefault="002A6C25">
            <w:pPr>
              <w:pStyle w:val="P68B1DB1-Normal4"/>
              <w:spacing w:before="120" w:after="120"/>
              <w:jc w:val="center"/>
              <w:rPr>
                <w:noProof/>
              </w:rPr>
            </w:pPr>
            <w:r>
              <w:rPr>
                <w:noProof/>
              </w:rPr>
              <w:t>Q2</w:t>
            </w:r>
          </w:p>
        </w:tc>
        <w:tc>
          <w:tcPr>
            <w:tcW w:w="709" w:type="dxa"/>
            <w:shd w:val="clear" w:color="auto" w:fill="C6EFCE"/>
            <w:vAlign w:val="center"/>
          </w:tcPr>
          <w:p w14:paraId="5175CDC3"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2F639EDD" w14:textId="77777777" w:rsidR="003F5418" w:rsidRDefault="002A6C25">
            <w:pPr>
              <w:pStyle w:val="P68B1DB1-Normal4"/>
              <w:spacing w:before="120" w:after="120"/>
              <w:rPr>
                <w:noProof/>
              </w:rPr>
            </w:pPr>
            <w:r>
              <w:rPr>
                <w:noProof/>
              </w:rPr>
              <w:t xml:space="preserve">A támogatott űrpolitikai kezdeményezésekből eredően legalább további nyolc szolgáltatás, például a part menti szolgáltatások és a tengerparti területek </w:t>
            </w:r>
            <w:r>
              <w:rPr>
                <w:noProof/>
              </w:rPr>
              <w:t>megfigyelése, a levegőminőségi szolgáltatás, a földi mozgási szolgáltatás, a nyomonkövetési szolgáltatások lefedettsége és a földhasználat, a hidrometeorológiai szolgáltatás, a vízkészlet-szolgáltatás, a sürgősségi szolgáltatások, a biztonsági szolgálatok.</w:t>
            </w:r>
          </w:p>
        </w:tc>
      </w:tr>
      <w:tr w:rsidR="003F5418" w14:paraId="4F3EDBEB" w14:textId="77777777">
        <w:trPr>
          <w:trHeight w:val="315"/>
        </w:trPr>
        <w:tc>
          <w:tcPr>
            <w:tcW w:w="1424" w:type="dxa"/>
            <w:shd w:val="clear" w:color="auto" w:fill="C6EFCE"/>
            <w:vAlign w:val="center"/>
          </w:tcPr>
          <w:p w14:paraId="6C589280" w14:textId="77777777" w:rsidR="003F5418" w:rsidRDefault="002A6C25">
            <w:pPr>
              <w:pStyle w:val="P68B1DB1-Normal4"/>
              <w:spacing w:before="120" w:after="120"/>
              <w:jc w:val="center"/>
              <w:rPr>
                <w:noProof/>
              </w:rPr>
            </w:pPr>
            <w:r>
              <w:rPr>
                <w:noProof/>
              </w:rPr>
              <w:t>M1C2–26</w:t>
            </w:r>
          </w:p>
        </w:tc>
        <w:tc>
          <w:tcPr>
            <w:tcW w:w="1578" w:type="dxa"/>
            <w:shd w:val="clear" w:color="auto" w:fill="C6EFCE"/>
            <w:vAlign w:val="center"/>
          </w:tcPr>
          <w:p w14:paraId="1CF919E9" w14:textId="77777777" w:rsidR="003F5418" w:rsidRDefault="002A6C25">
            <w:pPr>
              <w:pStyle w:val="P68B1DB1-Normal4"/>
              <w:spacing w:before="120" w:after="120"/>
              <w:jc w:val="center"/>
              <w:rPr>
                <w:noProof/>
              </w:rPr>
            </w:pPr>
            <w:r>
              <w:rPr>
                <w:noProof/>
              </w:rPr>
              <w:t>Beruházás: A SIMEST által kezelt 394/81 alap refinanszírozása és átalakítása</w:t>
            </w:r>
          </w:p>
        </w:tc>
        <w:tc>
          <w:tcPr>
            <w:tcW w:w="1078" w:type="dxa"/>
            <w:shd w:val="clear" w:color="auto" w:fill="C6EFCE"/>
            <w:vAlign w:val="center"/>
          </w:tcPr>
          <w:p w14:paraId="1B63B838" w14:textId="77777777" w:rsidR="003F5418" w:rsidRDefault="002A6C25">
            <w:pPr>
              <w:pStyle w:val="P68B1DB1-Normal4"/>
              <w:spacing w:before="120" w:after="120"/>
              <w:jc w:val="center"/>
              <w:rPr>
                <w:noProof/>
              </w:rPr>
            </w:pPr>
            <w:r>
              <w:rPr>
                <w:noProof/>
              </w:rPr>
              <w:t>Mérföldkő</w:t>
            </w:r>
          </w:p>
        </w:tc>
        <w:tc>
          <w:tcPr>
            <w:tcW w:w="1329" w:type="dxa"/>
            <w:shd w:val="clear" w:color="auto" w:fill="C6EFCE"/>
            <w:vAlign w:val="center"/>
          </w:tcPr>
          <w:p w14:paraId="5B9EF523" w14:textId="77777777" w:rsidR="003F5418" w:rsidRDefault="002A6C25">
            <w:pPr>
              <w:pStyle w:val="P68B1DB1-Normal4"/>
              <w:spacing w:before="120" w:after="120"/>
              <w:jc w:val="center"/>
              <w:rPr>
                <w:noProof/>
              </w:rPr>
            </w:pPr>
            <w:r>
              <w:rPr>
                <w:noProof/>
              </w:rPr>
              <w:t>A 394/81. sz. alap refinanszírozásának hatálybalépése és a beruházási politika elfogadása</w:t>
            </w:r>
          </w:p>
        </w:tc>
        <w:tc>
          <w:tcPr>
            <w:tcW w:w="1275" w:type="dxa"/>
            <w:shd w:val="clear" w:color="auto" w:fill="C6EFCE"/>
            <w:vAlign w:val="center"/>
          </w:tcPr>
          <w:p w14:paraId="7C2F33C7" w14:textId="77777777" w:rsidR="003F5418" w:rsidRDefault="002A6C25">
            <w:pPr>
              <w:pStyle w:val="P68B1DB1-Normal4"/>
              <w:spacing w:before="120" w:after="120"/>
              <w:jc w:val="center"/>
              <w:rPr>
                <w:noProof/>
              </w:rPr>
            </w:pPr>
            <w:r>
              <w:rPr>
                <w:noProof/>
              </w:rPr>
              <w:t xml:space="preserve">A törvény azon rendelkezése, amely a 394/81. sz. alap támogatási és </w:t>
            </w:r>
            <w:r>
              <w:rPr>
                <w:noProof/>
              </w:rPr>
              <w:t>hitelkomponensének refinanszírozásáról szóló törvényerejű rendelet(ek) hatálybalépését jelzi</w:t>
            </w:r>
          </w:p>
          <w:p w14:paraId="39E240FF" w14:textId="77777777" w:rsidR="003F5418" w:rsidRDefault="003F5418">
            <w:pPr>
              <w:spacing w:before="120" w:after="120"/>
              <w:jc w:val="center"/>
              <w:rPr>
                <w:rFonts w:ascii="Arial Narrow" w:hAnsi="Arial Narrow"/>
                <w:noProof/>
                <w:sz w:val="20"/>
              </w:rPr>
            </w:pPr>
          </w:p>
          <w:p w14:paraId="37E43919" w14:textId="77777777" w:rsidR="003F5418" w:rsidRDefault="002A6C25">
            <w:pPr>
              <w:pStyle w:val="P68B1DB1-Normal4"/>
              <w:spacing w:before="120" w:after="120"/>
              <w:jc w:val="center"/>
              <w:rPr>
                <w:noProof/>
              </w:rPr>
            </w:pPr>
            <w:r>
              <w:rPr>
                <w:noProof/>
              </w:rPr>
              <w:t>A finanszírozandó projektek kiválasztási kritériumainak megállapításáról szóló igazgatótanácsi határozat jóváhagyása</w:t>
            </w:r>
          </w:p>
        </w:tc>
        <w:tc>
          <w:tcPr>
            <w:tcW w:w="1134" w:type="dxa"/>
            <w:shd w:val="clear" w:color="auto" w:fill="C6EFCE"/>
            <w:vAlign w:val="center"/>
          </w:tcPr>
          <w:p w14:paraId="496F5257" w14:textId="77777777" w:rsidR="003F5418" w:rsidRDefault="002A6C25">
            <w:pPr>
              <w:pStyle w:val="P68B1DB1-Normal4"/>
              <w:spacing w:before="120" w:after="120"/>
              <w:jc w:val="center"/>
              <w:rPr>
                <w:noProof/>
              </w:rPr>
            </w:pPr>
            <w:r>
              <w:rPr>
                <w:noProof/>
              </w:rPr>
              <w:t>NINCS</w:t>
            </w:r>
          </w:p>
        </w:tc>
        <w:tc>
          <w:tcPr>
            <w:tcW w:w="993" w:type="dxa"/>
            <w:shd w:val="clear" w:color="auto" w:fill="C6EFCE"/>
            <w:vAlign w:val="center"/>
          </w:tcPr>
          <w:p w14:paraId="4EB6C0C7" w14:textId="77777777" w:rsidR="003F5418" w:rsidRDefault="002A6C25">
            <w:pPr>
              <w:pStyle w:val="P68B1DB1-Normal4"/>
              <w:spacing w:before="120" w:after="120"/>
              <w:jc w:val="center"/>
              <w:rPr>
                <w:noProof/>
              </w:rPr>
            </w:pPr>
            <w:r>
              <w:rPr>
                <w:noProof/>
              </w:rPr>
              <w:t>NINCS</w:t>
            </w:r>
          </w:p>
        </w:tc>
        <w:tc>
          <w:tcPr>
            <w:tcW w:w="992" w:type="dxa"/>
            <w:shd w:val="clear" w:color="auto" w:fill="C6EFCE"/>
            <w:vAlign w:val="center"/>
          </w:tcPr>
          <w:p w14:paraId="540E5EB8" w14:textId="77777777" w:rsidR="003F5418" w:rsidRDefault="002A6C25">
            <w:pPr>
              <w:pStyle w:val="P68B1DB1-Normal4"/>
              <w:spacing w:before="120" w:after="120"/>
              <w:jc w:val="center"/>
              <w:rPr>
                <w:noProof/>
              </w:rPr>
            </w:pPr>
            <w:r>
              <w:rPr>
                <w:noProof/>
              </w:rPr>
              <w:t>NINCS</w:t>
            </w:r>
          </w:p>
        </w:tc>
        <w:tc>
          <w:tcPr>
            <w:tcW w:w="850" w:type="dxa"/>
            <w:shd w:val="clear" w:color="auto" w:fill="C6EFCE"/>
            <w:vAlign w:val="center"/>
          </w:tcPr>
          <w:p w14:paraId="46549D2C" w14:textId="77777777" w:rsidR="003F5418" w:rsidRDefault="002A6C25">
            <w:pPr>
              <w:pStyle w:val="P68B1DB1-Normal4"/>
              <w:spacing w:before="120" w:after="120"/>
              <w:jc w:val="center"/>
              <w:rPr>
                <w:noProof/>
              </w:rPr>
            </w:pPr>
            <w:r>
              <w:rPr>
                <w:noProof/>
              </w:rPr>
              <w:t>Q3</w:t>
            </w:r>
          </w:p>
        </w:tc>
        <w:tc>
          <w:tcPr>
            <w:tcW w:w="709" w:type="dxa"/>
            <w:shd w:val="clear" w:color="auto" w:fill="C6EFCE"/>
            <w:vAlign w:val="center"/>
          </w:tcPr>
          <w:p w14:paraId="371E8324" w14:textId="77777777" w:rsidR="003F5418" w:rsidRDefault="002A6C25">
            <w:pPr>
              <w:pStyle w:val="P68B1DB1-Normal4"/>
              <w:spacing w:before="120" w:after="120"/>
              <w:jc w:val="center"/>
              <w:rPr>
                <w:noProof/>
              </w:rPr>
            </w:pPr>
            <w:r>
              <w:rPr>
                <w:noProof/>
              </w:rPr>
              <w:t>2021</w:t>
            </w:r>
          </w:p>
        </w:tc>
        <w:tc>
          <w:tcPr>
            <w:tcW w:w="3794" w:type="dxa"/>
            <w:shd w:val="clear" w:color="auto" w:fill="C6EFCE"/>
            <w:vAlign w:val="center"/>
          </w:tcPr>
          <w:p w14:paraId="2899D3F9" w14:textId="77777777" w:rsidR="003F5418" w:rsidRDefault="002A6C25">
            <w:pPr>
              <w:pStyle w:val="P68B1DB1-Normal4"/>
              <w:spacing w:before="120"/>
              <w:rPr>
                <w:noProof/>
              </w:rPr>
            </w:pPr>
            <w:r>
              <w:rPr>
                <w:noProof/>
              </w:rPr>
              <w:t>A törvényerejű rend</w:t>
            </w:r>
            <w:r>
              <w:rPr>
                <w:noProof/>
              </w:rPr>
              <w:t>elet(ek) rendelkezik(nek) a 394/81. sz. alap támogatási és hitelkomponensének refinanszírozásáról. Az Alap Testületének jóvá kell hagynia a befektetési politika megállapításáról szóló határozatot.</w:t>
            </w:r>
          </w:p>
          <w:p w14:paraId="3065AD68" w14:textId="77777777" w:rsidR="003F5418" w:rsidRDefault="002A6C25">
            <w:pPr>
              <w:pStyle w:val="P68B1DB1-Normal4"/>
              <w:spacing w:before="120"/>
              <w:rPr>
                <w:noProof/>
              </w:rPr>
            </w:pPr>
            <w:r>
              <w:rPr>
                <w:noProof/>
              </w:rPr>
              <w:t>A 394/81. alap refinanszírozásához kapcsolódó befektetési p</w:t>
            </w:r>
            <w:r>
              <w:rPr>
                <w:noProof/>
              </w:rPr>
              <w:t>olitika legalább a következőket határozza meg: i. a támogatott projektek jellege és hatóköre, amelyeknek összhangban kell lenniük az (EU) 2021/241 rendelet célkitűzéseivel; a feladatmeghatározásnak támogathatósági kritériumokat kell tartalmaznia annak bizt</w:t>
            </w:r>
            <w:r>
              <w:rPr>
                <w:noProof/>
              </w:rPr>
              <w:t>osítására, hogy az ezen intézkedés keretében támogatott projektek megfeleljenek a jelentős károkozás elkerülését célzó technikai iránymutatásnak (2021/C58/01) a fenntarthatósági vizsgálat, a kizárási lista, valamint a vonatkozó uniós és nemzeti környezetvé</w:t>
            </w:r>
            <w:r>
              <w:rPr>
                <w:noProof/>
              </w:rPr>
              <w:t>delmi jogszabályoknak való megfelelés követelménye révén, ii. a támogatott műveletek típusát, iii. a megcélzott kedvezményezetteket, a kkv-k előfordulási gyakoriságát és támogathatósági kritériumait, iv. a hasonló szakpolitikai célkitűzésekre irányuló pote</w:t>
            </w:r>
            <w:r>
              <w:rPr>
                <w:noProof/>
              </w:rPr>
              <w:t>nciális visszaáramlások újbóli befektetésére vonatkozó rendelkezéseket 2026 után is, amennyiben azokat nem használják fel újra az (EU) 2021/241 rendelet alapján nyújtott hitelekből származó kamatlábak újbóli kifizetésére.</w:t>
            </w:r>
          </w:p>
          <w:p w14:paraId="47BA403A" w14:textId="77777777" w:rsidR="003F5418" w:rsidRDefault="002A6C25">
            <w:pPr>
              <w:pStyle w:val="P68B1DB1-Normal4"/>
              <w:spacing w:before="120"/>
              <w:rPr>
                <w:noProof/>
              </w:rPr>
            </w:pPr>
            <w:r>
              <w:rPr>
                <w:noProof/>
              </w:rPr>
              <w:t>A megbízott szervezettel vagy pénz</w:t>
            </w:r>
            <w:r>
              <w:rPr>
                <w:noProof/>
              </w:rPr>
              <w:t>ügyi közvetítővel kötött szerződéses megállapodásnak elő kell írnia a jelentős károkozás elkerülését célzó technikai iránymutatás (2021/C58/01) használatát.</w:t>
            </w:r>
          </w:p>
        </w:tc>
      </w:tr>
      <w:tr w:rsidR="003F5418" w14:paraId="71294A53" w14:textId="77777777">
        <w:trPr>
          <w:trHeight w:val="315"/>
        </w:trPr>
        <w:tc>
          <w:tcPr>
            <w:tcW w:w="1424" w:type="dxa"/>
            <w:shd w:val="clear" w:color="auto" w:fill="C6EFCE"/>
            <w:vAlign w:val="center"/>
          </w:tcPr>
          <w:p w14:paraId="3987A0F6" w14:textId="77777777" w:rsidR="003F5418" w:rsidRDefault="002A6C25">
            <w:pPr>
              <w:pStyle w:val="P68B1DB1-Normal4"/>
              <w:spacing w:before="120" w:after="120"/>
              <w:jc w:val="center"/>
              <w:rPr>
                <w:noProof/>
              </w:rPr>
            </w:pPr>
            <w:r>
              <w:rPr>
                <w:noProof/>
              </w:rPr>
              <w:t>M1C2–27</w:t>
            </w:r>
          </w:p>
        </w:tc>
        <w:tc>
          <w:tcPr>
            <w:tcW w:w="1578" w:type="dxa"/>
            <w:shd w:val="clear" w:color="auto" w:fill="C6EFCE"/>
            <w:vAlign w:val="center"/>
          </w:tcPr>
          <w:p w14:paraId="2336C7FF" w14:textId="77777777" w:rsidR="003F5418" w:rsidRDefault="002A6C25">
            <w:pPr>
              <w:pStyle w:val="P68B1DB1-Normal4"/>
              <w:spacing w:before="120" w:after="120"/>
              <w:jc w:val="center"/>
              <w:rPr>
                <w:noProof/>
              </w:rPr>
            </w:pPr>
            <w:r>
              <w:rPr>
                <w:noProof/>
              </w:rPr>
              <w:t>Beruházás: A SIMEST által kezelt 394/81 alap refinanszírozása és átalakítása</w:t>
            </w:r>
          </w:p>
        </w:tc>
        <w:tc>
          <w:tcPr>
            <w:tcW w:w="1078" w:type="dxa"/>
            <w:shd w:val="clear" w:color="auto" w:fill="C6EFCE"/>
            <w:vAlign w:val="center"/>
          </w:tcPr>
          <w:p w14:paraId="07A3582F"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207AAEAF" w14:textId="77777777" w:rsidR="003F5418" w:rsidRDefault="002A6C25">
            <w:pPr>
              <w:pStyle w:val="P68B1DB1-Normal4"/>
              <w:spacing w:before="120" w:after="120"/>
              <w:jc w:val="center"/>
              <w:rPr>
                <w:noProof/>
              </w:rPr>
            </w:pPr>
            <w:r>
              <w:rPr>
                <w:noProof/>
              </w:rPr>
              <w:t xml:space="preserve">A 394/81 </w:t>
            </w:r>
            <w:r>
              <w:rPr>
                <w:noProof/>
              </w:rPr>
              <w:t>alapból támogatásban részesült kkv-k</w:t>
            </w:r>
          </w:p>
        </w:tc>
        <w:tc>
          <w:tcPr>
            <w:tcW w:w="1275" w:type="dxa"/>
            <w:shd w:val="clear" w:color="auto" w:fill="C6EFCE"/>
            <w:vAlign w:val="center"/>
          </w:tcPr>
          <w:p w14:paraId="1D8C3E7A" w14:textId="77777777" w:rsidR="003F5418" w:rsidRDefault="002A6C25">
            <w:pPr>
              <w:pStyle w:val="P68B1DB1-Normal4"/>
              <w:spacing w:before="120" w:after="120"/>
              <w:jc w:val="center"/>
              <w:rPr>
                <w:noProof/>
              </w:rPr>
            </w:pPr>
            <w:r>
              <w:rPr>
                <w:noProof/>
              </w:rPr>
              <w:t>NINCS</w:t>
            </w:r>
          </w:p>
        </w:tc>
        <w:tc>
          <w:tcPr>
            <w:tcW w:w="1134" w:type="dxa"/>
            <w:shd w:val="clear" w:color="auto" w:fill="C6EFCE"/>
            <w:vAlign w:val="center"/>
          </w:tcPr>
          <w:p w14:paraId="28458C10" w14:textId="77777777" w:rsidR="003F5418" w:rsidRDefault="002A6C25">
            <w:pPr>
              <w:pStyle w:val="P68B1DB1-Normal4"/>
              <w:spacing w:before="120" w:after="120"/>
              <w:jc w:val="center"/>
              <w:rPr>
                <w:noProof/>
              </w:rPr>
            </w:pPr>
            <w:r>
              <w:rPr>
                <w:noProof/>
              </w:rPr>
              <w:t>Szám</w:t>
            </w:r>
          </w:p>
        </w:tc>
        <w:tc>
          <w:tcPr>
            <w:tcW w:w="993" w:type="dxa"/>
            <w:shd w:val="clear" w:color="auto" w:fill="C6EFCE"/>
            <w:vAlign w:val="center"/>
          </w:tcPr>
          <w:p w14:paraId="0F1B0F11" w14:textId="77777777" w:rsidR="003F5418" w:rsidRDefault="002A6C25">
            <w:pPr>
              <w:pStyle w:val="P68B1DB1-Normal4"/>
              <w:spacing w:before="120" w:after="120"/>
              <w:jc w:val="center"/>
              <w:rPr>
                <w:noProof/>
              </w:rPr>
            </w:pPr>
            <w:r>
              <w:rPr>
                <w:noProof/>
              </w:rPr>
              <w:t>0</w:t>
            </w:r>
          </w:p>
        </w:tc>
        <w:tc>
          <w:tcPr>
            <w:tcW w:w="992" w:type="dxa"/>
            <w:shd w:val="clear" w:color="auto" w:fill="C6EFCE"/>
            <w:vAlign w:val="center"/>
          </w:tcPr>
          <w:p w14:paraId="1C1DBD12" w14:textId="77777777" w:rsidR="003F5418" w:rsidRDefault="002A6C25">
            <w:pPr>
              <w:pStyle w:val="P68B1DB1-Normal4"/>
              <w:spacing w:before="120" w:after="120"/>
              <w:jc w:val="center"/>
              <w:rPr>
                <w:noProof/>
              </w:rPr>
            </w:pPr>
            <w:r>
              <w:rPr>
                <w:noProof/>
              </w:rPr>
              <w:t>4 000</w:t>
            </w:r>
          </w:p>
        </w:tc>
        <w:tc>
          <w:tcPr>
            <w:tcW w:w="850" w:type="dxa"/>
            <w:shd w:val="clear" w:color="auto" w:fill="C6EFCE"/>
            <w:vAlign w:val="center"/>
          </w:tcPr>
          <w:p w14:paraId="3BEB105D" w14:textId="77777777" w:rsidR="003F5418" w:rsidRDefault="002A6C25">
            <w:pPr>
              <w:pStyle w:val="P68B1DB1-Normal4"/>
              <w:spacing w:before="120" w:after="120"/>
              <w:jc w:val="center"/>
              <w:rPr>
                <w:noProof/>
              </w:rPr>
            </w:pPr>
            <w:r>
              <w:rPr>
                <w:noProof/>
              </w:rPr>
              <w:t>Q4</w:t>
            </w:r>
          </w:p>
        </w:tc>
        <w:tc>
          <w:tcPr>
            <w:tcW w:w="709" w:type="dxa"/>
            <w:shd w:val="clear" w:color="auto" w:fill="C6EFCE"/>
            <w:vAlign w:val="center"/>
          </w:tcPr>
          <w:p w14:paraId="43DF9BCC" w14:textId="77777777" w:rsidR="003F5418" w:rsidRDefault="002A6C25">
            <w:pPr>
              <w:pStyle w:val="P68B1DB1-Normal4"/>
              <w:spacing w:before="120" w:after="120"/>
              <w:jc w:val="center"/>
              <w:rPr>
                <w:noProof/>
              </w:rPr>
            </w:pPr>
            <w:r>
              <w:rPr>
                <w:noProof/>
              </w:rPr>
              <w:t>2021</w:t>
            </w:r>
          </w:p>
        </w:tc>
        <w:tc>
          <w:tcPr>
            <w:tcW w:w="3794" w:type="dxa"/>
            <w:shd w:val="clear" w:color="auto" w:fill="C6EFCE"/>
            <w:vAlign w:val="center"/>
          </w:tcPr>
          <w:p w14:paraId="7468BD0B" w14:textId="77777777" w:rsidR="003F5418" w:rsidRDefault="002A6C25">
            <w:pPr>
              <w:pStyle w:val="P68B1DB1-Normal4"/>
              <w:spacing w:before="120" w:after="120"/>
              <w:rPr>
                <w:noProof/>
              </w:rPr>
            </w:pPr>
            <w:r>
              <w:rPr>
                <w:noProof/>
              </w:rPr>
              <w:t>2021. január 1-jétől legalább 4000 kkv részesült támogatásban a 394/81. sz. alapból.</w:t>
            </w:r>
          </w:p>
        </w:tc>
      </w:tr>
      <w:tr w:rsidR="003F5418" w14:paraId="2808419C" w14:textId="77777777">
        <w:trPr>
          <w:trHeight w:val="315"/>
        </w:trPr>
        <w:tc>
          <w:tcPr>
            <w:tcW w:w="1424" w:type="dxa"/>
            <w:shd w:val="clear" w:color="auto" w:fill="C6EFCE"/>
            <w:vAlign w:val="center"/>
          </w:tcPr>
          <w:p w14:paraId="581551C1" w14:textId="77777777" w:rsidR="003F5418" w:rsidRDefault="002A6C25">
            <w:pPr>
              <w:pStyle w:val="P68B1DB1-Normal4"/>
              <w:spacing w:before="120" w:after="120"/>
              <w:jc w:val="center"/>
              <w:rPr>
                <w:noProof/>
              </w:rPr>
            </w:pPr>
            <w:r>
              <w:rPr>
                <w:noProof/>
              </w:rPr>
              <w:t>M1C2–28</w:t>
            </w:r>
          </w:p>
        </w:tc>
        <w:tc>
          <w:tcPr>
            <w:tcW w:w="1578" w:type="dxa"/>
            <w:shd w:val="clear" w:color="auto" w:fill="C6EFCE"/>
            <w:vAlign w:val="center"/>
          </w:tcPr>
          <w:p w14:paraId="44EE3FD7" w14:textId="77777777" w:rsidR="003F5418" w:rsidRDefault="002A6C25">
            <w:pPr>
              <w:pStyle w:val="P68B1DB1-Normal4"/>
              <w:spacing w:before="120" w:after="120"/>
              <w:jc w:val="center"/>
              <w:rPr>
                <w:noProof/>
              </w:rPr>
            </w:pPr>
            <w:r>
              <w:rPr>
                <w:noProof/>
              </w:rPr>
              <w:t>Beruházás: Az ellátási láncok versenyképessége és rezilienciája</w:t>
            </w:r>
          </w:p>
        </w:tc>
        <w:tc>
          <w:tcPr>
            <w:tcW w:w="1078" w:type="dxa"/>
            <w:shd w:val="clear" w:color="auto" w:fill="C6EFCE"/>
            <w:vAlign w:val="center"/>
          </w:tcPr>
          <w:p w14:paraId="0313F613" w14:textId="77777777" w:rsidR="003F5418" w:rsidRDefault="002A6C25">
            <w:pPr>
              <w:pStyle w:val="P68B1DB1-Normal4"/>
              <w:spacing w:before="120" w:after="120"/>
              <w:jc w:val="center"/>
              <w:rPr>
                <w:noProof/>
              </w:rPr>
            </w:pPr>
            <w:r>
              <w:rPr>
                <w:noProof/>
              </w:rPr>
              <w:t>Mérföldkő</w:t>
            </w:r>
          </w:p>
        </w:tc>
        <w:tc>
          <w:tcPr>
            <w:tcW w:w="1329" w:type="dxa"/>
            <w:shd w:val="clear" w:color="auto" w:fill="C6EFCE"/>
            <w:vAlign w:val="center"/>
          </w:tcPr>
          <w:p w14:paraId="2FD3D7A6" w14:textId="77777777" w:rsidR="003F5418" w:rsidRDefault="002A6C25">
            <w:pPr>
              <w:pStyle w:val="P68B1DB1-Normal4"/>
              <w:spacing w:before="120" w:after="120"/>
              <w:jc w:val="center"/>
              <w:rPr>
                <w:noProof/>
              </w:rPr>
            </w:pPr>
            <w:r>
              <w:rPr>
                <w:noProof/>
              </w:rPr>
              <w:t xml:space="preserve">A fejlesztési </w:t>
            </w:r>
            <w:r>
              <w:rPr>
                <w:noProof/>
              </w:rPr>
              <w:t>szerződések beruházási politikáját tartalmazó rendelet hatálybalépése</w:t>
            </w:r>
          </w:p>
        </w:tc>
        <w:tc>
          <w:tcPr>
            <w:tcW w:w="1275" w:type="dxa"/>
            <w:shd w:val="clear" w:color="auto" w:fill="C6EFCE"/>
            <w:vAlign w:val="center"/>
          </w:tcPr>
          <w:p w14:paraId="6D04BD3E" w14:textId="77777777" w:rsidR="003F5418" w:rsidRDefault="002A6C25">
            <w:pPr>
              <w:pStyle w:val="P68B1DB1-Normal4"/>
              <w:spacing w:before="120" w:after="120"/>
              <w:jc w:val="center"/>
              <w:rPr>
                <w:noProof/>
              </w:rPr>
            </w:pPr>
            <w:r>
              <w:rPr>
                <w:noProof/>
              </w:rPr>
              <w:t>A rendelet hatálybalépését feltüntető törvényi rendelkezés</w:t>
            </w:r>
          </w:p>
        </w:tc>
        <w:tc>
          <w:tcPr>
            <w:tcW w:w="1134" w:type="dxa"/>
            <w:shd w:val="clear" w:color="auto" w:fill="C6EFCE"/>
            <w:vAlign w:val="center"/>
          </w:tcPr>
          <w:p w14:paraId="69DCDE5E" w14:textId="77777777" w:rsidR="003F5418" w:rsidRDefault="002A6C25">
            <w:pPr>
              <w:pStyle w:val="P68B1DB1-Normal4"/>
              <w:spacing w:before="120" w:after="120"/>
              <w:jc w:val="center"/>
              <w:rPr>
                <w:noProof/>
              </w:rPr>
            </w:pPr>
            <w:r>
              <w:rPr>
                <w:noProof/>
              </w:rPr>
              <w:t>NINCS</w:t>
            </w:r>
          </w:p>
        </w:tc>
        <w:tc>
          <w:tcPr>
            <w:tcW w:w="993" w:type="dxa"/>
            <w:shd w:val="clear" w:color="auto" w:fill="C6EFCE"/>
            <w:vAlign w:val="center"/>
          </w:tcPr>
          <w:p w14:paraId="594BBD40" w14:textId="77777777" w:rsidR="003F5418" w:rsidRDefault="002A6C25">
            <w:pPr>
              <w:pStyle w:val="P68B1DB1-Normal4"/>
              <w:spacing w:before="120" w:after="120"/>
              <w:jc w:val="center"/>
              <w:rPr>
                <w:noProof/>
              </w:rPr>
            </w:pPr>
            <w:r>
              <w:rPr>
                <w:noProof/>
              </w:rPr>
              <w:t>NINCS</w:t>
            </w:r>
          </w:p>
        </w:tc>
        <w:tc>
          <w:tcPr>
            <w:tcW w:w="992" w:type="dxa"/>
            <w:shd w:val="clear" w:color="auto" w:fill="C6EFCE"/>
            <w:vAlign w:val="center"/>
          </w:tcPr>
          <w:p w14:paraId="49A818D1" w14:textId="77777777" w:rsidR="003F5418" w:rsidRDefault="002A6C25">
            <w:pPr>
              <w:pStyle w:val="P68B1DB1-Normal4"/>
              <w:spacing w:before="120" w:after="120"/>
              <w:jc w:val="center"/>
              <w:rPr>
                <w:noProof/>
              </w:rPr>
            </w:pPr>
            <w:r>
              <w:rPr>
                <w:noProof/>
              </w:rPr>
              <w:t>NINCS</w:t>
            </w:r>
          </w:p>
        </w:tc>
        <w:tc>
          <w:tcPr>
            <w:tcW w:w="850" w:type="dxa"/>
            <w:shd w:val="clear" w:color="auto" w:fill="C6EFCE"/>
            <w:vAlign w:val="center"/>
          </w:tcPr>
          <w:p w14:paraId="50CCD83A" w14:textId="77777777" w:rsidR="003F5418" w:rsidRDefault="002A6C25">
            <w:pPr>
              <w:pStyle w:val="P68B1DB1-Normal4"/>
              <w:spacing w:before="120" w:after="120"/>
              <w:jc w:val="center"/>
              <w:rPr>
                <w:noProof/>
              </w:rPr>
            </w:pPr>
            <w:r>
              <w:rPr>
                <w:noProof/>
              </w:rPr>
              <w:t>Q1</w:t>
            </w:r>
          </w:p>
        </w:tc>
        <w:tc>
          <w:tcPr>
            <w:tcW w:w="709" w:type="dxa"/>
            <w:shd w:val="clear" w:color="auto" w:fill="C6EFCE"/>
            <w:vAlign w:val="center"/>
          </w:tcPr>
          <w:p w14:paraId="5D8FFBCA" w14:textId="77777777" w:rsidR="003F5418" w:rsidRDefault="002A6C25">
            <w:pPr>
              <w:pStyle w:val="P68B1DB1-Normal4"/>
              <w:spacing w:before="120" w:after="120"/>
              <w:jc w:val="center"/>
              <w:rPr>
                <w:noProof/>
              </w:rPr>
            </w:pPr>
            <w:r>
              <w:rPr>
                <w:noProof/>
              </w:rPr>
              <w:t>2022</w:t>
            </w:r>
          </w:p>
        </w:tc>
        <w:tc>
          <w:tcPr>
            <w:tcW w:w="3794" w:type="dxa"/>
            <w:shd w:val="clear" w:color="auto" w:fill="C6EFCE"/>
            <w:vAlign w:val="center"/>
          </w:tcPr>
          <w:p w14:paraId="77BB6299" w14:textId="77777777" w:rsidR="003F5418" w:rsidRDefault="002A6C25">
            <w:pPr>
              <w:pStyle w:val="P68B1DB1-Normal4"/>
              <w:rPr>
                <w:noProof/>
              </w:rPr>
            </w:pPr>
            <w:r>
              <w:rPr>
                <w:noProof/>
              </w:rPr>
              <w:t xml:space="preserve">A fejlesztési szerződések beruházási politikája legalább a következőket határozza meg: i. a </w:t>
            </w:r>
            <w:r>
              <w:rPr>
                <w:noProof/>
              </w:rPr>
              <w:t>támogatott projektek jellege és hatóköre, amelyeknek összhangban kell lenniük az (EU) 2021/241 rendelet célkitűzéseivel; a feladatmeghatározásnak támogathatósági kritériumokat kell tartalmaznia annak biztosítására, hogy az ezen intézkedés keretében támogat</w:t>
            </w:r>
            <w:r>
              <w:rPr>
                <w:noProof/>
              </w:rPr>
              <w:t>ott projektek megfeleljenek a jelentős károkozás elkerülését célzó technikai iránymutatásnak (2021/C58/01) a fenntarthatósági vizsgálat, a kizárási lista, valamint a vonatkozó uniós és nemzeti környezetvédelmi jogszabályoknak való megfelelés követelménye r</w:t>
            </w:r>
            <w:r>
              <w:rPr>
                <w:noProof/>
              </w:rPr>
              <w:t xml:space="preserve">évén, ii. a támogatott műveletek típusát, iii. a megcélzott kedvezményezetteket és támogathatósági kritériumaikat, iv. a hasonló szakpolitikai célkitűzésekre irányuló potenciális visszaáramlások újbóli befektetésére vonatkozó rendelkezéseket 2026 után is, </w:t>
            </w:r>
            <w:r>
              <w:rPr>
                <w:noProof/>
              </w:rPr>
              <w:t>amennyiben azokat nem használják fel újra az (EU) 2021/241 rendelet alapján nyújtott hitelekből származó kamatlábak újbóli kifizetésére.</w:t>
            </w:r>
          </w:p>
          <w:p w14:paraId="6AC28F33" w14:textId="77777777" w:rsidR="003F5418" w:rsidRDefault="003F5418">
            <w:pPr>
              <w:rPr>
                <w:rFonts w:ascii="Arial Narrow" w:hAnsi="Arial Narrow"/>
                <w:noProof/>
                <w:color w:val="006100"/>
                <w:sz w:val="20"/>
              </w:rPr>
            </w:pPr>
          </w:p>
          <w:p w14:paraId="44FC8F0A" w14:textId="77777777" w:rsidR="003F5418" w:rsidRDefault="002A6C25">
            <w:pPr>
              <w:pStyle w:val="P68B1DB1-Normal4"/>
              <w:rPr>
                <w:noProof/>
              </w:rPr>
            </w:pPr>
            <w:r>
              <w:rPr>
                <w:noProof/>
              </w:rPr>
              <w:t>A megbízott szervezettel vagy pénzügyi közvetítővel kötött szerződéses megállapodásnak elő kell írnia a jelentős károk</w:t>
            </w:r>
            <w:r>
              <w:rPr>
                <w:noProof/>
              </w:rPr>
              <w:t>ozás elkerülését célzó technikai iránymutatás (2021/C58/01) használatát.</w:t>
            </w:r>
          </w:p>
        </w:tc>
      </w:tr>
      <w:tr w:rsidR="003F5418" w14:paraId="0A56887B" w14:textId="77777777">
        <w:trPr>
          <w:trHeight w:val="315"/>
        </w:trPr>
        <w:tc>
          <w:tcPr>
            <w:tcW w:w="1424" w:type="dxa"/>
            <w:shd w:val="clear" w:color="auto" w:fill="C6EFCE"/>
            <w:vAlign w:val="center"/>
          </w:tcPr>
          <w:p w14:paraId="5FC9C261" w14:textId="77777777" w:rsidR="003F5418" w:rsidRDefault="002A6C25">
            <w:pPr>
              <w:pStyle w:val="P68B1DB1-Normal4"/>
              <w:spacing w:before="120" w:after="120"/>
              <w:jc w:val="center"/>
              <w:rPr>
                <w:noProof/>
              </w:rPr>
            </w:pPr>
            <w:r>
              <w:rPr>
                <w:noProof/>
              </w:rPr>
              <w:t>M1C2–29</w:t>
            </w:r>
          </w:p>
        </w:tc>
        <w:tc>
          <w:tcPr>
            <w:tcW w:w="1578" w:type="dxa"/>
            <w:shd w:val="clear" w:color="auto" w:fill="C6EFCE"/>
            <w:vAlign w:val="center"/>
          </w:tcPr>
          <w:p w14:paraId="5A32F2BB" w14:textId="77777777" w:rsidR="003F5418" w:rsidRDefault="002A6C25">
            <w:pPr>
              <w:pStyle w:val="P68B1DB1-Normal4"/>
              <w:spacing w:before="120" w:after="120"/>
              <w:jc w:val="center"/>
              <w:rPr>
                <w:noProof/>
              </w:rPr>
            </w:pPr>
            <w:r>
              <w:rPr>
                <w:noProof/>
              </w:rPr>
              <w:t>Beruházás: Az ellátási láncok versenyképessége és rezilienciája</w:t>
            </w:r>
          </w:p>
        </w:tc>
        <w:tc>
          <w:tcPr>
            <w:tcW w:w="1078" w:type="dxa"/>
            <w:shd w:val="clear" w:color="auto" w:fill="C6EFCE"/>
            <w:vAlign w:val="center"/>
          </w:tcPr>
          <w:p w14:paraId="6F96D48F"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08656FFB" w14:textId="77777777" w:rsidR="003F5418" w:rsidRDefault="002A6C25">
            <w:pPr>
              <w:pStyle w:val="P68B1DB1-Normal4"/>
              <w:spacing w:before="120" w:after="120"/>
              <w:jc w:val="center"/>
              <w:rPr>
                <w:noProof/>
              </w:rPr>
            </w:pPr>
            <w:r>
              <w:rPr>
                <w:noProof/>
              </w:rPr>
              <w:t>Jóváhagyott fejlesztési szerződések</w:t>
            </w:r>
          </w:p>
        </w:tc>
        <w:tc>
          <w:tcPr>
            <w:tcW w:w="1275" w:type="dxa"/>
            <w:shd w:val="clear" w:color="auto" w:fill="C6EFCE"/>
            <w:vAlign w:val="center"/>
          </w:tcPr>
          <w:p w14:paraId="3685B7BE" w14:textId="77777777" w:rsidR="003F5418" w:rsidRDefault="002A6C25">
            <w:pPr>
              <w:pStyle w:val="P68B1DB1-Normal4"/>
              <w:jc w:val="center"/>
              <w:rPr>
                <w:noProof/>
              </w:rPr>
            </w:pPr>
            <w:r>
              <w:rPr>
                <w:noProof/>
              </w:rPr>
              <w:t>NINCS</w:t>
            </w:r>
          </w:p>
        </w:tc>
        <w:tc>
          <w:tcPr>
            <w:tcW w:w="1134" w:type="dxa"/>
            <w:shd w:val="clear" w:color="auto" w:fill="C6EFCE"/>
            <w:vAlign w:val="center"/>
          </w:tcPr>
          <w:p w14:paraId="42E6B968" w14:textId="77777777" w:rsidR="003F5418" w:rsidRDefault="002A6C25">
            <w:pPr>
              <w:pStyle w:val="P68B1DB1-Normal4"/>
              <w:jc w:val="center"/>
              <w:rPr>
                <w:noProof/>
              </w:rPr>
            </w:pPr>
            <w:r>
              <w:rPr>
                <w:noProof/>
              </w:rPr>
              <w:t>Szám</w:t>
            </w:r>
          </w:p>
        </w:tc>
        <w:tc>
          <w:tcPr>
            <w:tcW w:w="993" w:type="dxa"/>
            <w:shd w:val="clear" w:color="auto" w:fill="C6EFCE"/>
            <w:vAlign w:val="center"/>
          </w:tcPr>
          <w:p w14:paraId="2863AC44" w14:textId="77777777" w:rsidR="003F5418" w:rsidRDefault="002A6C25">
            <w:pPr>
              <w:pStyle w:val="P68B1DB1-Normal4"/>
              <w:jc w:val="center"/>
              <w:rPr>
                <w:noProof/>
              </w:rPr>
            </w:pPr>
            <w:r>
              <w:rPr>
                <w:noProof/>
              </w:rPr>
              <w:t>0</w:t>
            </w:r>
          </w:p>
        </w:tc>
        <w:tc>
          <w:tcPr>
            <w:tcW w:w="992" w:type="dxa"/>
            <w:shd w:val="clear" w:color="auto" w:fill="C6EFCE"/>
            <w:vAlign w:val="center"/>
          </w:tcPr>
          <w:p w14:paraId="12D46C3F" w14:textId="77777777" w:rsidR="003F5418" w:rsidRDefault="002A6C25">
            <w:pPr>
              <w:pStyle w:val="P68B1DB1-Normal4"/>
              <w:jc w:val="center"/>
              <w:rPr>
                <w:noProof/>
              </w:rPr>
            </w:pPr>
            <w:r>
              <w:rPr>
                <w:noProof/>
              </w:rPr>
              <w:t>40</w:t>
            </w:r>
          </w:p>
        </w:tc>
        <w:tc>
          <w:tcPr>
            <w:tcW w:w="850" w:type="dxa"/>
            <w:shd w:val="clear" w:color="auto" w:fill="C6EFCE"/>
            <w:vAlign w:val="center"/>
          </w:tcPr>
          <w:p w14:paraId="7A49618F" w14:textId="77777777" w:rsidR="003F5418" w:rsidRDefault="002A6C25">
            <w:pPr>
              <w:pStyle w:val="P68B1DB1-Normal4"/>
              <w:jc w:val="center"/>
              <w:rPr>
                <w:noProof/>
              </w:rPr>
            </w:pPr>
            <w:r>
              <w:rPr>
                <w:noProof/>
              </w:rPr>
              <w:t>Q4</w:t>
            </w:r>
          </w:p>
        </w:tc>
        <w:tc>
          <w:tcPr>
            <w:tcW w:w="709" w:type="dxa"/>
            <w:shd w:val="clear" w:color="auto" w:fill="C6EFCE"/>
            <w:vAlign w:val="center"/>
          </w:tcPr>
          <w:p w14:paraId="6C309F63" w14:textId="77777777" w:rsidR="003F5418" w:rsidRDefault="002A6C25">
            <w:pPr>
              <w:pStyle w:val="P68B1DB1-Normal4"/>
              <w:spacing w:before="120" w:after="120"/>
              <w:jc w:val="center"/>
              <w:rPr>
                <w:noProof/>
              </w:rPr>
            </w:pPr>
            <w:r>
              <w:rPr>
                <w:noProof/>
              </w:rPr>
              <w:t>2023</w:t>
            </w:r>
          </w:p>
        </w:tc>
        <w:tc>
          <w:tcPr>
            <w:tcW w:w="3794" w:type="dxa"/>
            <w:shd w:val="clear" w:color="auto" w:fill="C6EFCE"/>
            <w:vAlign w:val="center"/>
          </w:tcPr>
          <w:p w14:paraId="205F7D4C" w14:textId="77777777" w:rsidR="003F5418" w:rsidRDefault="002A6C25">
            <w:pPr>
              <w:pStyle w:val="P68B1DB1-Normal9"/>
              <w:spacing w:before="120" w:after="120"/>
              <w:rPr>
                <w:rFonts w:ascii="Arial Narrow" w:hAnsi="Arial Narrow"/>
                <w:noProof/>
              </w:rPr>
            </w:pPr>
            <w:r>
              <w:rPr>
                <w:rFonts w:ascii="Arial Narrow" w:hAnsi="Arial Narrow"/>
                <w:noProof/>
              </w:rPr>
              <w:t xml:space="preserve">Beruházási politikájával összhangban legalább </w:t>
            </w:r>
            <w:r>
              <w:rPr>
                <w:rFonts w:ascii="Arial Narrow" w:hAnsi="Arial Narrow"/>
                <w:noProof/>
              </w:rPr>
              <w:t>40 fejlesztési szerződést hagytak jóvá. A cél kielégítő teljesítése a legalább</w:t>
            </w:r>
            <w:r>
              <w:rPr>
                <w:noProof/>
              </w:rPr>
              <w:t xml:space="preserve"> </w:t>
            </w:r>
            <w:r>
              <w:rPr>
                <w:rFonts w:ascii="Arial Narrow" w:hAnsi="Arial Narrow"/>
                <w:noProof/>
              </w:rPr>
              <w:t>1500 millió EUR összegű beruházás aktiválásától is függ.</w:t>
            </w:r>
          </w:p>
        </w:tc>
      </w:tr>
      <w:tr w:rsidR="003F5418" w14:paraId="0F224E89" w14:textId="77777777">
        <w:trPr>
          <w:trHeight w:val="315"/>
        </w:trPr>
        <w:tc>
          <w:tcPr>
            <w:tcW w:w="1424" w:type="dxa"/>
            <w:shd w:val="clear" w:color="auto" w:fill="C6EFCE"/>
            <w:vAlign w:val="center"/>
          </w:tcPr>
          <w:p w14:paraId="34BE8F2E" w14:textId="77777777" w:rsidR="003F5418" w:rsidRDefault="002A6C25">
            <w:pPr>
              <w:pStyle w:val="P68B1DB1-Normal4"/>
              <w:spacing w:before="120" w:after="120"/>
              <w:jc w:val="center"/>
              <w:rPr>
                <w:noProof/>
              </w:rPr>
            </w:pPr>
            <w:r>
              <w:rPr>
                <w:noProof/>
              </w:rPr>
              <w:t>M1C2–30</w:t>
            </w:r>
          </w:p>
        </w:tc>
        <w:tc>
          <w:tcPr>
            <w:tcW w:w="1578" w:type="dxa"/>
            <w:shd w:val="clear" w:color="auto" w:fill="C6EFCE"/>
            <w:vAlign w:val="center"/>
          </w:tcPr>
          <w:p w14:paraId="0D87AFE8" w14:textId="77777777" w:rsidR="003F5418" w:rsidRDefault="002A6C25">
            <w:pPr>
              <w:pStyle w:val="P68B1DB1-Normal4"/>
              <w:spacing w:before="120" w:after="120"/>
              <w:jc w:val="center"/>
              <w:rPr>
                <w:noProof/>
              </w:rPr>
            </w:pPr>
            <w:r>
              <w:rPr>
                <w:noProof/>
              </w:rPr>
              <w:t xml:space="preserve">Beruházás. Az ökológiai átálláshoz, a nettó zéró technológiákhoz, valamint a stratégiai ellátási láncok </w:t>
            </w:r>
            <w:r>
              <w:rPr>
                <w:noProof/>
              </w:rPr>
              <w:t>versenyképességéhez és rezilienciájához szükséges termelési rendszer támogatása</w:t>
            </w:r>
          </w:p>
        </w:tc>
        <w:tc>
          <w:tcPr>
            <w:tcW w:w="1078" w:type="dxa"/>
            <w:shd w:val="clear" w:color="auto" w:fill="C6EFCE"/>
            <w:vAlign w:val="center"/>
          </w:tcPr>
          <w:p w14:paraId="297402BE" w14:textId="77777777" w:rsidR="003F5418" w:rsidRDefault="002A6C25">
            <w:pPr>
              <w:pStyle w:val="P68B1DB1-Normal4"/>
              <w:spacing w:before="120" w:after="120"/>
              <w:rPr>
                <w:noProof/>
              </w:rPr>
            </w:pPr>
            <w:r>
              <w:rPr>
                <w:noProof/>
              </w:rPr>
              <w:t>Mérföldkő</w:t>
            </w:r>
          </w:p>
        </w:tc>
        <w:tc>
          <w:tcPr>
            <w:tcW w:w="1329" w:type="dxa"/>
            <w:shd w:val="clear" w:color="auto" w:fill="C6EFCE"/>
            <w:vAlign w:val="center"/>
          </w:tcPr>
          <w:p w14:paraId="6299F3FC" w14:textId="77777777" w:rsidR="003F5418" w:rsidRDefault="002A6C25">
            <w:pPr>
              <w:pStyle w:val="P68B1DB1-Normal4"/>
              <w:spacing w:before="120" w:after="120"/>
              <w:rPr>
                <w:noProof/>
              </w:rPr>
            </w:pPr>
            <w:r>
              <w:rPr>
                <w:noProof/>
              </w:rPr>
              <w:t>Végrehajtási megállapodás</w:t>
            </w:r>
          </w:p>
        </w:tc>
        <w:tc>
          <w:tcPr>
            <w:tcW w:w="1275" w:type="dxa"/>
            <w:shd w:val="clear" w:color="auto" w:fill="C6EFCE"/>
            <w:vAlign w:val="center"/>
          </w:tcPr>
          <w:p w14:paraId="4731F6E5" w14:textId="77777777" w:rsidR="003F5418" w:rsidRDefault="002A6C25">
            <w:pPr>
              <w:pStyle w:val="P68B1DB1-Normal4"/>
              <w:rPr>
                <w:noProof/>
              </w:rPr>
            </w:pPr>
            <w:r>
              <w:rPr>
                <w:noProof/>
              </w:rPr>
              <w:t>A végrehajtási megállapodás hatálybalépése</w:t>
            </w:r>
          </w:p>
        </w:tc>
        <w:tc>
          <w:tcPr>
            <w:tcW w:w="1134" w:type="dxa"/>
            <w:shd w:val="clear" w:color="auto" w:fill="C6EFCE"/>
            <w:vAlign w:val="center"/>
          </w:tcPr>
          <w:p w14:paraId="62D97BB1" w14:textId="77777777" w:rsidR="003F5418" w:rsidRDefault="002A6C25">
            <w:pPr>
              <w:pStyle w:val="P68B1DB1-Normal4"/>
              <w:jc w:val="center"/>
              <w:rPr>
                <w:noProof/>
              </w:rPr>
            </w:pPr>
            <w:r>
              <w:rPr>
                <w:noProof/>
              </w:rPr>
              <w:t>NINCS</w:t>
            </w:r>
          </w:p>
        </w:tc>
        <w:tc>
          <w:tcPr>
            <w:tcW w:w="993" w:type="dxa"/>
            <w:shd w:val="clear" w:color="auto" w:fill="C6EFCE"/>
            <w:vAlign w:val="center"/>
          </w:tcPr>
          <w:p w14:paraId="4C6B2099" w14:textId="77777777" w:rsidR="003F5418" w:rsidRDefault="002A6C25">
            <w:pPr>
              <w:pStyle w:val="P68B1DB1-Normal4"/>
              <w:jc w:val="center"/>
              <w:rPr>
                <w:noProof/>
              </w:rPr>
            </w:pPr>
            <w:r>
              <w:rPr>
                <w:noProof/>
              </w:rPr>
              <w:t>NINCS</w:t>
            </w:r>
          </w:p>
        </w:tc>
        <w:tc>
          <w:tcPr>
            <w:tcW w:w="992" w:type="dxa"/>
            <w:shd w:val="clear" w:color="auto" w:fill="C6EFCE"/>
            <w:vAlign w:val="center"/>
          </w:tcPr>
          <w:p w14:paraId="44CE6B9E" w14:textId="77777777" w:rsidR="003F5418" w:rsidRDefault="002A6C25">
            <w:pPr>
              <w:pStyle w:val="P68B1DB1-Normal4"/>
              <w:jc w:val="center"/>
              <w:rPr>
                <w:noProof/>
              </w:rPr>
            </w:pPr>
            <w:r>
              <w:rPr>
                <w:noProof/>
              </w:rPr>
              <w:t>NINCS</w:t>
            </w:r>
          </w:p>
        </w:tc>
        <w:tc>
          <w:tcPr>
            <w:tcW w:w="850" w:type="dxa"/>
            <w:shd w:val="clear" w:color="auto" w:fill="C6EFCE"/>
            <w:vAlign w:val="center"/>
          </w:tcPr>
          <w:p w14:paraId="3E0364AA" w14:textId="77777777" w:rsidR="003F5418" w:rsidRDefault="002A6C25">
            <w:pPr>
              <w:pStyle w:val="P68B1DB1-Normal4"/>
              <w:jc w:val="center"/>
              <w:rPr>
                <w:noProof/>
              </w:rPr>
            </w:pPr>
            <w:r>
              <w:rPr>
                <w:noProof/>
              </w:rPr>
              <w:t>Q4</w:t>
            </w:r>
          </w:p>
        </w:tc>
        <w:tc>
          <w:tcPr>
            <w:tcW w:w="709" w:type="dxa"/>
            <w:shd w:val="clear" w:color="auto" w:fill="C6EFCE"/>
            <w:vAlign w:val="center"/>
          </w:tcPr>
          <w:p w14:paraId="2339A68D" w14:textId="77777777" w:rsidR="003F5418" w:rsidRDefault="002A6C25">
            <w:pPr>
              <w:pStyle w:val="P68B1DB1-Normal4"/>
              <w:spacing w:before="120" w:after="120"/>
              <w:jc w:val="center"/>
              <w:rPr>
                <w:noProof/>
              </w:rPr>
            </w:pPr>
            <w:r>
              <w:rPr>
                <w:noProof/>
              </w:rPr>
              <w:t>2024</w:t>
            </w:r>
          </w:p>
        </w:tc>
        <w:tc>
          <w:tcPr>
            <w:tcW w:w="3794" w:type="dxa"/>
            <w:shd w:val="clear" w:color="auto" w:fill="C6EFCE"/>
            <w:vAlign w:val="center"/>
          </w:tcPr>
          <w:p w14:paraId="75B72C10" w14:textId="77777777" w:rsidR="003F5418" w:rsidRDefault="002A6C25">
            <w:pPr>
              <w:pStyle w:val="P68B1DB1-Normal4"/>
              <w:spacing w:before="120" w:after="120"/>
              <w:rPr>
                <w:noProof/>
              </w:rPr>
            </w:pPr>
            <w:r>
              <w:rPr>
                <w:noProof/>
              </w:rPr>
              <w:t>A végrehajtási megállapodás hatálybalépése.</w:t>
            </w:r>
          </w:p>
        </w:tc>
      </w:tr>
      <w:tr w:rsidR="003F5418" w14:paraId="3FACF4F1" w14:textId="77777777">
        <w:trPr>
          <w:trHeight w:val="315"/>
        </w:trPr>
        <w:tc>
          <w:tcPr>
            <w:tcW w:w="1424" w:type="dxa"/>
            <w:shd w:val="clear" w:color="auto" w:fill="C6EFCE"/>
            <w:vAlign w:val="center"/>
          </w:tcPr>
          <w:p w14:paraId="322BA6D3" w14:textId="77777777" w:rsidR="003F5418" w:rsidRDefault="002A6C25">
            <w:pPr>
              <w:pStyle w:val="P68B1DB1-Normal4"/>
              <w:spacing w:before="120" w:after="120"/>
              <w:jc w:val="center"/>
              <w:rPr>
                <w:noProof/>
              </w:rPr>
            </w:pPr>
            <w:r>
              <w:rPr>
                <w:noProof/>
              </w:rPr>
              <w:t>M1C2–31</w:t>
            </w:r>
          </w:p>
        </w:tc>
        <w:tc>
          <w:tcPr>
            <w:tcW w:w="1578" w:type="dxa"/>
            <w:shd w:val="clear" w:color="auto" w:fill="C6EFCE"/>
            <w:vAlign w:val="center"/>
          </w:tcPr>
          <w:p w14:paraId="4FABCA50" w14:textId="77777777" w:rsidR="003F5418" w:rsidRDefault="002A6C25">
            <w:pPr>
              <w:pStyle w:val="P68B1DB1-Normal4"/>
              <w:spacing w:before="120" w:after="120"/>
              <w:jc w:val="center"/>
              <w:rPr>
                <w:noProof/>
              </w:rPr>
            </w:pPr>
            <w:r>
              <w:rPr>
                <w:noProof/>
              </w:rPr>
              <w:t>Beruházás: A termelési rendszer támogatása az ökológiai átállás, a nettó zéró technológiák, valamint a stratégiai ellátási láncok versenyképessége és rezilienciája érdekében</w:t>
            </w:r>
          </w:p>
        </w:tc>
        <w:tc>
          <w:tcPr>
            <w:tcW w:w="1078" w:type="dxa"/>
            <w:shd w:val="clear" w:color="auto" w:fill="C6EFCE"/>
            <w:vAlign w:val="center"/>
          </w:tcPr>
          <w:p w14:paraId="0C7D3ADA" w14:textId="77777777" w:rsidR="003F5418" w:rsidRDefault="002A6C25">
            <w:pPr>
              <w:pStyle w:val="P68B1DB1-Normal4"/>
              <w:spacing w:before="120" w:after="120"/>
              <w:rPr>
                <w:noProof/>
              </w:rPr>
            </w:pPr>
            <w:r>
              <w:rPr>
                <w:noProof/>
              </w:rPr>
              <w:t>Mérföldkő</w:t>
            </w:r>
          </w:p>
        </w:tc>
        <w:tc>
          <w:tcPr>
            <w:tcW w:w="1329" w:type="dxa"/>
            <w:shd w:val="clear" w:color="auto" w:fill="C6EFCE"/>
            <w:vAlign w:val="center"/>
          </w:tcPr>
          <w:p w14:paraId="3B47843A" w14:textId="77777777" w:rsidR="003F5418" w:rsidRDefault="002A6C25">
            <w:pPr>
              <w:pStyle w:val="P68B1DB1-Normal4"/>
              <w:spacing w:before="120" w:after="120"/>
              <w:rPr>
                <w:noProof/>
              </w:rPr>
            </w:pPr>
            <w:r>
              <w:rPr>
                <w:noProof/>
              </w:rPr>
              <w:t xml:space="preserve">Az olaszországi Vállalkozásügyi Minisztérium és Made befejezte a </w:t>
            </w:r>
            <w:r>
              <w:rPr>
                <w:noProof/>
              </w:rPr>
              <w:t>beruházást</w:t>
            </w:r>
          </w:p>
        </w:tc>
        <w:tc>
          <w:tcPr>
            <w:tcW w:w="1275" w:type="dxa"/>
            <w:shd w:val="clear" w:color="auto" w:fill="C6EFCE"/>
            <w:vAlign w:val="center"/>
          </w:tcPr>
          <w:p w14:paraId="41A88667" w14:textId="77777777" w:rsidR="003F5418" w:rsidRDefault="002A6C25">
            <w:pPr>
              <w:pStyle w:val="P68B1DB1-Normal4"/>
              <w:rPr>
                <w:noProof/>
              </w:rPr>
            </w:pPr>
            <w:r>
              <w:rPr>
                <w:noProof/>
              </w:rPr>
              <w:t xml:space="preserve">Átutalási igazolás </w:t>
            </w:r>
          </w:p>
        </w:tc>
        <w:tc>
          <w:tcPr>
            <w:tcW w:w="1134" w:type="dxa"/>
            <w:shd w:val="clear" w:color="auto" w:fill="C6EFCE"/>
            <w:vAlign w:val="center"/>
          </w:tcPr>
          <w:p w14:paraId="7938F561" w14:textId="77777777" w:rsidR="003F5418" w:rsidRDefault="002A6C25">
            <w:pPr>
              <w:pStyle w:val="P68B1DB1-Normal4"/>
              <w:jc w:val="center"/>
              <w:rPr>
                <w:noProof/>
              </w:rPr>
            </w:pPr>
            <w:r>
              <w:rPr>
                <w:noProof/>
              </w:rPr>
              <w:t>NINCS</w:t>
            </w:r>
          </w:p>
        </w:tc>
        <w:tc>
          <w:tcPr>
            <w:tcW w:w="993" w:type="dxa"/>
            <w:shd w:val="clear" w:color="auto" w:fill="C6EFCE"/>
            <w:vAlign w:val="center"/>
          </w:tcPr>
          <w:p w14:paraId="192A93E2" w14:textId="77777777" w:rsidR="003F5418" w:rsidRDefault="002A6C25">
            <w:pPr>
              <w:pStyle w:val="P68B1DB1-Normal4"/>
              <w:jc w:val="center"/>
              <w:rPr>
                <w:noProof/>
              </w:rPr>
            </w:pPr>
            <w:r>
              <w:rPr>
                <w:noProof/>
              </w:rPr>
              <w:t>NINCS</w:t>
            </w:r>
          </w:p>
        </w:tc>
        <w:tc>
          <w:tcPr>
            <w:tcW w:w="992" w:type="dxa"/>
            <w:shd w:val="clear" w:color="auto" w:fill="C6EFCE"/>
            <w:vAlign w:val="center"/>
          </w:tcPr>
          <w:p w14:paraId="11781281" w14:textId="77777777" w:rsidR="003F5418" w:rsidRDefault="002A6C25">
            <w:pPr>
              <w:pStyle w:val="P68B1DB1-Normal4"/>
              <w:jc w:val="center"/>
              <w:rPr>
                <w:noProof/>
              </w:rPr>
            </w:pPr>
            <w:r>
              <w:rPr>
                <w:noProof/>
              </w:rPr>
              <w:t>NINCS</w:t>
            </w:r>
          </w:p>
        </w:tc>
        <w:tc>
          <w:tcPr>
            <w:tcW w:w="850" w:type="dxa"/>
            <w:shd w:val="clear" w:color="auto" w:fill="C6EFCE"/>
            <w:vAlign w:val="center"/>
          </w:tcPr>
          <w:p w14:paraId="466AAAB1" w14:textId="77777777" w:rsidR="003F5418" w:rsidRDefault="002A6C25">
            <w:pPr>
              <w:pStyle w:val="P68B1DB1-Normal4"/>
              <w:jc w:val="center"/>
              <w:rPr>
                <w:noProof/>
              </w:rPr>
            </w:pPr>
            <w:r>
              <w:rPr>
                <w:noProof/>
              </w:rPr>
              <w:t>Q4</w:t>
            </w:r>
          </w:p>
        </w:tc>
        <w:tc>
          <w:tcPr>
            <w:tcW w:w="709" w:type="dxa"/>
            <w:shd w:val="clear" w:color="auto" w:fill="C6EFCE"/>
            <w:vAlign w:val="center"/>
          </w:tcPr>
          <w:p w14:paraId="05231B40" w14:textId="77777777" w:rsidR="003F5418" w:rsidRDefault="002A6C25">
            <w:pPr>
              <w:pStyle w:val="P68B1DB1-Normal4"/>
              <w:spacing w:before="120" w:after="120"/>
              <w:jc w:val="center"/>
              <w:rPr>
                <w:noProof/>
              </w:rPr>
            </w:pPr>
            <w:r>
              <w:rPr>
                <w:noProof/>
              </w:rPr>
              <w:t>2024</w:t>
            </w:r>
          </w:p>
        </w:tc>
        <w:tc>
          <w:tcPr>
            <w:tcW w:w="3794" w:type="dxa"/>
            <w:shd w:val="clear" w:color="auto" w:fill="C6EFCE"/>
            <w:vAlign w:val="center"/>
          </w:tcPr>
          <w:p w14:paraId="2ED91CA6" w14:textId="64E9A6D3" w:rsidR="003F5418" w:rsidRDefault="002A6C25">
            <w:pPr>
              <w:pStyle w:val="P68B1DB1-Normal4"/>
              <w:spacing w:before="120" w:after="120"/>
              <w:rPr>
                <w:noProof/>
              </w:rPr>
            </w:pPr>
            <w:r>
              <w:rPr>
                <w:noProof/>
              </w:rPr>
              <w:t>Olaszország 2 500 000 000 EUR-t utal át az Invitalia részére az eszköz céljára.</w:t>
            </w:r>
          </w:p>
          <w:p w14:paraId="5A2CE132" w14:textId="77777777" w:rsidR="003F5418" w:rsidRDefault="002A6C25">
            <w:pPr>
              <w:pStyle w:val="P68B1DB1-Normal4"/>
              <w:spacing w:before="120" w:after="120"/>
              <w:rPr>
                <w:noProof/>
              </w:rPr>
            </w:pPr>
            <w:r>
              <w:rPr>
                <w:noProof/>
              </w:rPr>
              <w:t xml:space="preserve">Ebből: </w:t>
            </w:r>
          </w:p>
          <w:p w14:paraId="06C833A7" w14:textId="53875BAB" w:rsidR="003F5418" w:rsidRDefault="002A6C25">
            <w:pPr>
              <w:pStyle w:val="P68B1DB1-ListParagraph5"/>
              <w:numPr>
                <w:ilvl w:val="0"/>
                <w:numId w:val="133"/>
              </w:numPr>
              <w:rPr>
                <w:noProof/>
              </w:rPr>
            </w:pPr>
            <w:r>
              <w:rPr>
                <w:noProof/>
              </w:rPr>
              <w:t>2 000 000 000 EUR az 1. „Nettó zéró technológiák” részberuházásra;</w:t>
            </w:r>
          </w:p>
          <w:p w14:paraId="49724424" w14:textId="0F475938" w:rsidR="003F5418" w:rsidRDefault="002A6C25">
            <w:pPr>
              <w:pStyle w:val="P68B1DB1-ListParagraph5"/>
              <w:numPr>
                <w:ilvl w:val="0"/>
                <w:numId w:val="133"/>
              </w:numPr>
              <w:rPr>
                <w:noProof/>
              </w:rPr>
            </w:pPr>
            <w:r>
              <w:rPr>
                <w:noProof/>
              </w:rPr>
              <w:t>500 000 000 EUR a stratégiai ellátási láncok</w:t>
            </w:r>
            <w:r>
              <w:rPr>
                <w:noProof/>
              </w:rPr>
              <w:t xml:space="preserve"> versenyképessége és rezilienciája 2. részberuházására.</w:t>
            </w:r>
          </w:p>
        </w:tc>
      </w:tr>
      <w:tr w:rsidR="003F5418" w14:paraId="0B15F0E7" w14:textId="77777777">
        <w:trPr>
          <w:trHeight w:val="315"/>
        </w:trPr>
        <w:tc>
          <w:tcPr>
            <w:tcW w:w="1424" w:type="dxa"/>
            <w:shd w:val="clear" w:color="auto" w:fill="C6EFCE"/>
            <w:vAlign w:val="center"/>
          </w:tcPr>
          <w:p w14:paraId="693D8F8D" w14:textId="77777777" w:rsidR="003F5418" w:rsidRDefault="002A6C25">
            <w:pPr>
              <w:pStyle w:val="P68B1DB1-Normal4"/>
              <w:spacing w:before="120" w:after="120"/>
              <w:jc w:val="center"/>
              <w:rPr>
                <w:noProof/>
              </w:rPr>
            </w:pPr>
            <w:r>
              <w:rPr>
                <w:noProof/>
              </w:rPr>
              <w:t>M1C2–32</w:t>
            </w:r>
          </w:p>
        </w:tc>
        <w:tc>
          <w:tcPr>
            <w:tcW w:w="1578" w:type="dxa"/>
            <w:shd w:val="clear" w:color="auto" w:fill="C6EFCE"/>
            <w:vAlign w:val="center"/>
          </w:tcPr>
          <w:p w14:paraId="79B8F16E" w14:textId="77777777" w:rsidR="003F5418" w:rsidRDefault="002A6C25">
            <w:pPr>
              <w:pStyle w:val="P68B1DB1-Normal4"/>
              <w:spacing w:before="120" w:after="120"/>
              <w:jc w:val="center"/>
              <w:rPr>
                <w:noProof/>
              </w:rPr>
            </w:pPr>
            <w:r>
              <w:rPr>
                <w:noProof/>
              </w:rPr>
              <w:t>Beruházás. Az ökológiai átálláshoz, a nettó zéró technológiákhoz, valamint a stratégiai ellátási láncok versenyképességéhez és rezilienciájához szükséges termelési rendszer támogatása</w:t>
            </w:r>
          </w:p>
        </w:tc>
        <w:tc>
          <w:tcPr>
            <w:tcW w:w="1078" w:type="dxa"/>
            <w:shd w:val="clear" w:color="auto" w:fill="C6EFCE"/>
            <w:vAlign w:val="center"/>
          </w:tcPr>
          <w:p w14:paraId="471307AA" w14:textId="77777777" w:rsidR="003F5418" w:rsidRDefault="002A6C25">
            <w:pPr>
              <w:pStyle w:val="P68B1DB1-Normal4"/>
              <w:spacing w:before="120" w:after="120"/>
              <w:jc w:val="center"/>
              <w:rPr>
                <w:noProof/>
              </w:rPr>
            </w:pPr>
            <w:r>
              <w:rPr>
                <w:noProof/>
              </w:rPr>
              <w:t>Cél</w:t>
            </w:r>
          </w:p>
        </w:tc>
        <w:tc>
          <w:tcPr>
            <w:tcW w:w="1329" w:type="dxa"/>
            <w:shd w:val="clear" w:color="auto" w:fill="C6EFCE"/>
            <w:vAlign w:val="center"/>
          </w:tcPr>
          <w:p w14:paraId="4019E497" w14:textId="77777777" w:rsidR="003F5418" w:rsidRDefault="002A6C25">
            <w:pPr>
              <w:pStyle w:val="P68B1DB1-Normal4"/>
              <w:spacing w:before="120" w:after="120"/>
              <w:rPr>
                <w:noProof/>
              </w:rPr>
            </w:pPr>
            <w:r>
              <w:rPr>
                <w:noProof/>
              </w:rPr>
              <w:t xml:space="preserve">A </w:t>
            </w:r>
            <w:r>
              <w:rPr>
                <w:noProof/>
              </w:rPr>
              <w:t>végső kedvezményezettekkel aláírt jogi megállapodások</w:t>
            </w:r>
          </w:p>
        </w:tc>
        <w:tc>
          <w:tcPr>
            <w:tcW w:w="1275" w:type="dxa"/>
            <w:shd w:val="clear" w:color="auto" w:fill="C6EFCE"/>
            <w:vAlign w:val="center"/>
          </w:tcPr>
          <w:p w14:paraId="3C635AE9" w14:textId="0F544710" w:rsidR="003F5418" w:rsidRDefault="003F5418">
            <w:pPr>
              <w:rPr>
                <w:rFonts w:ascii="Arial Narrow" w:hAnsi="Arial Narrow"/>
                <w:noProof/>
                <w:color w:val="006100"/>
                <w:sz w:val="20"/>
              </w:rPr>
            </w:pPr>
          </w:p>
          <w:p w14:paraId="4AA35F41" w14:textId="77777777" w:rsidR="003F5418" w:rsidRDefault="002A6C25">
            <w:pPr>
              <w:pStyle w:val="P68B1DB1-Normal4"/>
              <w:rPr>
                <w:noProof/>
              </w:rPr>
            </w:pPr>
            <w:r>
              <w:rPr>
                <w:noProof/>
              </w:rPr>
              <w:t>NINCS</w:t>
            </w:r>
          </w:p>
        </w:tc>
        <w:tc>
          <w:tcPr>
            <w:tcW w:w="1134" w:type="dxa"/>
            <w:shd w:val="clear" w:color="auto" w:fill="C6EFCE"/>
            <w:vAlign w:val="center"/>
          </w:tcPr>
          <w:p w14:paraId="788A2CCE" w14:textId="77777777" w:rsidR="003F5418" w:rsidRDefault="002A6C25">
            <w:pPr>
              <w:pStyle w:val="P68B1DB1-Normal4"/>
              <w:jc w:val="center"/>
              <w:rPr>
                <w:noProof/>
              </w:rPr>
            </w:pPr>
            <w:r>
              <w:rPr>
                <w:noProof/>
              </w:rPr>
              <w:t>Százalék</w:t>
            </w:r>
          </w:p>
        </w:tc>
        <w:tc>
          <w:tcPr>
            <w:tcW w:w="993" w:type="dxa"/>
            <w:shd w:val="clear" w:color="auto" w:fill="C6EFCE"/>
            <w:vAlign w:val="center"/>
          </w:tcPr>
          <w:p w14:paraId="67E5E620" w14:textId="77777777" w:rsidR="003F5418" w:rsidRDefault="002A6C25">
            <w:pPr>
              <w:pStyle w:val="P68B1DB1-Normal4"/>
              <w:jc w:val="center"/>
              <w:rPr>
                <w:noProof/>
              </w:rPr>
            </w:pPr>
            <w:r>
              <w:rPr>
                <w:noProof/>
              </w:rPr>
              <w:t>0</w:t>
            </w:r>
          </w:p>
        </w:tc>
        <w:tc>
          <w:tcPr>
            <w:tcW w:w="992" w:type="dxa"/>
            <w:shd w:val="clear" w:color="auto" w:fill="C6EFCE"/>
            <w:vAlign w:val="center"/>
          </w:tcPr>
          <w:p w14:paraId="79BA4D3C" w14:textId="77777777" w:rsidR="003F5418" w:rsidRDefault="002A6C25">
            <w:pPr>
              <w:pStyle w:val="P68B1DB1-Normal4"/>
              <w:jc w:val="center"/>
              <w:rPr>
                <w:noProof/>
              </w:rPr>
            </w:pPr>
            <w:r>
              <w:rPr>
                <w:noProof/>
              </w:rPr>
              <w:t>100</w:t>
            </w:r>
          </w:p>
        </w:tc>
        <w:tc>
          <w:tcPr>
            <w:tcW w:w="850" w:type="dxa"/>
            <w:shd w:val="clear" w:color="auto" w:fill="C6EFCE"/>
            <w:vAlign w:val="center"/>
          </w:tcPr>
          <w:p w14:paraId="7B320169" w14:textId="77777777" w:rsidR="003F5418" w:rsidRDefault="002A6C25">
            <w:pPr>
              <w:pStyle w:val="P68B1DB1-Normal4"/>
              <w:jc w:val="center"/>
              <w:rPr>
                <w:noProof/>
              </w:rPr>
            </w:pPr>
            <w:r>
              <w:rPr>
                <w:noProof/>
              </w:rPr>
              <w:t>Q2</w:t>
            </w:r>
          </w:p>
        </w:tc>
        <w:tc>
          <w:tcPr>
            <w:tcW w:w="709" w:type="dxa"/>
            <w:shd w:val="clear" w:color="auto" w:fill="C6EFCE"/>
            <w:vAlign w:val="center"/>
          </w:tcPr>
          <w:p w14:paraId="486D1AD8" w14:textId="77777777" w:rsidR="003F5418" w:rsidRDefault="002A6C25">
            <w:pPr>
              <w:pStyle w:val="P68B1DB1-Normal4"/>
              <w:spacing w:before="120" w:after="120"/>
              <w:jc w:val="center"/>
              <w:rPr>
                <w:noProof/>
              </w:rPr>
            </w:pPr>
            <w:r>
              <w:rPr>
                <w:noProof/>
              </w:rPr>
              <w:t>2026</w:t>
            </w:r>
          </w:p>
        </w:tc>
        <w:tc>
          <w:tcPr>
            <w:tcW w:w="3794" w:type="dxa"/>
            <w:shd w:val="clear" w:color="auto" w:fill="C6EFCE"/>
            <w:vAlign w:val="center"/>
          </w:tcPr>
          <w:p w14:paraId="1CABBA7F" w14:textId="19B876B3" w:rsidR="003F5418" w:rsidRDefault="002A6C25">
            <w:pPr>
              <w:pStyle w:val="P68B1DB1-Normal16"/>
              <w:spacing w:before="120" w:after="120"/>
              <w:rPr>
                <w:noProof/>
                <w:sz w:val="20"/>
              </w:rPr>
            </w:pPr>
            <w:r>
              <w:rPr>
                <w:noProof/>
                <w:sz w:val="20"/>
              </w:rPr>
              <w:t xml:space="preserve">Az Invitalia jogi finanszírozási megállapodásokat kötött a végső kedvezményezettekkel a Helyreállítási és Rezilienciaépítési Eszköz 2 500 000 000 EUR összegű beruházásának </w:t>
            </w:r>
            <w:r>
              <w:rPr>
                <w:noProof/>
                <w:sz w:val="20"/>
              </w:rPr>
              <w:t xml:space="preserve">100%-ához szükséges összegről (az irányítási díjak figyelembevételével). </w:t>
            </w:r>
          </w:p>
          <w:p w14:paraId="031E4E71" w14:textId="77777777" w:rsidR="003F5418" w:rsidRDefault="002A6C25">
            <w:pPr>
              <w:pStyle w:val="P68B1DB1-Normal4"/>
              <w:spacing w:before="120" w:after="120"/>
              <w:rPr>
                <w:noProof/>
              </w:rPr>
            </w:pPr>
            <w:r>
              <w:rPr>
                <w:noProof/>
              </w:rPr>
              <w:t xml:space="preserve">Konkrétabban: </w:t>
            </w:r>
          </w:p>
          <w:p w14:paraId="3CB3F049" w14:textId="715836EC" w:rsidR="003F5418" w:rsidRDefault="002A6C25">
            <w:pPr>
              <w:pStyle w:val="P68B1DB1-ListParagraph5"/>
              <w:numPr>
                <w:ilvl w:val="0"/>
                <w:numId w:val="133"/>
              </w:numPr>
              <w:rPr>
                <w:noProof/>
              </w:rPr>
            </w:pPr>
            <w:r>
              <w:rPr>
                <w:noProof/>
              </w:rPr>
              <w:t>2 000 000 000 EUR az 1. „Nettó zéró technológiák” részberuházásra;</w:t>
            </w:r>
          </w:p>
          <w:p w14:paraId="5E15F2F1" w14:textId="3FF3A769" w:rsidR="003F5418" w:rsidRDefault="002A6C25">
            <w:pPr>
              <w:pStyle w:val="P68B1DB1-ListParagraph5"/>
              <w:numPr>
                <w:ilvl w:val="0"/>
                <w:numId w:val="133"/>
              </w:numPr>
              <w:rPr>
                <w:noProof/>
              </w:rPr>
            </w:pPr>
            <w:r>
              <w:rPr>
                <w:noProof/>
              </w:rPr>
              <w:t>500 000 000 EUR a stratégiai ellátási láncok versenyképessége és rezilienciája 2. részberuházására.</w:t>
            </w:r>
          </w:p>
        </w:tc>
      </w:tr>
    </w:tbl>
    <w:p w14:paraId="63C7903A" w14:textId="77777777" w:rsidR="003F5418" w:rsidRDefault="003F5418">
      <w:pPr>
        <w:spacing w:before="120" w:after="120"/>
        <w:jc w:val="both"/>
        <w:rPr>
          <w:b/>
          <w:noProof/>
        </w:rPr>
      </w:pPr>
    </w:p>
    <w:p w14:paraId="79F4F7C1" w14:textId="77777777" w:rsidR="003F5418" w:rsidRDefault="003F5418">
      <w:pPr>
        <w:rPr>
          <w:b/>
          <w:noProof/>
        </w:rPr>
        <w:sectPr w:rsidR="003F5418">
          <w:headerReference w:type="even" r:id="rId62"/>
          <w:headerReference w:type="default" r:id="rId63"/>
          <w:footerReference w:type="even" r:id="rId64"/>
          <w:footerReference w:type="default" r:id="rId65"/>
          <w:headerReference w:type="first" r:id="rId66"/>
          <w:footerReference w:type="first" r:id="rId67"/>
          <w:pgSz w:w="16838" w:h="11907" w:orient="landscape" w:code="12"/>
          <w:pgMar w:top="1134" w:right="1134" w:bottom="1134" w:left="1134" w:header="567" w:footer="567" w:gutter="0"/>
          <w:cols w:space="720"/>
          <w:docGrid w:linePitch="360"/>
        </w:sectPr>
      </w:pPr>
    </w:p>
    <w:p w14:paraId="45D19C87" w14:textId="77777777" w:rsidR="003F5418" w:rsidRDefault="002A6C25">
      <w:pPr>
        <w:pStyle w:val="Heading2"/>
        <w:numPr>
          <w:ilvl w:val="0"/>
          <w:numId w:val="0"/>
        </w:numPr>
        <w:ind w:left="850" w:hanging="850"/>
        <w:rPr>
          <w:noProof/>
          <w:u w:val="single"/>
        </w:rPr>
      </w:pPr>
      <w:r>
        <w:rPr>
          <w:noProof/>
        </w:rPr>
        <w:t xml:space="preserve">C. 1. KÜLDETÉS, 3. KOMPONENS: </w:t>
      </w:r>
      <w:r>
        <w:rPr>
          <w:noProof/>
          <w:u w:val="single"/>
        </w:rPr>
        <w:t>Idegenforgalom és kultúra 4.0</w:t>
      </w:r>
      <w:r>
        <w:rPr>
          <w:noProof/>
        </w:rPr>
        <w:t xml:space="preserve">. </w:t>
      </w:r>
    </w:p>
    <w:p w14:paraId="156EB2CC" w14:textId="77777777" w:rsidR="003F5418" w:rsidRDefault="002A6C25">
      <w:pPr>
        <w:spacing w:before="120" w:after="120"/>
        <w:jc w:val="both"/>
        <w:rPr>
          <w:noProof/>
        </w:rPr>
      </w:pPr>
      <w:r>
        <w:rPr>
          <w:noProof/>
        </w:rPr>
        <w:t>Az olasz helyreállítási és rezilienciaépítési terv ezen komponense a Covid-válság által súlyosan érintett két ágazat újraindítására összpontosít: kultúra és turizmus. A kulturális ágazattal kapcsolatos intézkedések célja, hogy a kulturális helyszíneket dig</w:t>
      </w:r>
      <w:r>
        <w:rPr>
          <w:noProof/>
        </w:rPr>
        <w:t>itálisan és fizikailag egyaránt hozzáférhetőbbé, energiahatékonyabbá és biztonságosabbá tegyék a természeti katasztrófák tekintetében, valamint hogy támogassák a kulturális és kreatív ágazatok helyreállítását, többek között a kisebb kulturális helyszínek é</w:t>
      </w:r>
      <w:r>
        <w:rPr>
          <w:noProof/>
        </w:rPr>
        <w:t>s a vidéki építészet vonzerejének támogatásával, valamint a területi kohézió fokozása érdekében. Három intézkedéscsoportot irányoztak elő: i. a kulturális örökség következő generációja számára történő fejlesztésére irányuló beavatkozások, beleértve a digit</w:t>
      </w:r>
      <w:r>
        <w:rPr>
          <w:noProof/>
        </w:rPr>
        <w:t>ális átállásra és a kulturális helyszínek energiahatékonyságának javítására irányuló beruházásokat, ii. a kis történelmi helyszínek, valamint a vallási és vidéki örökség kulturális alapú rehabilitációját; a kulturális és kreatív iparágakra irányuló beavatk</w:t>
      </w:r>
      <w:r>
        <w:rPr>
          <w:noProof/>
        </w:rPr>
        <w:t>ozások 4.0. A turizmussal kapcsolatos intézkedések célja az ágazat versenyképességének fokozása, többek között az ágazat széttagoltságának csökkentése és a méretgazdaságosság fokozása, a vendéglátóipari ágazat szabványainak javítása és korszerűsítése, a di</w:t>
      </w:r>
      <w:r>
        <w:rPr>
          <w:noProof/>
        </w:rPr>
        <w:t>gitális innováció és az új technológiák gazdasági szereplők általi használatának ösztönzése, valamint az ágazat zöld átállásának támogatása révén. E tekintetben intézkedéseket terveznek az idegenforgalmi ágazatban működő vállalkozások, köztük a kkv-k és az</w:t>
      </w:r>
      <w:r>
        <w:rPr>
          <w:noProof/>
        </w:rPr>
        <w:t xml:space="preserve"> idegenforgalmi szolgáltatók támogatására, többek között a digitális eszközökbe történő beruházások révén. </w:t>
      </w:r>
    </w:p>
    <w:p w14:paraId="52CE0816" w14:textId="77777777" w:rsidR="003F5418" w:rsidRDefault="002A6C25">
      <w:pPr>
        <w:spacing w:before="120" w:after="120"/>
        <w:jc w:val="both"/>
        <w:rPr>
          <w:noProof/>
        </w:rPr>
      </w:pPr>
      <w:r>
        <w:rPr>
          <w:noProof/>
        </w:rPr>
        <w:t xml:space="preserve">Az e komponens alá tartozó beruházásoknak és reformoknak hozzá kell járulniuk az Olaszországnak címzett országspecifikus ajánlások végrehajtásához, </w:t>
      </w:r>
      <w:r>
        <w:rPr>
          <w:noProof/>
        </w:rPr>
        <w:t>különös tekintettel arra, hogy „a gazdasági helyreállítás előmozdítása, valamint a beruházásoknak a zöld és digitális átállásra való összpontosítása érdekében elő kell mozdítaniuk a magánberuházásokat” (2020. évi 3. országspecifikus ajánlás). Emellett támo</w:t>
      </w:r>
      <w:r>
        <w:rPr>
          <w:noProof/>
        </w:rPr>
        <w:t xml:space="preserve">gatják a társadalmi és területi kohéziót, valamint az olasz gazdaság versenyképességét, miközben előmozdítják az idegenforgalmi ágazat digitalizációját és fenntarthatóságát. </w:t>
      </w:r>
    </w:p>
    <w:p w14:paraId="451914E0" w14:textId="77777777" w:rsidR="003F5418" w:rsidRDefault="002A6C25">
      <w:pPr>
        <w:pStyle w:val="Heading3"/>
        <w:numPr>
          <w:ilvl w:val="0"/>
          <w:numId w:val="0"/>
        </w:numPr>
        <w:ind w:left="850" w:hanging="850"/>
        <w:rPr>
          <w:rFonts w:eastAsia="Times New Roman"/>
          <w:b/>
          <w:i w:val="0"/>
          <w:noProof/>
          <w:u w:val="single"/>
        </w:rPr>
      </w:pPr>
      <w:r>
        <w:rPr>
          <w:b/>
          <w:i w:val="0"/>
          <w:noProof/>
          <w:u w:val="single"/>
        </w:rPr>
        <w:t xml:space="preserve">C.1. </w:t>
      </w:r>
      <w:r>
        <w:rPr>
          <w:noProof/>
        </w:rPr>
        <w:t xml:space="preserve"> </w:t>
      </w:r>
      <w:r>
        <w:rPr>
          <w:b/>
          <w:i w:val="0"/>
          <w:noProof/>
          <w:u w:val="single"/>
        </w:rPr>
        <w:t xml:space="preserve">Vissza nem térítendő pénzügyi támogatás – a reformok és beruházások </w:t>
      </w:r>
      <w:r>
        <w:rPr>
          <w:b/>
          <w:i w:val="0"/>
          <w:noProof/>
          <w:u w:val="single"/>
        </w:rPr>
        <w:t>ismertetése</w:t>
      </w:r>
    </w:p>
    <w:p w14:paraId="6E42A9E4" w14:textId="058060D4" w:rsidR="003F5418" w:rsidRDefault="00240F92">
      <w:pPr>
        <w:pStyle w:val="P68B1DB1-Normal2"/>
        <w:spacing w:before="120" w:after="120"/>
        <w:jc w:val="both"/>
        <w:rPr>
          <w:noProof/>
        </w:rPr>
      </w:pPr>
      <w:r>
        <w:rPr>
          <w:noProof/>
        </w:rPr>
        <w:t xml:space="preserve">1.1. Beruházás: Digitális stratégia és kulturális örökségi platformok </w:t>
      </w:r>
    </w:p>
    <w:p w14:paraId="0E7C8BD6" w14:textId="77777777" w:rsidR="003F5418" w:rsidRDefault="002A6C25">
      <w:pPr>
        <w:spacing w:before="120" w:after="120"/>
        <w:jc w:val="both"/>
        <w:rPr>
          <w:noProof/>
        </w:rPr>
      </w:pPr>
      <w:r>
        <w:rPr>
          <w:noProof/>
        </w:rPr>
        <w:t>Az intézkedés intézkedéseket tartalmaz az olasz kulturális örökség digitalizálására, a kulturális erőforrásokhoz és a digitális szolgáltatásokhoz való hozzáférés javítása ér</w:t>
      </w:r>
      <w:r>
        <w:rPr>
          <w:noProof/>
        </w:rPr>
        <w:t>dekében.</w:t>
      </w:r>
    </w:p>
    <w:p w14:paraId="5B0D5BE5" w14:textId="77777777" w:rsidR="003F5418" w:rsidRDefault="002A6C25">
      <w:pPr>
        <w:spacing w:before="120" w:after="120"/>
        <w:jc w:val="both"/>
        <w:rPr>
          <w:noProof/>
        </w:rPr>
      </w:pPr>
      <w:r>
        <w:rPr>
          <w:noProof/>
        </w:rPr>
        <w:t>A beavatkozásnak új nemzeti digitális infrastruktúrát kell létrehoznia a digitális erőforrások összegyűjtésére, integrálására és megőrzésére, és azokat erre a célra létrehozott platformokon keresztül nyilvános használatra elérhetővé kell tennie. A</w:t>
      </w:r>
      <w:r>
        <w:rPr>
          <w:noProof/>
        </w:rPr>
        <w:t xml:space="preserve"> „fizikai” örökséggel kapcsolatos beavatkozásokat a múzeumok, archívumok, könyvtárak és kulturális helyszínek digitalizálásának kell kísérnie annak érdekében, hogy a polgárok feltárhassák a kulturális örökségből származó előnyök új formáit. </w:t>
      </w:r>
    </w:p>
    <w:p w14:paraId="2A8B4126" w14:textId="17A8E994" w:rsidR="003F5418" w:rsidRDefault="00240F92">
      <w:pPr>
        <w:pStyle w:val="P68B1DB1-Normal2"/>
        <w:spacing w:before="120" w:after="120"/>
        <w:jc w:val="both"/>
        <w:rPr>
          <w:noProof/>
        </w:rPr>
      </w:pPr>
      <w:r>
        <w:rPr>
          <w:noProof/>
        </w:rPr>
        <w:t>1.2. Beruházás: A múzeumok, könyvtárak és archívumok fizikai és kognitív akadályainak felszámolása a kultúrához való szélesebb körű hozzáférés és részvétel lehetővé tétele érdekében</w:t>
      </w:r>
    </w:p>
    <w:p w14:paraId="3B4F2A4B" w14:textId="77777777" w:rsidR="003F5418" w:rsidRDefault="002A6C25">
      <w:pPr>
        <w:spacing w:before="120" w:after="120"/>
        <w:jc w:val="both"/>
        <w:rPr>
          <w:noProof/>
        </w:rPr>
      </w:pPr>
      <w:r>
        <w:rPr>
          <w:noProof/>
        </w:rPr>
        <w:t>Az intézkedés célja, hogy számos olasz kulturális intézményben felszámolja az építészeti</w:t>
      </w:r>
      <w:r>
        <w:rPr>
          <w:noProof/>
        </w:rPr>
        <w:t>, kulturális és kognitív akadályokat. A beavatkozásokat össze kell kapcsolni az adminisztratív személyzet és a kulturális szereplők képzésével, a hozzáférhetőség kultúrájának előmozdításával, valamint a jogi szempontokkal, a fogadással, a kulturális közvet</w:t>
      </w:r>
      <w:r>
        <w:rPr>
          <w:noProof/>
        </w:rPr>
        <w:t>ítéssel és a promócióval kapcsolatos szakértelem fejlesztésével.</w:t>
      </w:r>
    </w:p>
    <w:p w14:paraId="671650C4" w14:textId="1F37D6AA" w:rsidR="003F5418" w:rsidRDefault="00240F92">
      <w:pPr>
        <w:pStyle w:val="P68B1DB1-Normal2"/>
        <w:spacing w:before="120" w:after="120"/>
        <w:jc w:val="both"/>
        <w:rPr>
          <w:noProof/>
        </w:rPr>
      </w:pPr>
      <w:r>
        <w:rPr>
          <w:noProof/>
        </w:rPr>
        <w:t>1.3. Beruházás: Az energiahatékonyság javítása a moziban, a színházakban és a múzeumokban</w:t>
      </w:r>
    </w:p>
    <w:p w14:paraId="5E256105" w14:textId="77777777" w:rsidR="003F5418" w:rsidRDefault="002A6C25">
      <w:pPr>
        <w:spacing w:before="120" w:after="120"/>
        <w:jc w:val="both"/>
        <w:rPr>
          <w:noProof/>
        </w:rPr>
      </w:pPr>
      <w:r>
        <w:rPr>
          <w:noProof/>
        </w:rPr>
        <w:t>Az intézkedésnek javítania kell a kulturális és kreatív ágazathoz kapcsolódó épületek energiahatékony</w:t>
      </w:r>
      <w:r>
        <w:rPr>
          <w:noProof/>
        </w:rPr>
        <w:t>ságát. Gyakran olyan elavult, nem energiahatékony létesítményekben fordulnak elő, amelyek magas karbantartási költségeket generálnak a légkondicionáló berendezések, a világítás, a kommunikáció és a biztonság terén. A beruházás az olasz (állami és magán) mú</w:t>
      </w:r>
      <w:r>
        <w:rPr>
          <w:noProof/>
        </w:rPr>
        <w:t>zeumok, mozik és színházak energiahatékonyságának javítását célzó intézkedéseket finanszíroz.</w:t>
      </w:r>
    </w:p>
    <w:p w14:paraId="4DC5A88A" w14:textId="77777777" w:rsidR="003F5418" w:rsidRDefault="003F5418">
      <w:pPr>
        <w:spacing w:before="120" w:after="120"/>
        <w:jc w:val="both"/>
        <w:rPr>
          <w:b/>
          <w:noProof/>
        </w:rPr>
        <w:sectPr w:rsidR="003F5418">
          <w:headerReference w:type="even" r:id="rId68"/>
          <w:headerReference w:type="default" r:id="rId69"/>
          <w:footerReference w:type="even" r:id="rId70"/>
          <w:footerReference w:type="default" r:id="rId71"/>
          <w:headerReference w:type="first" r:id="rId72"/>
          <w:footerReference w:type="first" r:id="rId73"/>
          <w:pgSz w:w="11907" w:h="16839"/>
          <w:pgMar w:top="1440" w:right="1440" w:bottom="1440" w:left="1440" w:header="567" w:footer="567" w:gutter="0"/>
          <w:cols w:space="720"/>
          <w:docGrid w:linePitch="360"/>
        </w:sectPr>
      </w:pPr>
    </w:p>
    <w:p w14:paraId="5B07D348" w14:textId="280BC77C" w:rsidR="003F5418" w:rsidRDefault="00240F92">
      <w:pPr>
        <w:pStyle w:val="P68B1DB1-Normal2"/>
        <w:spacing w:before="120" w:after="120"/>
        <w:jc w:val="both"/>
        <w:rPr>
          <w:noProof/>
        </w:rPr>
      </w:pPr>
      <w:r>
        <w:rPr>
          <w:noProof/>
        </w:rPr>
        <w:t>3.1. Reform: A kulturális eseményekre vonatkozó környezetvédelmi minimumkövetelmények elfogadása</w:t>
      </w:r>
    </w:p>
    <w:p w14:paraId="56416286" w14:textId="77777777" w:rsidR="003F5418" w:rsidRDefault="002A6C25">
      <w:pPr>
        <w:spacing w:before="120" w:after="120"/>
        <w:jc w:val="both"/>
        <w:rPr>
          <w:noProof/>
        </w:rPr>
      </w:pPr>
      <w:r>
        <w:rPr>
          <w:noProof/>
        </w:rPr>
        <w:t xml:space="preserve">A reform célja, </w:t>
      </w:r>
      <w:r>
        <w:rPr>
          <w:noProof/>
        </w:rPr>
        <w:t>hogy javítsa a kulturális események (pl. kiállítások, fesztiválok, kulturális események és zenei események) ökológiai lábnyomát azáltal, hogy a hatóság által finanszírozott, népszerűsített vagy szervezett kulturális rendezvényekre vonatkozó közbeszerzésekb</w:t>
      </w:r>
      <w:r>
        <w:rPr>
          <w:noProof/>
        </w:rPr>
        <w:t>e társadalmi és környezetvédelmi kritériumokat épít be.</w:t>
      </w:r>
    </w:p>
    <w:p w14:paraId="256D81B4" w14:textId="3E3BABE2" w:rsidR="003F5418" w:rsidRDefault="00240F92" w:rsidP="00240F92">
      <w:pPr>
        <w:pStyle w:val="P68B1DB1-Normal17"/>
        <w:spacing w:before="120" w:after="120"/>
        <w:jc w:val="both"/>
        <w:rPr>
          <w:noProof/>
        </w:rPr>
      </w:pPr>
      <w:r>
        <w:rPr>
          <w:noProof/>
        </w:rPr>
        <w:t xml:space="preserve">3.3. Beruházás: Kapacitásépítés a kulturális szereplők számára a digitális és zöld átállás irányítása érdekében </w:t>
      </w:r>
    </w:p>
    <w:p w14:paraId="751593C1" w14:textId="77777777" w:rsidR="003F5418" w:rsidRDefault="002A6C25">
      <w:pPr>
        <w:spacing w:before="120" w:after="120"/>
        <w:jc w:val="both"/>
        <w:rPr>
          <w:noProof/>
        </w:rPr>
      </w:pPr>
      <w:r>
        <w:rPr>
          <w:noProof/>
        </w:rPr>
        <w:t>A beruházás általános célja a kulturális és kreatív ágazatok helyreállításának támogatá</w:t>
      </w:r>
      <w:r>
        <w:rPr>
          <w:noProof/>
        </w:rPr>
        <w:t xml:space="preserve">sa. Ez két beavatkozásból áll. </w:t>
      </w:r>
    </w:p>
    <w:p w14:paraId="57D24A40" w14:textId="77777777" w:rsidR="003F5418" w:rsidRDefault="002A6C25">
      <w:pPr>
        <w:spacing w:before="120" w:after="120"/>
        <w:jc w:val="both"/>
        <w:rPr>
          <w:noProof/>
        </w:rPr>
      </w:pPr>
      <w:r>
        <w:rPr>
          <w:noProof/>
        </w:rPr>
        <w:t>Az első beavatkozás („A kulturális tevékenységek helyreállításának támogatása az innováció és a digitális technológia használatának ösztönzése révén az értéklánc egészében”) célja, hogy támogassa a kulturális és kreatív szer</w:t>
      </w:r>
      <w:r>
        <w:rPr>
          <w:noProof/>
        </w:rPr>
        <w:t>eplőket a digitális stratégiák végrehajtásában és irányítási kapacitásuk növelésében.</w:t>
      </w:r>
    </w:p>
    <w:p w14:paraId="39774BE6" w14:textId="77777777" w:rsidR="003F5418" w:rsidRDefault="002A6C25">
      <w:pPr>
        <w:spacing w:before="120" w:after="120"/>
        <w:jc w:val="both"/>
        <w:rPr>
          <w:noProof/>
        </w:rPr>
      </w:pPr>
      <w:r>
        <w:rPr>
          <w:noProof/>
        </w:rPr>
        <w:t>A második beavatkozás („A zöld megközelítés előmozdítása a kulturális és kreatív lánc egészében”) célja a környezeti szempontból fenntartható megközelítés ösztönzése az e</w:t>
      </w:r>
      <w:r>
        <w:rPr>
          <w:noProof/>
        </w:rPr>
        <w:t>gész láncban, csökkentve az ökológiai lábnyomot, előmozdítva az innovatív és inkluzív környezettudatos tervezést, többek között a körforgásos gazdaság összefüggésében, annak érdekében, hogy a nyilvánosságot felelősebb környezeti magatartás felé terelje.</w:t>
      </w:r>
    </w:p>
    <w:p w14:paraId="30A77772" w14:textId="77777777" w:rsidR="003F5418" w:rsidRDefault="002A6C25">
      <w:pPr>
        <w:spacing w:before="120" w:after="120"/>
        <w:jc w:val="both"/>
        <w:rPr>
          <w:noProof/>
        </w:rPr>
      </w:pPr>
      <w:r>
        <w:rPr>
          <w:noProof/>
        </w:rPr>
        <w:t>An</w:t>
      </w:r>
      <w:r>
        <w:rPr>
          <w:noProof/>
        </w:rPr>
        <w:t>nak biztosítása érdekében, hogy az intézkedés megfeleljen a jelentős károkozás elkerülését célzó elvről szóló technikai iránymutatásnak (2021/C58/01), a soron következő pályázati felhívásokra vonatkozó feladatmeghatározásban szereplő támogathatósági kritér</w:t>
      </w:r>
      <w:r>
        <w:rPr>
          <w:noProof/>
        </w:rPr>
        <w:t>iumok nem tartalmazzák a tevékenységek alábbi listáját: a fosszilis tüzelőanyagokkal kapcsolatos tevékenységek, beleértve a továbbfelhasználást is</w:t>
      </w:r>
      <w:r>
        <w:rPr>
          <w:rStyle w:val="FootnoteReference"/>
          <w:noProof/>
        </w:rPr>
        <w:footnoteReference w:id="19"/>
      </w:r>
      <w:r>
        <w:rPr>
          <w:noProof/>
        </w:rPr>
        <w:t>; ii. az uniós kibocsátáskereskedelmi rendszer (ETS) keretében végzett tevékenységek, amelyek elérik a vonatk</w:t>
      </w:r>
      <w:r>
        <w:rPr>
          <w:noProof/>
        </w:rPr>
        <w:t>ozó referenciaértékeket meg nem haladó, előre jelzett üvegházhatásúgáz-kibocsátást</w:t>
      </w:r>
      <w:r>
        <w:rPr>
          <w:rStyle w:val="FootnoteReference"/>
          <w:noProof/>
        </w:rPr>
        <w:footnoteReference w:id="20"/>
      </w:r>
      <w:r>
        <w:rPr>
          <w:noProof/>
        </w:rPr>
        <w:t>; hulladéklerakókkal, hulladékégetőkkel</w:t>
      </w:r>
      <w:r>
        <w:rPr>
          <w:rStyle w:val="FootnoteReference"/>
          <w:noProof/>
        </w:rPr>
        <w:footnoteReference w:id="21"/>
      </w:r>
      <w:r>
        <w:rPr>
          <w:noProof/>
        </w:rPr>
        <w:t xml:space="preserve"> és mechanikai-biológiai hulladékkezelő létesítményekkel kapcsolatos tevékenységek</w:t>
      </w:r>
      <w:r>
        <w:rPr>
          <w:rStyle w:val="FootnoteReference"/>
          <w:noProof/>
        </w:rPr>
        <w:footnoteReference w:id="22"/>
      </w:r>
      <w:r>
        <w:rPr>
          <w:noProof/>
        </w:rPr>
        <w:t>; valamint iv. azok a tevékenységek, amelyek eseté</w:t>
      </w:r>
      <w:r>
        <w:rPr>
          <w:noProof/>
        </w:rPr>
        <w:t>ben a hulladék hosszú távú ártalmatlanítása károsíthatja a környezetet. A feladatmeghatározás előírja továbbá, hogy csak olyan tevékenységek választhatók ki, amelyek megfelelnek a vonatkozó uniós és nemzeti környezetvédelmi jogszabályoknak.</w:t>
      </w:r>
    </w:p>
    <w:p w14:paraId="32DF846F" w14:textId="77777777" w:rsidR="003F5418" w:rsidRDefault="003F5418">
      <w:pPr>
        <w:rPr>
          <w:b/>
          <w:noProof/>
        </w:rPr>
        <w:sectPr w:rsidR="003F5418">
          <w:headerReference w:type="even" r:id="rId74"/>
          <w:headerReference w:type="default" r:id="rId75"/>
          <w:footerReference w:type="even" r:id="rId76"/>
          <w:footerReference w:type="default" r:id="rId77"/>
          <w:headerReference w:type="first" r:id="rId78"/>
          <w:footerReference w:type="first" r:id="rId79"/>
          <w:pgSz w:w="11907" w:h="16839"/>
          <w:pgMar w:top="1440" w:right="1440" w:bottom="1440" w:left="1440" w:header="567" w:footer="567" w:gutter="0"/>
          <w:cols w:space="720"/>
          <w:docGrid w:linePitch="360"/>
        </w:sectPr>
      </w:pPr>
      <w:bookmarkStart w:id="8" w:name="_Hlk160472807"/>
    </w:p>
    <w:p w14:paraId="239E0F6E" w14:textId="5CB01C7A" w:rsidR="003F5418" w:rsidRDefault="00240F92">
      <w:pPr>
        <w:pStyle w:val="P68B1DB1-Normal2"/>
        <w:rPr>
          <w:i/>
          <w:noProof/>
        </w:rPr>
      </w:pPr>
      <w:r>
        <w:rPr>
          <w:noProof/>
        </w:rPr>
        <w:t>4.1. Beruházás: Digitális turisztikai központ</w:t>
      </w:r>
    </w:p>
    <w:bookmarkEnd w:id="8"/>
    <w:p w14:paraId="01C2BF97" w14:textId="2F36F3BA" w:rsidR="003F5418" w:rsidRDefault="002A6C25">
      <w:pPr>
        <w:spacing w:before="120" w:after="120"/>
        <w:jc w:val="both"/>
        <w:rPr>
          <w:noProof/>
        </w:rPr>
      </w:pPr>
      <w:r>
        <w:rPr>
          <w:noProof/>
        </w:rPr>
        <w:t>Az intézkedés célja egy digitális turisztikai központ létrehozása, amely egy erre a célra létrehozott internetes platformon keresztül érhető el, és amely lehetővé teszi a teljes</w:t>
      </w:r>
      <w:r>
        <w:rPr>
          <w:noProof/>
        </w:rPr>
        <w:t xml:space="preserve"> turisztikai ökoszisztéma számára, hogy javítsa, integrálja és népszerűsítse saját kínálatát. A beruházásnak új digitális infrastruktúrát kell finanszíroznia, és támogatnia kell a vállalkozásokat a Nemzeti Turisztikai Megfigyelőközpont által biztosított ad</w:t>
      </w:r>
      <w:r>
        <w:rPr>
          <w:noProof/>
        </w:rPr>
        <w:t>atelemzési eszközökkel.</w:t>
      </w:r>
    </w:p>
    <w:p w14:paraId="273CA20E" w14:textId="77777777" w:rsidR="003F5418" w:rsidRDefault="002A6C25">
      <w:pPr>
        <w:spacing w:before="120" w:after="120"/>
        <w:jc w:val="both"/>
        <w:rPr>
          <w:noProof/>
        </w:rPr>
      </w:pPr>
      <w:r>
        <w:rPr>
          <w:noProof/>
        </w:rPr>
        <w:t>Végezetül az intézkedésnek elő kell irányoznia egy kompetenciaközpont létrehozását a gyorsítási programok támogatására.</w:t>
      </w:r>
    </w:p>
    <w:p w14:paraId="5C21AE48" w14:textId="77777777" w:rsidR="003F5418" w:rsidRDefault="002A6C25">
      <w:pPr>
        <w:spacing w:before="120" w:after="120"/>
        <w:jc w:val="both"/>
        <w:rPr>
          <w:noProof/>
        </w:rPr>
      </w:pPr>
      <w:r>
        <w:rPr>
          <w:noProof/>
        </w:rPr>
        <w:t xml:space="preserve">Annak biztosítása érdekében, hogy az intézkedés megfeleljen a jelentős károkozás elkerülését célzó elvről szóló </w:t>
      </w:r>
      <w:r>
        <w:rPr>
          <w:noProof/>
        </w:rPr>
        <w:t>technikai iránymutatásnak (2021/C58/01), a soron következő pályázati felhívásokra vonatkozó feladatmeghatározásban szereplő támogathatósági kritériumok nem tartalmazzák a tevékenységek alábbi listáját: a fosszilis tüzelőanyagokkal kapcsolatos tevékenységek</w:t>
      </w:r>
      <w:r>
        <w:rPr>
          <w:noProof/>
        </w:rPr>
        <w:t>, beleértve a továbbfelhasználást is</w:t>
      </w:r>
      <w:r>
        <w:rPr>
          <w:rStyle w:val="FootnoteReference"/>
          <w:noProof/>
        </w:rPr>
        <w:footnoteReference w:id="23"/>
      </w:r>
      <w:r>
        <w:rPr>
          <w:noProof/>
        </w:rPr>
        <w:t>; ii. az uniós kibocsátáskereskedelmi rendszer (ETS) keretében végzett tevékenységek, amelyek elérik a vonatkozó referenciaértékeket meg nem haladó, előre jelzett üvegházhatásúgáz-kibocsátást</w:t>
      </w:r>
      <w:r>
        <w:rPr>
          <w:rStyle w:val="FootnoteReference"/>
          <w:noProof/>
        </w:rPr>
        <w:footnoteReference w:id="24"/>
      </w:r>
      <w:r>
        <w:rPr>
          <w:noProof/>
        </w:rPr>
        <w:t>; hulladéklerakókkal, hulla</w:t>
      </w:r>
      <w:r>
        <w:rPr>
          <w:noProof/>
        </w:rPr>
        <w:t>dékégetőkkel</w:t>
      </w:r>
      <w:r>
        <w:rPr>
          <w:rStyle w:val="FootnoteReference"/>
          <w:noProof/>
        </w:rPr>
        <w:footnoteReference w:id="25"/>
      </w:r>
      <w:r>
        <w:rPr>
          <w:noProof/>
        </w:rPr>
        <w:t xml:space="preserve"> és mechanikai-biológiai hulladékkezelő létesítményekkel kapcsolatos tevékenységek</w:t>
      </w:r>
      <w:r>
        <w:rPr>
          <w:rStyle w:val="FootnoteReference"/>
          <w:noProof/>
        </w:rPr>
        <w:footnoteReference w:id="26"/>
      </w:r>
      <w:r>
        <w:rPr>
          <w:noProof/>
        </w:rPr>
        <w:t>; valamint iv. azok a tevékenységek, amelyek esetében a hulladék hosszú távú ártalmatlanítása károsíthatja a környezetet. A feladatmeghatározás továbbá előírja,</w:t>
      </w:r>
      <w:r>
        <w:rPr>
          <w:noProof/>
        </w:rPr>
        <w:t xml:space="preserve"> hogy csak olyan tevékenységek választhatók ki, amelyek megfelelnek a vonatkozó uniós és nemzeti környezetvédelmi jogszabályoknak.</w:t>
      </w:r>
    </w:p>
    <w:p w14:paraId="1327DDAB" w14:textId="5E4111C9" w:rsidR="003F5418" w:rsidRDefault="00240F92">
      <w:pPr>
        <w:pStyle w:val="P68B1DB1-Normal17"/>
        <w:jc w:val="both"/>
        <w:rPr>
          <w:noProof/>
        </w:rPr>
      </w:pPr>
      <w:r>
        <w:rPr>
          <w:noProof/>
        </w:rPr>
        <w:t>4.1. Reform: Az idegenvezetői szakma megrendeléséről szóló rendelet</w:t>
      </w:r>
    </w:p>
    <w:p w14:paraId="7B6FB6F8" w14:textId="77777777" w:rsidR="003F5418" w:rsidRDefault="002A6C25">
      <w:pPr>
        <w:spacing w:before="120" w:after="120"/>
        <w:jc w:val="both"/>
        <w:rPr>
          <w:noProof/>
        </w:rPr>
      </w:pPr>
      <w:r>
        <w:rPr>
          <w:noProof/>
        </w:rPr>
        <w:t xml:space="preserve">A Digitális Turisztikai Platformba történő beruházást az </w:t>
      </w:r>
      <w:r>
        <w:rPr>
          <w:noProof/>
        </w:rPr>
        <w:t xml:space="preserve">idegenvezetőkre vonatkozó rendeletek észszerűsítésére irányuló reform egészíti ki. Az intézkedés – a helyi szabályozás kellő figyelembevételével – az idegenvezetők és származási területük szakmai szervezetét biztosítja. A reform szisztematikus és egységes </w:t>
      </w:r>
      <w:r>
        <w:rPr>
          <w:noProof/>
        </w:rPr>
        <w:t>alkalmazása lehetővé tenné a szakma alapelveinek szabályozását és a szolgáltatásnyújtás szintjének egységesítését az ország egész területén, pozitív hatást gyakorolva a piacra. A reformnak ki kell terjednie a képzésre és továbbképzésre az ajánlat lehető le</w:t>
      </w:r>
      <w:r>
        <w:rPr>
          <w:noProof/>
        </w:rPr>
        <w:t>gjobb támogatása érdekében.</w:t>
      </w:r>
    </w:p>
    <w:p w14:paraId="07CB3DBC" w14:textId="77777777" w:rsidR="003F5418" w:rsidRDefault="003F5418">
      <w:pPr>
        <w:pStyle w:val="Heading3"/>
        <w:numPr>
          <w:ilvl w:val="0"/>
          <w:numId w:val="0"/>
        </w:numPr>
        <w:ind w:left="850" w:hanging="850"/>
        <w:rPr>
          <w:rFonts w:eastAsia="Calibri"/>
          <w:noProof/>
          <w:color w:val="000000" w:themeColor="text1"/>
        </w:rPr>
        <w:sectPr w:rsidR="003F5418">
          <w:headerReference w:type="even" r:id="rId80"/>
          <w:headerReference w:type="default" r:id="rId81"/>
          <w:footerReference w:type="even" r:id="rId82"/>
          <w:footerReference w:type="default" r:id="rId83"/>
          <w:headerReference w:type="first" r:id="rId84"/>
          <w:footerReference w:type="first" r:id="rId85"/>
          <w:pgSz w:w="11907" w:h="16839"/>
          <w:pgMar w:top="1440" w:right="1440" w:bottom="1440" w:left="1440" w:header="567" w:footer="567" w:gutter="0"/>
          <w:cols w:space="720"/>
          <w:docGrid w:linePitch="360"/>
        </w:sectPr>
      </w:pPr>
    </w:p>
    <w:p w14:paraId="1B0C0FAB" w14:textId="77777777" w:rsidR="003F5418" w:rsidRDefault="002A6C25">
      <w:pPr>
        <w:pStyle w:val="Heading3"/>
        <w:numPr>
          <w:ilvl w:val="0"/>
          <w:numId w:val="0"/>
        </w:numPr>
        <w:ind w:left="850" w:hanging="850"/>
        <w:rPr>
          <w:b/>
          <w:i w:val="0"/>
          <w:noProof/>
          <w:u w:val="single"/>
        </w:rPr>
      </w:pPr>
      <w:r>
        <w:rPr>
          <w:b/>
          <w:i w:val="0"/>
          <w:noProof/>
          <w:u w:val="single"/>
        </w:rPr>
        <w:t xml:space="preserve">C.2. </w:t>
      </w:r>
      <w:r>
        <w:rPr>
          <w:noProof/>
        </w:rPr>
        <w:t xml:space="preserve"> </w:t>
      </w:r>
      <w:r>
        <w:rPr>
          <w:b/>
          <w:i w:val="0"/>
          <w:noProof/>
          <w:u w:val="single"/>
        </w:rPr>
        <w:t>Vissza nem térítendő pénzügyi támogatás – a végrehajtáshoz és a nyomon követéshez kapcsolódó mérföldkövek, célok, mutatók és ütemterv</w:t>
      </w: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5"/>
        <w:gridCol w:w="1344"/>
        <w:gridCol w:w="1603"/>
        <w:gridCol w:w="1135"/>
        <w:gridCol w:w="1135"/>
        <w:gridCol w:w="1162"/>
        <w:gridCol w:w="990"/>
        <w:gridCol w:w="694"/>
        <w:gridCol w:w="3672"/>
      </w:tblGrid>
      <w:tr w:rsidR="003F5418" w14:paraId="6E673A8E" w14:textId="77777777">
        <w:trPr>
          <w:trHeight w:val="1013"/>
          <w:tblHeader/>
          <w:jc w:val="center"/>
        </w:trPr>
        <w:tc>
          <w:tcPr>
            <w:tcW w:w="366" w:type="pct"/>
            <w:vMerge w:val="restart"/>
            <w:shd w:val="clear" w:color="auto" w:fill="BDD7EE"/>
            <w:vAlign w:val="center"/>
          </w:tcPr>
          <w:p w14:paraId="38C1D9B4" w14:textId="77777777" w:rsidR="003F5418" w:rsidRDefault="002A6C25">
            <w:pPr>
              <w:pStyle w:val="P68B1DB1-Normal3"/>
              <w:spacing w:after="200" w:line="276" w:lineRule="auto"/>
              <w:rPr>
                <w:noProof/>
              </w:rPr>
            </w:pPr>
            <w:r>
              <w:rPr>
                <w:noProof/>
              </w:rPr>
              <w:t>Sorszám</w:t>
            </w:r>
          </w:p>
        </w:tc>
        <w:tc>
          <w:tcPr>
            <w:tcW w:w="460" w:type="pct"/>
            <w:vMerge w:val="restart"/>
            <w:shd w:val="clear" w:color="auto" w:fill="BDD7EE"/>
            <w:vAlign w:val="center"/>
          </w:tcPr>
          <w:p w14:paraId="7FC9AC46" w14:textId="77777777" w:rsidR="003F5418" w:rsidRDefault="002A6C25">
            <w:pPr>
              <w:pStyle w:val="P68B1DB1-Normal3"/>
              <w:jc w:val="center"/>
              <w:rPr>
                <w:noProof/>
              </w:rPr>
            </w:pPr>
            <w:r>
              <w:rPr>
                <w:noProof/>
              </w:rPr>
              <w:t>Intézkedés</w:t>
            </w:r>
          </w:p>
        </w:tc>
        <w:tc>
          <w:tcPr>
            <w:tcW w:w="368" w:type="pct"/>
            <w:vMerge w:val="restart"/>
            <w:shd w:val="clear" w:color="auto" w:fill="BDD7EE"/>
            <w:vAlign w:val="center"/>
          </w:tcPr>
          <w:p w14:paraId="76E2EA1E" w14:textId="77777777" w:rsidR="003F5418" w:rsidRDefault="002A6C25">
            <w:pPr>
              <w:pStyle w:val="P68B1DB1-Normal3"/>
              <w:jc w:val="center"/>
              <w:rPr>
                <w:noProof/>
              </w:rPr>
            </w:pPr>
            <w:r>
              <w:rPr>
                <w:noProof/>
              </w:rPr>
              <w:t>Mérföldkő/cél</w:t>
            </w:r>
          </w:p>
        </w:tc>
        <w:tc>
          <w:tcPr>
            <w:tcW w:w="436" w:type="pct"/>
            <w:vMerge w:val="restart"/>
            <w:shd w:val="clear" w:color="auto" w:fill="BDD7EE"/>
            <w:vAlign w:val="center"/>
          </w:tcPr>
          <w:p w14:paraId="7A3C884A" w14:textId="77777777" w:rsidR="003F5418" w:rsidRDefault="002A6C25">
            <w:pPr>
              <w:pStyle w:val="P68B1DB1-Normal3"/>
              <w:jc w:val="center"/>
              <w:rPr>
                <w:noProof/>
              </w:rPr>
            </w:pPr>
            <w:r>
              <w:rPr>
                <w:noProof/>
              </w:rPr>
              <w:t>Név</w:t>
            </w:r>
          </w:p>
        </w:tc>
        <w:tc>
          <w:tcPr>
            <w:tcW w:w="520" w:type="pct"/>
            <w:vMerge w:val="restart"/>
            <w:shd w:val="clear" w:color="auto" w:fill="BDD7EE"/>
            <w:vAlign w:val="center"/>
          </w:tcPr>
          <w:p w14:paraId="7F4587C6"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1113" w:type="pct"/>
            <w:gridSpan w:val="3"/>
            <w:shd w:val="clear" w:color="auto" w:fill="BDD7EE"/>
            <w:vAlign w:val="center"/>
          </w:tcPr>
          <w:p w14:paraId="2976B1BD"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(célok esetében)</w:t>
            </w:r>
          </w:p>
        </w:tc>
        <w:tc>
          <w:tcPr>
            <w:tcW w:w="546" w:type="pct"/>
            <w:gridSpan w:val="2"/>
            <w:shd w:val="clear" w:color="auto" w:fill="BDD7EE"/>
            <w:vAlign w:val="center"/>
          </w:tcPr>
          <w:p w14:paraId="498D6E69" w14:textId="77777777" w:rsidR="003F5418" w:rsidRDefault="002A6C25">
            <w:pPr>
              <w:pStyle w:val="P68B1DB1-Normal3"/>
              <w:jc w:val="center"/>
              <w:rPr>
                <w:noProof/>
              </w:rPr>
            </w:pPr>
            <w:r>
              <w:rPr>
                <w:noProof/>
              </w:rPr>
              <w:t>A végrehajtás indikatív ütemterve</w:t>
            </w:r>
          </w:p>
        </w:tc>
        <w:tc>
          <w:tcPr>
            <w:tcW w:w="1192" w:type="pct"/>
            <w:vMerge w:val="restart"/>
            <w:shd w:val="clear" w:color="auto" w:fill="BDD7EE"/>
            <w:vAlign w:val="center"/>
          </w:tcPr>
          <w:p w14:paraId="51D18850" w14:textId="77777777" w:rsidR="003F5418" w:rsidRDefault="002A6C25">
            <w:pPr>
              <w:pStyle w:val="P68B1DB1-Normal3"/>
              <w:rPr>
                <w:noProof/>
              </w:rPr>
            </w:pPr>
            <w:r>
              <w:rPr>
                <w:noProof/>
              </w:rPr>
              <w:t>Az egyes mérföldkövek és célértékek leírása</w:t>
            </w:r>
          </w:p>
        </w:tc>
      </w:tr>
      <w:tr w:rsidR="003F5418" w14:paraId="0B82C309" w14:textId="77777777">
        <w:trPr>
          <w:trHeight w:val="1013"/>
          <w:tblHeader/>
          <w:jc w:val="center"/>
        </w:trPr>
        <w:tc>
          <w:tcPr>
            <w:tcW w:w="366" w:type="pct"/>
            <w:vMerge/>
            <w:vAlign w:val="center"/>
            <w:hideMark/>
          </w:tcPr>
          <w:p w14:paraId="093E3D18" w14:textId="77777777" w:rsidR="003F5418" w:rsidRDefault="003F5418">
            <w:pPr>
              <w:spacing w:after="200" w:line="276" w:lineRule="auto"/>
              <w:rPr>
                <w:rFonts w:ascii="Arial Narrow" w:hAnsi="Arial Narrow"/>
                <w:b/>
                <w:noProof/>
                <w:sz w:val="20"/>
              </w:rPr>
            </w:pPr>
          </w:p>
        </w:tc>
        <w:tc>
          <w:tcPr>
            <w:tcW w:w="460" w:type="pct"/>
            <w:vMerge/>
            <w:vAlign w:val="center"/>
            <w:hideMark/>
          </w:tcPr>
          <w:p w14:paraId="33BA7D96" w14:textId="77777777" w:rsidR="003F5418" w:rsidRDefault="003F5418">
            <w:pPr>
              <w:jc w:val="center"/>
              <w:rPr>
                <w:rFonts w:ascii="Arial Narrow" w:hAnsi="Arial Narrow"/>
                <w:b/>
                <w:noProof/>
                <w:sz w:val="20"/>
              </w:rPr>
            </w:pPr>
          </w:p>
        </w:tc>
        <w:tc>
          <w:tcPr>
            <w:tcW w:w="368" w:type="pct"/>
            <w:vMerge/>
            <w:vAlign w:val="center"/>
            <w:hideMark/>
          </w:tcPr>
          <w:p w14:paraId="1470C25B" w14:textId="77777777" w:rsidR="003F5418" w:rsidRDefault="003F5418">
            <w:pPr>
              <w:jc w:val="center"/>
              <w:rPr>
                <w:rFonts w:ascii="Arial Narrow" w:hAnsi="Arial Narrow"/>
                <w:b/>
                <w:noProof/>
                <w:sz w:val="20"/>
              </w:rPr>
            </w:pPr>
          </w:p>
        </w:tc>
        <w:tc>
          <w:tcPr>
            <w:tcW w:w="436" w:type="pct"/>
            <w:vMerge/>
            <w:vAlign w:val="center"/>
            <w:hideMark/>
          </w:tcPr>
          <w:p w14:paraId="44DCCEE3" w14:textId="77777777" w:rsidR="003F5418" w:rsidRDefault="003F5418">
            <w:pPr>
              <w:jc w:val="center"/>
              <w:rPr>
                <w:rFonts w:ascii="Arial Narrow" w:hAnsi="Arial Narrow"/>
                <w:b/>
                <w:noProof/>
                <w:sz w:val="20"/>
              </w:rPr>
            </w:pPr>
          </w:p>
        </w:tc>
        <w:tc>
          <w:tcPr>
            <w:tcW w:w="520" w:type="pct"/>
            <w:vMerge/>
            <w:vAlign w:val="center"/>
            <w:hideMark/>
          </w:tcPr>
          <w:p w14:paraId="65F9AC49" w14:textId="77777777" w:rsidR="003F5418" w:rsidRDefault="003F5418">
            <w:pPr>
              <w:jc w:val="center"/>
              <w:rPr>
                <w:rFonts w:ascii="Arial Narrow" w:hAnsi="Arial Narrow"/>
                <w:b/>
                <w:noProof/>
                <w:sz w:val="20"/>
              </w:rPr>
            </w:pPr>
          </w:p>
        </w:tc>
        <w:tc>
          <w:tcPr>
            <w:tcW w:w="368" w:type="pct"/>
            <w:shd w:val="clear" w:color="auto" w:fill="BDD7EE"/>
            <w:vAlign w:val="center"/>
            <w:hideMark/>
          </w:tcPr>
          <w:p w14:paraId="365353D9" w14:textId="77777777" w:rsidR="003F5418" w:rsidRDefault="002A6C25">
            <w:pPr>
              <w:pStyle w:val="P68B1DB1-Normal3"/>
              <w:jc w:val="center"/>
              <w:rPr>
                <w:noProof/>
              </w:rPr>
            </w:pPr>
            <w:r>
              <w:rPr>
                <w:noProof/>
              </w:rPr>
              <w:t>Mértékegység</w:t>
            </w:r>
          </w:p>
        </w:tc>
        <w:tc>
          <w:tcPr>
            <w:tcW w:w="368" w:type="pct"/>
            <w:shd w:val="clear" w:color="auto" w:fill="BDD7EE"/>
            <w:vAlign w:val="center"/>
            <w:hideMark/>
          </w:tcPr>
          <w:p w14:paraId="35C471D1" w14:textId="77777777" w:rsidR="003F5418" w:rsidRDefault="002A6C25">
            <w:pPr>
              <w:pStyle w:val="P68B1DB1-Normal3"/>
              <w:jc w:val="center"/>
              <w:rPr>
                <w:noProof/>
              </w:rPr>
            </w:pPr>
            <w:r>
              <w:rPr>
                <w:noProof/>
              </w:rPr>
              <w:t>Kiindulási</w:t>
            </w:r>
          </w:p>
        </w:tc>
        <w:tc>
          <w:tcPr>
            <w:tcW w:w="377" w:type="pct"/>
            <w:shd w:val="clear" w:color="auto" w:fill="BDD7EE"/>
            <w:vAlign w:val="center"/>
            <w:hideMark/>
          </w:tcPr>
          <w:p w14:paraId="4C4F2B6D" w14:textId="77777777" w:rsidR="003F5418" w:rsidRDefault="002A6C25">
            <w:pPr>
              <w:pStyle w:val="P68B1DB1-Normal3"/>
              <w:jc w:val="center"/>
              <w:rPr>
                <w:noProof/>
              </w:rPr>
            </w:pPr>
            <w:r>
              <w:rPr>
                <w:noProof/>
              </w:rPr>
              <w:t>Cél</w:t>
            </w:r>
          </w:p>
        </w:tc>
        <w:tc>
          <w:tcPr>
            <w:tcW w:w="321" w:type="pct"/>
            <w:shd w:val="clear" w:color="auto" w:fill="BDD7EE"/>
            <w:vAlign w:val="center"/>
            <w:hideMark/>
          </w:tcPr>
          <w:p w14:paraId="1441DFE6" w14:textId="77777777" w:rsidR="003F5418" w:rsidRDefault="002A6C25">
            <w:pPr>
              <w:pStyle w:val="P68B1DB1-Normal3"/>
              <w:jc w:val="center"/>
              <w:rPr>
                <w:noProof/>
              </w:rPr>
            </w:pPr>
            <w:r>
              <w:rPr>
                <w:noProof/>
              </w:rPr>
              <w:t>Negyedév</w:t>
            </w:r>
          </w:p>
        </w:tc>
        <w:tc>
          <w:tcPr>
            <w:tcW w:w="224" w:type="pct"/>
            <w:shd w:val="clear" w:color="auto" w:fill="BDD7EE"/>
            <w:vAlign w:val="center"/>
            <w:hideMark/>
          </w:tcPr>
          <w:p w14:paraId="3E37323A" w14:textId="77777777" w:rsidR="003F5418" w:rsidRDefault="002A6C25">
            <w:pPr>
              <w:pStyle w:val="P68B1DB1-Normal3"/>
              <w:jc w:val="center"/>
              <w:rPr>
                <w:noProof/>
              </w:rPr>
            </w:pPr>
            <w:r>
              <w:rPr>
                <w:noProof/>
              </w:rPr>
              <w:t>Éve</w:t>
            </w:r>
          </w:p>
        </w:tc>
        <w:tc>
          <w:tcPr>
            <w:tcW w:w="1192" w:type="pct"/>
            <w:vMerge/>
            <w:vAlign w:val="center"/>
            <w:hideMark/>
          </w:tcPr>
          <w:p w14:paraId="668EB355" w14:textId="77777777" w:rsidR="003F5418" w:rsidRDefault="003F5418">
            <w:pPr>
              <w:rPr>
                <w:rFonts w:ascii="Arial Narrow" w:hAnsi="Arial Narrow"/>
                <w:b/>
                <w:noProof/>
                <w:sz w:val="20"/>
              </w:rPr>
            </w:pPr>
          </w:p>
        </w:tc>
      </w:tr>
      <w:tr w:rsidR="003F5418" w14:paraId="6F9EA60D" w14:textId="77777777">
        <w:trPr>
          <w:trHeight w:val="309"/>
          <w:jc w:val="center"/>
        </w:trPr>
        <w:tc>
          <w:tcPr>
            <w:tcW w:w="366" w:type="pct"/>
            <w:shd w:val="clear" w:color="auto" w:fill="C6EFCE"/>
            <w:noWrap/>
            <w:vAlign w:val="center"/>
            <w:hideMark/>
          </w:tcPr>
          <w:p w14:paraId="3280ED1D" w14:textId="77777777" w:rsidR="003F5418" w:rsidRDefault="002A6C25">
            <w:pPr>
              <w:pStyle w:val="P68B1DB1-Normal4"/>
              <w:jc w:val="center"/>
              <w:rPr>
                <w:noProof/>
              </w:rPr>
            </w:pPr>
            <w:r>
              <w:rPr>
                <w:noProof/>
              </w:rPr>
              <w:t>M1C3–1</w:t>
            </w:r>
          </w:p>
        </w:tc>
        <w:tc>
          <w:tcPr>
            <w:tcW w:w="460" w:type="pct"/>
            <w:shd w:val="clear" w:color="auto" w:fill="C6EFCE"/>
            <w:noWrap/>
            <w:vAlign w:val="center"/>
            <w:hideMark/>
          </w:tcPr>
          <w:p w14:paraId="171537E5" w14:textId="77777777" w:rsidR="003F5418" w:rsidRDefault="002A6C25">
            <w:pPr>
              <w:pStyle w:val="P68B1DB1-Normal4"/>
              <w:jc w:val="center"/>
              <w:rPr>
                <w:noProof/>
              </w:rPr>
            </w:pPr>
            <w:r>
              <w:rPr>
                <w:noProof/>
              </w:rPr>
              <w:t>Beruházás: Digitális stratégia és a</w:t>
            </w:r>
            <w:r>
              <w:rPr>
                <w:noProof/>
              </w:rPr>
              <w:t xml:space="preserve"> kulturális örökség platformjai</w:t>
            </w:r>
          </w:p>
        </w:tc>
        <w:tc>
          <w:tcPr>
            <w:tcW w:w="368" w:type="pct"/>
            <w:shd w:val="clear" w:color="auto" w:fill="C6EFCE"/>
            <w:noWrap/>
            <w:vAlign w:val="center"/>
            <w:hideMark/>
          </w:tcPr>
          <w:p w14:paraId="240E152C"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4B4F0FAD" w14:textId="77777777" w:rsidR="003F5418" w:rsidRDefault="002A6C25">
            <w:pPr>
              <w:pStyle w:val="P68B1DB1-Normal4"/>
              <w:jc w:val="center"/>
              <w:rPr>
                <w:noProof/>
              </w:rPr>
            </w:pPr>
            <w:r>
              <w:rPr>
                <w:noProof/>
              </w:rPr>
              <w:t>A kulturális örökséggel kapcsolatos e-tanulási platformon keresztül kiképzett felhasználók</w:t>
            </w:r>
          </w:p>
        </w:tc>
        <w:tc>
          <w:tcPr>
            <w:tcW w:w="520" w:type="pct"/>
            <w:shd w:val="clear" w:color="auto" w:fill="C6EFCE"/>
            <w:noWrap/>
            <w:vAlign w:val="center"/>
            <w:hideMark/>
          </w:tcPr>
          <w:p w14:paraId="33193FC2"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6AAFBC22"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72D14934"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61F23C76" w14:textId="77777777" w:rsidR="003F5418" w:rsidRDefault="002A6C25">
            <w:pPr>
              <w:pStyle w:val="P68B1DB1-Normal4"/>
              <w:jc w:val="center"/>
              <w:rPr>
                <w:noProof/>
              </w:rPr>
            </w:pPr>
            <w:r>
              <w:rPr>
                <w:noProof/>
              </w:rPr>
              <w:t>30 000</w:t>
            </w:r>
          </w:p>
        </w:tc>
        <w:tc>
          <w:tcPr>
            <w:tcW w:w="321" w:type="pct"/>
            <w:shd w:val="clear" w:color="auto" w:fill="C6EFCE"/>
            <w:noWrap/>
            <w:vAlign w:val="center"/>
            <w:hideMark/>
          </w:tcPr>
          <w:p w14:paraId="25065C5A"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0011A83D" w14:textId="77777777" w:rsidR="003F5418" w:rsidRDefault="002A6C25">
            <w:pPr>
              <w:pStyle w:val="P68B1DB1-Normal4"/>
              <w:jc w:val="center"/>
              <w:rPr>
                <w:noProof/>
              </w:rPr>
            </w:pPr>
            <w:r>
              <w:rPr>
                <w:noProof/>
              </w:rPr>
              <w:t>2025</w:t>
            </w:r>
          </w:p>
        </w:tc>
        <w:tc>
          <w:tcPr>
            <w:tcW w:w="1192" w:type="pct"/>
            <w:shd w:val="clear" w:color="auto" w:fill="C6EFCE"/>
            <w:noWrap/>
            <w:vAlign w:val="center"/>
            <w:hideMark/>
          </w:tcPr>
          <w:p w14:paraId="406FE0D6" w14:textId="77777777" w:rsidR="003F5418" w:rsidRDefault="002A6C25">
            <w:pPr>
              <w:pStyle w:val="P68B1DB1-Normal4"/>
              <w:rPr>
                <w:noProof/>
              </w:rPr>
            </w:pPr>
            <w:r>
              <w:rPr>
                <w:noProof/>
              </w:rPr>
              <w:t xml:space="preserve">A kiképzett célfelhasználóknak mérniük kell az egész életen át tartó tanulási programhoz digitálisan </w:t>
            </w:r>
            <w:r>
              <w:rPr>
                <w:noProof/>
              </w:rPr>
              <w:t>nyújtandó képzési kínálat hatékonyságát.</w:t>
            </w:r>
          </w:p>
          <w:p w14:paraId="1F113FD2" w14:textId="77777777" w:rsidR="003F5418" w:rsidRDefault="002A6C25">
            <w:pPr>
              <w:pStyle w:val="P68B1DB1-Normal4"/>
              <w:rPr>
                <w:noProof/>
              </w:rPr>
            </w:pPr>
            <w:r>
              <w:rPr>
                <w:noProof/>
              </w:rPr>
              <w:t>A beavatkozástípusok közé tartoznak a következők:</w:t>
            </w:r>
          </w:p>
          <w:p w14:paraId="73CA26BD" w14:textId="77777777" w:rsidR="003F5418" w:rsidRDefault="002A6C25">
            <w:pPr>
              <w:pStyle w:val="P68B1DB1-Normal4"/>
              <w:rPr>
                <w:noProof/>
              </w:rPr>
            </w:pPr>
            <w:r>
              <w:rPr>
                <w:noProof/>
              </w:rPr>
              <w:t>képzések készítése, frontális oktatás és e-tanulási programok megvalósítása a tanulók különböző célcsoportjainak kompetenciaértékelése alapján (amelyek három képzési</w:t>
            </w:r>
            <w:r>
              <w:rPr>
                <w:noProof/>
              </w:rPr>
              <w:t xml:space="preserve"> szintnek felelnek meg: alapkészségek, speciális készségek, vezetői készségek).</w:t>
            </w:r>
          </w:p>
          <w:p w14:paraId="2D3D1D7E" w14:textId="77777777" w:rsidR="003F5418" w:rsidRDefault="002A6C25">
            <w:pPr>
              <w:pStyle w:val="P68B1DB1-Normal4"/>
              <w:rPr>
                <w:noProof/>
              </w:rPr>
            </w:pPr>
            <w:r>
              <w:rPr>
                <w:noProof/>
              </w:rPr>
              <w:t>Az intézkedés kedvezményezettjei a következők: a minisztérium alkalmazottai, a helyi önkormányzatok kulturális intézeteinek alkalmazottai, szabadúszó kulturális szereplők.</w:t>
            </w:r>
          </w:p>
          <w:p w14:paraId="1CA135EE" w14:textId="77777777" w:rsidR="003F5418" w:rsidRDefault="003F5418">
            <w:pPr>
              <w:rPr>
                <w:rFonts w:ascii="Arial Narrow" w:hAnsi="Arial Narrow"/>
                <w:noProof/>
                <w:color w:val="006100"/>
                <w:sz w:val="20"/>
              </w:rPr>
            </w:pPr>
          </w:p>
        </w:tc>
      </w:tr>
      <w:tr w:rsidR="003F5418" w14:paraId="0BCE5483" w14:textId="77777777">
        <w:trPr>
          <w:trHeight w:val="309"/>
          <w:jc w:val="center"/>
        </w:trPr>
        <w:tc>
          <w:tcPr>
            <w:tcW w:w="366" w:type="pct"/>
            <w:shd w:val="clear" w:color="auto" w:fill="C6EFCE"/>
            <w:noWrap/>
            <w:vAlign w:val="center"/>
            <w:hideMark/>
          </w:tcPr>
          <w:p w14:paraId="34554293" w14:textId="77777777" w:rsidR="003F5418" w:rsidRDefault="002A6C25">
            <w:pPr>
              <w:pStyle w:val="P68B1DB1-Normal4"/>
              <w:jc w:val="center"/>
              <w:rPr>
                <w:noProof/>
              </w:rPr>
            </w:pPr>
            <w:r>
              <w:rPr>
                <w:noProof/>
              </w:rPr>
              <w:t>M1C3–2</w:t>
            </w:r>
          </w:p>
        </w:tc>
        <w:tc>
          <w:tcPr>
            <w:tcW w:w="460" w:type="pct"/>
            <w:shd w:val="clear" w:color="auto" w:fill="C6EFCE"/>
            <w:noWrap/>
            <w:vAlign w:val="center"/>
            <w:hideMark/>
          </w:tcPr>
          <w:p w14:paraId="45E7D300" w14:textId="77777777" w:rsidR="003F5418" w:rsidRDefault="002A6C25">
            <w:pPr>
              <w:pStyle w:val="P68B1DB1-Normal4"/>
              <w:jc w:val="center"/>
              <w:rPr>
                <w:noProof/>
              </w:rPr>
            </w:pPr>
            <w:r>
              <w:rPr>
                <w:noProof/>
              </w:rPr>
              <w:t>Beruházás – A kulturális örökség digitális stratégiája és platformjai</w:t>
            </w:r>
          </w:p>
        </w:tc>
        <w:tc>
          <w:tcPr>
            <w:tcW w:w="368" w:type="pct"/>
            <w:shd w:val="clear" w:color="auto" w:fill="C6EFCE"/>
            <w:noWrap/>
            <w:vAlign w:val="center"/>
            <w:hideMark/>
          </w:tcPr>
          <w:p w14:paraId="6996796B"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4CBCF695" w14:textId="77777777" w:rsidR="003F5418" w:rsidRDefault="002A6C25">
            <w:pPr>
              <w:pStyle w:val="P68B1DB1-Normal4"/>
              <w:jc w:val="center"/>
              <w:rPr>
                <w:noProof/>
              </w:rPr>
            </w:pPr>
            <w:r>
              <w:rPr>
                <w:noProof/>
              </w:rPr>
              <w:t>A Digitális Könyvtárban előállított és közzétett digitális erőforrások</w:t>
            </w:r>
          </w:p>
          <w:p w14:paraId="084C7D83" w14:textId="77777777" w:rsidR="003F5418" w:rsidRDefault="003F5418">
            <w:pPr>
              <w:jc w:val="center"/>
              <w:rPr>
                <w:rFonts w:ascii="Arial Narrow" w:hAnsi="Arial Narrow"/>
                <w:noProof/>
                <w:color w:val="006100"/>
                <w:sz w:val="20"/>
              </w:rPr>
            </w:pPr>
          </w:p>
        </w:tc>
        <w:tc>
          <w:tcPr>
            <w:tcW w:w="520" w:type="pct"/>
            <w:shd w:val="clear" w:color="auto" w:fill="C6EFCE"/>
            <w:noWrap/>
            <w:vAlign w:val="center"/>
            <w:hideMark/>
          </w:tcPr>
          <w:p w14:paraId="7977B3B9"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0036B5B3"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4DE5404F"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6EE0FDF3" w14:textId="77777777" w:rsidR="003F5418" w:rsidRDefault="002A6C25">
            <w:pPr>
              <w:pStyle w:val="P68B1DB1-Normal4"/>
              <w:jc w:val="center"/>
              <w:rPr>
                <w:noProof/>
              </w:rPr>
            </w:pPr>
            <w:r>
              <w:rPr>
                <w:noProof/>
              </w:rPr>
              <w:t>65 000 000</w:t>
            </w:r>
          </w:p>
        </w:tc>
        <w:tc>
          <w:tcPr>
            <w:tcW w:w="321" w:type="pct"/>
            <w:shd w:val="clear" w:color="auto" w:fill="C6EFCE"/>
            <w:noWrap/>
            <w:vAlign w:val="center"/>
            <w:hideMark/>
          </w:tcPr>
          <w:p w14:paraId="487B470B"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3C613CE6" w14:textId="77777777" w:rsidR="003F5418" w:rsidRDefault="003F5418">
            <w:pPr>
              <w:jc w:val="center"/>
              <w:rPr>
                <w:rFonts w:ascii="Arial Narrow" w:hAnsi="Arial Narrow"/>
                <w:noProof/>
                <w:color w:val="006100"/>
                <w:sz w:val="20"/>
              </w:rPr>
            </w:pPr>
          </w:p>
          <w:p w14:paraId="796A1D77" w14:textId="77777777" w:rsidR="003F5418" w:rsidRDefault="002A6C25">
            <w:pPr>
              <w:pStyle w:val="P68B1DB1-Normal4"/>
              <w:jc w:val="center"/>
              <w:rPr>
                <w:noProof/>
              </w:rPr>
            </w:pPr>
            <w:r>
              <w:rPr>
                <w:noProof/>
              </w:rPr>
              <w:t>2025</w:t>
            </w:r>
          </w:p>
          <w:p w14:paraId="76F95D3B" w14:textId="77777777" w:rsidR="003F5418" w:rsidRDefault="003F5418">
            <w:pPr>
              <w:jc w:val="center"/>
              <w:rPr>
                <w:rFonts w:ascii="Arial Narrow" w:hAnsi="Arial Narrow"/>
                <w:noProof/>
                <w:color w:val="006100"/>
                <w:sz w:val="20"/>
              </w:rPr>
            </w:pPr>
          </w:p>
        </w:tc>
        <w:tc>
          <w:tcPr>
            <w:tcW w:w="1192" w:type="pct"/>
            <w:shd w:val="clear" w:color="auto" w:fill="C6EFCE"/>
            <w:noWrap/>
            <w:vAlign w:val="center"/>
            <w:hideMark/>
          </w:tcPr>
          <w:p w14:paraId="577A9C24" w14:textId="77777777" w:rsidR="003F5418" w:rsidRDefault="002A6C25">
            <w:pPr>
              <w:pStyle w:val="P68B1DB1-Normal4"/>
              <w:rPr>
                <w:noProof/>
              </w:rPr>
            </w:pPr>
            <w:r>
              <w:rPr>
                <w:noProof/>
              </w:rPr>
              <w:t>A cél digitális erőforrások a digitalizált kulturális javak mennyiségének növekedését mérik, amelyek digitális reprodukciói digitális technológiákon keresztül online felhasználhatók.</w:t>
            </w:r>
          </w:p>
          <w:p w14:paraId="15C4E6B9" w14:textId="77777777" w:rsidR="003F5418" w:rsidRDefault="002A6C25">
            <w:pPr>
              <w:pStyle w:val="P68B1DB1-Normal4"/>
              <w:rPr>
                <w:noProof/>
              </w:rPr>
            </w:pPr>
            <w:r>
              <w:rPr>
                <w:noProof/>
              </w:rPr>
              <w:t>A kitöltendő digitális erőforrások típusa a következőket foglalja magában</w:t>
            </w:r>
            <w:r>
              <w:rPr>
                <w:noProof/>
              </w:rPr>
              <w:t>: könyvek és kéziratok, dokumentumok és fényképek, műalkotások, történelmi és régészeti műtárgyak, műemlékek és régészeti lelőhelyek, audio-videoanyagok digitalizálása, beleértve a korábbi digitalizálások és metaadatok normalizálását</w:t>
            </w:r>
          </w:p>
          <w:p w14:paraId="3DD41249" w14:textId="77777777" w:rsidR="003F5418" w:rsidRDefault="002A6C25">
            <w:pPr>
              <w:pStyle w:val="P68B1DB1-Normal4"/>
              <w:rPr>
                <w:noProof/>
              </w:rPr>
            </w:pPr>
            <w:r>
              <w:rPr>
                <w:noProof/>
              </w:rPr>
              <w:t>Címzett: múzeumok, lev</w:t>
            </w:r>
            <w:r>
              <w:rPr>
                <w:noProof/>
              </w:rPr>
              <w:t>éltárak, könyvtárak és kulturális intézetek</w:t>
            </w:r>
          </w:p>
        </w:tc>
      </w:tr>
      <w:tr w:rsidR="003F5418" w14:paraId="20F87496" w14:textId="77777777">
        <w:trPr>
          <w:trHeight w:val="309"/>
          <w:jc w:val="center"/>
        </w:trPr>
        <w:tc>
          <w:tcPr>
            <w:tcW w:w="366" w:type="pct"/>
            <w:shd w:val="clear" w:color="auto" w:fill="C6EFCE"/>
            <w:noWrap/>
            <w:vAlign w:val="center"/>
            <w:hideMark/>
          </w:tcPr>
          <w:p w14:paraId="058CDED7" w14:textId="77777777" w:rsidR="003F5418" w:rsidRDefault="002A6C25">
            <w:pPr>
              <w:pStyle w:val="P68B1DB1-Normal4"/>
              <w:jc w:val="center"/>
              <w:rPr>
                <w:noProof/>
              </w:rPr>
            </w:pPr>
            <w:r>
              <w:rPr>
                <w:noProof/>
              </w:rPr>
              <w:t>M1C3–3</w:t>
            </w:r>
          </w:p>
        </w:tc>
        <w:tc>
          <w:tcPr>
            <w:tcW w:w="460" w:type="pct"/>
            <w:shd w:val="clear" w:color="auto" w:fill="C6EFCE"/>
            <w:noWrap/>
            <w:vAlign w:val="center"/>
            <w:hideMark/>
          </w:tcPr>
          <w:p w14:paraId="084D88E5" w14:textId="77777777" w:rsidR="003F5418" w:rsidRDefault="002A6C25">
            <w:pPr>
              <w:pStyle w:val="P68B1DB1-Normal4"/>
              <w:jc w:val="center"/>
              <w:rPr>
                <w:noProof/>
              </w:rPr>
            </w:pPr>
            <w:r>
              <w:rPr>
                <w:noProof/>
              </w:rPr>
              <w:t xml:space="preserve">Beruházás – 1.2. A múzeumokban, könyvtárakban és archívumokban található fizikai és kognitív akadályok eltávolítása a kultúrához való szélesebb körű hozzáférés és az abban való részvétel lehetővé tétele </w:t>
            </w:r>
            <w:r>
              <w:rPr>
                <w:noProof/>
              </w:rPr>
              <w:t>érdekében</w:t>
            </w:r>
          </w:p>
        </w:tc>
        <w:tc>
          <w:tcPr>
            <w:tcW w:w="368" w:type="pct"/>
            <w:shd w:val="clear" w:color="auto" w:fill="C6EFCE"/>
            <w:noWrap/>
            <w:vAlign w:val="center"/>
            <w:hideMark/>
          </w:tcPr>
          <w:p w14:paraId="218961CE"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2E79E08C" w14:textId="77777777" w:rsidR="003F5418" w:rsidRDefault="002A6C25">
            <w:pPr>
              <w:pStyle w:val="P68B1DB1-Normal4"/>
              <w:jc w:val="center"/>
              <w:rPr>
                <w:noProof/>
              </w:rPr>
            </w:pPr>
            <w:r>
              <w:rPr>
                <w:noProof/>
              </w:rPr>
              <w:t>A kulturális helyszínek fizikai és kognitív hozzáférhetőségének javítását célzó beavatkozások</w:t>
            </w:r>
          </w:p>
        </w:tc>
        <w:tc>
          <w:tcPr>
            <w:tcW w:w="520" w:type="pct"/>
            <w:shd w:val="clear" w:color="auto" w:fill="C6EFCE"/>
            <w:noWrap/>
            <w:vAlign w:val="center"/>
            <w:hideMark/>
          </w:tcPr>
          <w:p w14:paraId="14A823FE"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1179858B"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7E04D6CC"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1AB13DE2" w14:textId="77777777" w:rsidR="003F5418" w:rsidRDefault="002A6C25">
            <w:pPr>
              <w:pStyle w:val="P68B1DB1-Normal4"/>
              <w:jc w:val="center"/>
              <w:rPr>
                <w:noProof/>
              </w:rPr>
            </w:pPr>
            <w:r>
              <w:rPr>
                <w:noProof/>
              </w:rPr>
              <w:t>617</w:t>
            </w:r>
          </w:p>
        </w:tc>
        <w:tc>
          <w:tcPr>
            <w:tcW w:w="321" w:type="pct"/>
            <w:shd w:val="clear" w:color="auto" w:fill="C6EFCE"/>
            <w:noWrap/>
            <w:vAlign w:val="center"/>
            <w:hideMark/>
          </w:tcPr>
          <w:p w14:paraId="1C9FBEA0" w14:textId="77777777" w:rsidR="003F5418" w:rsidRDefault="002A6C25">
            <w:pPr>
              <w:pStyle w:val="P68B1DB1-Normal4"/>
              <w:jc w:val="center"/>
              <w:rPr>
                <w:noProof/>
              </w:rPr>
            </w:pPr>
            <w:r>
              <w:rPr>
                <w:noProof/>
              </w:rPr>
              <w:t>Q2</w:t>
            </w:r>
          </w:p>
        </w:tc>
        <w:tc>
          <w:tcPr>
            <w:tcW w:w="224" w:type="pct"/>
            <w:shd w:val="clear" w:color="auto" w:fill="C6EFCE"/>
            <w:noWrap/>
            <w:vAlign w:val="center"/>
            <w:hideMark/>
          </w:tcPr>
          <w:p w14:paraId="3760CA74" w14:textId="77777777" w:rsidR="003F5418" w:rsidRDefault="002A6C25">
            <w:pPr>
              <w:pStyle w:val="P68B1DB1-Normal4"/>
              <w:jc w:val="center"/>
              <w:rPr>
                <w:noProof/>
              </w:rPr>
            </w:pPr>
            <w:r>
              <w:rPr>
                <w:noProof/>
              </w:rPr>
              <w:t>2026</w:t>
            </w:r>
          </w:p>
        </w:tc>
        <w:tc>
          <w:tcPr>
            <w:tcW w:w="1192" w:type="pct"/>
            <w:shd w:val="clear" w:color="auto" w:fill="C6EFCE"/>
            <w:noWrap/>
            <w:vAlign w:val="center"/>
            <w:hideMark/>
          </w:tcPr>
          <w:p w14:paraId="1743A52D" w14:textId="77777777" w:rsidR="003F5418" w:rsidRDefault="003F5418">
            <w:pPr>
              <w:rPr>
                <w:rFonts w:ascii="Arial Narrow" w:hAnsi="Arial Narrow"/>
                <w:noProof/>
                <w:color w:val="006100"/>
                <w:sz w:val="20"/>
              </w:rPr>
            </w:pPr>
          </w:p>
          <w:p w14:paraId="19246B71" w14:textId="77777777" w:rsidR="003F5418" w:rsidRDefault="002A6C25">
            <w:pPr>
              <w:pStyle w:val="P68B1DB1-Normal4"/>
              <w:rPr>
                <w:noProof/>
              </w:rPr>
            </w:pPr>
            <w:r>
              <w:rPr>
                <w:noProof/>
              </w:rPr>
              <w:t>352 múzeum, műemlék, régészeti terület és park, 129 archívum, 46 könyvtár és 90 nem állami kulturális helyszín.</w:t>
            </w:r>
          </w:p>
          <w:p w14:paraId="253A9B74" w14:textId="77777777" w:rsidR="003F5418" w:rsidRDefault="003F5418">
            <w:pPr>
              <w:rPr>
                <w:rFonts w:ascii="Arial Narrow" w:hAnsi="Arial Narrow"/>
                <w:noProof/>
                <w:color w:val="006100"/>
                <w:sz w:val="20"/>
              </w:rPr>
            </w:pPr>
          </w:p>
          <w:p w14:paraId="546A7CF8" w14:textId="77777777" w:rsidR="003F5418" w:rsidRDefault="002A6C25">
            <w:pPr>
              <w:pStyle w:val="P68B1DB1-Normal4"/>
              <w:rPr>
                <w:noProof/>
              </w:rPr>
            </w:pPr>
            <w:r>
              <w:rPr>
                <w:noProof/>
              </w:rPr>
              <w:t xml:space="preserve">A </w:t>
            </w:r>
            <w:r>
              <w:rPr>
                <w:noProof/>
              </w:rPr>
              <w:t>beavatkozások az építészeti akadályok eltávolítására irányuló fizikai beavatkozásokra, valamint olyan technológiai eszközök telepítésére vonatkoznak, amelyek lehetővé teszik a csökkent érzékszervi képességű (tapintható, hangos, szaglási) vizsgálati alanyok</w:t>
            </w:r>
            <w:r>
              <w:rPr>
                <w:noProof/>
              </w:rPr>
              <w:t xml:space="preserve"> használatát.</w:t>
            </w:r>
          </w:p>
          <w:p w14:paraId="1449090B" w14:textId="77777777" w:rsidR="003F5418" w:rsidRDefault="003F5418">
            <w:pPr>
              <w:rPr>
                <w:rFonts w:ascii="Arial Narrow" w:hAnsi="Arial Narrow"/>
                <w:noProof/>
                <w:color w:val="006100"/>
                <w:sz w:val="20"/>
              </w:rPr>
            </w:pPr>
          </w:p>
          <w:p w14:paraId="50ECA165" w14:textId="77777777" w:rsidR="003F5418" w:rsidRDefault="002A6C25">
            <w:pPr>
              <w:pStyle w:val="P68B1DB1-Normal4"/>
              <w:rPr>
                <w:noProof/>
              </w:rPr>
            </w:pPr>
            <w:r>
              <w:rPr>
                <w:noProof/>
              </w:rPr>
              <w:t>A beavatkozások 37%-át a déli régiókban kell végrehajtani.</w:t>
            </w:r>
          </w:p>
        </w:tc>
      </w:tr>
      <w:tr w:rsidR="003F5418" w14:paraId="4F7AAF9D" w14:textId="77777777">
        <w:trPr>
          <w:trHeight w:val="309"/>
          <w:jc w:val="center"/>
        </w:trPr>
        <w:tc>
          <w:tcPr>
            <w:tcW w:w="366" w:type="pct"/>
            <w:shd w:val="clear" w:color="auto" w:fill="C6EFCE"/>
            <w:noWrap/>
            <w:vAlign w:val="center"/>
            <w:hideMark/>
          </w:tcPr>
          <w:p w14:paraId="769D709C" w14:textId="77777777" w:rsidR="003F5418" w:rsidRDefault="002A6C25">
            <w:pPr>
              <w:pStyle w:val="P68B1DB1-Normal4"/>
              <w:jc w:val="center"/>
              <w:rPr>
                <w:noProof/>
              </w:rPr>
            </w:pPr>
            <w:r>
              <w:rPr>
                <w:noProof/>
              </w:rPr>
              <w:t>M1C3–4</w:t>
            </w:r>
          </w:p>
        </w:tc>
        <w:tc>
          <w:tcPr>
            <w:tcW w:w="460" w:type="pct"/>
            <w:shd w:val="clear" w:color="auto" w:fill="C6EFCE"/>
            <w:noWrap/>
            <w:vAlign w:val="center"/>
            <w:hideMark/>
          </w:tcPr>
          <w:p w14:paraId="10F613E0" w14:textId="77777777" w:rsidR="003F5418" w:rsidRDefault="002A6C25">
            <w:pPr>
              <w:pStyle w:val="P68B1DB1-Normal4"/>
              <w:jc w:val="center"/>
              <w:rPr>
                <w:noProof/>
              </w:rPr>
            </w:pPr>
            <w:r>
              <w:rPr>
                <w:noProof/>
              </w:rPr>
              <w:t>Beruházás – A mozi, színházak és múzeumok energiahatékonyságának javítása</w:t>
            </w:r>
          </w:p>
        </w:tc>
        <w:tc>
          <w:tcPr>
            <w:tcW w:w="368" w:type="pct"/>
            <w:shd w:val="clear" w:color="auto" w:fill="C6EFCE"/>
            <w:noWrap/>
            <w:vAlign w:val="center"/>
            <w:hideMark/>
          </w:tcPr>
          <w:p w14:paraId="4B652DF3"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03A09840" w14:textId="77777777" w:rsidR="003F5418" w:rsidRDefault="002A6C25">
            <w:pPr>
              <w:pStyle w:val="P68B1DB1-Normal4"/>
              <w:jc w:val="center"/>
              <w:rPr>
                <w:noProof/>
              </w:rPr>
            </w:pPr>
            <w:r>
              <w:rPr>
                <w:noProof/>
              </w:rPr>
              <w:t>Az állami múzeumokkal és kulturális helyszínekkel, színházi csarnokokkal és mozikkal kapcsolatos</w:t>
            </w:r>
            <w:r>
              <w:rPr>
                <w:noProof/>
              </w:rPr>
              <w:t xml:space="preserve"> felszólalások lezárultak (első csomag)</w:t>
            </w:r>
          </w:p>
        </w:tc>
        <w:tc>
          <w:tcPr>
            <w:tcW w:w="520" w:type="pct"/>
            <w:shd w:val="clear" w:color="auto" w:fill="C6EFCE"/>
            <w:noWrap/>
            <w:vAlign w:val="center"/>
            <w:hideMark/>
          </w:tcPr>
          <w:p w14:paraId="42FD81FA"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12702C8A"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74696001"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0994F735" w14:textId="77777777" w:rsidR="003F5418" w:rsidRDefault="002A6C25">
            <w:pPr>
              <w:pStyle w:val="P68B1DB1-Normal4"/>
              <w:jc w:val="center"/>
              <w:rPr>
                <w:noProof/>
              </w:rPr>
            </w:pPr>
            <w:r>
              <w:rPr>
                <w:noProof/>
              </w:rPr>
              <w:t>80</w:t>
            </w:r>
          </w:p>
        </w:tc>
        <w:tc>
          <w:tcPr>
            <w:tcW w:w="321" w:type="pct"/>
            <w:shd w:val="clear" w:color="auto" w:fill="C6EFCE"/>
            <w:noWrap/>
            <w:vAlign w:val="center"/>
            <w:hideMark/>
          </w:tcPr>
          <w:p w14:paraId="32DC7503" w14:textId="77777777" w:rsidR="003F5418" w:rsidRDefault="002A6C25">
            <w:pPr>
              <w:pStyle w:val="P68B1DB1-Normal4"/>
              <w:jc w:val="center"/>
              <w:rPr>
                <w:noProof/>
              </w:rPr>
            </w:pPr>
            <w:r>
              <w:rPr>
                <w:noProof/>
              </w:rPr>
              <w:t>Q3</w:t>
            </w:r>
          </w:p>
        </w:tc>
        <w:tc>
          <w:tcPr>
            <w:tcW w:w="224" w:type="pct"/>
            <w:shd w:val="clear" w:color="auto" w:fill="C6EFCE"/>
            <w:noWrap/>
            <w:vAlign w:val="center"/>
            <w:hideMark/>
          </w:tcPr>
          <w:p w14:paraId="4E81B5E0" w14:textId="77777777" w:rsidR="003F5418" w:rsidRDefault="002A6C25">
            <w:pPr>
              <w:pStyle w:val="P68B1DB1-Normal4"/>
              <w:jc w:val="center"/>
              <w:rPr>
                <w:noProof/>
              </w:rPr>
            </w:pPr>
            <w:r>
              <w:rPr>
                <w:noProof/>
              </w:rPr>
              <w:t>2023</w:t>
            </w:r>
          </w:p>
        </w:tc>
        <w:tc>
          <w:tcPr>
            <w:tcW w:w="1192" w:type="pct"/>
            <w:shd w:val="clear" w:color="auto" w:fill="C6EFCE"/>
            <w:noWrap/>
            <w:vAlign w:val="center"/>
            <w:hideMark/>
          </w:tcPr>
          <w:p w14:paraId="612B3EA5" w14:textId="77777777" w:rsidR="003F5418" w:rsidRDefault="002A6C25">
            <w:pPr>
              <w:pStyle w:val="P68B1DB1-Normal4"/>
              <w:rPr>
                <w:noProof/>
              </w:rPr>
            </w:pPr>
            <w:r>
              <w:rPr>
                <w:noProof/>
              </w:rPr>
              <w:t>A mutató a befejezett beavatkozások számára utal, amit a munkálatok szabályos kivitelezésének igazolása bizonyít.</w:t>
            </w:r>
          </w:p>
          <w:p w14:paraId="530F2BD6" w14:textId="77777777" w:rsidR="003F5418" w:rsidRDefault="002A6C25">
            <w:pPr>
              <w:pStyle w:val="P68B1DB1-Normal4"/>
              <w:rPr>
                <w:noProof/>
              </w:rPr>
            </w:pPr>
            <w:r>
              <w:rPr>
                <w:noProof/>
              </w:rPr>
              <w:t>A végrehajtandó beavatkozástípusok közé tartoznak a következők:</w:t>
            </w:r>
          </w:p>
          <w:p w14:paraId="0811A02A" w14:textId="77777777" w:rsidR="003F5418" w:rsidRDefault="002A6C25">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műszaki és </w:t>
            </w:r>
            <w:r>
              <w:rPr>
                <w:rFonts w:ascii="Arial Narrow" w:hAnsi="Arial Narrow"/>
                <w:noProof/>
                <w:color w:val="006100"/>
                <w:sz w:val="20"/>
              </w:rPr>
              <w:t>gazdasági-pénzügyi tervezés, energetikai auditok, kezdeti környezeti elemzések, környezeti hatásvizsgálatok, a kritikus kérdések azonosítását célzó intézkedések és értékelések, az energiahatékonyság javítását célzó, ebből következő beavatkozások azonosítás</w:t>
            </w:r>
            <w:r>
              <w:rPr>
                <w:rFonts w:ascii="Arial Narrow" w:hAnsi="Arial Narrow"/>
                <w:noProof/>
                <w:color w:val="006100"/>
                <w:sz w:val="20"/>
              </w:rPr>
              <w:t>a;</w:t>
            </w:r>
          </w:p>
          <w:p w14:paraId="273A228F" w14:textId="77777777" w:rsidR="003F5418" w:rsidRDefault="002A6C25">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külső térelhatárolókra vonatkozó beavatkozások;</w:t>
            </w:r>
          </w:p>
          <w:p w14:paraId="7C4C7D5F" w14:textId="77777777" w:rsidR="003F5418" w:rsidRDefault="002A6C25">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berendezések, eszközök, rendszerek, eszközök, digitális alkalmazásszoftverek, valamint</w:t>
            </w:r>
            <w:r>
              <w:rPr>
                <w:rFonts w:ascii="Arial Narrow" w:hAnsi="Arial Narrow"/>
                <w:noProof/>
                <w:color w:val="006100"/>
                <w:sz w:val="20"/>
              </w:rPr>
              <w:t xml:space="preserve"> a működésükhöz szükséges kiegészítő műszerek cseréjével/beszerzésével kapcsolatos beavatkozások, szabadalmak, licencek és know-how megszerzése;</w:t>
            </w:r>
          </w:p>
          <w:p w14:paraId="1D7292E9" w14:textId="77777777" w:rsidR="003F5418" w:rsidRDefault="002A6C25">
            <w:pPr>
              <w:ind w:left="315" w:hanging="315"/>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az energiafogyasztás (intelligens épületek) és a szennyező kibocsátások távvezérlésére, szabályozására, kezel</w:t>
            </w:r>
            <w:r>
              <w:rPr>
                <w:rFonts w:ascii="Arial Narrow" w:hAnsi="Arial Narrow"/>
                <w:noProof/>
                <w:color w:val="006100"/>
                <w:sz w:val="20"/>
              </w:rPr>
              <w:t>ésére, nyomon követésére és optimalizálására szolgáló intelligens rendszerek telepítése, többek között technológiai keverékek alkalmazásával.</w:t>
            </w:r>
          </w:p>
        </w:tc>
      </w:tr>
      <w:tr w:rsidR="003F5418" w14:paraId="624BE316" w14:textId="77777777">
        <w:trPr>
          <w:trHeight w:val="309"/>
          <w:jc w:val="center"/>
        </w:trPr>
        <w:tc>
          <w:tcPr>
            <w:tcW w:w="366" w:type="pct"/>
            <w:shd w:val="clear" w:color="auto" w:fill="C6EFCE"/>
            <w:noWrap/>
            <w:vAlign w:val="center"/>
            <w:hideMark/>
          </w:tcPr>
          <w:p w14:paraId="30AFF201" w14:textId="77777777" w:rsidR="003F5418" w:rsidRDefault="002A6C25">
            <w:pPr>
              <w:pStyle w:val="P68B1DB1-Normal4"/>
              <w:jc w:val="center"/>
              <w:rPr>
                <w:noProof/>
              </w:rPr>
            </w:pPr>
            <w:r>
              <w:rPr>
                <w:noProof/>
              </w:rPr>
              <w:t>M1C3–5</w:t>
            </w:r>
          </w:p>
        </w:tc>
        <w:tc>
          <w:tcPr>
            <w:tcW w:w="460" w:type="pct"/>
            <w:shd w:val="clear" w:color="auto" w:fill="C6EFCE"/>
            <w:noWrap/>
            <w:vAlign w:val="center"/>
            <w:hideMark/>
          </w:tcPr>
          <w:p w14:paraId="68E3CD47" w14:textId="77777777" w:rsidR="003F5418" w:rsidRDefault="002A6C25">
            <w:pPr>
              <w:pStyle w:val="P68B1DB1-Normal4"/>
              <w:jc w:val="center"/>
              <w:rPr>
                <w:noProof/>
              </w:rPr>
            </w:pPr>
            <w:r>
              <w:rPr>
                <w:noProof/>
              </w:rPr>
              <w:t>Beruházás – A mozi, színházak és múzeumok energiahatékonyságának javítása</w:t>
            </w:r>
          </w:p>
        </w:tc>
        <w:tc>
          <w:tcPr>
            <w:tcW w:w="368" w:type="pct"/>
            <w:shd w:val="clear" w:color="auto" w:fill="C6EFCE"/>
            <w:noWrap/>
            <w:vAlign w:val="center"/>
            <w:hideMark/>
          </w:tcPr>
          <w:p w14:paraId="0647107C"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6F5029E7" w14:textId="77777777" w:rsidR="003F5418" w:rsidRDefault="002A6C25">
            <w:pPr>
              <w:pStyle w:val="P68B1DB1-Normal4"/>
              <w:jc w:val="center"/>
              <w:rPr>
                <w:noProof/>
              </w:rPr>
            </w:pPr>
            <w:r>
              <w:rPr>
                <w:noProof/>
              </w:rPr>
              <w:t xml:space="preserve">Állami múzeumokban és </w:t>
            </w:r>
            <w:r>
              <w:rPr>
                <w:noProof/>
              </w:rPr>
              <w:t>kulturális helyszíneken, színházi csarnokokon és mozikban végrehajtott beavatkozások lezárultak (második tétel)</w:t>
            </w:r>
          </w:p>
        </w:tc>
        <w:tc>
          <w:tcPr>
            <w:tcW w:w="520" w:type="pct"/>
            <w:shd w:val="clear" w:color="auto" w:fill="C6EFCE"/>
            <w:noWrap/>
            <w:vAlign w:val="center"/>
            <w:hideMark/>
          </w:tcPr>
          <w:p w14:paraId="71648058"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379CB2DF"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1186D514"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7CA91F5A" w14:textId="77777777" w:rsidR="003F5418" w:rsidRDefault="002A6C25">
            <w:pPr>
              <w:pStyle w:val="P68B1DB1-Normal4"/>
              <w:jc w:val="center"/>
              <w:rPr>
                <w:noProof/>
              </w:rPr>
            </w:pPr>
            <w:r>
              <w:rPr>
                <w:noProof/>
              </w:rPr>
              <w:t>420</w:t>
            </w:r>
          </w:p>
        </w:tc>
        <w:tc>
          <w:tcPr>
            <w:tcW w:w="321" w:type="pct"/>
            <w:shd w:val="clear" w:color="auto" w:fill="C6EFCE"/>
            <w:noWrap/>
            <w:vAlign w:val="center"/>
            <w:hideMark/>
          </w:tcPr>
          <w:p w14:paraId="7F24BDA5"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3F8C702E" w14:textId="77777777" w:rsidR="003F5418" w:rsidRDefault="002A6C25">
            <w:pPr>
              <w:pStyle w:val="P68B1DB1-Normal4"/>
              <w:jc w:val="center"/>
              <w:rPr>
                <w:noProof/>
              </w:rPr>
            </w:pPr>
            <w:r>
              <w:rPr>
                <w:noProof/>
              </w:rPr>
              <w:t>2025</w:t>
            </w:r>
          </w:p>
        </w:tc>
        <w:tc>
          <w:tcPr>
            <w:tcW w:w="1192" w:type="pct"/>
            <w:shd w:val="clear" w:color="auto" w:fill="C6EFCE"/>
            <w:noWrap/>
            <w:vAlign w:val="center"/>
            <w:hideMark/>
          </w:tcPr>
          <w:p w14:paraId="09B87DB0" w14:textId="77777777" w:rsidR="003F5418" w:rsidRDefault="002A6C25">
            <w:pPr>
              <w:pStyle w:val="P68B1DB1-Normal4"/>
              <w:rPr>
                <w:noProof/>
              </w:rPr>
            </w:pPr>
            <w:r>
              <w:rPr>
                <w:noProof/>
              </w:rPr>
              <w:t>A mutató az állami múzeumokban és kulturális helyszíneken, 230 színházban és 135 mozikban végrehajtott 55 beavatkozásra</w:t>
            </w:r>
            <w:r>
              <w:rPr>
                <w:noProof/>
              </w:rPr>
              <w:t xml:space="preserve"> vonatkozik, amelyek a művek rendszeres kivitelezésének igazolásával zárultak.</w:t>
            </w:r>
          </w:p>
          <w:p w14:paraId="05BA8EC6" w14:textId="77777777" w:rsidR="003F5418" w:rsidRDefault="002A6C25">
            <w:pPr>
              <w:pStyle w:val="P68B1DB1-Normal4"/>
              <w:rPr>
                <w:noProof/>
              </w:rPr>
            </w:pPr>
            <w:r>
              <w:rPr>
                <w:noProof/>
              </w:rPr>
              <w:t>A végrehajtandó beavatkozástípusok közé tartoznak a következők:</w:t>
            </w:r>
          </w:p>
          <w:p w14:paraId="6104007E" w14:textId="77777777" w:rsidR="003F5418" w:rsidRDefault="002A6C25">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műszaki és gazdasági-pénzügyi tervezés, energetikai auditok, kezdeti környezeti elemzések, környezeti hatásvizs</w:t>
            </w:r>
            <w:r>
              <w:rPr>
                <w:rFonts w:ascii="Arial Narrow" w:hAnsi="Arial Narrow"/>
                <w:noProof/>
                <w:color w:val="006100"/>
                <w:sz w:val="20"/>
              </w:rPr>
              <w:t>gálatok, a kritikus kérdések azonosítását célzó intézkedések és értékelések, az energiahatékonyság javítását célzó, ebből következő beavatkozások azonosítása;</w:t>
            </w:r>
          </w:p>
          <w:p w14:paraId="7193D54F" w14:textId="77777777" w:rsidR="003F5418" w:rsidRDefault="002A6C25">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külső térelhatárolókra vonatkozó beavatkozások;</w:t>
            </w:r>
          </w:p>
          <w:p w14:paraId="4F6B3B59" w14:textId="77777777" w:rsidR="003F5418" w:rsidRDefault="002A6C25">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berendezések, eszközök, rendszerek, eszközö</w:t>
            </w:r>
            <w:r>
              <w:rPr>
                <w:rFonts w:ascii="Arial Narrow" w:hAnsi="Arial Narrow"/>
                <w:noProof/>
                <w:color w:val="006100"/>
                <w:sz w:val="20"/>
              </w:rPr>
              <w:t>k, digitális alkalmazásszoftverek, valamint a működésükhöz szükséges kiegészítő műszerek cseréjével/beszerzésével kapcsolatos beavatkozások, szabadalmak, licencek és know-how megszerzése;</w:t>
            </w:r>
          </w:p>
          <w:p w14:paraId="5FD0A4B7" w14:textId="77777777" w:rsidR="003F5418" w:rsidRDefault="002A6C25">
            <w:pPr>
              <w:ind w:left="173" w:hanging="173"/>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az energiafogyasztás (intelligens épületek) és a szennyező kibocsá</w:t>
            </w:r>
            <w:r>
              <w:rPr>
                <w:rFonts w:ascii="Arial Narrow" w:hAnsi="Arial Narrow"/>
                <w:noProof/>
                <w:color w:val="006100"/>
                <w:sz w:val="20"/>
              </w:rPr>
              <w:t>tások távvezérlésére, szabályozására, kezelésére, nyomon követésére és optimalizálására szolgáló intelligens rendszerek telepítése, többek között technológiai keverékek alkalmazásával.</w:t>
            </w:r>
          </w:p>
        </w:tc>
      </w:tr>
      <w:tr w:rsidR="003F5418" w14:paraId="389213BD" w14:textId="77777777">
        <w:trPr>
          <w:trHeight w:val="309"/>
          <w:jc w:val="center"/>
        </w:trPr>
        <w:tc>
          <w:tcPr>
            <w:tcW w:w="366" w:type="pct"/>
            <w:shd w:val="clear" w:color="auto" w:fill="C6EFCE"/>
            <w:noWrap/>
            <w:vAlign w:val="center"/>
            <w:hideMark/>
          </w:tcPr>
          <w:p w14:paraId="14539E55" w14:textId="77777777" w:rsidR="003F5418" w:rsidRDefault="002A6C25">
            <w:pPr>
              <w:pStyle w:val="P68B1DB1-Normal4"/>
              <w:jc w:val="center"/>
              <w:rPr>
                <w:noProof/>
              </w:rPr>
            </w:pPr>
            <w:r>
              <w:rPr>
                <w:noProof/>
              </w:rPr>
              <w:t>M1C3–6</w:t>
            </w:r>
          </w:p>
        </w:tc>
        <w:tc>
          <w:tcPr>
            <w:tcW w:w="460" w:type="pct"/>
            <w:shd w:val="clear" w:color="auto" w:fill="C6EFCE"/>
            <w:noWrap/>
            <w:vAlign w:val="center"/>
            <w:hideMark/>
          </w:tcPr>
          <w:p w14:paraId="66EDE676" w14:textId="77777777" w:rsidR="003F5418" w:rsidRDefault="002A6C25">
            <w:pPr>
              <w:pStyle w:val="P68B1DB1-Normal4"/>
              <w:jc w:val="center"/>
              <w:rPr>
                <w:noProof/>
              </w:rPr>
            </w:pPr>
            <w:r>
              <w:rPr>
                <w:noProof/>
              </w:rPr>
              <w:t xml:space="preserve">Reform – 3.1. A kulturális eseményekre vonatkozó minimális </w:t>
            </w:r>
            <w:r>
              <w:rPr>
                <w:noProof/>
              </w:rPr>
              <w:t>környezetvédelmi kritériumok</w:t>
            </w:r>
          </w:p>
        </w:tc>
        <w:tc>
          <w:tcPr>
            <w:tcW w:w="368" w:type="pct"/>
            <w:shd w:val="clear" w:color="auto" w:fill="C6EFCE"/>
            <w:noWrap/>
            <w:vAlign w:val="center"/>
            <w:hideMark/>
          </w:tcPr>
          <w:p w14:paraId="4FAF36ED" w14:textId="77777777" w:rsidR="003F5418" w:rsidRDefault="002A6C25">
            <w:pPr>
              <w:pStyle w:val="P68B1DB1-Normal4"/>
              <w:jc w:val="center"/>
              <w:rPr>
                <w:noProof/>
              </w:rPr>
            </w:pPr>
            <w:r>
              <w:rPr>
                <w:noProof/>
              </w:rPr>
              <w:t>Mérföldkő</w:t>
            </w:r>
          </w:p>
        </w:tc>
        <w:tc>
          <w:tcPr>
            <w:tcW w:w="436" w:type="pct"/>
            <w:shd w:val="clear" w:color="auto" w:fill="C6EFCE"/>
            <w:noWrap/>
            <w:vAlign w:val="center"/>
            <w:hideMark/>
          </w:tcPr>
          <w:p w14:paraId="0FDAF7D2" w14:textId="77777777" w:rsidR="003F5418" w:rsidRDefault="002A6C25">
            <w:pPr>
              <w:pStyle w:val="P68B1DB1-Normal4"/>
              <w:jc w:val="center"/>
              <w:rPr>
                <w:noProof/>
              </w:rPr>
            </w:pPr>
            <w:r>
              <w:rPr>
                <w:noProof/>
              </w:rPr>
              <w:t>Az államilag finanszírozott kulturális eseményekre vonatkozó közbeszerzési pályázatok szociális és környezetvédelmi szempontjainak meghatározásáról szóló rendelet hatálybalépése</w:t>
            </w:r>
          </w:p>
        </w:tc>
        <w:tc>
          <w:tcPr>
            <w:tcW w:w="520" w:type="pct"/>
            <w:shd w:val="clear" w:color="auto" w:fill="C6EFCE"/>
            <w:noWrap/>
            <w:vAlign w:val="center"/>
            <w:hideMark/>
          </w:tcPr>
          <w:p w14:paraId="5E61DEF9" w14:textId="77777777" w:rsidR="003F5418" w:rsidRDefault="002A6C25">
            <w:pPr>
              <w:pStyle w:val="P68B1DB1-Normal4"/>
              <w:jc w:val="center"/>
              <w:rPr>
                <w:noProof/>
              </w:rPr>
            </w:pPr>
            <w:r>
              <w:rPr>
                <w:noProof/>
              </w:rPr>
              <w:t>A kulturális eseményekre vonatkozó körn</w:t>
            </w:r>
            <w:r>
              <w:rPr>
                <w:noProof/>
              </w:rPr>
              <w:t>yezetvédelmi minimumkövetelmények elfogadásáról szóló rendelet hatálybalépéséről szóló rendeletben szereplő rendelkezés</w:t>
            </w:r>
          </w:p>
        </w:tc>
        <w:tc>
          <w:tcPr>
            <w:tcW w:w="368" w:type="pct"/>
            <w:shd w:val="clear" w:color="auto" w:fill="C6EFCE"/>
            <w:noWrap/>
            <w:vAlign w:val="center"/>
            <w:hideMark/>
          </w:tcPr>
          <w:p w14:paraId="6BB3CC53"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6BB26C22" w14:textId="77777777" w:rsidR="003F5418" w:rsidRDefault="002A6C25">
            <w:pPr>
              <w:pStyle w:val="P68B1DB1-Normal4"/>
              <w:jc w:val="center"/>
              <w:rPr>
                <w:noProof/>
              </w:rPr>
            </w:pPr>
            <w:r>
              <w:rPr>
                <w:noProof/>
              </w:rPr>
              <w:t>NINCS</w:t>
            </w:r>
          </w:p>
        </w:tc>
        <w:tc>
          <w:tcPr>
            <w:tcW w:w="377" w:type="pct"/>
            <w:shd w:val="clear" w:color="auto" w:fill="C6EFCE"/>
            <w:noWrap/>
            <w:vAlign w:val="center"/>
            <w:hideMark/>
          </w:tcPr>
          <w:p w14:paraId="36EB486B" w14:textId="77777777" w:rsidR="003F5418" w:rsidRDefault="002A6C25">
            <w:pPr>
              <w:pStyle w:val="P68B1DB1-Normal4"/>
              <w:jc w:val="center"/>
              <w:rPr>
                <w:noProof/>
              </w:rPr>
            </w:pPr>
            <w:r>
              <w:rPr>
                <w:noProof/>
              </w:rPr>
              <w:t>NINCS</w:t>
            </w:r>
          </w:p>
        </w:tc>
        <w:tc>
          <w:tcPr>
            <w:tcW w:w="321" w:type="pct"/>
            <w:shd w:val="clear" w:color="auto" w:fill="C6EFCE"/>
            <w:noWrap/>
            <w:vAlign w:val="center"/>
            <w:hideMark/>
          </w:tcPr>
          <w:p w14:paraId="7B45F248"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456CA3F3" w14:textId="77777777" w:rsidR="003F5418" w:rsidRDefault="002A6C25">
            <w:pPr>
              <w:pStyle w:val="P68B1DB1-Normal4"/>
              <w:jc w:val="center"/>
              <w:rPr>
                <w:noProof/>
              </w:rPr>
            </w:pPr>
            <w:r>
              <w:rPr>
                <w:noProof/>
              </w:rPr>
              <w:t>2022</w:t>
            </w:r>
          </w:p>
        </w:tc>
        <w:tc>
          <w:tcPr>
            <w:tcW w:w="1192" w:type="pct"/>
            <w:shd w:val="clear" w:color="auto" w:fill="C6EFCE"/>
            <w:noWrap/>
            <w:vAlign w:val="center"/>
            <w:hideMark/>
          </w:tcPr>
          <w:p w14:paraId="73DA7B6A" w14:textId="77777777" w:rsidR="003F5418" w:rsidRDefault="002A6C25">
            <w:pPr>
              <w:pStyle w:val="P68B1DB1-Normal4"/>
              <w:rPr>
                <w:noProof/>
              </w:rPr>
            </w:pPr>
            <w:r>
              <w:rPr>
                <w:noProof/>
              </w:rPr>
              <w:t xml:space="preserve">Kritériumokat kell elfogadni a következő szempontokra vonatkozóan: a papír és nyomatok használatának </w:t>
            </w:r>
            <w:r>
              <w:rPr>
                <w:noProof/>
              </w:rPr>
              <w:t xml:space="preserve">csökkentése, környezetbarát anyagok használata, újrahasznosított és újrafelhasznált anyagokból és fenntartható lakberendezési tárgyakból álló színpadok kialakítása, alacsony környezeti hatású zacskók, a helyszín kiválasztása a biológiai sokféleség védelme </w:t>
            </w:r>
            <w:r>
              <w:rPr>
                <w:noProof/>
              </w:rPr>
              <w:t>alapján, alacsony környezeti hatású étkeztetési szolgáltatások, az esemény eléréséhez szükséges szállítás és az anyagok szállítása, a rendezvény megszervezéséhez szükséges energiafogyasztás.</w:t>
            </w:r>
          </w:p>
          <w:p w14:paraId="1FBD7F0E" w14:textId="77777777" w:rsidR="003F5418" w:rsidRDefault="002A6C25">
            <w:pPr>
              <w:pStyle w:val="P68B1DB1-Normal4"/>
              <w:rPr>
                <w:noProof/>
              </w:rPr>
            </w:pPr>
            <w:r>
              <w:rPr>
                <w:noProof/>
              </w:rPr>
              <w:t>A hozzáférhetőséget és a befogadást előmozdító szociális kritériu</w:t>
            </w:r>
            <w:r>
              <w:rPr>
                <w:noProof/>
              </w:rPr>
              <w:t>mok a következőket foglalják magukban: a fogyatékossággal élő személyek akadálymentesítésének előmozdítása; a fiatalok, a tartósan munkanélküliek, a hátrányos helyzetű csoportokhoz tartozók (például migráns munkavállalók és etnikai kisebbségek) és a fogyat</w:t>
            </w:r>
            <w:r>
              <w:rPr>
                <w:noProof/>
              </w:rPr>
              <w:t>ékkal élők foglalkoztatási lehetőségeinek előmozdítása; egyenlő hozzáférés biztosítása a közbeszerzésekhez azon vállalkozások számára, amelyek tulajdonosai vagy alkalmazottai etnikai vagy kisebbségi csoportokhoz tartoznak, mint például a szövetkezetek, a s</w:t>
            </w:r>
            <w:r>
              <w:rPr>
                <w:noProof/>
              </w:rPr>
              <w:t>zociális vállalkozások és a nonprofit szervezetek; a „tisztességes munka” előmozdítása, amely a produktív és szabadon választott munkához, az alapvető munkahelyi elvekhez és jogokhoz, a tisztességes bérekhez, a szociális védelemhez és a szociális párbeszéd</w:t>
            </w:r>
            <w:r>
              <w:rPr>
                <w:noProof/>
              </w:rPr>
              <w:t>hez való jogot jelenti.</w:t>
            </w:r>
          </w:p>
          <w:p w14:paraId="43C00524" w14:textId="77777777" w:rsidR="003F5418" w:rsidRDefault="002A6C25">
            <w:pPr>
              <w:pStyle w:val="P68B1DB1-Normal4"/>
              <w:rPr>
                <w:noProof/>
              </w:rPr>
            </w:pPr>
            <w:r>
              <w:rPr>
                <w:noProof/>
              </w:rPr>
              <w:t>A reform kiterjed az olyan kulturális eseményekre, mint a kiállítások, fesztiválok és előadó-művészeti események.</w:t>
            </w:r>
          </w:p>
        </w:tc>
      </w:tr>
      <w:tr w:rsidR="003F5418" w14:paraId="57B8DA75" w14:textId="77777777">
        <w:trPr>
          <w:trHeight w:val="309"/>
          <w:jc w:val="center"/>
        </w:trPr>
        <w:tc>
          <w:tcPr>
            <w:tcW w:w="366" w:type="pct"/>
            <w:shd w:val="clear" w:color="auto" w:fill="C6EFCE"/>
            <w:noWrap/>
            <w:vAlign w:val="center"/>
            <w:hideMark/>
          </w:tcPr>
          <w:p w14:paraId="570C1572" w14:textId="77777777" w:rsidR="003F5418" w:rsidRDefault="002A6C25">
            <w:pPr>
              <w:pStyle w:val="P68B1DB1-Normal4"/>
              <w:jc w:val="center"/>
              <w:rPr>
                <w:noProof/>
              </w:rPr>
            </w:pPr>
            <w:r>
              <w:rPr>
                <w:noProof/>
              </w:rPr>
              <w:t>M1C3–7</w:t>
            </w:r>
          </w:p>
        </w:tc>
        <w:tc>
          <w:tcPr>
            <w:tcW w:w="460" w:type="pct"/>
            <w:shd w:val="clear" w:color="auto" w:fill="C6EFCE"/>
            <w:noWrap/>
            <w:vAlign w:val="center"/>
            <w:hideMark/>
          </w:tcPr>
          <w:p w14:paraId="059FA3D0" w14:textId="77777777" w:rsidR="003F5418" w:rsidRDefault="002A6C25">
            <w:pPr>
              <w:pStyle w:val="P68B1DB1-Normal4"/>
              <w:jc w:val="center"/>
              <w:rPr>
                <w:noProof/>
              </w:rPr>
            </w:pPr>
            <w:r>
              <w:rPr>
                <w:noProof/>
              </w:rPr>
              <w:t>Beruházás – A kulturális szereplők kapacitásépítése a digitális és zöld átállás irányítása érdekében.</w:t>
            </w:r>
          </w:p>
        </w:tc>
        <w:tc>
          <w:tcPr>
            <w:tcW w:w="368" w:type="pct"/>
            <w:shd w:val="clear" w:color="auto" w:fill="C6EFCE"/>
            <w:noWrap/>
            <w:vAlign w:val="center"/>
            <w:hideMark/>
          </w:tcPr>
          <w:p w14:paraId="585C1D88" w14:textId="77777777" w:rsidR="003F5418" w:rsidRDefault="002A6C25">
            <w:pPr>
              <w:pStyle w:val="P68B1DB1-Normal4"/>
              <w:jc w:val="center"/>
              <w:rPr>
                <w:noProof/>
              </w:rPr>
            </w:pPr>
            <w:r>
              <w:rPr>
                <w:noProof/>
              </w:rPr>
              <w:t>Mérföldkő</w:t>
            </w:r>
          </w:p>
        </w:tc>
        <w:tc>
          <w:tcPr>
            <w:tcW w:w="436" w:type="pct"/>
            <w:shd w:val="clear" w:color="auto" w:fill="C6EFCE"/>
            <w:noWrap/>
            <w:vAlign w:val="center"/>
            <w:hideMark/>
          </w:tcPr>
          <w:p w14:paraId="60E5C25F" w14:textId="77777777" w:rsidR="003F5418" w:rsidRDefault="002A6C25">
            <w:pPr>
              <w:pStyle w:val="P68B1DB1-Normal4"/>
              <w:jc w:val="center"/>
              <w:rPr>
                <w:noProof/>
              </w:rPr>
            </w:pPr>
            <w:r>
              <w:rPr>
                <w:noProof/>
              </w:rPr>
              <w:t>Valamennyi közbeszerzési szerződés odaítélése a végrehajtó szervezettel/kedvezményezettekkel a kulturális szereplők digitális és zöld átállásának irányítására irányuló valamennyi beavatkozás esetében</w:t>
            </w:r>
          </w:p>
        </w:tc>
        <w:tc>
          <w:tcPr>
            <w:tcW w:w="520" w:type="pct"/>
            <w:shd w:val="clear" w:color="auto" w:fill="C6EFCE"/>
            <w:noWrap/>
            <w:vAlign w:val="center"/>
            <w:hideMark/>
          </w:tcPr>
          <w:p w14:paraId="695E99CA" w14:textId="77777777" w:rsidR="003F5418" w:rsidRDefault="002A6C25">
            <w:pPr>
              <w:pStyle w:val="P68B1DB1-Normal4"/>
              <w:jc w:val="center"/>
              <w:rPr>
                <w:noProof/>
              </w:rPr>
            </w:pPr>
            <w:r>
              <w:rPr>
                <w:noProof/>
              </w:rPr>
              <w:t>Értesítés a kapacitásépítési tevékenységek meg</w:t>
            </w:r>
            <w:r>
              <w:rPr>
                <w:noProof/>
              </w:rPr>
              <w:t>valósításáért felelős szervezetekre és hálózatokra vonatkozó valamennyi közbeszerzési szerződés odaítéléséről</w:t>
            </w:r>
          </w:p>
        </w:tc>
        <w:tc>
          <w:tcPr>
            <w:tcW w:w="368" w:type="pct"/>
            <w:shd w:val="clear" w:color="auto" w:fill="C6EFCE"/>
            <w:noWrap/>
            <w:vAlign w:val="center"/>
            <w:hideMark/>
          </w:tcPr>
          <w:p w14:paraId="6D3ECE12"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1D7473C4" w14:textId="77777777" w:rsidR="003F5418" w:rsidRDefault="002A6C25">
            <w:pPr>
              <w:pStyle w:val="P68B1DB1-Normal4"/>
              <w:jc w:val="center"/>
              <w:rPr>
                <w:noProof/>
              </w:rPr>
            </w:pPr>
            <w:r>
              <w:rPr>
                <w:noProof/>
              </w:rPr>
              <w:t>NINCS</w:t>
            </w:r>
          </w:p>
        </w:tc>
        <w:tc>
          <w:tcPr>
            <w:tcW w:w="377" w:type="pct"/>
            <w:shd w:val="clear" w:color="auto" w:fill="C6EFCE"/>
            <w:noWrap/>
            <w:vAlign w:val="center"/>
            <w:hideMark/>
          </w:tcPr>
          <w:p w14:paraId="1789D6FC" w14:textId="77777777" w:rsidR="003F5418" w:rsidRDefault="002A6C25">
            <w:pPr>
              <w:pStyle w:val="P68B1DB1-Normal4"/>
              <w:jc w:val="center"/>
              <w:rPr>
                <w:noProof/>
              </w:rPr>
            </w:pPr>
            <w:r>
              <w:rPr>
                <w:noProof/>
              </w:rPr>
              <w:t>NINCS</w:t>
            </w:r>
          </w:p>
        </w:tc>
        <w:tc>
          <w:tcPr>
            <w:tcW w:w="321" w:type="pct"/>
            <w:shd w:val="clear" w:color="auto" w:fill="C6EFCE"/>
            <w:noWrap/>
            <w:vAlign w:val="center"/>
            <w:hideMark/>
          </w:tcPr>
          <w:p w14:paraId="1E093E8A"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63B1086D" w14:textId="77777777" w:rsidR="003F5418" w:rsidRDefault="002A6C25">
            <w:pPr>
              <w:pStyle w:val="P68B1DB1-Normal4"/>
              <w:jc w:val="center"/>
              <w:rPr>
                <w:noProof/>
              </w:rPr>
            </w:pPr>
            <w:r>
              <w:rPr>
                <w:noProof/>
              </w:rPr>
              <w:t>2023</w:t>
            </w:r>
          </w:p>
        </w:tc>
        <w:tc>
          <w:tcPr>
            <w:tcW w:w="1192" w:type="pct"/>
            <w:shd w:val="clear" w:color="auto" w:fill="C6EFCE"/>
            <w:noWrap/>
            <w:vAlign w:val="center"/>
            <w:hideMark/>
          </w:tcPr>
          <w:p w14:paraId="199D24B4" w14:textId="77777777" w:rsidR="003F5418" w:rsidRDefault="002A6C25">
            <w:pPr>
              <w:pStyle w:val="P68B1DB1-Normal4"/>
              <w:rPr>
                <w:noProof/>
              </w:rPr>
            </w:pPr>
            <w:r>
              <w:rPr>
                <w:noProof/>
              </w:rPr>
              <w:t xml:space="preserve">A kiválasztott végrehajtó szervek olyan szakosodott szervezetek vagy hálózatok, amelyek mind a képzés, mind pedig a </w:t>
            </w:r>
            <w:r>
              <w:rPr>
                <w:noProof/>
              </w:rPr>
              <w:t>kulturális termelés, a környezetvédelem, a kulturális irányítás és a képzés területén szakértelemmel és tapasztalattal rendelkeznek.</w:t>
            </w:r>
          </w:p>
          <w:p w14:paraId="3C95BE78" w14:textId="77777777" w:rsidR="003F5418" w:rsidRDefault="002A6C25">
            <w:pPr>
              <w:pStyle w:val="P68B1DB1-Normal4"/>
              <w:rPr>
                <w:noProof/>
              </w:rPr>
            </w:pPr>
            <w:r>
              <w:rPr>
                <w:noProof/>
              </w:rPr>
              <w:t>A versenypályázati felhívások keretében kiválasztott projektekre vonatkozó valamennyi közbeszerzési szerződés odaítéléséről</w:t>
            </w:r>
            <w:r>
              <w:rPr>
                <w:noProof/>
              </w:rPr>
              <w:t xml:space="preserve"> szóló értesítésnek meg kell felelnie a jelentős károkozás elkerülését célzó technikai iránymutatásnak (2021/C58/01) a kizárási lista, valamint a vonatkozó uniós és nemzeti környezetvédelmi jogszabályoknak való megfelelés követelménye révén.</w:t>
            </w:r>
          </w:p>
        </w:tc>
      </w:tr>
      <w:tr w:rsidR="003F5418" w14:paraId="3A95F5A2" w14:textId="77777777">
        <w:trPr>
          <w:trHeight w:val="309"/>
          <w:jc w:val="center"/>
        </w:trPr>
        <w:tc>
          <w:tcPr>
            <w:tcW w:w="366" w:type="pct"/>
            <w:shd w:val="clear" w:color="auto" w:fill="C6EFCE"/>
            <w:noWrap/>
            <w:vAlign w:val="center"/>
            <w:hideMark/>
          </w:tcPr>
          <w:p w14:paraId="69A1A4AD" w14:textId="77777777" w:rsidR="003F5418" w:rsidRDefault="002A6C25">
            <w:pPr>
              <w:pStyle w:val="P68B1DB1-Normal4"/>
              <w:jc w:val="center"/>
              <w:rPr>
                <w:noProof/>
              </w:rPr>
            </w:pPr>
            <w:r>
              <w:rPr>
                <w:noProof/>
              </w:rPr>
              <w:t>M1C3–8</w:t>
            </w:r>
          </w:p>
        </w:tc>
        <w:tc>
          <w:tcPr>
            <w:tcW w:w="460" w:type="pct"/>
            <w:shd w:val="clear" w:color="auto" w:fill="C6EFCE"/>
            <w:noWrap/>
            <w:vAlign w:val="center"/>
            <w:hideMark/>
          </w:tcPr>
          <w:p w14:paraId="79376972" w14:textId="77777777" w:rsidR="003F5418" w:rsidRDefault="002A6C25">
            <w:pPr>
              <w:pStyle w:val="P68B1DB1-Normal4"/>
              <w:jc w:val="center"/>
              <w:rPr>
                <w:noProof/>
              </w:rPr>
            </w:pPr>
            <w:r>
              <w:rPr>
                <w:noProof/>
              </w:rPr>
              <w:t>Beruházás – 4.1 Digitális turisztikai központ</w:t>
            </w:r>
          </w:p>
        </w:tc>
        <w:tc>
          <w:tcPr>
            <w:tcW w:w="368" w:type="pct"/>
            <w:shd w:val="clear" w:color="auto" w:fill="C6EFCE"/>
            <w:noWrap/>
            <w:vAlign w:val="center"/>
            <w:hideMark/>
          </w:tcPr>
          <w:p w14:paraId="5DD52A21" w14:textId="77777777" w:rsidR="003F5418" w:rsidRDefault="002A6C25">
            <w:pPr>
              <w:pStyle w:val="P68B1DB1-Normal4"/>
              <w:jc w:val="center"/>
              <w:rPr>
                <w:noProof/>
              </w:rPr>
            </w:pPr>
            <w:r>
              <w:rPr>
                <w:noProof/>
              </w:rPr>
              <w:t>Mérföldkő</w:t>
            </w:r>
          </w:p>
        </w:tc>
        <w:tc>
          <w:tcPr>
            <w:tcW w:w="436" w:type="pct"/>
            <w:shd w:val="clear" w:color="auto" w:fill="C6EFCE"/>
            <w:noWrap/>
            <w:vAlign w:val="center"/>
            <w:hideMark/>
          </w:tcPr>
          <w:p w14:paraId="55BE2D99" w14:textId="77777777" w:rsidR="003F5418" w:rsidRDefault="002A6C25">
            <w:pPr>
              <w:pStyle w:val="P68B1DB1-Normal4"/>
              <w:jc w:val="center"/>
              <w:rPr>
                <w:noProof/>
              </w:rPr>
            </w:pPr>
            <w:r>
              <w:rPr>
                <w:noProof/>
              </w:rPr>
              <w:t>A Digitális Turisztikai Portál fejlesztésére vonatkozó szerződések odaítélése</w:t>
            </w:r>
          </w:p>
        </w:tc>
        <w:tc>
          <w:tcPr>
            <w:tcW w:w="520" w:type="pct"/>
            <w:shd w:val="clear" w:color="auto" w:fill="C6EFCE"/>
            <w:noWrap/>
            <w:vAlign w:val="center"/>
            <w:hideMark/>
          </w:tcPr>
          <w:p w14:paraId="7BE818DA" w14:textId="77777777" w:rsidR="003F5418" w:rsidRDefault="002A6C25">
            <w:pPr>
              <w:pStyle w:val="P68B1DB1-Normal4"/>
              <w:jc w:val="center"/>
              <w:rPr>
                <w:noProof/>
              </w:rPr>
            </w:pPr>
            <w:r>
              <w:rPr>
                <w:noProof/>
              </w:rPr>
              <w:t>Értesítés a Digitális Turisztikai Portál fejlesztésére irányuló valamennyi közbeszerzési szerződés odaítéléséről</w:t>
            </w:r>
          </w:p>
        </w:tc>
        <w:tc>
          <w:tcPr>
            <w:tcW w:w="368" w:type="pct"/>
            <w:shd w:val="clear" w:color="auto" w:fill="C6EFCE"/>
            <w:noWrap/>
            <w:vAlign w:val="center"/>
            <w:hideMark/>
          </w:tcPr>
          <w:p w14:paraId="120E4DF9"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49D1F6CA" w14:textId="77777777" w:rsidR="003F5418" w:rsidRDefault="002A6C25">
            <w:pPr>
              <w:pStyle w:val="P68B1DB1-Normal4"/>
              <w:jc w:val="center"/>
              <w:rPr>
                <w:noProof/>
              </w:rPr>
            </w:pPr>
            <w:r>
              <w:rPr>
                <w:noProof/>
              </w:rPr>
              <w:t>NINCS</w:t>
            </w:r>
          </w:p>
        </w:tc>
        <w:tc>
          <w:tcPr>
            <w:tcW w:w="377" w:type="pct"/>
            <w:shd w:val="clear" w:color="auto" w:fill="C6EFCE"/>
            <w:noWrap/>
            <w:vAlign w:val="center"/>
            <w:hideMark/>
          </w:tcPr>
          <w:p w14:paraId="16F5791B" w14:textId="77777777" w:rsidR="003F5418" w:rsidRDefault="002A6C25">
            <w:pPr>
              <w:pStyle w:val="P68B1DB1-Normal4"/>
              <w:jc w:val="center"/>
              <w:rPr>
                <w:noProof/>
              </w:rPr>
            </w:pPr>
            <w:r>
              <w:rPr>
                <w:noProof/>
              </w:rPr>
              <w:t>NINCS</w:t>
            </w:r>
          </w:p>
        </w:tc>
        <w:tc>
          <w:tcPr>
            <w:tcW w:w="321" w:type="pct"/>
            <w:shd w:val="clear" w:color="auto" w:fill="C6EFCE"/>
            <w:noWrap/>
            <w:vAlign w:val="center"/>
            <w:hideMark/>
          </w:tcPr>
          <w:p w14:paraId="6233AC7D" w14:textId="77777777" w:rsidR="003F5418" w:rsidRDefault="002A6C25">
            <w:pPr>
              <w:pStyle w:val="P68B1DB1-Normal4"/>
              <w:jc w:val="center"/>
              <w:rPr>
                <w:noProof/>
              </w:rPr>
            </w:pPr>
            <w:r>
              <w:rPr>
                <w:noProof/>
              </w:rPr>
              <w:t>Q4</w:t>
            </w:r>
          </w:p>
        </w:tc>
        <w:tc>
          <w:tcPr>
            <w:tcW w:w="224" w:type="pct"/>
            <w:shd w:val="clear" w:color="auto" w:fill="C6EFCE"/>
            <w:noWrap/>
            <w:vAlign w:val="center"/>
            <w:hideMark/>
          </w:tcPr>
          <w:p w14:paraId="736D33A3" w14:textId="77777777" w:rsidR="003F5418" w:rsidRDefault="002A6C25">
            <w:pPr>
              <w:pStyle w:val="P68B1DB1-Normal4"/>
              <w:jc w:val="center"/>
              <w:rPr>
                <w:noProof/>
              </w:rPr>
            </w:pPr>
            <w:r>
              <w:rPr>
                <w:noProof/>
              </w:rPr>
              <w:t>2021</w:t>
            </w:r>
          </w:p>
        </w:tc>
        <w:tc>
          <w:tcPr>
            <w:tcW w:w="1192" w:type="pct"/>
            <w:shd w:val="clear" w:color="auto" w:fill="C6EFCE"/>
            <w:noWrap/>
            <w:vAlign w:val="center"/>
            <w:hideMark/>
          </w:tcPr>
          <w:p w14:paraId="3F62FA90" w14:textId="77777777" w:rsidR="003F5418" w:rsidRDefault="002A6C25">
            <w:pPr>
              <w:pStyle w:val="P68B1DB1-Normal4"/>
              <w:rPr>
                <w:noProof/>
              </w:rPr>
            </w:pPr>
            <w:r>
              <w:rPr>
                <w:noProof/>
              </w:rPr>
              <w:t>Értesítés a Digitális Turisztikai Portál fejlesztésére irányuló (összes) közbeszerzési szerződés odaítéléséről.</w:t>
            </w:r>
          </w:p>
          <w:p w14:paraId="53333403" w14:textId="77777777" w:rsidR="003F5418" w:rsidRDefault="002A6C25">
            <w:pPr>
              <w:pStyle w:val="P68B1DB1-Normal4"/>
              <w:rPr>
                <w:noProof/>
              </w:rPr>
            </w:pPr>
            <w:r>
              <w:rPr>
                <w:noProof/>
              </w:rPr>
              <w:t>A Digitális Turisztikai Portál felhőalapú és nyílt architektúra bevezetésével korszerűsíti a jelenlegi Italia.it portált, na</w:t>
            </w:r>
            <w:r>
              <w:rPr>
                <w:noProof/>
              </w:rPr>
              <w:t>gyban támogatva az ökoszisztémával való összekapcsolást. A korszerűsített portál a következőket tartalmazza: új front-end interfész és navigációs fa létrehozása; a szakaszok, oldalak és cikkek elrendezésének, felépítésének és funkcióinak felülvizsgálata; t</w:t>
            </w:r>
            <w:r>
              <w:rPr>
                <w:noProof/>
              </w:rPr>
              <w:t>érképek bevezetése; többnyelvű irányítás (a váltás időpontjában a portál olasz és angol nyelven jelenik meg). A jelenleg támogatott többi nyelv integrációja az üzembe helyezést közvetlenül követő hónapokban várható.</w:t>
            </w:r>
          </w:p>
          <w:p w14:paraId="6E5F3ECA" w14:textId="77777777" w:rsidR="003F5418" w:rsidRDefault="003F5418">
            <w:pPr>
              <w:rPr>
                <w:rFonts w:ascii="Arial Narrow" w:hAnsi="Arial Narrow"/>
                <w:noProof/>
                <w:color w:val="006100"/>
                <w:sz w:val="20"/>
              </w:rPr>
            </w:pPr>
          </w:p>
          <w:p w14:paraId="56F8B435" w14:textId="77777777" w:rsidR="003F5418" w:rsidRDefault="002A6C25">
            <w:pPr>
              <w:pStyle w:val="P68B1DB1-Normal4"/>
              <w:rPr>
                <w:noProof/>
              </w:rPr>
            </w:pPr>
            <w:r>
              <w:rPr>
                <w:noProof/>
              </w:rPr>
              <w:t>A szerződések odaítélése a versenypályá</w:t>
            </w:r>
            <w:r>
              <w:rPr>
                <w:noProof/>
              </w:rPr>
              <w:t>zati felhívások keretében kiválasztott projektek számára, a jelentős károkozás elkerülését célzó technikai iránymutatásnak (2021/C58/01) megfelelően, kizárási lista, valamint a vonatkozó uniós és nemzeti környezetvédelmi jogszabályoknak való megfelelés köv</w:t>
            </w:r>
            <w:r>
              <w:rPr>
                <w:noProof/>
              </w:rPr>
              <w:t>etelménye révén.</w:t>
            </w:r>
          </w:p>
          <w:p w14:paraId="1E263397" w14:textId="77777777" w:rsidR="003F5418" w:rsidRDefault="003F5418">
            <w:pPr>
              <w:rPr>
                <w:rFonts w:ascii="Arial Narrow" w:hAnsi="Arial Narrow"/>
                <w:noProof/>
                <w:color w:val="006100"/>
                <w:sz w:val="20"/>
              </w:rPr>
            </w:pPr>
          </w:p>
        </w:tc>
      </w:tr>
      <w:tr w:rsidR="003F5418" w14:paraId="181F2B3E" w14:textId="77777777">
        <w:trPr>
          <w:trHeight w:val="309"/>
          <w:jc w:val="center"/>
        </w:trPr>
        <w:tc>
          <w:tcPr>
            <w:tcW w:w="366" w:type="pct"/>
            <w:shd w:val="clear" w:color="auto" w:fill="C6EFCE"/>
            <w:noWrap/>
            <w:vAlign w:val="center"/>
            <w:hideMark/>
          </w:tcPr>
          <w:p w14:paraId="25FD1029" w14:textId="77777777" w:rsidR="003F5418" w:rsidRDefault="002A6C25">
            <w:pPr>
              <w:pStyle w:val="P68B1DB1-Normal4"/>
              <w:jc w:val="center"/>
              <w:rPr>
                <w:noProof/>
              </w:rPr>
            </w:pPr>
            <w:r>
              <w:rPr>
                <w:noProof/>
              </w:rPr>
              <w:t>M1C3–9</w:t>
            </w:r>
          </w:p>
        </w:tc>
        <w:tc>
          <w:tcPr>
            <w:tcW w:w="460" w:type="pct"/>
            <w:shd w:val="clear" w:color="auto" w:fill="C6EFCE"/>
            <w:noWrap/>
            <w:vAlign w:val="center"/>
            <w:hideMark/>
          </w:tcPr>
          <w:p w14:paraId="7861B33B" w14:textId="4E998C2E" w:rsidR="003F5418" w:rsidRDefault="002A6C25">
            <w:pPr>
              <w:pStyle w:val="P68B1DB1-Normal4"/>
              <w:jc w:val="center"/>
              <w:rPr>
                <w:noProof/>
              </w:rPr>
            </w:pPr>
            <w:r>
              <w:rPr>
                <w:noProof/>
              </w:rPr>
              <w:t>Beruházás: Digitális turisztikai központ</w:t>
            </w:r>
          </w:p>
        </w:tc>
        <w:tc>
          <w:tcPr>
            <w:tcW w:w="368" w:type="pct"/>
            <w:shd w:val="clear" w:color="auto" w:fill="C6EFCE"/>
            <w:noWrap/>
            <w:vAlign w:val="center"/>
            <w:hideMark/>
          </w:tcPr>
          <w:p w14:paraId="5725E36E" w14:textId="77777777" w:rsidR="003F5418" w:rsidRDefault="002A6C25">
            <w:pPr>
              <w:pStyle w:val="P68B1DB1-Normal4"/>
              <w:jc w:val="center"/>
              <w:rPr>
                <w:noProof/>
              </w:rPr>
            </w:pPr>
            <w:r>
              <w:rPr>
                <w:noProof/>
              </w:rPr>
              <w:t>Cél</w:t>
            </w:r>
          </w:p>
        </w:tc>
        <w:tc>
          <w:tcPr>
            <w:tcW w:w="436" w:type="pct"/>
            <w:shd w:val="clear" w:color="auto" w:fill="C6EFCE"/>
            <w:noWrap/>
            <w:vAlign w:val="center"/>
            <w:hideMark/>
          </w:tcPr>
          <w:p w14:paraId="6392DCAF" w14:textId="7F7860C5" w:rsidR="003F5418" w:rsidRDefault="002A6C25">
            <w:pPr>
              <w:pStyle w:val="P68B1DB1-Normal4"/>
              <w:jc w:val="center"/>
              <w:rPr>
                <w:noProof/>
              </w:rPr>
            </w:pPr>
            <w:r>
              <w:rPr>
                <w:noProof/>
              </w:rPr>
              <w:t>Idegenforgalmi szolgáltatók bevonása a Digitális Turisztikai Platformba</w:t>
            </w:r>
          </w:p>
        </w:tc>
        <w:tc>
          <w:tcPr>
            <w:tcW w:w="520" w:type="pct"/>
            <w:shd w:val="clear" w:color="auto" w:fill="C6EFCE"/>
            <w:noWrap/>
            <w:vAlign w:val="center"/>
            <w:hideMark/>
          </w:tcPr>
          <w:p w14:paraId="14290ABB"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058D63A8" w14:textId="77777777" w:rsidR="003F5418" w:rsidRDefault="002A6C25">
            <w:pPr>
              <w:pStyle w:val="P68B1DB1-Normal4"/>
              <w:jc w:val="center"/>
              <w:rPr>
                <w:noProof/>
              </w:rPr>
            </w:pPr>
            <w:r>
              <w:rPr>
                <w:noProof/>
              </w:rPr>
              <w:t>Szám</w:t>
            </w:r>
          </w:p>
        </w:tc>
        <w:tc>
          <w:tcPr>
            <w:tcW w:w="368" w:type="pct"/>
            <w:shd w:val="clear" w:color="auto" w:fill="C6EFCE"/>
            <w:noWrap/>
            <w:vAlign w:val="center"/>
            <w:hideMark/>
          </w:tcPr>
          <w:p w14:paraId="1C34CE98" w14:textId="77777777" w:rsidR="003F5418" w:rsidRDefault="002A6C25">
            <w:pPr>
              <w:pStyle w:val="P68B1DB1-Normal4"/>
              <w:jc w:val="center"/>
              <w:rPr>
                <w:noProof/>
              </w:rPr>
            </w:pPr>
            <w:r>
              <w:rPr>
                <w:noProof/>
              </w:rPr>
              <w:t>0</w:t>
            </w:r>
          </w:p>
        </w:tc>
        <w:tc>
          <w:tcPr>
            <w:tcW w:w="377" w:type="pct"/>
            <w:shd w:val="clear" w:color="auto" w:fill="C6EFCE"/>
            <w:noWrap/>
            <w:vAlign w:val="center"/>
            <w:hideMark/>
          </w:tcPr>
          <w:p w14:paraId="30E6574A" w14:textId="77777777" w:rsidR="003F5418" w:rsidRDefault="002A6C25">
            <w:pPr>
              <w:pStyle w:val="P68B1DB1-Normal4"/>
              <w:jc w:val="center"/>
              <w:rPr>
                <w:noProof/>
              </w:rPr>
            </w:pPr>
            <w:r>
              <w:rPr>
                <w:noProof/>
              </w:rPr>
              <w:t>20 000</w:t>
            </w:r>
          </w:p>
        </w:tc>
        <w:tc>
          <w:tcPr>
            <w:tcW w:w="321" w:type="pct"/>
            <w:shd w:val="clear" w:color="auto" w:fill="C6EFCE"/>
            <w:noWrap/>
            <w:vAlign w:val="center"/>
            <w:hideMark/>
          </w:tcPr>
          <w:p w14:paraId="0FAF82F5" w14:textId="77777777" w:rsidR="003F5418" w:rsidRDefault="002A6C25">
            <w:pPr>
              <w:pStyle w:val="P68B1DB1-Normal4"/>
              <w:jc w:val="center"/>
              <w:rPr>
                <w:noProof/>
              </w:rPr>
            </w:pPr>
            <w:r>
              <w:rPr>
                <w:noProof/>
              </w:rPr>
              <w:t>Q2</w:t>
            </w:r>
          </w:p>
        </w:tc>
        <w:tc>
          <w:tcPr>
            <w:tcW w:w="224" w:type="pct"/>
            <w:shd w:val="clear" w:color="auto" w:fill="C6EFCE"/>
            <w:noWrap/>
            <w:vAlign w:val="center"/>
            <w:hideMark/>
          </w:tcPr>
          <w:p w14:paraId="5B3FB902" w14:textId="77777777" w:rsidR="003F5418" w:rsidRDefault="002A6C25">
            <w:pPr>
              <w:pStyle w:val="P68B1DB1-Normal4"/>
              <w:jc w:val="center"/>
              <w:rPr>
                <w:noProof/>
              </w:rPr>
            </w:pPr>
            <w:r>
              <w:rPr>
                <w:noProof/>
              </w:rPr>
              <w:t>2024</w:t>
            </w:r>
          </w:p>
        </w:tc>
        <w:tc>
          <w:tcPr>
            <w:tcW w:w="1192" w:type="pct"/>
            <w:shd w:val="clear" w:color="auto" w:fill="C6EFCE"/>
            <w:noWrap/>
            <w:vAlign w:val="center"/>
            <w:hideMark/>
          </w:tcPr>
          <w:p w14:paraId="36A970EC" w14:textId="77777777" w:rsidR="003F5418" w:rsidRDefault="002A6C25">
            <w:pPr>
              <w:pStyle w:val="P68B1DB1-Normal9"/>
              <w:jc w:val="both"/>
              <w:rPr>
                <w:rFonts w:ascii="Arial Narrow" w:hAnsi="Arial Narrow"/>
                <w:noProof/>
              </w:rPr>
            </w:pPr>
            <w:r>
              <w:rPr>
                <w:rFonts w:ascii="Arial Narrow" w:hAnsi="Arial Narrow"/>
                <w:noProof/>
              </w:rPr>
              <w:t>Az érintett idegenforgalmi szolgáltatók száma (például szálloda, utazásszervező és az</w:t>
            </w:r>
            <w:r>
              <w:rPr>
                <w:rFonts w:ascii="Arial Narrow" w:hAnsi="Arial Narrow"/>
                <w:noProof/>
              </w:rPr>
              <w:t xml:space="preserve"> ATECO-kódok szerinti 55.00.00; 56.00.00; 79.00.00 és az ágazathoz tartozó egyéb struktúrák) a becsült</w:t>
            </w:r>
            <w:r>
              <w:rPr>
                <w:noProof/>
              </w:rPr>
              <w:t xml:space="preserve"> </w:t>
            </w:r>
            <w:r>
              <w:rPr>
                <w:rFonts w:ascii="Arial Narrow" w:hAnsi="Arial Narrow"/>
                <w:noProof/>
              </w:rPr>
              <w:t>500000 olasz üzemeltető 4%-ának felelnek meg (továbbképzés, képzési tevékenységek, kommunikáció, adatelemzés, innovációtámogató megoldások).</w:t>
            </w:r>
          </w:p>
          <w:p w14:paraId="1D5DD67E" w14:textId="77777777" w:rsidR="003F5418" w:rsidRDefault="003F5418">
            <w:pPr>
              <w:jc w:val="both"/>
              <w:rPr>
                <w:rFonts w:ascii="Arial Narrow" w:hAnsi="Arial Narrow"/>
                <w:noProof/>
                <w:color w:val="006100"/>
                <w:sz w:val="20"/>
              </w:rPr>
            </w:pPr>
          </w:p>
          <w:p w14:paraId="33FA6190" w14:textId="77777777" w:rsidR="003F5418" w:rsidRDefault="002A6C25">
            <w:pPr>
              <w:pStyle w:val="P68B1DB1-Normal4"/>
              <w:jc w:val="both"/>
              <w:rPr>
                <w:noProof/>
              </w:rPr>
            </w:pPr>
            <w:r>
              <w:rPr>
                <w:noProof/>
              </w:rPr>
              <w:t>Az érintett</w:t>
            </w:r>
            <w:r>
              <w:rPr>
                <w:noProof/>
              </w:rPr>
              <w:t xml:space="preserve"> idegenforgalmi szolgáltatók legalább 37%-ának délen kell lennie.</w:t>
            </w:r>
          </w:p>
          <w:p w14:paraId="277D9739" w14:textId="77777777" w:rsidR="003F5418" w:rsidRDefault="003F5418">
            <w:pPr>
              <w:rPr>
                <w:rFonts w:ascii="Arial Narrow" w:hAnsi="Arial Narrow"/>
                <w:noProof/>
                <w:color w:val="006100"/>
                <w:sz w:val="20"/>
              </w:rPr>
            </w:pPr>
          </w:p>
        </w:tc>
      </w:tr>
      <w:tr w:rsidR="003F5418" w14:paraId="56C0FAAD" w14:textId="77777777">
        <w:trPr>
          <w:trHeight w:val="309"/>
          <w:jc w:val="center"/>
        </w:trPr>
        <w:tc>
          <w:tcPr>
            <w:tcW w:w="366" w:type="pct"/>
            <w:shd w:val="clear" w:color="auto" w:fill="C6EFCE"/>
            <w:noWrap/>
            <w:vAlign w:val="center"/>
            <w:hideMark/>
          </w:tcPr>
          <w:p w14:paraId="7ECAB293" w14:textId="77777777" w:rsidR="003F5418" w:rsidRDefault="002A6C25">
            <w:pPr>
              <w:pStyle w:val="P68B1DB1-Normal4"/>
              <w:jc w:val="center"/>
              <w:rPr>
                <w:noProof/>
              </w:rPr>
            </w:pPr>
            <w:r>
              <w:rPr>
                <w:noProof/>
              </w:rPr>
              <w:t>M1C3–10</w:t>
            </w:r>
          </w:p>
        </w:tc>
        <w:tc>
          <w:tcPr>
            <w:tcW w:w="460" w:type="pct"/>
            <w:shd w:val="clear" w:color="auto" w:fill="C6EFCE"/>
            <w:noWrap/>
            <w:vAlign w:val="center"/>
            <w:hideMark/>
          </w:tcPr>
          <w:p w14:paraId="4131B56D" w14:textId="77777777" w:rsidR="003F5418" w:rsidRDefault="002A6C25">
            <w:pPr>
              <w:pStyle w:val="P68B1DB1-Normal4"/>
              <w:jc w:val="center"/>
              <w:rPr>
                <w:noProof/>
              </w:rPr>
            </w:pPr>
            <w:r>
              <w:rPr>
                <w:noProof/>
              </w:rPr>
              <w:t>Reform: Rendelet az idegenvezetői szakmákról.</w:t>
            </w:r>
          </w:p>
          <w:p w14:paraId="2B09F289" w14:textId="77777777" w:rsidR="003F5418" w:rsidRDefault="003F5418">
            <w:pPr>
              <w:jc w:val="center"/>
              <w:rPr>
                <w:rFonts w:ascii="Arial Narrow" w:hAnsi="Arial Narrow"/>
                <w:noProof/>
                <w:color w:val="006100"/>
                <w:sz w:val="20"/>
              </w:rPr>
            </w:pPr>
          </w:p>
        </w:tc>
        <w:tc>
          <w:tcPr>
            <w:tcW w:w="368" w:type="pct"/>
            <w:shd w:val="clear" w:color="auto" w:fill="C6EFCE"/>
            <w:noWrap/>
            <w:vAlign w:val="center"/>
            <w:hideMark/>
          </w:tcPr>
          <w:p w14:paraId="37AA46BD" w14:textId="77777777" w:rsidR="003F5418" w:rsidRDefault="002A6C25">
            <w:pPr>
              <w:pStyle w:val="P68B1DB1-Normal4"/>
              <w:jc w:val="center"/>
              <w:rPr>
                <w:noProof/>
              </w:rPr>
            </w:pPr>
            <w:r>
              <w:rPr>
                <w:noProof/>
              </w:rPr>
              <w:t>Mérföldkő</w:t>
            </w:r>
          </w:p>
        </w:tc>
        <w:tc>
          <w:tcPr>
            <w:tcW w:w="436" w:type="pct"/>
            <w:shd w:val="clear" w:color="auto" w:fill="C6EFCE"/>
            <w:noWrap/>
            <w:vAlign w:val="center"/>
            <w:hideMark/>
          </w:tcPr>
          <w:p w14:paraId="1A6899C1" w14:textId="77777777" w:rsidR="003F5418" w:rsidRDefault="002A6C25">
            <w:pPr>
              <w:pStyle w:val="P68B1DB1-Normal4"/>
              <w:jc w:val="center"/>
              <w:rPr>
                <w:noProof/>
              </w:rPr>
            </w:pPr>
            <w:r>
              <w:rPr>
                <w:noProof/>
              </w:rPr>
              <w:t>Az idegenvezetőkre vonatkozó nemzeti szabvány meghatározása</w:t>
            </w:r>
          </w:p>
        </w:tc>
        <w:tc>
          <w:tcPr>
            <w:tcW w:w="520" w:type="pct"/>
            <w:shd w:val="clear" w:color="auto" w:fill="C6EFCE"/>
            <w:noWrap/>
            <w:vAlign w:val="center"/>
            <w:hideMark/>
          </w:tcPr>
          <w:p w14:paraId="39DF3377" w14:textId="77777777" w:rsidR="003F5418" w:rsidRDefault="002A6C25">
            <w:pPr>
              <w:pStyle w:val="P68B1DB1-Normal4"/>
              <w:jc w:val="center"/>
              <w:rPr>
                <w:noProof/>
              </w:rPr>
            </w:pPr>
            <w:r>
              <w:rPr>
                <w:noProof/>
              </w:rPr>
              <w:t xml:space="preserve">A nemzeti minimumelőírás meghatározása nem vonja maga után új </w:t>
            </w:r>
            <w:r>
              <w:rPr>
                <w:noProof/>
              </w:rPr>
              <w:t>szabályozott szakma létrehozását.</w:t>
            </w:r>
          </w:p>
        </w:tc>
        <w:tc>
          <w:tcPr>
            <w:tcW w:w="368" w:type="pct"/>
            <w:shd w:val="clear" w:color="auto" w:fill="C6EFCE"/>
            <w:noWrap/>
            <w:vAlign w:val="center"/>
            <w:hideMark/>
          </w:tcPr>
          <w:p w14:paraId="42C63878" w14:textId="77777777" w:rsidR="003F5418" w:rsidRDefault="002A6C25">
            <w:pPr>
              <w:pStyle w:val="P68B1DB1-Normal4"/>
              <w:jc w:val="center"/>
              <w:rPr>
                <w:noProof/>
              </w:rPr>
            </w:pPr>
            <w:r>
              <w:rPr>
                <w:noProof/>
              </w:rPr>
              <w:t>NINCS</w:t>
            </w:r>
          </w:p>
        </w:tc>
        <w:tc>
          <w:tcPr>
            <w:tcW w:w="368" w:type="pct"/>
            <w:shd w:val="clear" w:color="auto" w:fill="C6EFCE"/>
            <w:noWrap/>
            <w:vAlign w:val="center"/>
            <w:hideMark/>
          </w:tcPr>
          <w:p w14:paraId="49711E12" w14:textId="77777777" w:rsidR="003F5418" w:rsidRDefault="002A6C25">
            <w:pPr>
              <w:pStyle w:val="P68B1DB1-Normal4"/>
              <w:jc w:val="center"/>
              <w:rPr>
                <w:noProof/>
              </w:rPr>
            </w:pPr>
            <w:r>
              <w:rPr>
                <w:noProof/>
              </w:rPr>
              <w:t>NINCS</w:t>
            </w:r>
          </w:p>
        </w:tc>
        <w:tc>
          <w:tcPr>
            <w:tcW w:w="377" w:type="pct"/>
            <w:shd w:val="clear" w:color="auto" w:fill="C6EFCE"/>
            <w:noWrap/>
            <w:vAlign w:val="center"/>
            <w:hideMark/>
          </w:tcPr>
          <w:p w14:paraId="139B8783" w14:textId="77777777" w:rsidR="003F5418" w:rsidRDefault="002A6C25">
            <w:pPr>
              <w:pStyle w:val="P68B1DB1-Normal4"/>
              <w:jc w:val="center"/>
              <w:rPr>
                <w:noProof/>
              </w:rPr>
            </w:pPr>
            <w:r>
              <w:rPr>
                <w:noProof/>
              </w:rPr>
              <w:t>NINCS</w:t>
            </w:r>
          </w:p>
        </w:tc>
        <w:tc>
          <w:tcPr>
            <w:tcW w:w="321" w:type="pct"/>
            <w:shd w:val="clear" w:color="auto" w:fill="C6EFCE"/>
            <w:noWrap/>
            <w:vAlign w:val="center"/>
            <w:hideMark/>
          </w:tcPr>
          <w:p w14:paraId="50AA6071" w14:textId="77777777" w:rsidR="003F5418" w:rsidRDefault="002A6C25">
            <w:pPr>
              <w:pStyle w:val="P68B1DB1-Normal4"/>
              <w:jc w:val="center"/>
              <w:rPr>
                <w:noProof/>
              </w:rPr>
            </w:pPr>
            <w:r>
              <w:rPr>
                <w:noProof/>
              </w:rPr>
              <w:t>Q2</w:t>
            </w:r>
          </w:p>
          <w:p w14:paraId="33429D34" w14:textId="77777777" w:rsidR="003F5418" w:rsidRDefault="003F5418">
            <w:pPr>
              <w:jc w:val="center"/>
              <w:rPr>
                <w:rFonts w:ascii="Arial Narrow" w:hAnsi="Arial Narrow"/>
                <w:noProof/>
                <w:color w:val="006100"/>
                <w:sz w:val="20"/>
              </w:rPr>
            </w:pPr>
          </w:p>
        </w:tc>
        <w:tc>
          <w:tcPr>
            <w:tcW w:w="224" w:type="pct"/>
            <w:shd w:val="clear" w:color="auto" w:fill="C6EFCE"/>
            <w:noWrap/>
            <w:vAlign w:val="center"/>
            <w:hideMark/>
          </w:tcPr>
          <w:p w14:paraId="1D9598AD" w14:textId="77777777" w:rsidR="003F5418" w:rsidRDefault="002A6C25">
            <w:pPr>
              <w:pStyle w:val="P68B1DB1-Normal4"/>
              <w:jc w:val="center"/>
              <w:rPr>
                <w:noProof/>
              </w:rPr>
            </w:pPr>
            <w:r>
              <w:rPr>
                <w:noProof/>
              </w:rPr>
              <w:t>2024</w:t>
            </w:r>
          </w:p>
          <w:p w14:paraId="0F0EF4F3" w14:textId="77777777" w:rsidR="003F5418" w:rsidRDefault="003F5418">
            <w:pPr>
              <w:jc w:val="center"/>
              <w:rPr>
                <w:rFonts w:ascii="Arial Narrow" w:hAnsi="Arial Narrow"/>
                <w:noProof/>
                <w:color w:val="006100"/>
                <w:sz w:val="20"/>
              </w:rPr>
            </w:pPr>
          </w:p>
        </w:tc>
        <w:tc>
          <w:tcPr>
            <w:tcW w:w="1192" w:type="pct"/>
            <w:shd w:val="clear" w:color="auto" w:fill="C6EFCE"/>
            <w:noWrap/>
            <w:vAlign w:val="center"/>
            <w:hideMark/>
          </w:tcPr>
          <w:p w14:paraId="4BD7C86C" w14:textId="77777777" w:rsidR="003F5418" w:rsidRDefault="002A6C25">
            <w:pPr>
              <w:pStyle w:val="P68B1DB1-Normal4"/>
              <w:rPr>
                <w:noProof/>
              </w:rPr>
            </w:pPr>
            <w:r>
              <w:rPr>
                <w:noProof/>
              </w:rPr>
              <w:t>A nemzeti minimumelőírás meghatározása nem vonja maga után új szabályozott szakma létrehozását.</w:t>
            </w:r>
          </w:p>
          <w:p w14:paraId="3030AF47" w14:textId="77777777" w:rsidR="003F5418" w:rsidRDefault="002A6C25">
            <w:pPr>
              <w:pStyle w:val="P68B1DB1-Normal4"/>
              <w:rPr>
                <w:noProof/>
              </w:rPr>
            </w:pPr>
            <w:r>
              <w:rPr>
                <w:noProof/>
              </w:rPr>
              <w:t>A reformnak rendelkeznie kell a képzésről és a szakmai továbbképzésről is az ajánlat jobb támogatá</w:t>
            </w:r>
            <w:r>
              <w:rPr>
                <w:noProof/>
              </w:rPr>
              <w:t>sa érdekében. A reform olyan egyedi szakmai képesítés megszerzésének módszerének minősül, amelyet nemzeti szinten egységes szabványokkal fogadtak el a nemzeti törvény és az azt követő egyetértési miniszteri rendeletek révén.</w:t>
            </w:r>
          </w:p>
        </w:tc>
      </w:tr>
      <w:tr w:rsidR="003F5418" w14:paraId="56DEA701" w14:textId="77777777">
        <w:trPr>
          <w:trHeight w:val="309"/>
          <w:jc w:val="center"/>
        </w:trPr>
        <w:tc>
          <w:tcPr>
            <w:tcW w:w="366" w:type="pct"/>
            <w:shd w:val="clear" w:color="auto" w:fill="C6EFCE"/>
            <w:noWrap/>
            <w:vAlign w:val="center"/>
          </w:tcPr>
          <w:p w14:paraId="445DAE6A" w14:textId="77777777" w:rsidR="003F5418" w:rsidRDefault="002A6C25">
            <w:pPr>
              <w:pStyle w:val="P68B1DB1-Normal4"/>
              <w:jc w:val="center"/>
              <w:rPr>
                <w:noProof/>
              </w:rPr>
            </w:pPr>
            <w:r>
              <w:rPr>
                <w:noProof/>
              </w:rPr>
              <w:t>M1C3–11</w:t>
            </w:r>
          </w:p>
        </w:tc>
        <w:tc>
          <w:tcPr>
            <w:tcW w:w="460" w:type="pct"/>
            <w:shd w:val="clear" w:color="auto" w:fill="C6EFCE"/>
            <w:noWrap/>
            <w:vAlign w:val="center"/>
          </w:tcPr>
          <w:p w14:paraId="58F9041B" w14:textId="77777777" w:rsidR="003F5418" w:rsidRDefault="002A6C25">
            <w:pPr>
              <w:pStyle w:val="P68B1DB1-Normal4"/>
              <w:jc w:val="center"/>
              <w:rPr>
                <w:noProof/>
              </w:rPr>
            </w:pPr>
            <w:r>
              <w:rPr>
                <w:noProof/>
              </w:rPr>
              <w:t xml:space="preserve">Beruházás – A mozi, </w:t>
            </w:r>
            <w:r>
              <w:rPr>
                <w:noProof/>
              </w:rPr>
              <w:t>színházak és múzeumok energiahatékonyságának javítása</w:t>
            </w:r>
          </w:p>
        </w:tc>
        <w:tc>
          <w:tcPr>
            <w:tcW w:w="368" w:type="pct"/>
            <w:shd w:val="clear" w:color="auto" w:fill="C6EFCE"/>
            <w:noWrap/>
            <w:vAlign w:val="center"/>
          </w:tcPr>
          <w:p w14:paraId="641F535A" w14:textId="77777777" w:rsidR="003F5418" w:rsidRDefault="002A6C25">
            <w:pPr>
              <w:pStyle w:val="P68B1DB1-Normal4"/>
              <w:jc w:val="center"/>
              <w:rPr>
                <w:noProof/>
              </w:rPr>
            </w:pPr>
            <w:r>
              <w:rPr>
                <w:noProof/>
              </w:rPr>
              <w:t>Mérföldkő</w:t>
            </w:r>
          </w:p>
        </w:tc>
        <w:tc>
          <w:tcPr>
            <w:tcW w:w="436" w:type="pct"/>
            <w:shd w:val="clear" w:color="auto" w:fill="C6EFCE"/>
            <w:noWrap/>
            <w:vAlign w:val="center"/>
          </w:tcPr>
          <w:p w14:paraId="20CD91D8" w14:textId="77777777" w:rsidR="003F5418" w:rsidRDefault="002A6C25">
            <w:pPr>
              <w:pStyle w:val="P68B1DB1-Normal4"/>
              <w:spacing w:line="276" w:lineRule="auto"/>
              <w:jc w:val="center"/>
              <w:rPr>
                <w:noProof/>
              </w:rPr>
            </w:pPr>
            <w:r>
              <w:rPr>
                <w:noProof/>
              </w:rPr>
              <w:t>A Kultúra Minisztérium forráselosztásról szóló rendeletének hatálybalépése:</w:t>
            </w:r>
          </w:p>
          <w:p w14:paraId="0960BF66" w14:textId="77777777" w:rsidR="003F5418" w:rsidRDefault="002A6C25">
            <w:pPr>
              <w:pStyle w:val="P68B1DB1-Normal4"/>
              <w:spacing w:line="276" w:lineRule="auto"/>
              <w:jc w:val="center"/>
              <w:rPr>
                <w:noProof/>
              </w:rPr>
            </w:pPr>
            <w:r>
              <w:rPr>
                <w:noProof/>
              </w:rPr>
              <w:t>az energiahatékonyság javítása a kultúra helyszínein</w:t>
            </w:r>
          </w:p>
          <w:p w14:paraId="5F9B5ACF" w14:textId="77777777" w:rsidR="003F5418" w:rsidRDefault="003F5418">
            <w:pPr>
              <w:jc w:val="center"/>
              <w:rPr>
                <w:rFonts w:ascii="Arial Narrow" w:hAnsi="Arial Narrow"/>
                <w:noProof/>
                <w:color w:val="006100"/>
                <w:sz w:val="20"/>
              </w:rPr>
            </w:pPr>
          </w:p>
        </w:tc>
        <w:tc>
          <w:tcPr>
            <w:tcW w:w="520" w:type="pct"/>
            <w:shd w:val="clear" w:color="auto" w:fill="C6EFCE"/>
            <w:noWrap/>
            <w:vAlign w:val="center"/>
          </w:tcPr>
          <w:p w14:paraId="65F79E39" w14:textId="77777777" w:rsidR="003F5418" w:rsidRDefault="002A6C25">
            <w:pPr>
              <w:pStyle w:val="P68B1DB1-Normal4"/>
              <w:jc w:val="center"/>
              <w:rPr>
                <w:noProof/>
              </w:rPr>
            </w:pPr>
            <w:r>
              <w:rPr>
                <w:noProof/>
              </w:rPr>
              <w:t xml:space="preserve">A Kultúra Minisztérium (MIC) rendeletének hatályba lépéséről </w:t>
            </w:r>
            <w:r>
              <w:rPr>
                <w:noProof/>
              </w:rPr>
              <w:t>szóló rendeletben szereplő rendelkezés a kulturális helyszínek energiahatékonyságának javítására szolgáló források elosztásáról</w:t>
            </w:r>
          </w:p>
          <w:p w14:paraId="677DE78B" w14:textId="77777777" w:rsidR="003F5418" w:rsidRDefault="003F5418">
            <w:pPr>
              <w:jc w:val="center"/>
              <w:rPr>
                <w:rFonts w:ascii="Arial Narrow" w:hAnsi="Arial Narrow"/>
                <w:noProof/>
                <w:color w:val="006100"/>
                <w:sz w:val="20"/>
              </w:rPr>
            </w:pPr>
          </w:p>
        </w:tc>
        <w:tc>
          <w:tcPr>
            <w:tcW w:w="368" w:type="pct"/>
            <w:shd w:val="clear" w:color="auto" w:fill="C6EFCE"/>
            <w:noWrap/>
            <w:vAlign w:val="center"/>
          </w:tcPr>
          <w:p w14:paraId="64289C7B" w14:textId="77777777" w:rsidR="003F5418" w:rsidRDefault="002A6C25">
            <w:pPr>
              <w:pStyle w:val="P68B1DB1-Normal4"/>
              <w:jc w:val="center"/>
              <w:rPr>
                <w:noProof/>
              </w:rPr>
            </w:pPr>
            <w:r>
              <w:rPr>
                <w:noProof/>
              </w:rPr>
              <w:t>NINCS</w:t>
            </w:r>
          </w:p>
        </w:tc>
        <w:tc>
          <w:tcPr>
            <w:tcW w:w="368" w:type="pct"/>
            <w:shd w:val="clear" w:color="auto" w:fill="C6EFCE"/>
            <w:noWrap/>
            <w:vAlign w:val="center"/>
          </w:tcPr>
          <w:p w14:paraId="0508047C" w14:textId="77777777" w:rsidR="003F5418" w:rsidRDefault="002A6C25">
            <w:pPr>
              <w:pStyle w:val="P68B1DB1-Normal4"/>
              <w:jc w:val="center"/>
              <w:rPr>
                <w:noProof/>
              </w:rPr>
            </w:pPr>
            <w:r>
              <w:rPr>
                <w:noProof/>
              </w:rPr>
              <w:t>NINCS</w:t>
            </w:r>
          </w:p>
        </w:tc>
        <w:tc>
          <w:tcPr>
            <w:tcW w:w="377" w:type="pct"/>
            <w:shd w:val="clear" w:color="auto" w:fill="C6EFCE"/>
            <w:noWrap/>
            <w:vAlign w:val="center"/>
          </w:tcPr>
          <w:p w14:paraId="1FA0CECF" w14:textId="77777777" w:rsidR="003F5418" w:rsidRDefault="002A6C25">
            <w:pPr>
              <w:pStyle w:val="P68B1DB1-Normal4"/>
              <w:jc w:val="center"/>
              <w:rPr>
                <w:noProof/>
              </w:rPr>
            </w:pPr>
            <w:r>
              <w:rPr>
                <w:noProof/>
              </w:rPr>
              <w:t>NINCS</w:t>
            </w:r>
          </w:p>
        </w:tc>
        <w:tc>
          <w:tcPr>
            <w:tcW w:w="321" w:type="pct"/>
            <w:shd w:val="clear" w:color="auto" w:fill="C6EFCE"/>
            <w:noWrap/>
            <w:vAlign w:val="center"/>
          </w:tcPr>
          <w:p w14:paraId="772A92CB" w14:textId="77777777" w:rsidR="003F5418" w:rsidRDefault="002A6C25">
            <w:pPr>
              <w:pStyle w:val="P68B1DB1-Normal4"/>
              <w:jc w:val="center"/>
              <w:rPr>
                <w:noProof/>
              </w:rPr>
            </w:pPr>
            <w:r>
              <w:rPr>
                <w:noProof/>
              </w:rPr>
              <w:t>Q2</w:t>
            </w:r>
          </w:p>
        </w:tc>
        <w:tc>
          <w:tcPr>
            <w:tcW w:w="224" w:type="pct"/>
            <w:shd w:val="clear" w:color="auto" w:fill="C6EFCE"/>
            <w:noWrap/>
            <w:vAlign w:val="center"/>
          </w:tcPr>
          <w:p w14:paraId="374E6D68" w14:textId="77777777" w:rsidR="003F5418" w:rsidRDefault="002A6C25">
            <w:pPr>
              <w:pStyle w:val="P68B1DB1-Normal4"/>
              <w:jc w:val="center"/>
              <w:rPr>
                <w:noProof/>
              </w:rPr>
            </w:pPr>
            <w:r>
              <w:rPr>
                <w:noProof/>
              </w:rPr>
              <w:t>2022</w:t>
            </w:r>
          </w:p>
        </w:tc>
        <w:tc>
          <w:tcPr>
            <w:tcW w:w="1192" w:type="pct"/>
            <w:shd w:val="clear" w:color="auto" w:fill="C6EFCE"/>
            <w:noWrap/>
            <w:vAlign w:val="center"/>
          </w:tcPr>
          <w:p w14:paraId="56C80BC4" w14:textId="77777777" w:rsidR="003F5418" w:rsidRDefault="002A6C25">
            <w:pPr>
              <w:pStyle w:val="P68B1DB1-Normal4"/>
              <w:rPr>
                <w:noProof/>
              </w:rPr>
            </w:pPr>
            <w:r>
              <w:rPr>
                <w:noProof/>
              </w:rPr>
              <w:t>A kultúra helyszínei mozik, színházak és múzeumok.</w:t>
            </w:r>
          </w:p>
          <w:p w14:paraId="53784800" w14:textId="77777777" w:rsidR="003F5418" w:rsidRDefault="002A6C25">
            <w:pPr>
              <w:pStyle w:val="P68B1DB1-Normal4"/>
              <w:rPr>
                <w:noProof/>
              </w:rPr>
            </w:pPr>
            <w:r>
              <w:rPr>
                <w:noProof/>
              </w:rPr>
              <w:t>(INV. 1.3) Az energiahatékonyság javítása érdekébe</w:t>
            </w:r>
            <w:r>
              <w:rPr>
                <w:noProof/>
              </w:rPr>
              <w:t>n a múzeumok és kulturális helyszínek esetében a beavatkozást az állami kulturális helyszínek Kulturális Minisztériumában (MiC) a projektjavaslatok elismerésével hajtják végre az 1. célkitűzés esetében. Ellenkező esetben a 2. és 3. célkitűzés szerinti eset</w:t>
            </w:r>
            <w:r>
              <w:rPr>
                <w:noProof/>
              </w:rPr>
              <w:t>ekben a nem állami intézmények azonosítása ajánlati felhívások útján történik.</w:t>
            </w:r>
          </w:p>
          <w:p w14:paraId="486F141F" w14:textId="77777777" w:rsidR="003F5418" w:rsidRDefault="002A6C25">
            <w:pPr>
              <w:pStyle w:val="P68B1DB1-Normal4"/>
              <w:rPr>
                <w:noProof/>
              </w:rPr>
            </w:pPr>
            <w:r>
              <w:rPr>
                <w:noProof/>
              </w:rPr>
              <w:t>A versenypályázati felhívások keretében kiválasztott projekteknek odaítélt szerződéseknek meg kell felelniük a jelentős károkozás elkerülését célzó technikai iránymutatásnak (20</w:t>
            </w:r>
            <w:r>
              <w:rPr>
                <w:noProof/>
              </w:rPr>
              <w:t>21/C58/01) a kizárási lista, valamint a vonatkozó uniós és nemzeti környezetvédelmi jogszabályoknak való megfelelés követelménye révén.</w:t>
            </w:r>
          </w:p>
          <w:p w14:paraId="6863C738" w14:textId="77777777" w:rsidR="003F5418" w:rsidRDefault="003F5418">
            <w:pPr>
              <w:rPr>
                <w:rFonts w:ascii="Arial Narrow" w:hAnsi="Arial Narrow"/>
                <w:noProof/>
                <w:color w:val="006100"/>
                <w:sz w:val="20"/>
              </w:rPr>
            </w:pPr>
          </w:p>
        </w:tc>
      </w:tr>
    </w:tbl>
    <w:p w14:paraId="36B9AE46" w14:textId="77777777" w:rsidR="003F5418" w:rsidRDefault="003F5418">
      <w:pPr>
        <w:spacing w:before="120" w:after="120"/>
        <w:ind w:left="709"/>
        <w:jc w:val="both"/>
        <w:rPr>
          <w:noProof/>
        </w:rPr>
      </w:pPr>
    </w:p>
    <w:p w14:paraId="0C5F9643" w14:textId="77777777" w:rsidR="003F5418" w:rsidRDefault="003F5418">
      <w:pPr>
        <w:spacing w:before="120" w:after="120"/>
        <w:ind w:left="709"/>
        <w:jc w:val="both"/>
        <w:rPr>
          <w:noProof/>
        </w:rPr>
        <w:sectPr w:rsidR="003F5418">
          <w:headerReference w:type="even" r:id="rId86"/>
          <w:headerReference w:type="default" r:id="rId87"/>
          <w:footerReference w:type="even" r:id="rId88"/>
          <w:footerReference w:type="default" r:id="rId89"/>
          <w:headerReference w:type="first" r:id="rId90"/>
          <w:footerReference w:type="first" r:id="rId91"/>
          <w:pgSz w:w="16839" w:h="11907" w:orient="landscape"/>
          <w:pgMar w:top="1134" w:right="1134" w:bottom="1134" w:left="1134" w:header="567" w:footer="567" w:gutter="0"/>
          <w:cols w:space="720"/>
          <w:docGrid w:linePitch="360"/>
        </w:sectPr>
      </w:pPr>
    </w:p>
    <w:p w14:paraId="4A145238" w14:textId="77777777" w:rsidR="003F5418" w:rsidRDefault="002A6C25">
      <w:pPr>
        <w:pStyle w:val="Heading3"/>
        <w:numPr>
          <w:ilvl w:val="0"/>
          <w:numId w:val="0"/>
        </w:numPr>
        <w:ind w:left="850" w:hanging="850"/>
        <w:rPr>
          <w:b/>
          <w:i w:val="0"/>
          <w:noProof/>
          <w:u w:val="single"/>
        </w:rPr>
      </w:pPr>
      <w:r>
        <w:rPr>
          <w:b/>
          <w:i w:val="0"/>
          <w:noProof/>
          <w:u w:val="single"/>
        </w:rPr>
        <w:t xml:space="preserve">C3. </w:t>
      </w:r>
      <w:r>
        <w:rPr>
          <w:noProof/>
        </w:rPr>
        <w:t xml:space="preserve"> </w:t>
      </w:r>
      <w:r>
        <w:rPr>
          <w:b/>
          <w:i w:val="0"/>
          <w:noProof/>
          <w:u w:val="single"/>
        </w:rPr>
        <w:t xml:space="preserve">A hitelhez kapcsolódó reformok és beruházások ismertetése </w:t>
      </w:r>
    </w:p>
    <w:p w14:paraId="08A30BEF" w14:textId="3CA1FE2B" w:rsidR="003F5418" w:rsidRDefault="00240F92">
      <w:pPr>
        <w:pStyle w:val="P68B1DB1-Normal2"/>
        <w:jc w:val="both"/>
        <w:rPr>
          <w:noProof/>
        </w:rPr>
      </w:pPr>
      <w:r>
        <w:rPr>
          <w:noProof/>
        </w:rPr>
        <w:t>2.1. Beruházás: A kis történelmi városok vonzereje</w:t>
      </w:r>
    </w:p>
    <w:p w14:paraId="720D7E47" w14:textId="77777777" w:rsidR="003F5418" w:rsidRDefault="003F5418">
      <w:pPr>
        <w:jc w:val="both"/>
        <w:rPr>
          <w:noProof/>
        </w:rPr>
      </w:pPr>
    </w:p>
    <w:p w14:paraId="0AB25B50" w14:textId="77777777" w:rsidR="003F5418" w:rsidRDefault="002A6C25">
      <w:pPr>
        <w:jc w:val="both"/>
        <w:rPr>
          <w:noProof/>
        </w:rPr>
      </w:pPr>
      <w:r>
        <w:rPr>
          <w:noProof/>
        </w:rPr>
        <w:t>Ez a beruházás a „Piano Nazionale Borghi” program részét képezi, amely a kisvárosok kulturális rehabilitációján és a turizmus újjáélesztésén alap</w:t>
      </w:r>
      <w:r>
        <w:rPr>
          <w:noProof/>
        </w:rPr>
        <w:t>uló hátrányos helyzetű területek gazdasági/társadalmi fejlődését támogatja. Az intézkedések integrált helyi kulturális projektek köré szerveződnek.</w:t>
      </w:r>
    </w:p>
    <w:p w14:paraId="7765C6BA" w14:textId="77777777" w:rsidR="003F5418" w:rsidRDefault="003F5418">
      <w:pPr>
        <w:jc w:val="both"/>
        <w:rPr>
          <w:noProof/>
        </w:rPr>
      </w:pPr>
    </w:p>
    <w:p w14:paraId="1685D664" w14:textId="77777777" w:rsidR="003F5418" w:rsidRDefault="002A6C25">
      <w:pPr>
        <w:spacing w:after="120"/>
        <w:jc w:val="both"/>
        <w:rPr>
          <w:noProof/>
        </w:rPr>
      </w:pPr>
      <w:r>
        <w:rPr>
          <w:noProof/>
        </w:rPr>
        <w:t>Az intézkedések a következőkre összpontosítanak: a történelmi örökség helyreállítása, a nyitott közterülete</w:t>
      </w:r>
      <w:r>
        <w:rPr>
          <w:noProof/>
        </w:rPr>
        <w:t>k korszerűsítése (pl. építészeti akadályok felszámolása, városi bútorok javítása), kisebb kulturális szolgáltatások létrehozása, többek között turisztikai célokra; ösztönözni kell új útvonalak (pl. tematikus útvonalak, történelmi útvonalak) és vezetett kör</w:t>
      </w:r>
      <w:r>
        <w:rPr>
          <w:noProof/>
        </w:rPr>
        <w:t>utak létrehozását és előmozdítását; a kulturális, kreatív, idegenforgalmi, kereskedelmi, agrár-élelmiszeripari és kézműves tevékenységek pénzügyi támogatásának bevezetése, amelyek célja a helyi gazdaságok fellendítése a helyi termékek, ismeretek és technik</w:t>
      </w:r>
      <w:r>
        <w:rPr>
          <w:noProof/>
        </w:rPr>
        <w:t>ák fejlesztése révén.</w:t>
      </w:r>
    </w:p>
    <w:p w14:paraId="277E87E1" w14:textId="77777777" w:rsidR="003F5418" w:rsidRDefault="002A6C25">
      <w:pPr>
        <w:spacing w:after="120"/>
        <w:jc w:val="both"/>
        <w:rPr>
          <w:noProof/>
        </w:rPr>
      </w:pPr>
      <w:r>
        <w:rPr>
          <w:noProof/>
        </w:rPr>
        <w:t>Annak biztosítása érdekében, hogy az intézkedés megfeleljen a jelentős károkozás elkerülését célzó elvről szóló technikai iránymutatásnak (2021/C58/01), a soron következő pályázati felhívásokra vonatkozó feladatmeghatározásban szerepl</w:t>
      </w:r>
      <w:r>
        <w:rPr>
          <w:noProof/>
        </w:rPr>
        <w:t>ő támogathatósági kritériumok nem tartalmazzák a tevékenységek alábbi listáját: a fosszilis tüzelőanyagokkal kapcsolatos tevékenységek, beleértve a továbbfelhasználást is</w:t>
      </w:r>
      <w:r>
        <w:rPr>
          <w:rStyle w:val="FootnoteReference"/>
          <w:noProof/>
        </w:rPr>
        <w:footnoteReference w:id="27"/>
      </w:r>
      <w:r>
        <w:rPr>
          <w:noProof/>
        </w:rPr>
        <w:t>; ii. az uniós kibocsátáskereskedelmi rendszer (ETS) keretében végzett tevékenységek,</w:t>
      </w:r>
      <w:r>
        <w:rPr>
          <w:noProof/>
        </w:rPr>
        <w:t xml:space="preserve"> amelyek elérik a vonatkozó referenciaértékeket meg nem haladó, előre jelzett üvegházhatásúgáz-kibocsátást</w:t>
      </w:r>
      <w:r>
        <w:rPr>
          <w:rStyle w:val="FootnoteReference"/>
          <w:noProof/>
        </w:rPr>
        <w:footnoteReference w:id="28"/>
      </w:r>
      <w:r>
        <w:rPr>
          <w:noProof/>
        </w:rPr>
        <w:t>; hulladéklerakókkal, hulladékégetőkkel</w:t>
      </w:r>
      <w:r>
        <w:rPr>
          <w:rStyle w:val="FootnoteReference"/>
          <w:noProof/>
        </w:rPr>
        <w:footnoteReference w:id="29"/>
      </w:r>
      <w:r>
        <w:rPr>
          <w:noProof/>
        </w:rPr>
        <w:t xml:space="preserve"> és mechanikai-biológiai hulladékkezelő létesítményekkel kapcsolatos tevékenységek</w:t>
      </w:r>
      <w:r>
        <w:rPr>
          <w:rStyle w:val="FootnoteReference"/>
          <w:noProof/>
        </w:rPr>
        <w:footnoteReference w:id="30"/>
      </w:r>
      <w:r>
        <w:rPr>
          <w:noProof/>
        </w:rPr>
        <w:t>; valamint iv. azok a tevé</w:t>
      </w:r>
      <w:r>
        <w:rPr>
          <w:noProof/>
        </w:rPr>
        <w:t>kenységek, amelyek esetében a hulladék hosszú távú ártalmatlanítása károsíthatja a környezetet. A pályázati felhívásokban meghatározott szabályoknak emellett ki kell mondaniuk, hogy kizárólag a vonatkozó uniós és nemzeti környezetvédelmi jogszabályokkal ös</w:t>
      </w:r>
      <w:r>
        <w:rPr>
          <w:noProof/>
        </w:rPr>
        <w:t>szhangban lévő tevékenységek választhatók ki.</w:t>
      </w:r>
    </w:p>
    <w:p w14:paraId="3C2F9C81" w14:textId="2EE73E79" w:rsidR="003F5418" w:rsidRDefault="00240F92">
      <w:pPr>
        <w:pStyle w:val="P68B1DB1-Normal2"/>
        <w:spacing w:after="120"/>
        <w:jc w:val="both"/>
        <w:rPr>
          <w:noProof/>
        </w:rPr>
      </w:pPr>
      <w:r>
        <w:rPr>
          <w:noProof/>
        </w:rPr>
        <w:t xml:space="preserve">2.2. Beruházás: A vidéki építészet és táj védelme és fejlesztése </w:t>
      </w:r>
    </w:p>
    <w:p w14:paraId="0993CB92" w14:textId="77777777" w:rsidR="003F5418" w:rsidRDefault="002A6C25">
      <w:pPr>
        <w:spacing w:after="120"/>
        <w:jc w:val="both"/>
        <w:rPr>
          <w:noProof/>
        </w:rPr>
      </w:pPr>
      <w:r>
        <w:rPr>
          <w:noProof/>
        </w:rPr>
        <w:t>E beruházásnak ösztönöznie kell a történelmi vidéki épületek (magán- vagy harmadik szektorbeli szervezetek) és a tájvédelem szisztematikus korsz</w:t>
      </w:r>
      <w:r>
        <w:rPr>
          <w:noProof/>
        </w:rPr>
        <w:t>erűsítését.</w:t>
      </w:r>
    </w:p>
    <w:p w14:paraId="05F55731" w14:textId="77777777" w:rsidR="003F5418" w:rsidRDefault="002A6C25">
      <w:pPr>
        <w:spacing w:after="120"/>
        <w:jc w:val="both"/>
        <w:rPr>
          <w:noProof/>
        </w:rPr>
      </w:pPr>
      <w:r>
        <w:rPr>
          <w:noProof/>
        </w:rPr>
        <w:t xml:space="preserve">Számos vidéki épületben és mezőgazdasági építményben a termelésből való kivonás, az állapotromlás és az átalakítások fokozatos folyamata ment végbe, ami aláásta sajátos jellemzőiket és környezetükkel való kapcsolatukat. A vidéki épületállomány </w:t>
      </w:r>
      <w:r>
        <w:rPr>
          <w:noProof/>
        </w:rPr>
        <w:t xml:space="preserve">helyreállításával az intézkedésnek javítania kell a tájkép minőségét azáltal, hogy a lakosság számára nem hozzáférhető, kihasználatlan épületállományt tér vissza a közösségbe. </w:t>
      </w:r>
    </w:p>
    <w:p w14:paraId="1682FBFB" w14:textId="77777777" w:rsidR="003F5418" w:rsidRDefault="003F5418">
      <w:pPr>
        <w:spacing w:after="120"/>
        <w:jc w:val="both"/>
        <w:rPr>
          <w:b/>
          <w:noProof/>
        </w:rPr>
        <w:sectPr w:rsidR="003F5418">
          <w:headerReference w:type="even" r:id="rId92"/>
          <w:headerReference w:type="default" r:id="rId93"/>
          <w:footerReference w:type="even" r:id="rId94"/>
          <w:footerReference w:type="default" r:id="rId95"/>
          <w:headerReference w:type="first" r:id="rId96"/>
          <w:footerReference w:type="first" r:id="rId97"/>
          <w:pgSz w:w="11907" w:h="16839"/>
          <w:pgMar w:top="1134" w:right="1134" w:bottom="1134" w:left="1134" w:header="567" w:footer="567" w:gutter="0"/>
          <w:cols w:space="720"/>
          <w:docGrid w:linePitch="360"/>
        </w:sectPr>
      </w:pPr>
    </w:p>
    <w:p w14:paraId="301E9A4A" w14:textId="659CBBE9" w:rsidR="003F5418" w:rsidRDefault="00240F92">
      <w:pPr>
        <w:pStyle w:val="P68B1DB1-Normal2"/>
        <w:spacing w:after="120"/>
        <w:jc w:val="both"/>
        <w:rPr>
          <w:noProof/>
        </w:rPr>
      </w:pPr>
      <w:r>
        <w:rPr>
          <w:noProof/>
        </w:rPr>
        <w:t xml:space="preserve">2.3. Beruházás: A helymeghatározást javító programok: parkok és történelmi kertek </w:t>
      </w:r>
    </w:p>
    <w:p w14:paraId="2111D829" w14:textId="77777777" w:rsidR="003F5418" w:rsidRDefault="002A6C25">
      <w:pPr>
        <w:spacing w:after="120"/>
        <w:jc w:val="both"/>
        <w:rPr>
          <w:noProof/>
        </w:rPr>
      </w:pPr>
      <w:r>
        <w:rPr>
          <w:noProof/>
        </w:rPr>
        <w:t>E beruházás célja a városok hanyatlásának megakadályozása és a közös helyformák helyreállítása, új lehetőségek teremtése a helyi gazdaságok újjáélesztése és a válság hatásai</w:t>
      </w:r>
      <w:r>
        <w:rPr>
          <w:noProof/>
        </w:rPr>
        <w:t xml:space="preserve">nak enyhítése, valamint a történelmi parkok és kertek kezeléséhez és fenntartásához szükséges készségek fejlesztése. </w:t>
      </w:r>
    </w:p>
    <w:p w14:paraId="449E571D" w14:textId="77777777" w:rsidR="003F5418" w:rsidRDefault="002A6C25">
      <w:pPr>
        <w:spacing w:after="120"/>
        <w:jc w:val="both"/>
        <w:rPr>
          <w:noProof/>
        </w:rPr>
      </w:pPr>
      <w:r>
        <w:rPr>
          <w:noProof/>
        </w:rPr>
        <w:t>A beruházás a történelmi parkok és kertek felújítását irányozza elő, és széles körű ismereteket és rehabilitációt biztosít az olasz történ</w:t>
      </w:r>
      <w:r>
        <w:rPr>
          <w:noProof/>
        </w:rPr>
        <w:t>elmi parkok és kertek megfelelő karbantartása, kezelése és közhasználata érdekében. Forrásokat kell elkülöníteni e helyszínek rehabilitációjára és a helyi személyzet képzésére, akik azokat idővel kezelhetik vagy megtarthatják.</w:t>
      </w:r>
    </w:p>
    <w:p w14:paraId="0980D28C" w14:textId="77777777" w:rsidR="003F5418" w:rsidRDefault="002A6C25">
      <w:pPr>
        <w:spacing w:after="120"/>
        <w:jc w:val="both"/>
        <w:rPr>
          <w:noProof/>
        </w:rPr>
      </w:pPr>
      <w:r>
        <w:rPr>
          <w:noProof/>
        </w:rPr>
        <w:t>A kulturális és történelmi ér</w:t>
      </w:r>
      <w:r>
        <w:rPr>
          <w:noProof/>
        </w:rPr>
        <w:t>tékeken túl a kertek és a történelmi parkok hozzájárulnak a környezeti értékek erősítéséhez, és fontos szerepet játszanak a megőrzésben, az oxigéntermelésben, a környezetszennyezés és a zaj csökkentésében, valamint a mikroklíma szabályozásában.</w:t>
      </w:r>
    </w:p>
    <w:p w14:paraId="2E1A04A0" w14:textId="467061B1" w:rsidR="003F5418" w:rsidRDefault="00240F92">
      <w:pPr>
        <w:pStyle w:val="P68B1DB1-Normal2"/>
        <w:spacing w:after="120"/>
        <w:jc w:val="both"/>
        <w:rPr>
          <w:noProof/>
        </w:rPr>
      </w:pPr>
      <w:r>
        <w:rPr>
          <w:noProof/>
        </w:rPr>
        <w:t>2.4. Beruházás: Az imahelyek szeizmikus biztonsága, a FEC örökségének és a műalkotások menedékhelyeinek helyreállítása (Recovery Art)</w:t>
      </w:r>
    </w:p>
    <w:p w14:paraId="373037B5" w14:textId="77777777" w:rsidR="003F5418" w:rsidRDefault="002A6C25">
      <w:pPr>
        <w:spacing w:after="120"/>
        <w:jc w:val="both"/>
        <w:rPr>
          <w:noProof/>
        </w:rPr>
      </w:pPr>
      <w:r>
        <w:rPr>
          <w:noProof/>
        </w:rPr>
        <w:t>Földrengésellenes megelőzési cselekvési tervet kell kidolgozni az imahelyek kockázatának jelentős csökkentése és ezáltal a katasztróf</w:t>
      </w:r>
      <w:r>
        <w:rPr>
          <w:noProof/>
        </w:rPr>
        <w:t>ák utáni lehetséges helyreállítási költségek, valamint számos eszköz tartós elvesztésének elkerülése érdekében. A cselekvési terv három cselekvési irányból áll:  az imahelyek védelme a szeizmikus kockázatokkal szemben; a vallásgyakorlási helyekre vonatkozó</w:t>
      </w:r>
      <w:r>
        <w:rPr>
          <w:noProof/>
        </w:rPr>
        <w:t xml:space="preserve"> alap (FEC) örökségének helyreállítása és katasztrofális események esetén műalkotások menedékéül szolgáló raktárak építése.</w:t>
      </w:r>
    </w:p>
    <w:p w14:paraId="4FD5DC77" w14:textId="77777777" w:rsidR="003F5418" w:rsidRDefault="002A6C25">
      <w:pPr>
        <w:spacing w:after="120"/>
        <w:jc w:val="both"/>
        <w:rPr>
          <w:b/>
          <w:noProof/>
          <w:u w:val="single"/>
        </w:rPr>
      </w:pPr>
      <w:r>
        <w:rPr>
          <w:noProof/>
        </w:rPr>
        <w:t>A beruházás előirányozza a kulturális javak emberi és természeti kockázatokkal szembeni védelmével foglalkozó nemzeti funkcionális k</w:t>
      </w:r>
      <w:r>
        <w:rPr>
          <w:noProof/>
        </w:rPr>
        <w:t>özpont (CEFURISC) létrehozását is, amely lehetővé teszi a kulturális helyszínek nyomon követésére, felügyeletére és kezelésére szolgáló meglévő technológiák és környezetvédelmi rendszerek szinergikusabb alkalmazását.</w:t>
      </w:r>
      <w:r>
        <w:rPr>
          <w:b/>
          <w:noProof/>
          <w:u w:val="single"/>
        </w:rPr>
        <w:t xml:space="preserve"> </w:t>
      </w:r>
    </w:p>
    <w:p w14:paraId="5A77A688" w14:textId="50908B3D" w:rsidR="003F5418" w:rsidRDefault="00240F92">
      <w:pPr>
        <w:pStyle w:val="P68B1DB1-Normal2"/>
        <w:spacing w:after="120"/>
        <w:jc w:val="both"/>
        <w:rPr>
          <w:noProof/>
        </w:rPr>
      </w:pPr>
      <w:r>
        <w:rPr>
          <w:noProof/>
        </w:rPr>
        <w:t>4.2. Beruházás: Az idegenforgalmi vállalkozások versenyképességét szolgáló alapok</w:t>
      </w:r>
    </w:p>
    <w:p w14:paraId="3B3C9F6D" w14:textId="77777777" w:rsidR="003F5418" w:rsidRDefault="002A6C25">
      <w:pPr>
        <w:spacing w:after="120"/>
        <w:jc w:val="both"/>
        <w:rPr>
          <w:noProof/>
        </w:rPr>
      </w:pPr>
      <w:r>
        <w:rPr>
          <w:noProof/>
        </w:rPr>
        <w:t>Az intézkedés célja az idegenforgalmi á</w:t>
      </w:r>
      <w:r>
        <w:rPr>
          <w:noProof/>
        </w:rPr>
        <w:t xml:space="preserve">gazatban működő vállalkozások támogatása.  Magában foglalja a szálláshelyek javítását célzó munkálatokhoz nyújtott adójóváírást, az ágazatban működő vállalkozások hitelhez jutását megkönnyítő garanciaalapot (a kkv-garanciaalap egy erre a célra létrehozott </w:t>
      </w:r>
      <w:r>
        <w:rPr>
          <w:noProof/>
        </w:rPr>
        <w:t>részén keresztül), az EBB turisztikai tematikus alapjának aktiválását az ágazat innovatív beruházásainak támogatása érdekében, egy tőkealapot (Nemzeti Turisztikai Alap) a nagy turisztikai potenciállal rendelkező ingatlanok felújítására. A fent említett int</w:t>
      </w:r>
      <w:r>
        <w:rPr>
          <w:noProof/>
        </w:rPr>
        <w:t xml:space="preserve">ézkedéseket egy kiegészítő pénzügyi eszköz (FRI – Fondo Rotativo) egészíti ki az idegenforgalmi ágazatban működő vállalkozások támogatására. A fenti beavatkozásokat az (EU) 2021/241 rendelet célkitűzéseivel – többek között a jelentős károkozás elkerülését </w:t>
      </w:r>
      <w:r>
        <w:rPr>
          <w:noProof/>
        </w:rPr>
        <w:t>célzó elvnek a Helyreállítási és Rezilienciaépítési Eszközről szóló rendelet szerinti, a jelentős károkozás elkerülését célzó elv alkalmazásáról szóló technikai iránymutatásban (2021/C58/01) részletesebben meghatározott – beruházási politikákkal összhangba</w:t>
      </w:r>
      <w:r>
        <w:rPr>
          <w:noProof/>
        </w:rPr>
        <w:t>n kell végrehajtani.</w:t>
      </w:r>
    </w:p>
    <w:p w14:paraId="1FBCE148" w14:textId="77777777" w:rsidR="003F5418" w:rsidRDefault="002A6C25">
      <w:pPr>
        <w:pStyle w:val="Text1"/>
        <w:spacing w:before="0"/>
        <w:ind w:left="0"/>
        <w:rPr>
          <w:noProof/>
        </w:rPr>
      </w:pPr>
      <w:r>
        <w:rPr>
          <w:noProof/>
        </w:rPr>
        <w:t xml:space="preserve">Annak biztosítása érdekében, hogy az intézkedés megfeleljen a jelentős károkozás elkerülését célzó technikai iránymutatásnak (2021/C58/01), a pénzügyi eszközökre vonatkozó jogi megállapodás és az azt követő befektetési politika: </w:t>
      </w:r>
    </w:p>
    <w:p w14:paraId="2C1B41FA" w14:textId="77777777" w:rsidR="003F5418" w:rsidRDefault="002A6C25">
      <w:pPr>
        <w:pStyle w:val="Text1"/>
        <w:numPr>
          <w:ilvl w:val="0"/>
          <w:numId w:val="78"/>
        </w:numPr>
        <w:spacing w:before="0"/>
        <w:ind w:left="567" w:hanging="283"/>
        <w:rPr>
          <w:noProof/>
        </w:rPr>
      </w:pPr>
      <w:r>
        <w:rPr>
          <w:noProof/>
        </w:rPr>
        <w:t>az In</w:t>
      </w:r>
      <w:r>
        <w:rPr>
          <w:noProof/>
        </w:rPr>
        <w:t>vestEU Alap fenntarthatósági vizsgálatára vonatkozó bizottsági technikai iránymutatás alkalmazásának előírása; és</w:t>
      </w:r>
    </w:p>
    <w:p w14:paraId="2CBEDDDA" w14:textId="77777777" w:rsidR="003F5418" w:rsidRDefault="002A6C25">
      <w:pPr>
        <w:pStyle w:val="Text1"/>
        <w:numPr>
          <w:ilvl w:val="0"/>
          <w:numId w:val="78"/>
        </w:numPr>
        <w:spacing w:before="0"/>
        <w:ind w:left="567" w:hanging="283"/>
        <w:rPr>
          <w:noProof/>
        </w:rPr>
      </w:pPr>
      <w:r>
        <w:rPr>
          <w:noProof/>
        </w:rPr>
        <w:t>ki kell zárni a következő tevékenységek listáját: a fosszilis tüzelőanyagokkal kapcsolatos tevékenységek, beleértve a továbbfelhasználást is</w:t>
      </w:r>
      <w:r>
        <w:rPr>
          <w:rStyle w:val="FootnoteReference"/>
          <w:noProof/>
        </w:rPr>
        <w:footnoteReference w:id="31"/>
      </w:r>
      <w:r>
        <w:rPr>
          <w:noProof/>
        </w:rPr>
        <w:t>;</w:t>
      </w:r>
      <w:r>
        <w:rPr>
          <w:noProof/>
        </w:rPr>
        <w:t xml:space="preserve"> ii. az uniós kibocsátáskereskedelmi rendszer (ETS) keretében végzett tevékenységek, amelyek elérik a vonatkozó referenciaértékeket meg nem haladó, előre jelzett üvegházhatásúgáz-kibocsátást</w:t>
      </w:r>
      <w:r>
        <w:rPr>
          <w:rStyle w:val="FootnoteReference"/>
          <w:noProof/>
        </w:rPr>
        <w:footnoteReference w:id="32"/>
      </w:r>
      <w:r>
        <w:rPr>
          <w:noProof/>
        </w:rPr>
        <w:t>; hulladéklerakókkal, hulladékégetőkkel</w:t>
      </w:r>
      <w:r>
        <w:rPr>
          <w:rStyle w:val="FootnoteReference"/>
          <w:noProof/>
        </w:rPr>
        <w:footnoteReference w:id="33"/>
      </w:r>
      <w:r>
        <w:rPr>
          <w:noProof/>
        </w:rPr>
        <w:t xml:space="preserve"> és mechanikai-biológiai </w:t>
      </w:r>
      <w:r>
        <w:rPr>
          <w:noProof/>
        </w:rPr>
        <w:t>hulladékkezelő létesítményekkel kapcsolatos tevékenységek</w:t>
      </w:r>
      <w:r>
        <w:rPr>
          <w:rStyle w:val="FootnoteReference"/>
          <w:noProof/>
        </w:rPr>
        <w:footnoteReference w:id="34"/>
      </w:r>
      <w:r>
        <w:rPr>
          <w:noProof/>
        </w:rPr>
        <w:t>; és iv. olyan tevékenységek, amelyek esetében a hosszú távú hulladékártalmatlanítás károsíthatja a környezetet; és</w:t>
      </w:r>
    </w:p>
    <w:p w14:paraId="3151B95B" w14:textId="77777777" w:rsidR="003F5418" w:rsidRDefault="002A6C25">
      <w:pPr>
        <w:pStyle w:val="Text1"/>
        <w:numPr>
          <w:ilvl w:val="0"/>
          <w:numId w:val="78"/>
        </w:numPr>
        <w:spacing w:before="0"/>
        <w:ind w:left="567" w:hanging="283"/>
        <w:rPr>
          <w:noProof/>
        </w:rPr>
      </w:pPr>
      <w:r>
        <w:rPr>
          <w:noProof/>
        </w:rPr>
        <w:t xml:space="preserve">annak előírása, hogy a megbízott szervezet vagy a pénzügyi közvetítő ellenőrizze, </w:t>
      </w:r>
      <w:r>
        <w:rPr>
          <w:noProof/>
        </w:rPr>
        <w:t>hogy a projektek megfelelnek-e a vonatkozó uniós és nemzeti környezetvédelmi jogszabályoknak, valamennyi ügylet esetében, beleértve a fenntarthatósági vizsgálat alól mentesített ügyleteket is.</w:t>
      </w:r>
    </w:p>
    <w:p w14:paraId="2740A4A3" w14:textId="583A378C" w:rsidR="003F5418" w:rsidRDefault="00240F92">
      <w:pPr>
        <w:pStyle w:val="P68B1DB1-Normal2"/>
        <w:spacing w:after="120"/>
        <w:jc w:val="both"/>
        <w:rPr>
          <w:noProof/>
        </w:rPr>
      </w:pPr>
      <w:r>
        <w:rPr>
          <w:noProof/>
        </w:rPr>
        <w:t>3.2. Beruházás: A filmipar fejlesztése (Cinecittà projekt)”;</w:t>
      </w:r>
    </w:p>
    <w:p w14:paraId="75F8CD1D" w14:textId="77777777" w:rsidR="003F5418" w:rsidRDefault="002A6C25">
      <w:pPr>
        <w:spacing w:after="120"/>
        <w:jc w:val="both"/>
        <w:rPr>
          <w:noProof/>
        </w:rPr>
      </w:pPr>
      <w:r>
        <w:rPr>
          <w:noProof/>
        </w:rPr>
        <w:t xml:space="preserve"> A</w:t>
      </w:r>
      <w:r>
        <w:rPr>
          <w:noProof/>
        </w:rPr>
        <w:t xml:space="preserve"> beruházás célja az olasz film- és audiovizuális ágazat versenyképességének fokozása. A projekt célja a válság társadalmi és gazdasági hatásainak enyhítése a gazdasági növekedés, a foglalkoztatás és a versenyképesség fokozása érdekében, többek között képzé</w:t>
      </w:r>
      <w:r>
        <w:rPr>
          <w:noProof/>
        </w:rPr>
        <w:t>si intézkedések révén, három cselekvési irányvonal mentén.</w:t>
      </w:r>
    </w:p>
    <w:p w14:paraId="64E1D1CF" w14:textId="77777777" w:rsidR="003F5418" w:rsidRDefault="002A6C25">
      <w:pPr>
        <w:pStyle w:val="ListParagraph"/>
        <w:numPr>
          <w:ilvl w:val="0"/>
          <w:numId w:val="77"/>
        </w:numPr>
        <w:spacing w:before="0"/>
        <w:contextualSpacing w:val="0"/>
        <w:rPr>
          <w:noProof/>
        </w:rPr>
      </w:pPr>
      <w:r>
        <w:rPr>
          <w:noProof/>
        </w:rPr>
        <w:t>„A” vonal: Új stúdiók építése, valamint a meglévők és mellékletek helyreállítása, beleértve a csúcstechnológiai megoldásokat is.</w:t>
      </w:r>
    </w:p>
    <w:p w14:paraId="463AF134" w14:textId="77777777" w:rsidR="003F5418" w:rsidRDefault="002A6C25">
      <w:pPr>
        <w:pStyle w:val="ListParagraph"/>
        <w:numPr>
          <w:ilvl w:val="0"/>
          <w:numId w:val="77"/>
        </w:numPr>
        <w:spacing w:before="0"/>
        <w:contextualSpacing w:val="0"/>
        <w:rPr>
          <w:noProof/>
        </w:rPr>
      </w:pPr>
      <w:r>
        <w:rPr>
          <w:noProof/>
        </w:rPr>
        <w:t>„B” sor: Innovatív beruházás a Kísérleti Cinematográfiai Központ gyá</w:t>
      </w:r>
      <w:r>
        <w:rPr>
          <w:noProof/>
        </w:rPr>
        <w:t>rtási és képzési tevékenységeinek fokozására, beleértve az audiovizuális gyártás, a nemzetközivé válás, valamint a kulturális és oktatási csereprogramok új eszközeit; a szakmai és oktatási célú infrastruktúra (élőkészlet) fejlesztése az épület- és növényál</w:t>
      </w:r>
      <w:r>
        <w:rPr>
          <w:noProof/>
        </w:rPr>
        <w:t>lomány e-tanulása, digitalizálása és korszerűsítése révén, különösen a technológiai és környezeti átalakulás előmozdítása céljából; az audiovizuális örökség megőrzése és digitalizálása</w:t>
      </w:r>
    </w:p>
    <w:p w14:paraId="5E442D28" w14:textId="77777777" w:rsidR="003F5418" w:rsidRDefault="002A6C25">
      <w:pPr>
        <w:pStyle w:val="ListParagraph"/>
        <w:numPr>
          <w:ilvl w:val="0"/>
          <w:numId w:val="77"/>
        </w:numPr>
        <w:spacing w:before="0"/>
        <w:contextualSpacing w:val="0"/>
        <w:rPr>
          <w:noProof/>
        </w:rPr>
      </w:pPr>
      <w:r>
        <w:rPr>
          <w:noProof/>
        </w:rPr>
        <w:t>C vonal: A szakmai készségek és kompetenciák megerősítése az audiovizuá</w:t>
      </w:r>
      <w:r>
        <w:rPr>
          <w:noProof/>
        </w:rPr>
        <w:t>lis ágazatban, három szakmai makroterületen: üzleti/vezetői tevékenység; kreatív/művészeti; műszaki dolgozók.</w:t>
      </w:r>
    </w:p>
    <w:p w14:paraId="78854C7E" w14:textId="489FA118" w:rsidR="003F5418" w:rsidRDefault="00240F92">
      <w:pPr>
        <w:pStyle w:val="P68B1DB1-Normal2"/>
        <w:spacing w:after="120"/>
        <w:jc w:val="both"/>
        <w:rPr>
          <w:noProof/>
        </w:rPr>
      </w:pPr>
      <w:r>
        <w:rPr>
          <w:noProof/>
        </w:rPr>
        <w:t>4.3. Beruházás: Caput Mundi Next Generation EU turisztikai nagyrendezvényekért.</w:t>
      </w:r>
    </w:p>
    <w:p w14:paraId="2CD46C5E" w14:textId="77777777" w:rsidR="003F5418" w:rsidRDefault="002A6C25">
      <w:pPr>
        <w:tabs>
          <w:tab w:val="left" w:pos="1340"/>
          <w:tab w:val="left" w:pos="1341"/>
        </w:tabs>
        <w:spacing w:after="120"/>
        <w:ind w:right="-7"/>
        <w:jc w:val="both"/>
        <w:rPr>
          <w:noProof/>
        </w:rPr>
      </w:pPr>
      <w:r>
        <w:rPr>
          <w:noProof/>
        </w:rPr>
        <w:t>A projektnek növelnie kell a hozzáférhető turisztikai helyszínek s</w:t>
      </w:r>
      <w:r>
        <w:rPr>
          <w:noProof/>
        </w:rPr>
        <w:t>zámát, érvényes és minősített turisztikai és kulturális alternatívákat kell létrehoznia a zsúfolt központi területek tekintetében, valamint növelnie kell a digitális technológiák használatát, javítania kell a zöldterületeket és a turizmus fenntarthatóságát</w:t>
      </w:r>
      <w:r>
        <w:rPr>
          <w:noProof/>
        </w:rPr>
        <w:t>. A beruházás hat beavatkozást irányoz elő:</w:t>
      </w:r>
    </w:p>
    <w:p w14:paraId="6C4E2FE2" w14:textId="77777777" w:rsidR="003F5418" w:rsidRDefault="002A6C25">
      <w:pPr>
        <w:pStyle w:val="ListParagraph"/>
        <w:numPr>
          <w:ilvl w:val="0"/>
          <w:numId w:val="137"/>
        </w:numPr>
        <w:tabs>
          <w:tab w:val="left" w:pos="1340"/>
          <w:tab w:val="left" w:pos="1341"/>
        </w:tabs>
        <w:ind w:right="-7"/>
        <w:rPr>
          <w:noProof/>
        </w:rPr>
      </w:pPr>
      <w:r>
        <w:rPr>
          <w:noProof/>
        </w:rPr>
        <w:t xml:space="preserve">„Román kulturális örökség az EU következő generációjáért”: a kulturális és városi örökség rehabilitációjára és helyreállítására, valamint a Róma városában nagy történelmi-architektúra értéket képviselő komplexumokra terjed ki;  </w:t>
      </w:r>
    </w:p>
    <w:p w14:paraId="0E8FD3DC" w14:textId="77777777" w:rsidR="003F5418" w:rsidRDefault="002A6C25">
      <w:pPr>
        <w:pStyle w:val="ListParagraph"/>
        <w:numPr>
          <w:ilvl w:val="0"/>
          <w:numId w:val="137"/>
        </w:numPr>
        <w:tabs>
          <w:tab w:val="left" w:pos="1340"/>
          <w:tab w:val="left" w:pos="1341"/>
        </w:tabs>
        <w:ind w:right="-7"/>
        <w:rPr>
          <w:noProof/>
        </w:rPr>
      </w:pPr>
      <w:r>
        <w:rPr>
          <w:noProof/>
        </w:rPr>
        <w:t>„Jubilee-útvonalak” (pagant</w:t>
      </w:r>
      <w:r>
        <w:rPr>
          <w:noProof/>
        </w:rPr>
        <w:t>ól Christian Rome-ig), amelyek a fejlesztésre, a biztonságra, a földrengésellenes konszolidációra, a történelmi jelentőségű helyek és épületek helyreállítására, valamint a régészeti útvonalakra irányulnak;</w:t>
      </w:r>
    </w:p>
    <w:p w14:paraId="3EBF61FC" w14:textId="77777777" w:rsidR="003F5418" w:rsidRDefault="002A6C25">
      <w:pPr>
        <w:pStyle w:val="ListParagraph"/>
        <w:numPr>
          <w:ilvl w:val="0"/>
          <w:numId w:val="137"/>
        </w:numPr>
        <w:tabs>
          <w:tab w:val="left" w:pos="1340"/>
          <w:tab w:val="left" w:pos="1341"/>
        </w:tabs>
        <w:ind w:right="-7"/>
        <w:rPr>
          <w:noProof/>
        </w:rPr>
      </w:pPr>
      <w:r>
        <w:rPr>
          <w:noProof/>
        </w:rPr>
        <w:t>#LaCittàCondivisa, amely a peremterületeken találh</w:t>
      </w:r>
      <w:r>
        <w:rPr>
          <w:noProof/>
        </w:rPr>
        <w:t>ató területek rehabilitációjára vonatkozik;</w:t>
      </w:r>
    </w:p>
    <w:p w14:paraId="4F1EC9D3" w14:textId="77777777" w:rsidR="003F5418" w:rsidRDefault="002A6C25">
      <w:pPr>
        <w:pStyle w:val="ListParagraph"/>
        <w:numPr>
          <w:ilvl w:val="0"/>
          <w:numId w:val="137"/>
        </w:numPr>
        <w:tabs>
          <w:tab w:val="left" w:pos="1340"/>
          <w:tab w:val="left" w:pos="1341"/>
        </w:tabs>
        <w:ind w:right="-7"/>
        <w:rPr>
          <w:noProof/>
        </w:rPr>
      </w:pPr>
      <w:r>
        <w:rPr>
          <w:noProof/>
        </w:rPr>
        <w:t>#Mitingodiverde, amely a parkokban, történelmi kertekben, villakban és ivókutakban végrehajtott beavatkozásokra vonatkozik;</w:t>
      </w:r>
    </w:p>
    <w:p w14:paraId="6B319637" w14:textId="77777777" w:rsidR="003F5418" w:rsidRDefault="002A6C25">
      <w:pPr>
        <w:pStyle w:val="ListParagraph"/>
        <w:numPr>
          <w:ilvl w:val="0"/>
          <w:numId w:val="137"/>
        </w:numPr>
        <w:tabs>
          <w:tab w:val="left" w:pos="1340"/>
          <w:tab w:val="left" w:pos="1341"/>
        </w:tabs>
        <w:ind w:right="-7"/>
        <w:rPr>
          <w:noProof/>
        </w:rPr>
      </w:pPr>
      <w:r>
        <w:rPr>
          <w:noProof/>
        </w:rPr>
        <w:t xml:space="preserve">#Roma 4.0, amely kiterjed a kulturális szolgáltatások digitalizálására és a turistáknak </w:t>
      </w:r>
      <w:r>
        <w:rPr>
          <w:noProof/>
        </w:rPr>
        <w:t>szánt alkalmazások fejlesztésére;</w:t>
      </w:r>
    </w:p>
    <w:p w14:paraId="685CB1C4" w14:textId="77777777" w:rsidR="003F5418" w:rsidRDefault="002A6C25">
      <w:pPr>
        <w:pStyle w:val="ListParagraph"/>
        <w:numPr>
          <w:ilvl w:val="0"/>
          <w:numId w:val="137"/>
        </w:numPr>
        <w:tabs>
          <w:tab w:val="left" w:pos="1340"/>
          <w:tab w:val="left" w:pos="1341"/>
        </w:tabs>
        <w:ind w:right="-7"/>
        <w:rPr>
          <w:noProof/>
          <w:shd w:val="clear" w:color="auto" w:fill="E6E6E6"/>
        </w:rPr>
        <w:sectPr w:rsidR="003F5418">
          <w:headerReference w:type="even" r:id="rId98"/>
          <w:headerReference w:type="default" r:id="rId99"/>
          <w:footerReference w:type="even" r:id="rId100"/>
          <w:footerReference w:type="default" r:id="rId101"/>
          <w:headerReference w:type="first" r:id="rId102"/>
          <w:footerReference w:type="first" r:id="rId103"/>
          <w:pgSz w:w="11907" w:h="16839"/>
          <w:pgMar w:top="1134" w:right="1134" w:bottom="1134" w:left="1134" w:header="567" w:footer="567" w:gutter="0"/>
          <w:cols w:space="720"/>
          <w:docGrid w:linePitch="360"/>
        </w:sectPr>
      </w:pPr>
      <w:r>
        <w:rPr>
          <w:noProof/>
        </w:rPr>
        <w:t>#Amanotesa, amelynek célja, hogy növelje a társadalmi integrációt szolgáló kulturális kínálatot a perifériák számára.</w:t>
      </w:r>
    </w:p>
    <w:p w14:paraId="471C9AB9" w14:textId="77777777" w:rsidR="003F5418" w:rsidRDefault="002A6C25">
      <w:pPr>
        <w:pStyle w:val="Heading3"/>
        <w:numPr>
          <w:ilvl w:val="0"/>
          <w:numId w:val="0"/>
        </w:numPr>
        <w:ind w:left="850" w:hanging="850"/>
        <w:rPr>
          <w:b/>
          <w:i w:val="0"/>
          <w:noProof/>
          <w:u w:val="single"/>
        </w:rPr>
      </w:pPr>
      <w:r>
        <w:rPr>
          <w:b/>
          <w:i w:val="0"/>
          <w:noProof/>
          <w:u w:val="single"/>
        </w:rPr>
        <w:t xml:space="preserve">C.4. </w:t>
      </w:r>
      <w:r>
        <w:rPr>
          <w:noProof/>
        </w:rPr>
        <w:t xml:space="preserve"> </w:t>
      </w:r>
      <w:r>
        <w:rPr>
          <w:b/>
          <w:i w:val="0"/>
          <w:noProof/>
          <w:u w:val="single"/>
        </w:rPr>
        <w:t>Hitel – a végrehajtáshoz és a nyomon követé</w:t>
      </w:r>
      <w:r>
        <w:rPr>
          <w:b/>
          <w:i w:val="0"/>
          <w:noProof/>
          <w:u w:val="single"/>
        </w:rPr>
        <w:t xml:space="preserve">shez kapcsolódó mérföldkövek, célok, mutatók és ütemterv </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0"/>
        <w:gridCol w:w="1134"/>
        <w:gridCol w:w="1559"/>
        <w:gridCol w:w="1559"/>
        <w:gridCol w:w="992"/>
        <w:gridCol w:w="995"/>
        <w:gridCol w:w="1271"/>
        <w:gridCol w:w="995"/>
        <w:gridCol w:w="660"/>
        <w:gridCol w:w="3136"/>
      </w:tblGrid>
      <w:tr w:rsidR="003F5418" w14:paraId="50B8BF3F" w14:textId="77777777">
        <w:trPr>
          <w:trHeight w:val="313"/>
          <w:tblHeader/>
          <w:jc w:val="center"/>
        </w:trPr>
        <w:tc>
          <w:tcPr>
            <w:tcW w:w="377" w:type="pct"/>
            <w:vMerge w:val="restart"/>
            <w:shd w:val="clear" w:color="auto" w:fill="BDD7EE"/>
            <w:noWrap/>
            <w:vAlign w:val="center"/>
          </w:tcPr>
          <w:p w14:paraId="2F6881FA" w14:textId="77777777" w:rsidR="003F5418" w:rsidRDefault="003F5418">
            <w:pPr>
              <w:jc w:val="center"/>
              <w:rPr>
                <w:rFonts w:ascii="Arial Narrow" w:hAnsi="Arial Narrow"/>
                <w:noProof/>
                <w:sz w:val="20"/>
              </w:rPr>
            </w:pPr>
          </w:p>
          <w:p w14:paraId="574F1455" w14:textId="77777777" w:rsidR="003F5418" w:rsidRDefault="002A6C25">
            <w:pPr>
              <w:pStyle w:val="P68B1DB1-Normal3"/>
              <w:jc w:val="center"/>
              <w:rPr>
                <w:noProof/>
              </w:rPr>
            </w:pPr>
            <w:r>
              <w:rPr>
                <w:noProof/>
              </w:rPr>
              <w:t>Sorszám</w:t>
            </w:r>
          </w:p>
        </w:tc>
        <w:tc>
          <w:tcPr>
            <w:tcW w:w="520" w:type="pct"/>
            <w:vMerge w:val="restart"/>
            <w:shd w:val="clear" w:color="auto" w:fill="BDD7EE"/>
            <w:noWrap/>
            <w:vAlign w:val="center"/>
          </w:tcPr>
          <w:p w14:paraId="0FCBE9C8" w14:textId="77777777" w:rsidR="003F5418" w:rsidRDefault="002A6C25">
            <w:pPr>
              <w:pStyle w:val="P68B1DB1-Normal3"/>
              <w:jc w:val="center"/>
              <w:rPr>
                <w:noProof/>
              </w:rPr>
            </w:pPr>
            <w:r>
              <w:rPr>
                <w:noProof/>
              </w:rPr>
              <w:t>Kapcsolódó intézkedés (reform vagy beruházás)</w:t>
            </w:r>
          </w:p>
        </w:tc>
        <w:tc>
          <w:tcPr>
            <w:tcW w:w="378" w:type="pct"/>
            <w:vMerge w:val="restart"/>
            <w:shd w:val="clear" w:color="auto" w:fill="BDD7EE"/>
            <w:noWrap/>
            <w:vAlign w:val="center"/>
          </w:tcPr>
          <w:p w14:paraId="1CD45C86" w14:textId="77777777" w:rsidR="003F5418" w:rsidRDefault="002A6C25">
            <w:pPr>
              <w:pStyle w:val="P68B1DB1-Normal3"/>
              <w:jc w:val="center"/>
              <w:rPr>
                <w:noProof/>
              </w:rPr>
            </w:pPr>
            <w:r>
              <w:rPr>
                <w:noProof/>
              </w:rPr>
              <w:t>Mérföldkő/cél</w:t>
            </w:r>
          </w:p>
        </w:tc>
        <w:tc>
          <w:tcPr>
            <w:tcW w:w="520" w:type="pct"/>
            <w:vMerge w:val="restart"/>
            <w:shd w:val="clear" w:color="auto" w:fill="BDD7EE"/>
            <w:noWrap/>
            <w:vAlign w:val="center"/>
          </w:tcPr>
          <w:p w14:paraId="19EE435E" w14:textId="77777777" w:rsidR="003F5418" w:rsidRDefault="002A6C25">
            <w:pPr>
              <w:pStyle w:val="P68B1DB1-Normal3"/>
              <w:jc w:val="center"/>
              <w:rPr>
                <w:noProof/>
              </w:rPr>
            </w:pPr>
            <w:r>
              <w:rPr>
                <w:noProof/>
              </w:rPr>
              <w:t>Név</w:t>
            </w:r>
          </w:p>
        </w:tc>
        <w:tc>
          <w:tcPr>
            <w:tcW w:w="520" w:type="pct"/>
            <w:vMerge w:val="restart"/>
            <w:shd w:val="clear" w:color="auto" w:fill="BDD7EE"/>
            <w:noWrap/>
            <w:vAlign w:val="center"/>
          </w:tcPr>
          <w:p w14:paraId="649B39F3"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1087" w:type="pct"/>
            <w:gridSpan w:val="3"/>
            <w:shd w:val="clear" w:color="auto" w:fill="BDD7EE"/>
            <w:noWrap/>
            <w:vAlign w:val="center"/>
          </w:tcPr>
          <w:p w14:paraId="320B0016" w14:textId="77777777" w:rsidR="003F5418" w:rsidRDefault="002A6C25">
            <w:pPr>
              <w:jc w:val="center"/>
              <w:rPr>
                <w:rFonts w:ascii="Arial Narrow" w:hAnsi="Arial Narrow"/>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551" w:type="pct"/>
            <w:gridSpan w:val="2"/>
            <w:shd w:val="clear" w:color="auto" w:fill="BDD7EE"/>
            <w:noWrap/>
            <w:vAlign w:val="center"/>
          </w:tcPr>
          <w:p w14:paraId="6B0F198A" w14:textId="77777777" w:rsidR="003F5418" w:rsidRDefault="002A6C25">
            <w:pPr>
              <w:pStyle w:val="P68B1DB1-Normal3"/>
              <w:jc w:val="center"/>
              <w:rPr>
                <w:noProof/>
              </w:rPr>
            </w:pPr>
            <w:r>
              <w:rPr>
                <w:noProof/>
              </w:rPr>
              <w:t>A végrehajtás indikatív ütemterve</w:t>
            </w:r>
          </w:p>
        </w:tc>
        <w:tc>
          <w:tcPr>
            <w:tcW w:w="1047" w:type="pct"/>
            <w:vMerge w:val="restart"/>
            <w:shd w:val="clear" w:color="auto" w:fill="BDD7EE"/>
            <w:noWrap/>
            <w:vAlign w:val="center"/>
          </w:tcPr>
          <w:p w14:paraId="3D53C343" w14:textId="77777777" w:rsidR="003F5418" w:rsidRDefault="003F5418">
            <w:pPr>
              <w:jc w:val="center"/>
              <w:rPr>
                <w:rFonts w:ascii="Arial Narrow" w:eastAsia="Calibri" w:hAnsi="Arial Narrow"/>
                <w:noProof/>
                <w:color w:val="006100"/>
                <w:sz w:val="20"/>
              </w:rPr>
            </w:pPr>
          </w:p>
          <w:p w14:paraId="5176AC31" w14:textId="77777777" w:rsidR="003F5418" w:rsidRDefault="002A6C25">
            <w:pPr>
              <w:pStyle w:val="P68B1DB1-Normal3"/>
              <w:jc w:val="center"/>
              <w:rPr>
                <w:rFonts w:eastAsia="Calibri"/>
                <w:noProof/>
                <w:color w:val="006100"/>
              </w:rPr>
            </w:pPr>
            <w:r>
              <w:rPr>
                <w:noProof/>
              </w:rPr>
              <w:t xml:space="preserve">Az </w:t>
            </w:r>
            <w:r>
              <w:rPr>
                <w:noProof/>
              </w:rPr>
              <w:t>egyes mérföldkövek és célértékek leírása</w:t>
            </w:r>
          </w:p>
        </w:tc>
      </w:tr>
      <w:tr w:rsidR="003F5418" w14:paraId="79B2A395" w14:textId="77777777">
        <w:trPr>
          <w:trHeight w:val="313"/>
          <w:tblHeader/>
          <w:jc w:val="center"/>
        </w:trPr>
        <w:tc>
          <w:tcPr>
            <w:tcW w:w="377" w:type="pct"/>
            <w:vMerge/>
            <w:noWrap/>
            <w:vAlign w:val="center"/>
          </w:tcPr>
          <w:p w14:paraId="5A8DBFDB" w14:textId="77777777" w:rsidR="003F5418" w:rsidRDefault="003F5418">
            <w:pPr>
              <w:jc w:val="center"/>
              <w:rPr>
                <w:rFonts w:ascii="Arial Narrow" w:hAnsi="Arial Narrow"/>
                <w:noProof/>
                <w:sz w:val="20"/>
              </w:rPr>
            </w:pPr>
          </w:p>
        </w:tc>
        <w:tc>
          <w:tcPr>
            <w:tcW w:w="520" w:type="pct"/>
            <w:vMerge/>
            <w:noWrap/>
            <w:vAlign w:val="center"/>
          </w:tcPr>
          <w:p w14:paraId="0B062AF3" w14:textId="77777777" w:rsidR="003F5418" w:rsidRDefault="003F5418">
            <w:pPr>
              <w:jc w:val="center"/>
              <w:rPr>
                <w:rFonts w:ascii="Arial Narrow" w:hAnsi="Arial Narrow"/>
                <w:noProof/>
                <w:sz w:val="20"/>
              </w:rPr>
            </w:pPr>
          </w:p>
        </w:tc>
        <w:tc>
          <w:tcPr>
            <w:tcW w:w="378" w:type="pct"/>
            <w:vMerge/>
            <w:noWrap/>
            <w:vAlign w:val="center"/>
          </w:tcPr>
          <w:p w14:paraId="06AA5F75" w14:textId="77777777" w:rsidR="003F5418" w:rsidRDefault="003F5418">
            <w:pPr>
              <w:jc w:val="center"/>
              <w:rPr>
                <w:rFonts w:ascii="Arial Narrow" w:hAnsi="Arial Narrow"/>
                <w:noProof/>
                <w:sz w:val="20"/>
              </w:rPr>
            </w:pPr>
          </w:p>
        </w:tc>
        <w:tc>
          <w:tcPr>
            <w:tcW w:w="520" w:type="pct"/>
            <w:vMerge/>
            <w:noWrap/>
            <w:vAlign w:val="center"/>
          </w:tcPr>
          <w:p w14:paraId="511CC14D" w14:textId="77777777" w:rsidR="003F5418" w:rsidRDefault="003F5418">
            <w:pPr>
              <w:jc w:val="center"/>
              <w:rPr>
                <w:rFonts w:ascii="Arial Narrow" w:hAnsi="Arial Narrow"/>
                <w:noProof/>
                <w:sz w:val="20"/>
              </w:rPr>
            </w:pPr>
          </w:p>
        </w:tc>
        <w:tc>
          <w:tcPr>
            <w:tcW w:w="520" w:type="pct"/>
            <w:vMerge/>
            <w:noWrap/>
            <w:vAlign w:val="center"/>
          </w:tcPr>
          <w:p w14:paraId="573090D8" w14:textId="77777777" w:rsidR="003F5418" w:rsidRDefault="003F5418">
            <w:pPr>
              <w:jc w:val="center"/>
              <w:rPr>
                <w:rFonts w:ascii="Arial Narrow" w:eastAsia="Calibri" w:hAnsi="Arial Narrow"/>
                <w:noProof/>
                <w:sz w:val="20"/>
              </w:rPr>
            </w:pPr>
          </w:p>
        </w:tc>
        <w:tc>
          <w:tcPr>
            <w:tcW w:w="331" w:type="pct"/>
            <w:shd w:val="clear" w:color="auto" w:fill="BDD7EE"/>
            <w:noWrap/>
            <w:vAlign w:val="center"/>
          </w:tcPr>
          <w:p w14:paraId="7D31A18E" w14:textId="77777777" w:rsidR="003F5418" w:rsidRDefault="002A6C25">
            <w:pPr>
              <w:pStyle w:val="P68B1DB1-Normal3"/>
              <w:jc w:val="center"/>
              <w:rPr>
                <w:noProof/>
              </w:rPr>
            </w:pPr>
            <w:r>
              <w:rPr>
                <w:noProof/>
              </w:rPr>
              <w:t>Mértékegység</w:t>
            </w:r>
          </w:p>
        </w:tc>
        <w:tc>
          <w:tcPr>
            <w:tcW w:w="332" w:type="pct"/>
            <w:shd w:val="clear" w:color="auto" w:fill="BDD7EE"/>
            <w:noWrap/>
            <w:vAlign w:val="center"/>
          </w:tcPr>
          <w:p w14:paraId="740FC4C9" w14:textId="77777777" w:rsidR="003F5418" w:rsidRDefault="002A6C25">
            <w:pPr>
              <w:pStyle w:val="P68B1DB1-Normal3"/>
              <w:jc w:val="center"/>
              <w:rPr>
                <w:noProof/>
              </w:rPr>
            </w:pPr>
            <w:r>
              <w:rPr>
                <w:noProof/>
              </w:rPr>
              <w:t>Kiindulási</w:t>
            </w:r>
          </w:p>
        </w:tc>
        <w:tc>
          <w:tcPr>
            <w:tcW w:w="424" w:type="pct"/>
            <w:shd w:val="clear" w:color="auto" w:fill="BDD7EE"/>
            <w:noWrap/>
            <w:vAlign w:val="center"/>
          </w:tcPr>
          <w:p w14:paraId="1BFD4B22" w14:textId="77777777" w:rsidR="003F5418" w:rsidRDefault="002A6C25">
            <w:pPr>
              <w:pStyle w:val="P68B1DB1-Normal3"/>
              <w:jc w:val="center"/>
              <w:rPr>
                <w:noProof/>
              </w:rPr>
            </w:pPr>
            <w:r>
              <w:rPr>
                <w:noProof/>
              </w:rPr>
              <w:t>Cél</w:t>
            </w:r>
          </w:p>
        </w:tc>
        <w:tc>
          <w:tcPr>
            <w:tcW w:w="332" w:type="pct"/>
            <w:shd w:val="clear" w:color="auto" w:fill="BDD7EE"/>
            <w:noWrap/>
            <w:vAlign w:val="center"/>
          </w:tcPr>
          <w:p w14:paraId="5F38116B" w14:textId="77777777" w:rsidR="003F5418" w:rsidRDefault="002A6C25">
            <w:pPr>
              <w:pStyle w:val="P68B1DB1-Normal3"/>
              <w:jc w:val="center"/>
              <w:rPr>
                <w:noProof/>
              </w:rPr>
            </w:pPr>
            <w:r>
              <w:rPr>
                <w:noProof/>
              </w:rPr>
              <w:t>Negyedév</w:t>
            </w:r>
          </w:p>
        </w:tc>
        <w:tc>
          <w:tcPr>
            <w:tcW w:w="220" w:type="pct"/>
            <w:shd w:val="clear" w:color="auto" w:fill="BDD7EE"/>
            <w:noWrap/>
            <w:vAlign w:val="center"/>
          </w:tcPr>
          <w:p w14:paraId="05012D50" w14:textId="77777777" w:rsidR="003F5418" w:rsidRDefault="002A6C25">
            <w:pPr>
              <w:pStyle w:val="P68B1DB1-Normal3"/>
              <w:jc w:val="center"/>
              <w:rPr>
                <w:noProof/>
              </w:rPr>
            </w:pPr>
            <w:r>
              <w:rPr>
                <w:noProof/>
              </w:rPr>
              <w:t>Éve</w:t>
            </w:r>
          </w:p>
        </w:tc>
        <w:tc>
          <w:tcPr>
            <w:tcW w:w="1047" w:type="pct"/>
            <w:vMerge/>
            <w:noWrap/>
            <w:vAlign w:val="center"/>
          </w:tcPr>
          <w:p w14:paraId="1933F7B5" w14:textId="77777777" w:rsidR="003F5418" w:rsidRDefault="003F5418">
            <w:pPr>
              <w:jc w:val="center"/>
              <w:rPr>
                <w:rFonts w:ascii="Arial Narrow" w:eastAsia="Calibri" w:hAnsi="Arial Narrow"/>
                <w:noProof/>
                <w:color w:val="006100"/>
                <w:sz w:val="20"/>
              </w:rPr>
            </w:pPr>
          </w:p>
        </w:tc>
      </w:tr>
      <w:tr w:rsidR="003F5418" w14:paraId="372F3153" w14:textId="77777777">
        <w:trPr>
          <w:trHeight w:val="313"/>
          <w:jc w:val="center"/>
        </w:trPr>
        <w:tc>
          <w:tcPr>
            <w:tcW w:w="377" w:type="pct"/>
            <w:shd w:val="clear" w:color="auto" w:fill="C6EFCE"/>
            <w:noWrap/>
            <w:vAlign w:val="center"/>
          </w:tcPr>
          <w:p w14:paraId="553A7A3F" w14:textId="77777777" w:rsidR="003F5418" w:rsidRDefault="002A6C25">
            <w:pPr>
              <w:pStyle w:val="P68B1DB1-Normal4"/>
              <w:jc w:val="center"/>
              <w:rPr>
                <w:noProof/>
              </w:rPr>
            </w:pPr>
            <w:r>
              <w:rPr>
                <w:noProof/>
              </w:rPr>
              <w:t>M1C3–12</w:t>
            </w:r>
          </w:p>
        </w:tc>
        <w:tc>
          <w:tcPr>
            <w:tcW w:w="520" w:type="pct"/>
            <w:shd w:val="clear" w:color="auto" w:fill="C6EFCE"/>
            <w:noWrap/>
            <w:vAlign w:val="center"/>
          </w:tcPr>
          <w:p w14:paraId="3F70AB1D" w14:textId="77777777" w:rsidR="003F5418" w:rsidRDefault="002A6C25">
            <w:pPr>
              <w:pStyle w:val="P68B1DB1-Normal4"/>
              <w:jc w:val="center"/>
              <w:rPr>
                <w:noProof/>
              </w:rPr>
            </w:pPr>
            <w:r>
              <w:rPr>
                <w:noProof/>
              </w:rPr>
              <w:t>Beruházás – A kis történelmi városok vonzereje</w:t>
            </w:r>
          </w:p>
        </w:tc>
        <w:tc>
          <w:tcPr>
            <w:tcW w:w="378" w:type="pct"/>
            <w:shd w:val="clear" w:color="auto" w:fill="C6EFCE"/>
            <w:noWrap/>
            <w:vAlign w:val="center"/>
          </w:tcPr>
          <w:p w14:paraId="60614469"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0E8A57EC" w14:textId="77777777" w:rsidR="003F5418" w:rsidRDefault="002A6C25">
            <w:pPr>
              <w:pStyle w:val="P68B1DB1-Normal4"/>
              <w:jc w:val="center"/>
              <w:rPr>
                <w:noProof/>
              </w:rPr>
            </w:pPr>
            <w:r>
              <w:rPr>
                <w:noProof/>
              </w:rPr>
              <w:t>A kulturális minisztérium rendeletének hatálybalépése a kis történelmi városok vonzereje</w:t>
            </w:r>
            <w:r>
              <w:rPr>
                <w:noProof/>
              </w:rPr>
              <w:t xml:space="preserve"> érdekében az önkormányzatok számára biztosított források elosztásáról</w:t>
            </w:r>
          </w:p>
        </w:tc>
        <w:tc>
          <w:tcPr>
            <w:tcW w:w="520" w:type="pct"/>
            <w:shd w:val="clear" w:color="auto" w:fill="C6EFCE"/>
            <w:noWrap/>
            <w:vAlign w:val="center"/>
          </w:tcPr>
          <w:p w14:paraId="6C5BC229" w14:textId="77777777" w:rsidR="003F5418" w:rsidRDefault="002A6C25">
            <w:pPr>
              <w:pStyle w:val="P68B1DB1-Normal4"/>
              <w:jc w:val="center"/>
              <w:rPr>
                <w:noProof/>
              </w:rPr>
            </w:pPr>
            <w:r>
              <w:rPr>
                <w:noProof/>
              </w:rPr>
              <w:t>A kulturális minisztériumi rendelet hatályba lépéséről szóló rendelet rendelkezése a kis történelmi városok vonzereje érdekében az önkormányzatok számára biztosított források elosztásár</w:t>
            </w:r>
            <w:r>
              <w:rPr>
                <w:noProof/>
              </w:rPr>
              <w:t>ól</w:t>
            </w:r>
          </w:p>
        </w:tc>
        <w:tc>
          <w:tcPr>
            <w:tcW w:w="331" w:type="pct"/>
            <w:shd w:val="clear" w:color="auto" w:fill="C6EFCE"/>
            <w:noWrap/>
            <w:vAlign w:val="center"/>
          </w:tcPr>
          <w:p w14:paraId="17349F66"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58D3D34F"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515E73EF"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2F9289CB" w14:textId="77777777" w:rsidR="003F5418" w:rsidRDefault="002A6C25">
            <w:pPr>
              <w:pStyle w:val="P68B1DB1-Normal4"/>
              <w:jc w:val="center"/>
              <w:rPr>
                <w:noProof/>
              </w:rPr>
            </w:pPr>
            <w:r>
              <w:rPr>
                <w:noProof/>
              </w:rPr>
              <w:t>Q2</w:t>
            </w:r>
          </w:p>
        </w:tc>
        <w:tc>
          <w:tcPr>
            <w:tcW w:w="220" w:type="pct"/>
            <w:shd w:val="clear" w:color="auto" w:fill="C6EFCE"/>
            <w:noWrap/>
            <w:vAlign w:val="center"/>
          </w:tcPr>
          <w:p w14:paraId="23BCEECA"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22217E25" w14:textId="77777777" w:rsidR="003F5418" w:rsidRDefault="002A6C25">
            <w:pPr>
              <w:pStyle w:val="P68B1DB1-Normal4"/>
              <w:rPr>
                <w:noProof/>
              </w:rPr>
            </w:pPr>
            <w:r>
              <w:rPr>
                <w:noProof/>
              </w:rPr>
              <w:t>A kulturális minisztérium rendelete forrásokat biztosít a települések számára a kis történelmi városok vonzereje érdekében.</w:t>
            </w:r>
          </w:p>
          <w:p w14:paraId="79F12535" w14:textId="77777777" w:rsidR="003F5418" w:rsidRDefault="003F5418">
            <w:pPr>
              <w:rPr>
                <w:rFonts w:ascii="Arial Narrow" w:hAnsi="Arial Narrow"/>
                <w:noProof/>
                <w:color w:val="006100"/>
                <w:sz w:val="20"/>
              </w:rPr>
            </w:pPr>
          </w:p>
          <w:p w14:paraId="332D654E" w14:textId="77777777" w:rsidR="003F5418" w:rsidRDefault="002A6C25">
            <w:pPr>
              <w:pStyle w:val="P68B1DB1-Normal4"/>
              <w:rPr>
                <w:noProof/>
              </w:rPr>
            </w:pPr>
            <w:r>
              <w:rPr>
                <w:noProof/>
              </w:rPr>
              <w:t>A kis történelmi városok vonzerejének növelése érdekében érintett települések arra a 250 településre/f</w:t>
            </w:r>
            <w:r>
              <w:rPr>
                <w:noProof/>
              </w:rPr>
              <w:t>alura vonatkoznak, amelyek benyújtották a Kulturális Minisztériumnak a beavatkozási programokat.</w:t>
            </w:r>
          </w:p>
          <w:p w14:paraId="6F942F55" w14:textId="77777777" w:rsidR="003F5418" w:rsidRDefault="003F5418">
            <w:pPr>
              <w:rPr>
                <w:rFonts w:ascii="Arial Narrow" w:hAnsi="Arial Narrow"/>
                <w:noProof/>
                <w:color w:val="006100"/>
                <w:sz w:val="20"/>
              </w:rPr>
            </w:pPr>
          </w:p>
          <w:p w14:paraId="22E8D375" w14:textId="77777777" w:rsidR="003F5418" w:rsidRDefault="002A6C25">
            <w:pPr>
              <w:pStyle w:val="P68B1DB1-Normal9"/>
              <w:rPr>
                <w:rFonts w:ascii="Arial Narrow" w:hAnsi="Arial Narrow"/>
                <w:noProof/>
              </w:rPr>
            </w:pPr>
            <w:r>
              <w:rPr>
                <w:rFonts w:ascii="Arial Narrow" w:hAnsi="Arial Narrow"/>
                <w:noProof/>
              </w:rPr>
              <w:t>A 250 falu kiválasztásának kritériumai (Inv. 2.1. pont) a MiC, a régiók, az ANCI és a belső területek közösek, amelyek: előzetesen azonosítaniuk kell azokat a</w:t>
            </w:r>
            <w:r>
              <w:rPr>
                <w:rFonts w:ascii="Arial Narrow" w:hAnsi="Arial Narrow"/>
                <w:noProof/>
              </w:rPr>
              <w:t xml:space="preserve"> területi területeket, amelyek a különböző programok egymást kiegészítő jellege miatt (Inv2.1.) támogathatók. Ezt követően a falvak kiválasztása a) területi, gazdasági és társadalmi kritériumok (statisztikai mutatók) alapján történik, b) a projekt azon kép</w:t>
            </w:r>
            <w:r>
              <w:rPr>
                <w:rFonts w:ascii="Arial Narrow" w:hAnsi="Arial Narrow"/>
                <w:noProof/>
              </w:rPr>
              <w:t>essége, hogy hatást gyakoroljon a turisták vonzerejére és növelje a kulturális részvételt. A figyelembe vett statisztikai mutatók a következők: demográfiai méret (népességű települések. &amp;</w:t>
            </w:r>
            <w:r>
              <w:rPr>
                <w:noProof/>
              </w:rPr>
              <w:t xml:space="preserve"> </w:t>
            </w:r>
            <w:r>
              <w:rPr>
                <w:rFonts w:ascii="Arial Narrow" w:hAnsi="Arial Narrow"/>
                <w:noProof/>
              </w:rPr>
              <w:t>5000 fő) és trend; turistaforgalom, múzeumi látogatók; a turisztikai</w:t>
            </w:r>
            <w:r>
              <w:rPr>
                <w:rFonts w:ascii="Arial Narrow" w:hAnsi="Arial Narrow"/>
                <w:noProof/>
              </w:rPr>
              <w:t xml:space="preserve"> kínálat következetessége (szállodák és más szállodák, B &amp;B-k, szobák és bérelhető szálláshelyek); az önkormányzat demográfiai tendenciája; a lakosság kulturális részvételének mértéke; a kulturális, kreatív és idegenforgalmi (profit- és nonprofit) vállalko</w:t>
            </w:r>
            <w:r>
              <w:rPr>
                <w:rFonts w:ascii="Arial Narrow" w:hAnsi="Arial Narrow"/>
                <w:noProof/>
              </w:rPr>
              <w:t>zások és a velük kapcsolatban álló alkalmazottak következetessége.</w:t>
            </w:r>
          </w:p>
          <w:p w14:paraId="5904E17B" w14:textId="77777777" w:rsidR="003F5418" w:rsidRDefault="002A6C25">
            <w:pPr>
              <w:pStyle w:val="P68B1DB1-Normal4"/>
              <w:rPr>
                <w:noProof/>
              </w:rPr>
            </w:pPr>
            <w:r>
              <w:rPr>
                <w:noProof/>
              </w:rPr>
              <w:t xml:space="preserve">A versenypályázati felhívások keretében kiválasztott projekteknek odaítélt szerződéseknek a következőket kell magukban foglalniuk: </w:t>
            </w:r>
          </w:p>
          <w:p w14:paraId="2B4B0B72" w14:textId="77777777" w:rsidR="003F5418" w:rsidRDefault="002A6C25">
            <w:pPr>
              <w:pStyle w:val="P68B1DB1-Normal4"/>
              <w:rPr>
                <w:noProof/>
              </w:rPr>
            </w:pPr>
            <w:r>
              <w:rPr>
                <w:noProof/>
              </w:rPr>
              <w:t>a) támogathatósági kritériumok, amelyek egy kizárási list</w:t>
            </w:r>
            <w:r>
              <w:rPr>
                <w:noProof/>
              </w:rPr>
              <w:t xml:space="preserve">a, valamint a vonatkozó uniós és nemzeti környezetvédelmi jogszabályoknak való megfelelés követelménye révén biztosítják, hogy a kiválasztott projektek megfeleljenek a jelentős károkozás elkerülését célzó technikai iránymutatásnak (2021/C58/01). </w:t>
            </w:r>
          </w:p>
          <w:p w14:paraId="7902CD22" w14:textId="77777777" w:rsidR="003F5418" w:rsidRDefault="002A6C25">
            <w:pPr>
              <w:pStyle w:val="P68B1DB1-Normal4"/>
              <w:rPr>
                <w:noProof/>
              </w:rPr>
            </w:pPr>
            <w:r>
              <w:rPr>
                <w:noProof/>
              </w:rPr>
              <w:t>b) Kötele</w:t>
            </w:r>
            <w:r>
              <w:rPr>
                <w:noProof/>
              </w:rPr>
              <w:t xml:space="preserve">zettségvállalás arra, hogy a beruházás éghajlat-politikai hozzájárulása az (EU) 2021/241 rendelet VI. mellékletében szereplő módszertan szerint a Helyreállítási és Rezilienciaépítési Eszközből támogatott beruházás összköltségének legalább 25%-át teszi ki. </w:t>
            </w:r>
          </w:p>
          <w:p w14:paraId="7B847E72" w14:textId="77777777" w:rsidR="003F5418" w:rsidRDefault="002A6C25">
            <w:pPr>
              <w:pStyle w:val="P68B1DB1-Normal4"/>
              <w:rPr>
                <w:noProof/>
              </w:rPr>
            </w:pPr>
            <w:r>
              <w:rPr>
                <w:noProof/>
              </w:rPr>
              <w:t>C) Kötelezettségvállalás arra, hogy jelentést tesznek az intézkedés végrehajtásáról a program időtartamának félidejében és a program végén.</w:t>
            </w:r>
          </w:p>
          <w:p w14:paraId="24F3C73D" w14:textId="77777777" w:rsidR="003F5418" w:rsidRDefault="003F5418">
            <w:pPr>
              <w:rPr>
                <w:rFonts w:ascii="Arial Narrow" w:hAnsi="Arial Narrow"/>
                <w:noProof/>
                <w:color w:val="006100"/>
                <w:sz w:val="20"/>
              </w:rPr>
            </w:pPr>
          </w:p>
        </w:tc>
      </w:tr>
      <w:tr w:rsidR="003F5418" w14:paraId="3E6BEEB5" w14:textId="77777777">
        <w:trPr>
          <w:trHeight w:val="313"/>
          <w:jc w:val="center"/>
        </w:trPr>
        <w:tc>
          <w:tcPr>
            <w:tcW w:w="377" w:type="pct"/>
            <w:shd w:val="clear" w:color="auto" w:fill="C6EFCE"/>
            <w:noWrap/>
            <w:vAlign w:val="center"/>
          </w:tcPr>
          <w:p w14:paraId="2883FF8A" w14:textId="77777777" w:rsidR="003F5418" w:rsidRDefault="002A6C25">
            <w:pPr>
              <w:pStyle w:val="P68B1DB1-Normal4"/>
              <w:jc w:val="center"/>
              <w:rPr>
                <w:noProof/>
              </w:rPr>
            </w:pPr>
            <w:r>
              <w:rPr>
                <w:noProof/>
              </w:rPr>
              <w:t>M1C3–13</w:t>
            </w:r>
          </w:p>
        </w:tc>
        <w:tc>
          <w:tcPr>
            <w:tcW w:w="520" w:type="pct"/>
            <w:shd w:val="clear" w:color="auto" w:fill="C6EFCE"/>
            <w:noWrap/>
            <w:vAlign w:val="center"/>
          </w:tcPr>
          <w:p w14:paraId="6AEF286C" w14:textId="77777777" w:rsidR="003F5418" w:rsidRDefault="002A6C25">
            <w:pPr>
              <w:pStyle w:val="P68B1DB1-Normal4"/>
              <w:jc w:val="center"/>
              <w:rPr>
                <w:noProof/>
              </w:rPr>
            </w:pPr>
            <w:r>
              <w:rPr>
                <w:noProof/>
              </w:rPr>
              <w:t>Beruházás – A vidéki építészet és táj védelme és fejlesztése</w:t>
            </w:r>
          </w:p>
        </w:tc>
        <w:tc>
          <w:tcPr>
            <w:tcW w:w="378" w:type="pct"/>
            <w:shd w:val="clear" w:color="auto" w:fill="C6EFCE"/>
            <w:noWrap/>
            <w:vAlign w:val="center"/>
          </w:tcPr>
          <w:p w14:paraId="73EEA886"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25C40F19" w14:textId="77777777" w:rsidR="003F5418" w:rsidRDefault="002A6C25">
            <w:pPr>
              <w:pStyle w:val="P68B1DB1-Normal4"/>
              <w:jc w:val="center"/>
              <w:rPr>
                <w:noProof/>
              </w:rPr>
            </w:pPr>
            <w:r>
              <w:rPr>
                <w:noProof/>
              </w:rPr>
              <w:t xml:space="preserve">A Kultúra Minisztérium </w:t>
            </w:r>
            <w:r>
              <w:rPr>
                <w:noProof/>
              </w:rPr>
              <w:t>forráselosztásról szóló rendeletének hatálybalépése:</w:t>
            </w:r>
          </w:p>
          <w:p w14:paraId="6D83F3A4" w14:textId="77777777" w:rsidR="003F5418" w:rsidRDefault="002A6C25">
            <w:pPr>
              <w:pStyle w:val="P68B1DB1-Normal4"/>
              <w:jc w:val="center"/>
              <w:rPr>
                <w:noProof/>
              </w:rPr>
            </w:pPr>
            <w:r>
              <w:rPr>
                <w:noProof/>
              </w:rPr>
              <w:t>a vidéki architektúra és tájvédelemért és -fejlesztésért</w:t>
            </w:r>
          </w:p>
        </w:tc>
        <w:tc>
          <w:tcPr>
            <w:tcW w:w="520" w:type="pct"/>
            <w:shd w:val="clear" w:color="auto" w:fill="C6EFCE"/>
            <w:noWrap/>
            <w:vAlign w:val="center"/>
          </w:tcPr>
          <w:p w14:paraId="7A26D84E" w14:textId="77777777" w:rsidR="003F5418" w:rsidRDefault="002A6C25">
            <w:pPr>
              <w:pStyle w:val="P68B1DB1-Normal4"/>
              <w:jc w:val="center"/>
              <w:rPr>
                <w:noProof/>
              </w:rPr>
            </w:pPr>
            <w:r>
              <w:rPr>
                <w:noProof/>
              </w:rPr>
              <w:t>A Kultúra Minisztérium (MIC) rendeletének hatályba lépéséről szóló rendeletben szereplő rendelkezés a források elosztásáról</w:t>
            </w:r>
          </w:p>
          <w:p w14:paraId="3F4520BF" w14:textId="77777777" w:rsidR="003F5418" w:rsidRDefault="002A6C25">
            <w:pPr>
              <w:pStyle w:val="P68B1DB1-Normal4"/>
              <w:jc w:val="center"/>
              <w:rPr>
                <w:noProof/>
              </w:rPr>
            </w:pPr>
            <w:r>
              <w:rPr>
                <w:noProof/>
              </w:rPr>
              <w:t xml:space="preserve">a vidéki architektúra </w:t>
            </w:r>
            <w:r>
              <w:rPr>
                <w:noProof/>
              </w:rPr>
              <w:t>és tájvédelemért és -fejlesztésért</w:t>
            </w:r>
          </w:p>
        </w:tc>
        <w:tc>
          <w:tcPr>
            <w:tcW w:w="331" w:type="pct"/>
            <w:shd w:val="clear" w:color="auto" w:fill="C6EFCE"/>
            <w:noWrap/>
            <w:vAlign w:val="center"/>
          </w:tcPr>
          <w:p w14:paraId="5A061554"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366D1E78"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1336AB1A"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334EBF31" w14:textId="77777777" w:rsidR="003F5418" w:rsidRDefault="002A6C25">
            <w:pPr>
              <w:pStyle w:val="P68B1DB1-Normal4"/>
              <w:jc w:val="center"/>
              <w:rPr>
                <w:noProof/>
              </w:rPr>
            </w:pPr>
            <w:r>
              <w:rPr>
                <w:noProof/>
              </w:rPr>
              <w:t>Q2</w:t>
            </w:r>
          </w:p>
        </w:tc>
        <w:tc>
          <w:tcPr>
            <w:tcW w:w="220" w:type="pct"/>
            <w:shd w:val="clear" w:color="auto" w:fill="C6EFCE"/>
            <w:noWrap/>
            <w:vAlign w:val="center"/>
          </w:tcPr>
          <w:p w14:paraId="6F097DDC"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5A2E5090" w14:textId="77777777" w:rsidR="003F5418" w:rsidRDefault="002A6C25">
            <w:pPr>
              <w:pStyle w:val="P68B1DB1-Normal4"/>
              <w:rPr>
                <w:noProof/>
              </w:rPr>
            </w:pPr>
            <w:r>
              <w:rPr>
                <w:noProof/>
              </w:rPr>
              <w:t>A Kultúra Minisztérium rendelete a forrásokat</w:t>
            </w:r>
          </w:p>
          <w:p w14:paraId="3DD59707" w14:textId="77777777" w:rsidR="003F5418" w:rsidRDefault="002A6C25">
            <w:pPr>
              <w:pStyle w:val="P68B1DB1-Normal4"/>
              <w:rPr>
                <w:noProof/>
              </w:rPr>
            </w:pPr>
            <w:r>
              <w:rPr>
                <w:noProof/>
              </w:rPr>
              <w:t xml:space="preserve">a vidéki architektúra és táj védelme és fejlesztése. </w:t>
            </w:r>
          </w:p>
          <w:p w14:paraId="460FC4E7" w14:textId="77777777" w:rsidR="003F5418" w:rsidRDefault="003F5418">
            <w:pPr>
              <w:rPr>
                <w:rFonts w:ascii="Arial Narrow" w:hAnsi="Arial Narrow"/>
                <w:noProof/>
                <w:color w:val="006100"/>
                <w:sz w:val="20"/>
              </w:rPr>
            </w:pPr>
          </w:p>
          <w:p w14:paraId="6601B831" w14:textId="77777777" w:rsidR="003F5418" w:rsidRDefault="002A6C25">
            <w:pPr>
              <w:pStyle w:val="P68B1DB1-Normal4"/>
              <w:rPr>
                <w:noProof/>
              </w:rPr>
            </w:pPr>
            <w:r>
              <w:rPr>
                <w:noProof/>
              </w:rPr>
              <w:t xml:space="preserve">A vidéki építészet és táj védelme és fejlesztése érdekében (Inv 2.2) a hasznosítandó eszközök </w:t>
            </w:r>
            <w:r>
              <w:rPr>
                <w:noProof/>
              </w:rPr>
              <w:t>kiválasztása kiváltja a beruházás azon képességét, hogy hatást gyakoroljon a tájképi értékek megőrzési célkitűzéseire. Elsőbbséget kell biztosítani:</w:t>
            </w:r>
          </w:p>
          <w:p w14:paraId="6B042DAE" w14:textId="77777777" w:rsidR="003F5418" w:rsidRDefault="002A6C25">
            <w:pPr>
              <w:pStyle w:val="P68B1DB1-Normal4"/>
              <w:rPr>
                <w:noProof/>
              </w:rPr>
            </w:pPr>
            <w:r>
              <w:rPr>
                <w:noProof/>
              </w:rPr>
              <w:t>– nagy tájértékű területeken található eszközökre (a tájképi jelentőségű vagy jelentős közérdeket képviselő</w:t>
            </w:r>
            <w:r>
              <w:rPr>
                <w:noProof/>
              </w:rPr>
              <w:t xml:space="preserve"> területeken található eszközök [a 42/2004. sz. DLgs 142–139. cikke]), az UNESCO által elismert tájakra, FAO GIAHS;</w:t>
            </w:r>
          </w:p>
          <w:p w14:paraId="1A594C0C" w14:textId="77777777" w:rsidR="003F5418" w:rsidRDefault="002A6C25">
            <w:pPr>
              <w:pStyle w:val="P68B1DB1-Normal4"/>
              <w:rPr>
                <w:noProof/>
              </w:rPr>
            </w:pPr>
            <w:r>
              <w:rPr>
                <w:noProof/>
              </w:rPr>
              <w:t>– nyilvános használatra már rendelkezésre álló eszközökre, vagy a tulajdonos beleegyezik abba, hogy hozzáférhetőek legyenek a helyi és integ</w:t>
            </w:r>
            <w:r>
              <w:rPr>
                <w:noProof/>
              </w:rPr>
              <w:t>rált áramkörökön és hálózatokon belül is;</w:t>
            </w:r>
          </w:p>
          <w:p w14:paraId="6EC7281F" w14:textId="77777777" w:rsidR="003F5418" w:rsidRDefault="002A6C25">
            <w:pPr>
              <w:pStyle w:val="P68B1DB1-Normal4"/>
              <w:rPr>
                <w:noProof/>
              </w:rPr>
            </w:pPr>
            <w:r>
              <w:rPr>
                <w:noProof/>
              </w:rPr>
              <w:t>– „területprojektekre”, amelyeket összevont témák szerint mutatnak be, és amelyek hatékonyabban tudják biztosítani a tájrendezési célkitűzések elérését;</w:t>
            </w:r>
          </w:p>
          <w:p w14:paraId="695B1D34" w14:textId="77777777" w:rsidR="003F5418" w:rsidRDefault="002A6C25">
            <w:pPr>
              <w:pStyle w:val="P68B1DB1-Normal4"/>
              <w:rPr>
                <w:noProof/>
              </w:rPr>
            </w:pPr>
            <w:r>
              <w:rPr>
                <w:noProof/>
              </w:rPr>
              <w:t xml:space="preserve">– olyan területeken található projektek, amelyek fokozzák az </w:t>
            </w:r>
            <w:r>
              <w:rPr>
                <w:noProof/>
              </w:rPr>
              <w:t>integrációt és a szinergiákat a PNRR más jelöltjeivel, valamint a nemzeti programozás (Kultúra Minisztérium) által támogatott egyéb területi jellegű tervekkel/projektekkel.</w:t>
            </w:r>
          </w:p>
          <w:p w14:paraId="677C3C1D" w14:textId="77777777" w:rsidR="003F5418" w:rsidRDefault="002A6C25">
            <w:pPr>
              <w:pStyle w:val="P68B1DB1-Normal4"/>
              <w:rPr>
                <w:noProof/>
              </w:rPr>
            </w:pPr>
            <w:r>
              <w:rPr>
                <w:noProof/>
              </w:rPr>
              <w:t xml:space="preserve">A beavatkozás tárgyát képező vidéki architektúra típusainak meghatározása céljából </w:t>
            </w:r>
            <w:r>
              <w:rPr>
                <w:noProof/>
              </w:rPr>
              <w:t xml:space="preserve">a MiBAC 2005. október 6-i rendelete (a 2003. december 24-i 378. sz. törvény végrehajtása keretében – a vidéki építészet védelme és fejlesztése) hivatkozási alapul szolgálhat. A kritériumok előzetesen a következőkre vonatkozhatnak: az eszközök megőrzésének </w:t>
            </w:r>
            <w:r>
              <w:rPr>
                <w:noProof/>
              </w:rPr>
              <w:t>állapota, a felhasználás szintje, ezen eszközök szerepe a területi és városi környezetben.</w:t>
            </w:r>
          </w:p>
          <w:p w14:paraId="241B17C7" w14:textId="77777777" w:rsidR="003F5418" w:rsidRDefault="002A6C25">
            <w:pPr>
              <w:pStyle w:val="P68B1DB1-Normal4"/>
              <w:rPr>
                <w:noProof/>
              </w:rPr>
            </w:pPr>
            <w:r>
              <w:rPr>
                <w:noProof/>
              </w:rPr>
              <w:t>A versenypályázati felhívások keretében kiválasztott projekteknek odaítélt szerződéseknek meg kell felelniük a jelentős károkozás elkerülését célzó technikai iránymu</w:t>
            </w:r>
            <w:r>
              <w:rPr>
                <w:noProof/>
              </w:rPr>
              <w:t>tatásnak (2021/C58/01) a kizárási lista, valamint a vonatkozó uniós és nemzeti környezetvédelmi jogszabályoknak való megfelelés követelménye révén.</w:t>
            </w:r>
          </w:p>
        </w:tc>
      </w:tr>
      <w:tr w:rsidR="003F5418" w14:paraId="70631621" w14:textId="77777777">
        <w:trPr>
          <w:trHeight w:val="313"/>
          <w:jc w:val="center"/>
        </w:trPr>
        <w:tc>
          <w:tcPr>
            <w:tcW w:w="377" w:type="pct"/>
            <w:shd w:val="clear" w:color="auto" w:fill="C6EFCE"/>
            <w:noWrap/>
            <w:vAlign w:val="center"/>
          </w:tcPr>
          <w:p w14:paraId="4DB15F2F" w14:textId="77777777" w:rsidR="003F5418" w:rsidRDefault="002A6C25">
            <w:pPr>
              <w:pStyle w:val="P68B1DB1-Normal4"/>
              <w:jc w:val="center"/>
              <w:rPr>
                <w:noProof/>
              </w:rPr>
            </w:pPr>
            <w:r>
              <w:rPr>
                <w:noProof/>
              </w:rPr>
              <w:t>M1C3–14</w:t>
            </w:r>
          </w:p>
        </w:tc>
        <w:tc>
          <w:tcPr>
            <w:tcW w:w="520" w:type="pct"/>
            <w:shd w:val="clear" w:color="auto" w:fill="C6EFCE"/>
            <w:noWrap/>
            <w:vAlign w:val="center"/>
          </w:tcPr>
          <w:p w14:paraId="289D6837" w14:textId="77777777" w:rsidR="003F5418" w:rsidRDefault="002A6C25">
            <w:pPr>
              <w:pStyle w:val="P68B1DB1-Normal4"/>
              <w:jc w:val="center"/>
              <w:rPr>
                <w:noProof/>
              </w:rPr>
            </w:pPr>
            <w:r>
              <w:rPr>
                <w:noProof/>
              </w:rPr>
              <w:t>Beruházás – A helyek, parkok és történelmi kertek identitásának javítását célzó programok</w:t>
            </w:r>
          </w:p>
        </w:tc>
        <w:tc>
          <w:tcPr>
            <w:tcW w:w="378" w:type="pct"/>
            <w:shd w:val="clear" w:color="auto" w:fill="C6EFCE"/>
            <w:noWrap/>
            <w:vAlign w:val="center"/>
          </w:tcPr>
          <w:p w14:paraId="39B3CD2A"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41D28D2A" w14:textId="77777777" w:rsidR="003F5418" w:rsidRDefault="002A6C25">
            <w:pPr>
              <w:pStyle w:val="P68B1DB1-Normal4"/>
              <w:jc w:val="center"/>
              <w:rPr>
                <w:noProof/>
              </w:rPr>
            </w:pPr>
            <w:r>
              <w:rPr>
                <w:noProof/>
              </w:rPr>
              <w:t>A Kultúra Minisztérium forráselosztásról szóló rendeletének hatálybalépése: a helyszínek, parkok és történelmi kertek identitásának javítását célzó projektek esetében</w:t>
            </w:r>
          </w:p>
          <w:p w14:paraId="457E53FB" w14:textId="77777777" w:rsidR="003F5418" w:rsidRDefault="003F5418">
            <w:pPr>
              <w:jc w:val="center"/>
              <w:rPr>
                <w:rFonts w:ascii="Arial Narrow" w:hAnsi="Arial Narrow"/>
                <w:noProof/>
                <w:color w:val="006100"/>
                <w:sz w:val="20"/>
              </w:rPr>
            </w:pPr>
          </w:p>
        </w:tc>
        <w:tc>
          <w:tcPr>
            <w:tcW w:w="520" w:type="pct"/>
            <w:shd w:val="clear" w:color="auto" w:fill="C6EFCE"/>
            <w:noWrap/>
            <w:vAlign w:val="center"/>
          </w:tcPr>
          <w:p w14:paraId="1A68A837" w14:textId="77777777" w:rsidR="003F5418" w:rsidRDefault="002A6C25">
            <w:pPr>
              <w:pStyle w:val="P68B1DB1-Normal4"/>
              <w:jc w:val="center"/>
              <w:rPr>
                <w:noProof/>
              </w:rPr>
            </w:pPr>
            <w:r>
              <w:rPr>
                <w:noProof/>
              </w:rPr>
              <w:t xml:space="preserve">A Kultúra Minisztérium rendeletének hatályba lépéséről szóló rendelet rendelkezése a </w:t>
            </w:r>
            <w:r>
              <w:rPr>
                <w:noProof/>
              </w:rPr>
              <w:t>helyek, parkok és történelmi kertek azonosságának javítását célzó projektekhez szükséges források elosztásáról</w:t>
            </w:r>
          </w:p>
        </w:tc>
        <w:tc>
          <w:tcPr>
            <w:tcW w:w="331" w:type="pct"/>
            <w:shd w:val="clear" w:color="auto" w:fill="C6EFCE"/>
            <w:noWrap/>
            <w:vAlign w:val="center"/>
          </w:tcPr>
          <w:p w14:paraId="3C0A0C44"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68854EB6"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5D299D4B"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208425C8" w14:textId="77777777" w:rsidR="003F5418" w:rsidRDefault="002A6C25">
            <w:pPr>
              <w:pStyle w:val="P68B1DB1-Normal4"/>
              <w:jc w:val="center"/>
              <w:rPr>
                <w:noProof/>
              </w:rPr>
            </w:pPr>
            <w:r>
              <w:rPr>
                <w:noProof/>
              </w:rPr>
              <w:t>Q2</w:t>
            </w:r>
          </w:p>
        </w:tc>
        <w:tc>
          <w:tcPr>
            <w:tcW w:w="220" w:type="pct"/>
            <w:shd w:val="clear" w:color="auto" w:fill="C6EFCE"/>
            <w:noWrap/>
            <w:vAlign w:val="center"/>
          </w:tcPr>
          <w:p w14:paraId="08AA33D7"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04936BD7" w14:textId="77777777" w:rsidR="003F5418" w:rsidRDefault="002A6C25">
            <w:pPr>
              <w:pStyle w:val="P68B1DB1-Normal4"/>
              <w:rPr>
                <w:noProof/>
              </w:rPr>
            </w:pPr>
            <w:r>
              <w:rPr>
                <w:noProof/>
              </w:rPr>
              <w:t>A kulturális minisztérium rendelete a helységek, parkok és történelmi kertek identitásának javítását célzó projektekért</w:t>
            </w:r>
            <w:r>
              <w:rPr>
                <w:noProof/>
              </w:rPr>
              <w:t xml:space="preserve"> felelős közigazgatási szervek rendelkezésére bocsátja a forrásokat.</w:t>
            </w:r>
          </w:p>
          <w:p w14:paraId="269CDB71" w14:textId="77777777" w:rsidR="003F5418" w:rsidRDefault="003F5418">
            <w:pPr>
              <w:rPr>
                <w:rFonts w:ascii="Arial Narrow" w:hAnsi="Arial Narrow"/>
                <w:noProof/>
                <w:color w:val="006100"/>
                <w:sz w:val="20"/>
              </w:rPr>
            </w:pPr>
          </w:p>
          <w:p w14:paraId="6A9B4AB3" w14:textId="77777777" w:rsidR="003F5418" w:rsidRDefault="002A6C25">
            <w:pPr>
              <w:pStyle w:val="P68B1DB1-Normal4"/>
              <w:rPr>
                <w:noProof/>
              </w:rPr>
            </w:pPr>
            <w:r>
              <w:rPr>
                <w:noProof/>
              </w:rPr>
              <w:t>Történelmi parkok és kertek (Inv. A beavatkozás tárgyát képező kulturális javak kizárólag olyan védett kulturális javak, amelyek tekintetében bejelentették a művészi vagy történelmi érde</w:t>
            </w:r>
            <w:r>
              <w:rPr>
                <w:noProof/>
              </w:rPr>
              <w:t>keket. Mind az Állami Kulturális Minisztériumhoz (MiC), mind a nem állami vagyonhoz tartozhatnak. A kiválasztás olyan kritériumok alapján történik, amelyeket a MiC, az Egyetem, az ANCI és az ágazati szövetségek képviselőiből álló műszaki-tudományos koordin</w:t>
            </w:r>
            <w:r>
              <w:rPr>
                <w:noProof/>
              </w:rPr>
              <w:t>ációs csoport határoz meg.</w:t>
            </w:r>
          </w:p>
          <w:p w14:paraId="628DAE42" w14:textId="77777777" w:rsidR="003F5418" w:rsidRDefault="002A6C25">
            <w:pPr>
              <w:pStyle w:val="P68B1DB1-Normal4"/>
              <w:rPr>
                <w:noProof/>
              </w:rPr>
            </w:pPr>
            <w:r>
              <w:rPr>
                <w:noProof/>
              </w:rPr>
              <w:t>A versenypályázati felhívások keretében kiválasztott projekteknek odaítélt szerződéseknek meg kell felelniük a jelentős károkozás elkerülését célzó technikai iránymutatásnak (2021/C58/01) a kizárási lista, valamint a vonatkozó un</w:t>
            </w:r>
            <w:r>
              <w:rPr>
                <w:noProof/>
              </w:rPr>
              <w:t>iós és nemzeti környezetvédelmi jogszabályoknak való megfelelés követelménye révén.</w:t>
            </w:r>
          </w:p>
        </w:tc>
      </w:tr>
      <w:tr w:rsidR="003F5418" w14:paraId="7896FBEE" w14:textId="77777777">
        <w:trPr>
          <w:trHeight w:val="313"/>
          <w:jc w:val="center"/>
        </w:trPr>
        <w:tc>
          <w:tcPr>
            <w:tcW w:w="377" w:type="pct"/>
            <w:shd w:val="clear" w:color="auto" w:fill="C6EFCE"/>
            <w:noWrap/>
            <w:vAlign w:val="center"/>
          </w:tcPr>
          <w:p w14:paraId="2454EF5E" w14:textId="77777777" w:rsidR="003F5418" w:rsidRDefault="002A6C25">
            <w:pPr>
              <w:pStyle w:val="P68B1DB1-Normal4"/>
              <w:jc w:val="center"/>
              <w:rPr>
                <w:noProof/>
              </w:rPr>
            </w:pPr>
            <w:r>
              <w:rPr>
                <w:noProof/>
              </w:rPr>
              <w:t>M1C3–15</w:t>
            </w:r>
          </w:p>
        </w:tc>
        <w:tc>
          <w:tcPr>
            <w:tcW w:w="520" w:type="pct"/>
            <w:shd w:val="clear" w:color="auto" w:fill="C6EFCE"/>
            <w:noWrap/>
            <w:vAlign w:val="center"/>
          </w:tcPr>
          <w:p w14:paraId="696FBAE5" w14:textId="77777777" w:rsidR="003F5418" w:rsidRDefault="002A6C25">
            <w:pPr>
              <w:pStyle w:val="P68B1DB1-Normal4"/>
              <w:jc w:val="center"/>
              <w:rPr>
                <w:noProof/>
              </w:rPr>
            </w:pPr>
            <w:r>
              <w:rPr>
                <w:noProof/>
              </w:rPr>
              <w:t>Beruházás – Az imahelyek szeizmikus biztonsága, a FEC örökségének és a műalkotások menedékhelyeinek helyreállítása</w:t>
            </w:r>
          </w:p>
        </w:tc>
        <w:tc>
          <w:tcPr>
            <w:tcW w:w="378" w:type="pct"/>
            <w:shd w:val="clear" w:color="auto" w:fill="C6EFCE"/>
            <w:noWrap/>
            <w:vAlign w:val="center"/>
          </w:tcPr>
          <w:p w14:paraId="7E61C38C"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0797C255" w14:textId="77777777" w:rsidR="003F5418" w:rsidRDefault="002A6C25">
            <w:pPr>
              <w:pStyle w:val="P68B1DB1-Normal4"/>
              <w:jc w:val="center"/>
              <w:rPr>
                <w:noProof/>
              </w:rPr>
            </w:pPr>
            <w:r>
              <w:rPr>
                <w:noProof/>
              </w:rPr>
              <w:t xml:space="preserve">A Kultúra Minisztérium </w:t>
            </w:r>
            <w:r>
              <w:rPr>
                <w:noProof/>
              </w:rPr>
              <w:t>forráselosztásról szóló rendeletének hatálybalépése:</w:t>
            </w:r>
          </w:p>
          <w:p w14:paraId="6406DCB7" w14:textId="77777777" w:rsidR="003F5418" w:rsidRDefault="002A6C25">
            <w:pPr>
              <w:pStyle w:val="P68B1DB1-Normal4"/>
              <w:jc w:val="center"/>
              <w:rPr>
                <w:noProof/>
              </w:rPr>
            </w:pPr>
            <w:r>
              <w:rPr>
                <w:noProof/>
              </w:rPr>
              <w:t>a szeizmikus biztonságért az imahelyen és a FEC (Fondo Edifici di Culto) örökségének helyreállítása</w:t>
            </w:r>
          </w:p>
        </w:tc>
        <w:tc>
          <w:tcPr>
            <w:tcW w:w="520" w:type="pct"/>
            <w:shd w:val="clear" w:color="auto" w:fill="C6EFCE"/>
            <w:noWrap/>
            <w:vAlign w:val="center"/>
          </w:tcPr>
          <w:p w14:paraId="764E4E44" w14:textId="77777777" w:rsidR="003F5418" w:rsidRDefault="002A6C25">
            <w:pPr>
              <w:pStyle w:val="P68B1DB1-Normal4"/>
              <w:jc w:val="center"/>
              <w:rPr>
                <w:noProof/>
              </w:rPr>
            </w:pPr>
            <w:r>
              <w:rPr>
                <w:noProof/>
              </w:rPr>
              <w:t xml:space="preserve">A Kultúra Minisztérium rendeletének hatályba lépéséről szóló rendeletben szereplő, a források </w:t>
            </w:r>
            <w:r>
              <w:rPr>
                <w:noProof/>
              </w:rPr>
              <w:t>elosztásáról szóló rendelkezés</w:t>
            </w:r>
          </w:p>
          <w:p w14:paraId="351D7539" w14:textId="77777777" w:rsidR="003F5418" w:rsidRDefault="002A6C25">
            <w:pPr>
              <w:pStyle w:val="P68B1DB1-Normal4"/>
              <w:jc w:val="center"/>
              <w:rPr>
                <w:noProof/>
              </w:rPr>
            </w:pPr>
            <w:r>
              <w:rPr>
                <w:noProof/>
              </w:rPr>
              <w:t>a szeizmikus biztonságért az imahelyen és a FEC (Fondo Edifici di Culto) örökségének helyreállítása</w:t>
            </w:r>
          </w:p>
        </w:tc>
        <w:tc>
          <w:tcPr>
            <w:tcW w:w="331" w:type="pct"/>
            <w:shd w:val="clear" w:color="auto" w:fill="C6EFCE"/>
            <w:noWrap/>
            <w:vAlign w:val="center"/>
          </w:tcPr>
          <w:p w14:paraId="4626E28D"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5CCE02B4"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664A982B"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56BC8F39" w14:textId="77777777" w:rsidR="003F5418" w:rsidRDefault="002A6C25">
            <w:pPr>
              <w:pStyle w:val="P68B1DB1-Normal4"/>
              <w:jc w:val="center"/>
              <w:rPr>
                <w:noProof/>
              </w:rPr>
            </w:pPr>
            <w:r>
              <w:rPr>
                <w:noProof/>
              </w:rPr>
              <w:t>Q2</w:t>
            </w:r>
          </w:p>
        </w:tc>
        <w:tc>
          <w:tcPr>
            <w:tcW w:w="220" w:type="pct"/>
            <w:shd w:val="clear" w:color="auto" w:fill="C6EFCE"/>
            <w:noWrap/>
            <w:vAlign w:val="center"/>
          </w:tcPr>
          <w:p w14:paraId="1ACF633D"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211ED35C" w14:textId="77777777" w:rsidR="003F5418" w:rsidRDefault="003F5418">
            <w:pPr>
              <w:rPr>
                <w:rFonts w:ascii="Arial Narrow" w:hAnsi="Arial Narrow"/>
                <w:noProof/>
                <w:color w:val="006100"/>
                <w:sz w:val="20"/>
              </w:rPr>
            </w:pPr>
          </w:p>
          <w:p w14:paraId="369F2CBD" w14:textId="77777777" w:rsidR="003F5418" w:rsidRDefault="002A6C25">
            <w:pPr>
              <w:pStyle w:val="P68B1DB1-Normal4"/>
              <w:rPr>
                <w:noProof/>
              </w:rPr>
            </w:pPr>
            <w:r>
              <w:rPr>
                <w:noProof/>
              </w:rPr>
              <w:t>A Kultúra Minisztérium rendelete határozza meg a végrehajtó szervet, valamint a beavatkozás tárgyá</w:t>
            </w:r>
            <w:r>
              <w:rPr>
                <w:noProof/>
              </w:rPr>
              <w:t>t képező épületek támogathatóságát és finanszírozását.</w:t>
            </w:r>
          </w:p>
          <w:p w14:paraId="138430F8" w14:textId="77777777" w:rsidR="003F5418" w:rsidRDefault="002A6C25">
            <w:pPr>
              <w:pStyle w:val="P68B1DB1-Normal4"/>
              <w:rPr>
                <w:noProof/>
              </w:rPr>
            </w:pPr>
            <w:r>
              <w:rPr>
                <w:noProof/>
              </w:rPr>
              <w:t>és tipológia.</w:t>
            </w:r>
          </w:p>
          <w:p w14:paraId="5157598F" w14:textId="77777777" w:rsidR="003F5418" w:rsidRDefault="003F5418">
            <w:pPr>
              <w:rPr>
                <w:rFonts w:ascii="Arial Narrow" w:hAnsi="Arial Narrow"/>
                <w:noProof/>
                <w:color w:val="006100"/>
                <w:sz w:val="20"/>
              </w:rPr>
            </w:pPr>
          </w:p>
          <w:p w14:paraId="1F139705" w14:textId="77777777" w:rsidR="003F5418" w:rsidRDefault="002A6C25">
            <w:pPr>
              <w:pStyle w:val="P68B1DB1-Normal4"/>
              <w:rPr>
                <w:noProof/>
              </w:rPr>
            </w:pPr>
            <w:r>
              <w:rPr>
                <w:noProof/>
              </w:rPr>
              <w:t>(INV 2.4) Az imahelyek szeizmikus megelőzési és biztonsági intézkedései azokra a területekre vonatkoznak, amelyeket 2009-től több földrengés sújtott Olaszország régióiban (Abruzzo, Lazio</w:t>
            </w:r>
            <w:r>
              <w:rPr>
                <w:noProof/>
              </w:rPr>
              <w:t>, Marche és Umbria).</w:t>
            </w:r>
          </w:p>
          <w:p w14:paraId="4D956D03" w14:textId="77777777" w:rsidR="003F5418" w:rsidRDefault="002A6C25">
            <w:pPr>
              <w:pStyle w:val="P68B1DB1-Normal4"/>
              <w:rPr>
                <w:noProof/>
              </w:rPr>
            </w:pPr>
            <w:r>
              <w:rPr>
                <w:noProof/>
              </w:rPr>
              <w:t>A FEC (Fondo Edifici di Culto) beavatkozásait a FEC (Fondo Edifici di Culto) örökségének megőrzési állapota alapján választják ki.</w:t>
            </w:r>
          </w:p>
          <w:p w14:paraId="7883EFE4" w14:textId="77777777" w:rsidR="003F5418" w:rsidRDefault="002A6C25">
            <w:pPr>
              <w:pStyle w:val="P68B1DB1-Normal4"/>
              <w:rPr>
                <w:noProof/>
              </w:rPr>
            </w:pPr>
            <w:r>
              <w:rPr>
                <w:noProof/>
              </w:rPr>
              <w:t>A versenypályázati felhívások keretében kiválasztott projekteknek odaítélt szerződéseknek meg kell felel</w:t>
            </w:r>
            <w:r>
              <w:rPr>
                <w:noProof/>
              </w:rPr>
              <w:t>niük a jelentős károkozás elkerülését célzó technikai iránymutatásnak (2021/C58/01) a kizárási lista, valamint a vonatkozó uniós és nemzeti környezetvédelmi jogszabályoknak való megfelelés követelménye révén.</w:t>
            </w:r>
          </w:p>
        </w:tc>
      </w:tr>
      <w:tr w:rsidR="003F5418" w14:paraId="6DD8A3E9" w14:textId="77777777">
        <w:trPr>
          <w:trHeight w:val="313"/>
          <w:jc w:val="center"/>
        </w:trPr>
        <w:tc>
          <w:tcPr>
            <w:tcW w:w="377" w:type="pct"/>
            <w:shd w:val="clear" w:color="auto" w:fill="C6EFCE"/>
            <w:noWrap/>
            <w:vAlign w:val="center"/>
            <w:hideMark/>
          </w:tcPr>
          <w:p w14:paraId="534BCE46" w14:textId="77777777" w:rsidR="003F5418" w:rsidRDefault="002A6C25">
            <w:pPr>
              <w:pStyle w:val="P68B1DB1-Normal4"/>
              <w:jc w:val="center"/>
              <w:rPr>
                <w:noProof/>
              </w:rPr>
            </w:pPr>
            <w:r>
              <w:rPr>
                <w:noProof/>
              </w:rPr>
              <w:t>M1C3–16</w:t>
            </w:r>
          </w:p>
        </w:tc>
        <w:tc>
          <w:tcPr>
            <w:tcW w:w="520" w:type="pct"/>
            <w:shd w:val="clear" w:color="auto" w:fill="C6EFCE"/>
            <w:noWrap/>
            <w:vAlign w:val="center"/>
          </w:tcPr>
          <w:p w14:paraId="1E35342A" w14:textId="77777777" w:rsidR="003F5418" w:rsidRDefault="002A6C25">
            <w:pPr>
              <w:pStyle w:val="P68B1DB1-Normal4"/>
              <w:jc w:val="center"/>
              <w:rPr>
                <w:noProof/>
              </w:rPr>
            </w:pPr>
            <w:r>
              <w:rPr>
                <w:noProof/>
              </w:rPr>
              <w:t xml:space="preserve">Beruházás – 2.1. Kis történelmi </w:t>
            </w:r>
            <w:r>
              <w:rPr>
                <w:noProof/>
              </w:rPr>
              <w:t>városok vonzereje</w:t>
            </w:r>
          </w:p>
        </w:tc>
        <w:tc>
          <w:tcPr>
            <w:tcW w:w="378" w:type="pct"/>
            <w:shd w:val="clear" w:color="auto" w:fill="C6EFCE"/>
            <w:noWrap/>
            <w:vAlign w:val="center"/>
            <w:hideMark/>
          </w:tcPr>
          <w:p w14:paraId="7A1EF5D6" w14:textId="77777777" w:rsidR="003F5418" w:rsidRDefault="002A6C25">
            <w:pPr>
              <w:pStyle w:val="P68B1DB1-Normal4"/>
              <w:jc w:val="center"/>
              <w:rPr>
                <w:noProof/>
              </w:rPr>
            </w:pPr>
            <w:r>
              <w:rPr>
                <w:noProof/>
              </w:rPr>
              <w:t>Cél</w:t>
            </w:r>
          </w:p>
        </w:tc>
        <w:tc>
          <w:tcPr>
            <w:tcW w:w="520" w:type="pct"/>
            <w:shd w:val="clear" w:color="auto" w:fill="C6EFCE"/>
            <w:noWrap/>
            <w:vAlign w:val="center"/>
          </w:tcPr>
          <w:p w14:paraId="10CA16FE" w14:textId="77777777" w:rsidR="003F5418" w:rsidRDefault="002A6C25">
            <w:pPr>
              <w:pStyle w:val="P68B1DB1-Normal4"/>
              <w:jc w:val="center"/>
              <w:rPr>
                <w:noProof/>
              </w:rPr>
            </w:pPr>
            <w:r>
              <w:rPr>
                <w:noProof/>
              </w:rPr>
              <w:t>A kulturális vagy turisztikai helyszínek fejlesztése érdekében végrehajtott beavatkozások</w:t>
            </w:r>
          </w:p>
        </w:tc>
        <w:tc>
          <w:tcPr>
            <w:tcW w:w="520" w:type="pct"/>
            <w:shd w:val="clear" w:color="auto" w:fill="C6EFCE"/>
            <w:noWrap/>
            <w:vAlign w:val="center"/>
            <w:hideMark/>
          </w:tcPr>
          <w:p w14:paraId="33E0D8AE"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53E54CD9" w14:textId="77777777" w:rsidR="003F5418" w:rsidRDefault="002A6C25">
            <w:pPr>
              <w:pStyle w:val="P68B1DB1-Normal4"/>
              <w:jc w:val="center"/>
              <w:rPr>
                <w:noProof/>
              </w:rPr>
            </w:pPr>
            <w:r>
              <w:rPr>
                <w:noProof/>
              </w:rPr>
              <w:t>Szám</w:t>
            </w:r>
          </w:p>
        </w:tc>
        <w:tc>
          <w:tcPr>
            <w:tcW w:w="332" w:type="pct"/>
            <w:shd w:val="clear" w:color="auto" w:fill="C6EFCE"/>
            <w:noWrap/>
            <w:vAlign w:val="center"/>
          </w:tcPr>
          <w:p w14:paraId="1EC1FF2B" w14:textId="77777777" w:rsidR="003F5418" w:rsidRDefault="002A6C25">
            <w:pPr>
              <w:pStyle w:val="P68B1DB1-Normal4"/>
              <w:jc w:val="center"/>
              <w:rPr>
                <w:noProof/>
              </w:rPr>
            </w:pPr>
            <w:r>
              <w:rPr>
                <w:noProof/>
              </w:rPr>
              <w:t>0</w:t>
            </w:r>
          </w:p>
        </w:tc>
        <w:tc>
          <w:tcPr>
            <w:tcW w:w="424" w:type="pct"/>
            <w:shd w:val="clear" w:color="auto" w:fill="C6EFCE"/>
            <w:noWrap/>
            <w:vAlign w:val="center"/>
          </w:tcPr>
          <w:p w14:paraId="1366E266" w14:textId="77777777" w:rsidR="003F5418" w:rsidRDefault="002A6C25">
            <w:pPr>
              <w:pStyle w:val="P68B1DB1-Normal4"/>
              <w:jc w:val="center"/>
              <w:rPr>
                <w:noProof/>
              </w:rPr>
            </w:pPr>
            <w:r>
              <w:rPr>
                <w:noProof/>
              </w:rPr>
              <w:t>1 300</w:t>
            </w:r>
          </w:p>
        </w:tc>
        <w:tc>
          <w:tcPr>
            <w:tcW w:w="332" w:type="pct"/>
            <w:shd w:val="clear" w:color="auto" w:fill="C6EFCE"/>
            <w:noWrap/>
            <w:vAlign w:val="center"/>
            <w:hideMark/>
          </w:tcPr>
          <w:p w14:paraId="6D082B5C"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6D744D20"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21BFA343" w14:textId="77777777" w:rsidR="003F5418" w:rsidRDefault="002A6C25">
            <w:pPr>
              <w:pStyle w:val="P68B1DB1-Normal9"/>
              <w:rPr>
                <w:rFonts w:ascii="Arial Narrow" w:hAnsi="Arial Narrow"/>
                <w:noProof/>
              </w:rPr>
            </w:pPr>
            <w:r>
              <w:rPr>
                <w:rFonts w:ascii="Arial Narrow" w:hAnsi="Arial Narrow"/>
                <w:noProof/>
              </w:rPr>
              <w:t>A cél kielégítő teljesítése attól is függ, hogy legalább 1800 kkv támogatja-e a kis történelmi városok projektjeit.</w:t>
            </w:r>
          </w:p>
          <w:p w14:paraId="4FE704B3" w14:textId="77777777" w:rsidR="003F5418" w:rsidRDefault="003F5418">
            <w:pPr>
              <w:rPr>
                <w:rFonts w:ascii="Arial Narrow" w:hAnsi="Arial Narrow"/>
                <w:noProof/>
                <w:color w:val="006100"/>
                <w:sz w:val="20"/>
              </w:rPr>
            </w:pPr>
          </w:p>
          <w:p w14:paraId="6CAC2C2E" w14:textId="77777777" w:rsidR="003F5418" w:rsidRDefault="002A6C25">
            <w:pPr>
              <w:pStyle w:val="P68B1DB1-Normal4"/>
              <w:rPr>
                <w:noProof/>
              </w:rPr>
            </w:pPr>
            <w:r>
              <w:rPr>
                <w:noProof/>
              </w:rPr>
              <w:t xml:space="preserve">A cél a kulturális és turisztikai helyszínek fejlesztése érdekében végrehajtott beavatkozások számát méri, amelyeket a rendszeres megvalósításra vonatkozó egyedi tanúsítványok igazolnak (a kulturális örökség helyreállítása és helyreállítása, kulturális és </w:t>
            </w:r>
            <w:r>
              <w:rPr>
                <w:noProof/>
              </w:rPr>
              <w:t>idegenforgalmi szolgáltatásokra szánt épületek, kisméretű turisztikai infrastruktúrák). Ez tartalmazza:</w:t>
            </w:r>
          </w:p>
          <w:p w14:paraId="2427C2CB" w14:textId="77777777" w:rsidR="003F5418" w:rsidRDefault="002A6C25">
            <w:pPr>
              <w:pStyle w:val="P68B1DB1-Normal4"/>
              <w:rPr>
                <w:noProof/>
              </w:rPr>
            </w:pPr>
            <w:r>
              <w:rPr>
                <w:noProof/>
              </w:rPr>
              <w:t>–Az épületek és a kulturális szolgáltatások közterületeinek (például múzeumok és könyvtárak) adaptív újrafelhasználása és funkcionális, szerkezeti és be</w:t>
            </w:r>
            <w:r>
              <w:rPr>
                <w:noProof/>
              </w:rPr>
              <w:t>rendezésfejlesztése, az energiahatékonyság javítása, az alternatív és megújuló energia használata, valamint a fogyatékossággal élő személyek hozzáférését korlátozó akadályok felszámolása.</w:t>
            </w:r>
          </w:p>
          <w:p w14:paraId="2468B6BF" w14:textId="77777777" w:rsidR="003F5418" w:rsidRDefault="002A6C25">
            <w:pPr>
              <w:pStyle w:val="P68B1DB1-Normal4"/>
              <w:rPr>
                <w:noProof/>
              </w:rPr>
            </w:pPr>
            <w:r>
              <w:rPr>
                <w:noProof/>
              </w:rPr>
              <w:t>A kulturális örökség megőrzése és hasznosítása (például régészeti, t</w:t>
            </w:r>
            <w:r>
              <w:rPr>
                <w:noProof/>
              </w:rPr>
              <w:t>örténelmi-művészeti, építészeti, demo-etnoantropológiai);</w:t>
            </w:r>
          </w:p>
          <w:p w14:paraId="60377E6C" w14:textId="77777777" w:rsidR="003F5418" w:rsidRDefault="002A6C25">
            <w:pPr>
              <w:pStyle w:val="P68B1DB1-Normal4"/>
              <w:rPr>
                <w:noProof/>
              </w:rPr>
            </w:pPr>
            <w:r>
              <w:rPr>
                <w:noProof/>
              </w:rPr>
              <w:t>–tudás- és információs platformok és integrált információs rendszerek létrehozása),</w:t>
            </w:r>
          </w:p>
          <w:p w14:paraId="4BF9E88C" w14:textId="77777777" w:rsidR="003F5418" w:rsidRDefault="002A6C25">
            <w:pPr>
              <w:pStyle w:val="P68B1DB1-Normal4"/>
              <w:rPr>
                <w:noProof/>
              </w:rPr>
            </w:pPr>
            <w:r>
              <w:rPr>
                <w:noProof/>
              </w:rPr>
              <w:t>kulturális és művészeti tevékenységek létrehozása, kulturális és tematikus útvonalak, történelmi útvonalak, kerékp</w:t>
            </w:r>
            <w:r>
              <w:rPr>
                <w:noProof/>
              </w:rPr>
              <w:t>ár- és/vagy gyalogosútvonalak létrehozása és népszerűsítése a turisztikai-kulturális jelentőségű helyek (például múzeumok, műemlékek, UNESCO-helyszínek, könyvtárak, régészeti területek és egyéb kulturális, vallási és művészeti látványosságok) összekapcsolá</w:t>
            </w:r>
            <w:r>
              <w:rPr>
                <w:noProof/>
              </w:rPr>
              <w:t>sa és használata érdekében;</w:t>
            </w:r>
          </w:p>
          <w:p w14:paraId="4D5B319A" w14:textId="77777777" w:rsidR="003F5418" w:rsidRDefault="002A6C25">
            <w:pPr>
              <w:pStyle w:val="P68B1DB1-Normal4"/>
              <w:rPr>
                <w:noProof/>
              </w:rPr>
            </w:pPr>
            <w:r>
              <w:rPr>
                <w:noProof/>
              </w:rPr>
              <w:t>A kulturális, idegenforgalmi, kereskedelmi, agrár-élelmiszeripari és kézműves vállalkozások támogatása.</w:t>
            </w:r>
          </w:p>
          <w:p w14:paraId="3E8ACC9E" w14:textId="77777777" w:rsidR="003F5418" w:rsidRDefault="002A6C25">
            <w:pPr>
              <w:pStyle w:val="P68B1DB1-Normal4"/>
              <w:rPr>
                <w:noProof/>
              </w:rPr>
            </w:pPr>
            <w:r>
              <w:rPr>
                <w:noProof/>
              </w:rPr>
              <w:t>A beavatkozások 37%-át kevésbé fejlett régiókban kell végrehajtani.</w:t>
            </w:r>
          </w:p>
        </w:tc>
      </w:tr>
      <w:tr w:rsidR="003F5418" w14:paraId="1696EA9D" w14:textId="77777777">
        <w:trPr>
          <w:trHeight w:val="313"/>
          <w:jc w:val="center"/>
        </w:trPr>
        <w:tc>
          <w:tcPr>
            <w:tcW w:w="377" w:type="pct"/>
            <w:shd w:val="clear" w:color="auto" w:fill="C6EFCE"/>
            <w:noWrap/>
            <w:vAlign w:val="center"/>
            <w:hideMark/>
          </w:tcPr>
          <w:p w14:paraId="2B150BAB" w14:textId="77777777" w:rsidR="003F5418" w:rsidRDefault="002A6C25">
            <w:pPr>
              <w:pStyle w:val="P68B1DB1-Normal4"/>
              <w:jc w:val="center"/>
              <w:rPr>
                <w:noProof/>
              </w:rPr>
            </w:pPr>
            <w:r>
              <w:rPr>
                <w:noProof/>
              </w:rPr>
              <w:t>M1C3–17</w:t>
            </w:r>
          </w:p>
        </w:tc>
        <w:tc>
          <w:tcPr>
            <w:tcW w:w="520" w:type="pct"/>
            <w:shd w:val="clear" w:color="auto" w:fill="C6EFCE"/>
            <w:noWrap/>
            <w:vAlign w:val="center"/>
            <w:hideMark/>
          </w:tcPr>
          <w:p w14:paraId="616D79DC" w14:textId="77777777" w:rsidR="003F5418" w:rsidRDefault="002A6C25">
            <w:pPr>
              <w:pStyle w:val="P68B1DB1-Normal4"/>
              <w:jc w:val="center"/>
              <w:rPr>
                <w:noProof/>
              </w:rPr>
            </w:pPr>
            <w:r>
              <w:rPr>
                <w:noProof/>
              </w:rPr>
              <w:t xml:space="preserve">Beruházás – 2.2. A vidéki építészet és táj </w:t>
            </w:r>
            <w:r>
              <w:rPr>
                <w:noProof/>
              </w:rPr>
              <w:t>védelme és fejlesztése</w:t>
            </w:r>
          </w:p>
        </w:tc>
        <w:tc>
          <w:tcPr>
            <w:tcW w:w="378" w:type="pct"/>
            <w:shd w:val="clear" w:color="auto" w:fill="C6EFCE"/>
            <w:noWrap/>
            <w:vAlign w:val="center"/>
            <w:hideMark/>
          </w:tcPr>
          <w:p w14:paraId="3FE8C57D"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5FED1AB5" w14:textId="77777777" w:rsidR="003F5418" w:rsidRDefault="002A6C25">
            <w:pPr>
              <w:pStyle w:val="P68B1DB1-Normal4"/>
              <w:jc w:val="center"/>
              <w:rPr>
                <w:noProof/>
              </w:rPr>
            </w:pPr>
            <w:r>
              <w:rPr>
                <w:noProof/>
              </w:rPr>
              <w:t>A vidéki építészet és táj védelmét és javítását célzó beavatkozások lezárása</w:t>
            </w:r>
          </w:p>
        </w:tc>
        <w:tc>
          <w:tcPr>
            <w:tcW w:w="520" w:type="pct"/>
            <w:shd w:val="clear" w:color="auto" w:fill="C6EFCE"/>
            <w:noWrap/>
            <w:vAlign w:val="center"/>
            <w:hideMark/>
          </w:tcPr>
          <w:p w14:paraId="26268AD7"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2FA921F7"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0688BBA1"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4692BA1F" w14:textId="77777777" w:rsidR="003F5418" w:rsidRDefault="002A6C25">
            <w:pPr>
              <w:pStyle w:val="P68B1DB1-Normal4"/>
              <w:jc w:val="center"/>
              <w:rPr>
                <w:noProof/>
              </w:rPr>
            </w:pPr>
            <w:r>
              <w:rPr>
                <w:noProof/>
              </w:rPr>
              <w:t>3 000</w:t>
            </w:r>
          </w:p>
        </w:tc>
        <w:tc>
          <w:tcPr>
            <w:tcW w:w="332" w:type="pct"/>
            <w:shd w:val="clear" w:color="auto" w:fill="C6EFCE"/>
            <w:noWrap/>
            <w:vAlign w:val="center"/>
            <w:hideMark/>
          </w:tcPr>
          <w:p w14:paraId="05FB1EAB"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0DD42CB6"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1FC40A80" w14:textId="77777777" w:rsidR="003F5418" w:rsidRDefault="002A6C25">
            <w:pPr>
              <w:pStyle w:val="P68B1DB1-Normal4"/>
              <w:rPr>
                <w:noProof/>
              </w:rPr>
            </w:pPr>
            <w:r>
              <w:rPr>
                <w:noProof/>
              </w:rPr>
              <w:t>A célmegállapítja</w:t>
            </w:r>
            <w:r>
              <w:rPr>
                <w:noProof/>
              </w:rPr>
              <w:t xml:space="preserve"> a befejezett beavatkozások tárgyát képező eszközök teljes számát (ahogyan azt a munkálatok rendszeres végrehajtásáról szóló igazolás igazolja).</w:t>
            </w:r>
          </w:p>
          <w:p w14:paraId="3ED395CF" w14:textId="77777777" w:rsidR="003F5418" w:rsidRDefault="003F5418">
            <w:pPr>
              <w:rPr>
                <w:rFonts w:ascii="Arial Narrow" w:hAnsi="Arial Narrow"/>
                <w:noProof/>
                <w:color w:val="006100"/>
                <w:sz w:val="20"/>
              </w:rPr>
            </w:pPr>
          </w:p>
          <w:p w14:paraId="562700B6" w14:textId="77777777" w:rsidR="003F5418" w:rsidRDefault="002A6C25">
            <w:pPr>
              <w:pStyle w:val="P68B1DB1-Normal4"/>
              <w:rPr>
                <w:noProof/>
              </w:rPr>
            </w:pPr>
            <w:r>
              <w:rPr>
                <w:noProof/>
              </w:rPr>
              <w:t>A cél kielégítő teljesítése a vidéki építészet és a tájvédelem védelmére és fejlesztésére irányuló 900 további</w:t>
            </w:r>
            <w:r>
              <w:rPr>
                <w:noProof/>
              </w:rPr>
              <w:t xml:space="preserve"> munka megkezdésétől is függ (amint azt a munkálatok megkezdéséről szóló tanúsítvány is bizonyítja).</w:t>
            </w:r>
          </w:p>
          <w:p w14:paraId="31533024" w14:textId="77777777" w:rsidR="003F5418" w:rsidRDefault="003F5418">
            <w:pPr>
              <w:rPr>
                <w:rFonts w:ascii="Arial Narrow" w:hAnsi="Arial Narrow"/>
                <w:noProof/>
                <w:color w:val="006100"/>
                <w:sz w:val="20"/>
              </w:rPr>
            </w:pPr>
          </w:p>
          <w:p w14:paraId="5F6AAFBD" w14:textId="77777777" w:rsidR="003F5418" w:rsidRDefault="002A6C25">
            <w:pPr>
              <w:pStyle w:val="P68B1DB1-Normal4"/>
              <w:rPr>
                <w:noProof/>
              </w:rPr>
            </w:pPr>
            <w:r>
              <w:rPr>
                <w:noProof/>
              </w:rPr>
              <w:t>A végrehajtandó beavatkozástípusok közé tartoznak a következők:</w:t>
            </w:r>
          </w:p>
          <w:p w14:paraId="1AE4DD9F" w14:textId="77777777" w:rsidR="003F5418" w:rsidRDefault="003F5418">
            <w:pPr>
              <w:rPr>
                <w:rFonts w:ascii="Arial Narrow" w:hAnsi="Arial Narrow"/>
                <w:noProof/>
                <w:color w:val="006100"/>
                <w:sz w:val="20"/>
              </w:rPr>
            </w:pPr>
          </w:p>
          <w:p w14:paraId="5916EF2E" w14:textId="77777777" w:rsidR="003F5418" w:rsidRDefault="002A6C25">
            <w:pPr>
              <w:pStyle w:val="P68B1DB1-Normal4"/>
              <w:rPr>
                <w:noProof/>
              </w:rPr>
            </w:pPr>
            <w:r>
              <w:rPr>
                <w:noProof/>
              </w:rPr>
              <w:t>1. A mezőgazdasági települések, műtárgyak és történelmi vidéki épületek, történelmi jelen</w:t>
            </w:r>
            <w:r>
              <w:rPr>
                <w:noProof/>
              </w:rPr>
              <w:t>tőségű mezőgazdasági növények, valamint az építészet és a vidéki táj tipikus elemei konzervatív rehabilitációja és funkcionális helyreállítása. A helyreállítási és strukturális alkalmazkodási technikák között előnyben kell részesíteni az ökokompatibilis me</w:t>
            </w:r>
            <w:r>
              <w:rPr>
                <w:noProof/>
              </w:rPr>
              <w:t>goldásokat és az alternatív energiaforrások használatát.</w:t>
            </w:r>
          </w:p>
          <w:p w14:paraId="5FE2B06B" w14:textId="77777777" w:rsidR="003F5418" w:rsidRDefault="002A6C25">
            <w:pPr>
              <w:pStyle w:val="P68B1DB1-Normal4"/>
              <w:rPr>
                <w:noProof/>
              </w:rPr>
            </w:pPr>
            <w:r>
              <w:rPr>
                <w:noProof/>
              </w:rPr>
              <w:t>2. A vidéki épített örökség összeírásának befejezése, valamint a nemzeti és regionális információs eszközök alkalmazása</w:t>
            </w:r>
          </w:p>
        </w:tc>
      </w:tr>
      <w:tr w:rsidR="003F5418" w14:paraId="4439954E" w14:textId="77777777">
        <w:trPr>
          <w:trHeight w:val="364"/>
          <w:jc w:val="center"/>
        </w:trPr>
        <w:tc>
          <w:tcPr>
            <w:tcW w:w="377" w:type="pct"/>
            <w:shd w:val="clear" w:color="auto" w:fill="C6EFCE"/>
            <w:noWrap/>
            <w:vAlign w:val="center"/>
            <w:hideMark/>
          </w:tcPr>
          <w:p w14:paraId="36B35889" w14:textId="77777777" w:rsidR="003F5418" w:rsidRDefault="002A6C25">
            <w:pPr>
              <w:pStyle w:val="P68B1DB1-Normal4"/>
              <w:jc w:val="center"/>
              <w:rPr>
                <w:noProof/>
              </w:rPr>
            </w:pPr>
            <w:r>
              <w:rPr>
                <w:noProof/>
              </w:rPr>
              <w:t>M1C3–18</w:t>
            </w:r>
          </w:p>
        </w:tc>
        <w:tc>
          <w:tcPr>
            <w:tcW w:w="520" w:type="pct"/>
            <w:shd w:val="clear" w:color="auto" w:fill="C6EFCE"/>
            <w:noWrap/>
            <w:vAlign w:val="center"/>
            <w:hideMark/>
          </w:tcPr>
          <w:p w14:paraId="19584EE6" w14:textId="77777777" w:rsidR="003F5418" w:rsidRDefault="002A6C25">
            <w:pPr>
              <w:pStyle w:val="P68B1DB1-Normal4"/>
              <w:jc w:val="center"/>
              <w:rPr>
                <w:noProof/>
              </w:rPr>
            </w:pPr>
            <w:r>
              <w:rPr>
                <w:noProof/>
              </w:rPr>
              <w:t xml:space="preserve">Beruházás A helymeghatározás javítását célzó programok: parkok és </w:t>
            </w:r>
            <w:r>
              <w:rPr>
                <w:noProof/>
              </w:rPr>
              <w:t>történelmi kertek</w:t>
            </w:r>
          </w:p>
        </w:tc>
        <w:tc>
          <w:tcPr>
            <w:tcW w:w="378" w:type="pct"/>
            <w:shd w:val="clear" w:color="auto" w:fill="C6EFCE"/>
            <w:noWrap/>
            <w:vAlign w:val="center"/>
            <w:hideMark/>
          </w:tcPr>
          <w:p w14:paraId="6BD779D6"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4469EDFE" w14:textId="77777777" w:rsidR="003F5418" w:rsidRDefault="002A6C25">
            <w:pPr>
              <w:pStyle w:val="P68B1DB1-Normal4"/>
              <w:jc w:val="center"/>
              <w:rPr>
                <w:noProof/>
              </w:rPr>
            </w:pPr>
            <w:r>
              <w:rPr>
                <w:noProof/>
              </w:rPr>
              <w:t>Az átalakított parkok és történelmi kertek száma</w:t>
            </w:r>
          </w:p>
        </w:tc>
        <w:tc>
          <w:tcPr>
            <w:tcW w:w="520" w:type="pct"/>
            <w:shd w:val="clear" w:color="auto" w:fill="C6EFCE"/>
            <w:noWrap/>
            <w:vAlign w:val="center"/>
            <w:hideMark/>
          </w:tcPr>
          <w:p w14:paraId="2EDC0ECD"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4B30AD08"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256AEE97"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124FD2CD" w14:textId="77777777" w:rsidR="003F5418" w:rsidRDefault="002A6C25">
            <w:pPr>
              <w:pStyle w:val="P68B1DB1-Normal4"/>
              <w:jc w:val="center"/>
              <w:rPr>
                <w:noProof/>
              </w:rPr>
            </w:pPr>
            <w:r>
              <w:rPr>
                <w:noProof/>
              </w:rPr>
              <w:t>40</w:t>
            </w:r>
          </w:p>
        </w:tc>
        <w:tc>
          <w:tcPr>
            <w:tcW w:w="332" w:type="pct"/>
            <w:shd w:val="clear" w:color="auto" w:fill="C6EFCE"/>
            <w:noWrap/>
            <w:vAlign w:val="center"/>
            <w:hideMark/>
          </w:tcPr>
          <w:p w14:paraId="1B56C1F1"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6A5AE841"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3C8CFE2C" w14:textId="77777777" w:rsidR="003F5418" w:rsidRDefault="002A6C25">
            <w:pPr>
              <w:pStyle w:val="P68B1DB1-Normal4"/>
              <w:rPr>
                <w:noProof/>
              </w:rPr>
            </w:pPr>
            <w:r>
              <w:rPr>
                <w:noProof/>
              </w:rPr>
              <w:t>A mutató az átalakított történelmi parkok és kertek számára vonatkozik (amint azt a munkálatok rendszeres kivitelezéséről szóló igazolás igazolja).</w:t>
            </w:r>
          </w:p>
          <w:p w14:paraId="07FFC1CB" w14:textId="77777777" w:rsidR="003F5418" w:rsidRDefault="003F5418">
            <w:pPr>
              <w:rPr>
                <w:rFonts w:ascii="Arial Narrow" w:hAnsi="Arial Narrow"/>
                <w:noProof/>
                <w:color w:val="006100"/>
                <w:sz w:val="20"/>
              </w:rPr>
            </w:pPr>
          </w:p>
          <w:p w14:paraId="79BA3A1F" w14:textId="77777777" w:rsidR="003F5418" w:rsidRDefault="002A6C25">
            <w:pPr>
              <w:pStyle w:val="P68B1DB1-Normal9"/>
              <w:rPr>
                <w:rFonts w:ascii="Arial Narrow" w:hAnsi="Arial Narrow"/>
                <w:noProof/>
              </w:rPr>
            </w:pPr>
            <w:r>
              <w:rPr>
                <w:rFonts w:ascii="Arial Narrow" w:hAnsi="Arial Narrow"/>
                <w:noProof/>
              </w:rPr>
              <w:t xml:space="preserve">A cél </w:t>
            </w:r>
            <w:r>
              <w:rPr>
                <w:rFonts w:ascii="Arial Narrow" w:hAnsi="Arial Narrow"/>
                <w:noProof/>
              </w:rPr>
              <w:t>kielégítő teljesítése attól is függ, hogy legalább 1260 üzemeltetőnek nyújtanak-e képzési tevékenységeket.</w:t>
            </w:r>
          </w:p>
          <w:p w14:paraId="7854ABFF" w14:textId="77777777" w:rsidR="003F5418" w:rsidRDefault="002A6C25">
            <w:pPr>
              <w:pStyle w:val="P68B1DB1-Normal4"/>
              <w:rPr>
                <w:noProof/>
              </w:rPr>
            </w:pPr>
            <w:r>
              <w:rPr>
                <w:noProof/>
              </w:rPr>
              <w:t>A parkok és történelmi kertek újraminősítésének kielégítő teljesítése érdekében végrehajtandó beavatkozástípusok a következők:</w:t>
            </w:r>
          </w:p>
          <w:p w14:paraId="635755D6" w14:textId="77777777" w:rsidR="003F5418" w:rsidRDefault="002A6C25">
            <w:pPr>
              <w:pStyle w:val="P68B1DB1-ListParagraph5"/>
              <w:numPr>
                <w:ilvl w:val="0"/>
                <w:numId w:val="76"/>
              </w:numPr>
              <w:ind w:left="220" w:hanging="142"/>
              <w:rPr>
                <w:noProof/>
              </w:rPr>
            </w:pPr>
            <w:r>
              <w:rPr>
                <w:noProof/>
              </w:rPr>
              <w:t>a vegetációs komponens</w:t>
            </w:r>
            <w:r>
              <w:rPr>
                <w:noProof/>
              </w:rPr>
              <w:t xml:space="preserve"> fejlődésének fenntartása/helyreállítása/kezelése; </w:t>
            </w:r>
          </w:p>
          <w:p w14:paraId="2884EADB" w14:textId="77777777" w:rsidR="003F5418" w:rsidRDefault="002A6C25">
            <w:pPr>
              <w:pStyle w:val="P68B1DB1-ListParagraph5"/>
              <w:numPr>
                <w:ilvl w:val="0"/>
                <w:numId w:val="76"/>
              </w:numPr>
              <w:ind w:left="220" w:hanging="142"/>
              <w:rPr>
                <w:noProof/>
              </w:rPr>
            </w:pPr>
            <w:r>
              <w:rPr>
                <w:noProof/>
              </w:rPr>
              <w:t xml:space="preserve">a jelenlegi építészeti és műemléki elemek (például kis épületek, ivókutak és lakberendezési tárgyak) helyreállítása; </w:t>
            </w:r>
          </w:p>
          <w:p w14:paraId="0E328D8E" w14:textId="77777777" w:rsidR="003F5418" w:rsidRDefault="002A6C25">
            <w:pPr>
              <w:pStyle w:val="P68B1DB1-ListParagraph5"/>
              <w:numPr>
                <w:ilvl w:val="0"/>
                <w:numId w:val="76"/>
              </w:numPr>
              <w:ind w:left="220" w:hanging="142"/>
              <w:rPr>
                <w:noProof/>
              </w:rPr>
            </w:pPr>
            <w:r>
              <w:rPr>
                <w:noProof/>
              </w:rPr>
              <w:t>a terek jelenlegi használati módszereinek elemzése és optimalizálása az optimális hasz</w:t>
            </w:r>
            <w:r>
              <w:rPr>
                <w:noProof/>
              </w:rPr>
              <w:t xml:space="preserve">nálat lehetővé tétele érdekében, </w:t>
            </w:r>
          </w:p>
          <w:p w14:paraId="446D4AB1" w14:textId="77777777" w:rsidR="003F5418" w:rsidRDefault="002A6C25">
            <w:pPr>
              <w:pStyle w:val="P68B1DB1-ListParagraph5"/>
              <w:numPr>
                <w:ilvl w:val="0"/>
                <w:numId w:val="76"/>
              </w:numPr>
              <w:ind w:left="220" w:hanging="142"/>
              <w:rPr>
                <w:noProof/>
              </w:rPr>
            </w:pPr>
            <w:r>
              <w:rPr>
                <w:noProof/>
              </w:rPr>
              <w:t xml:space="preserve">a legsérülékenyebb vagy legértékesebb területek tiszteletben tartása; </w:t>
            </w:r>
          </w:p>
          <w:p w14:paraId="2FD7346E" w14:textId="77777777" w:rsidR="003F5418" w:rsidRDefault="002A6C25">
            <w:pPr>
              <w:pStyle w:val="P68B1DB1-ListParagraph5"/>
              <w:numPr>
                <w:ilvl w:val="0"/>
                <w:numId w:val="76"/>
              </w:numPr>
              <w:ind w:left="220" w:hanging="142"/>
              <w:rPr>
                <w:noProof/>
              </w:rPr>
            </w:pPr>
            <w:r>
              <w:rPr>
                <w:noProof/>
              </w:rPr>
              <w:t xml:space="preserve">a csökkent funkcionalitású személyek számára a hozzáférhetőséget biztosító beavatkozások, </w:t>
            </w:r>
          </w:p>
          <w:p w14:paraId="6E03286A" w14:textId="77777777" w:rsidR="003F5418" w:rsidRDefault="002A6C25">
            <w:pPr>
              <w:pStyle w:val="P68B1DB1-ListParagraph5"/>
              <w:numPr>
                <w:ilvl w:val="0"/>
                <w:numId w:val="76"/>
              </w:numPr>
              <w:ind w:left="220" w:hanging="142"/>
              <w:rPr>
                <w:noProof/>
              </w:rPr>
            </w:pPr>
            <w:r>
              <w:rPr>
                <w:noProof/>
              </w:rPr>
              <w:t>bekerített területek, bejárati kapuk, videokamerás megfigyel</w:t>
            </w:r>
            <w:r>
              <w:rPr>
                <w:noProof/>
              </w:rPr>
              <w:t xml:space="preserve">ő rendszerek biztosítása; </w:t>
            </w:r>
          </w:p>
          <w:p w14:paraId="0A325D27" w14:textId="77777777" w:rsidR="003F5418" w:rsidRDefault="002A6C25">
            <w:pPr>
              <w:pStyle w:val="P68B1DB1-ListParagraph5"/>
              <w:numPr>
                <w:ilvl w:val="0"/>
                <w:numId w:val="76"/>
              </w:numPr>
              <w:ind w:left="220" w:hanging="142"/>
              <w:rPr>
                <w:noProof/>
              </w:rPr>
            </w:pPr>
            <w:r>
              <w:rPr>
                <w:noProof/>
              </w:rPr>
              <w:t xml:space="preserve">információs eszközök (pl. plakátok és útmutatók) megvalósítása a polgárok ismereteinek és tudatos használatának előmozdítása érdekében; </w:t>
            </w:r>
          </w:p>
          <w:p w14:paraId="492C5159" w14:textId="77777777" w:rsidR="003F5418" w:rsidRDefault="002A6C25">
            <w:pPr>
              <w:pStyle w:val="P68B1DB1-ListParagraph5"/>
              <w:numPr>
                <w:ilvl w:val="0"/>
                <w:numId w:val="76"/>
              </w:numPr>
              <w:ind w:left="220" w:hanging="142"/>
              <w:rPr>
                <w:noProof/>
              </w:rPr>
            </w:pPr>
            <w:r>
              <w:rPr>
                <w:noProof/>
              </w:rPr>
              <w:t>a kulturális, oktatási és rekreációs célú felhasználást előmozdító valorizációs tevékenysége</w:t>
            </w:r>
            <w:r>
              <w:rPr>
                <w:noProof/>
              </w:rPr>
              <w:t>k.</w:t>
            </w:r>
          </w:p>
        </w:tc>
      </w:tr>
      <w:tr w:rsidR="003F5418" w14:paraId="543F3C9C" w14:textId="77777777">
        <w:trPr>
          <w:trHeight w:val="313"/>
          <w:jc w:val="center"/>
        </w:trPr>
        <w:tc>
          <w:tcPr>
            <w:tcW w:w="377" w:type="pct"/>
            <w:shd w:val="clear" w:color="auto" w:fill="C6EFCE"/>
            <w:noWrap/>
            <w:vAlign w:val="center"/>
            <w:hideMark/>
          </w:tcPr>
          <w:p w14:paraId="7021A03C" w14:textId="77777777" w:rsidR="003F5418" w:rsidRDefault="002A6C25">
            <w:pPr>
              <w:pStyle w:val="P68B1DB1-Normal4"/>
              <w:jc w:val="center"/>
              <w:rPr>
                <w:noProof/>
              </w:rPr>
            </w:pPr>
            <w:r>
              <w:rPr>
                <w:noProof/>
              </w:rPr>
              <w:t>M1C3–19</w:t>
            </w:r>
          </w:p>
        </w:tc>
        <w:tc>
          <w:tcPr>
            <w:tcW w:w="520" w:type="pct"/>
            <w:shd w:val="clear" w:color="auto" w:fill="C6EFCE"/>
            <w:noWrap/>
            <w:vAlign w:val="center"/>
            <w:hideMark/>
          </w:tcPr>
          <w:p w14:paraId="550D01E6" w14:textId="77777777" w:rsidR="003F5418" w:rsidRDefault="002A6C25">
            <w:pPr>
              <w:pStyle w:val="P68B1DB1-Normal4"/>
              <w:jc w:val="center"/>
              <w:rPr>
                <w:noProof/>
              </w:rPr>
            </w:pPr>
            <w:r>
              <w:rPr>
                <w:noProof/>
              </w:rPr>
              <w:t>Beruházás – 2.4. Az imahelyek szeizmikus biztonsága, a FEC (Fondo Edifici di Culto) örökségének és a műalkotások menedékhelyeinek helyreállítása (Recovery Art)</w:t>
            </w:r>
          </w:p>
        </w:tc>
        <w:tc>
          <w:tcPr>
            <w:tcW w:w="378" w:type="pct"/>
            <w:shd w:val="clear" w:color="auto" w:fill="C6EFCE"/>
            <w:noWrap/>
            <w:vAlign w:val="center"/>
            <w:hideMark/>
          </w:tcPr>
          <w:p w14:paraId="6F0EC82B"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2521FDE1" w14:textId="77777777" w:rsidR="003F5418" w:rsidRDefault="002A6C25">
            <w:pPr>
              <w:pStyle w:val="P68B1DB1-Normal4"/>
              <w:jc w:val="center"/>
              <w:rPr>
                <w:noProof/>
              </w:rPr>
            </w:pPr>
            <w:r>
              <w:rPr>
                <w:noProof/>
              </w:rPr>
              <w:t xml:space="preserve">A szeizmikus biztonságot célzó beavatkozások az imahelyeken, a FEC (Fondo </w:t>
            </w:r>
            <w:r>
              <w:rPr>
                <w:noProof/>
              </w:rPr>
              <w:t>Edifici di Culto) örökségének és a műalkotások menedékhelyeinek helyreállítása</w:t>
            </w:r>
          </w:p>
        </w:tc>
        <w:tc>
          <w:tcPr>
            <w:tcW w:w="520" w:type="pct"/>
            <w:shd w:val="clear" w:color="auto" w:fill="C6EFCE"/>
            <w:noWrap/>
            <w:vAlign w:val="center"/>
            <w:hideMark/>
          </w:tcPr>
          <w:p w14:paraId="241555B7"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61861110"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6F498CDE"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73AE1CBA" w14:textId="77777777" w:rsidR="003F5418" w:rsidRDefault="002A6C25">
            <w:pPr>
              <w:pStyle w:val="P68B1DB1-Normal4"/>
              <w:jc w:val="center"/>
              <w:rPr>
                <w:noProof/>
              </w:rPr>
            </w:pPr>
            <w:r>
              <w:rPr>
                <w:noProof/>
              </w:rPr>
              <w:t>300</w:t>
            </w:r>
          </w:p>
        </w:tc>
        <w:tc>
          <w:tcPr>
            <w:tcW w:w="332" w:type="pct"/>
            <w:shd w:val="clear" w:color="auto" w:fill="C6EFCE"/>
            <w:noWrap/>
            <w:vAlign w:val="center"/>
            <w:hideMark/>
          </w:tcPr>
          <w:p w14:paraId="799103FA"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4B528A20"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3889D4A7" w14:textId="77777777" w:rsidR="003F5418" w:rsidRDefault="002A6C25">
            <w:pPr>
              <w:pStyle w:val="P68B1DB1-Normal4"/>
              <w:rPr>
                <w:noProof/>
              </w:rPr>
            </w:pPr>
            <w:r>
              <w:rPr>
                <w:noProof/>
              </w:rPr>
              <w:t xml:space="preserve">A cél a vallásgyakorlási helyek szeizmikus biztonsága, a FEC (Fondo Edifici di Culto) helyreállítása, a műalkotások elhelyezése befejezett katasztrófák </w:t>
            </w:r>
            <w:r>
              <w:rPr>
                <w:noProof/>
              </w:rPr>
              <w:t>esetén történő védelme érdekében végrehajtott beavatkozások számát méri (amint azt a munkálatok szabályos kivitelezéséről szóló igazolás igazolja).</w:t>
            </w:r>
          </w:p>
          <w:p w14:paraId="1AAFDB25" w14:textId="77777777" w:rsidR="003F5418" w:rsidRDefault="002A6C25">
            <w:pPr>
              <w:pStyle w:val="P68B1DB1-Normal4"/>
              <w:rPr>
                <w:noProof/>
              </w:rPr>
            </w:pPr>
            <w:r>
              <w:rPr>
                <w:noProof/>
              </w:rPr>
              <w:t xml:space="preserve">A beavatkozások a következőket foglalják magukban: </w:t>
            </w:r>
          </w:p>
          <w:p w14:paraId="6776D110" w14:textId="77777777" w:rsidR="003F5418" w:rsidRDefault="002A6C25">
            <w:pPr>
              <w:rPr>
                <w:rFonts w:ascii="Arial Narrow" w:hAnsi="Arial Narrow"/>
                <w:noProof/>
                <w:color w:val="006100"/>
                <w:sz w:val="20"/>
              </w:rPr>
            </w:pPr>
            <w:r>
              <w:rPr>
                <w:rFonts w:ascii="Arial Narrow" w:hAnsi="Arial Narrow"/>
                <w:noProof/>
                <w:color w:val="006100"/>
                <w:sz w:val="20"/>
              </w:rPr>
              <w:t>építészeti eszközök megelőző földrengésellenes beavatkoz</w:t>
            </w:r>
            <w:r>
              <w:rPr>
                <w:rFonts w:ascii="Arial Narrow" w:hAnsi="Arial Narrow"/>
                <w:noProof/>
                <w:color w:val="006100"/>
                <w:sz w:val="20"/>
              </w:rPr>
              <w:t>ása a meglévő károk helyreállítása és a kulturális örökség biztosítása érdekében;</w:t>
            </w:r>
            <w:r>
              <w:rPr>
                <w:rFonts w:ascii="Arial Narrow" w:hAnsi="Arial Narrow"/>
                <w:noProof/>
              </w:rPr>
              <w:t xml:space="preserve"> </w:t>
            </w:r>
            <w:r>
              <w:rPr>
                <w:noProof/>
              </w:rPr>
              <w:t xml:space="preserve"> </w:t>
            </w:r>
            <w:r>
              <w:rPr>
                <w:noProof/>
              </w:rPr>
              <w:br/>
            </w:r>
            <w:r>
              <w:rPr>
                <w:rFonts w:ascii="Arial Narrow" w:hAnsi="Arial Narrow"/>
                <w:noProof/>
                <w:color w:val="006100"/>
                <w:sz w:val="20"/>
              </w:rPr>
              <w:t>a helyreállítási cikk szerinti megőrzési projekt ideiglenes és védett lelőhelyeket hoz létre az ingó javak katasztrófa esetén történő megőrzése érdekében.</w:t>
            </w:r>
          </w:p>
        </w:tc>
      </w:tr>
      <w:tr w:rsidR="003F5418" w14:paraId="032DB4E7" w14:textId="77777777">
        <w:trPr>
          <w:trHeight w:val="313"/>
          <w:jc w:val="center"/>
        </w:trPr>
        <w:tc>
          <w:tcPr>
            <w:tcW w:w="377" w:type="pct"/>
            <w:shd w:val="clear" w:color="auto" w:fill="C6EFCE"/>
            <w:noWrap/>
            <w:vAlign w:val="center"/>
            <w:hideMark/>
          </w:tcPr>
          <w:p w14:paraId="190518CC" w14:textId="77777777" w:rsidR="003F5418" w:rsidRDefault="002A6C25">
            <w:pPr>
              <w:pStyle w:val="P68B1DB1-Normal4"/>
              <w:jc w:val="center"/>
              <w:rPr>
                <w:noProof/>
              </w:rPr>
            </w:pPr>
            <w:r>
              <w:rPr>
                <w:noProof/>
              </w:rPr>
              <w:t>M1C3–20</w:t>
            </w:r>
          </w:p>
        </w:tc>
        <w:tc>
          <w:tcPr>
            <w:tcW w:w="520" w:type="pct"/>
            <w:shd w:val="clear" w:color="auto" w:fill="C6EFCE"/>
            <w:noWrap/>
            <w:vAlign w:val="center"/>
            <w:hideMark/>
          </w:tcPr>
          <w:p w14:paraId="739501B4" w14:textId="77777777" w:rsidR="003F5418" w:rsidRDefault="002A6C25">
            <w:pPr>
              <w:pStyle w:val="P68B1DB1-Normal4"/>
              <w:jc w:val="center"/>
              <w:rPr>
                <w:noProof/>
              </w:rPr>
            </w:pPr>
            <w:r>
              <w:rPr>
                <w:noProof/>
              </w:rPr>
              <w:t>Beruházás – A filmipar fejlesztése (Cinecittà projekt)</w:t>
            </w:r>
          </w:p>
        </w:tc>
        <w:tc>
          <w:tcPr>
            <w:tcW w:w="378" w:type="pct"/>
            <w:shd w:val="clear" w:color="auto" w:fill="C6EFCE"/>
            <w:noWrap/>
            <w:vAlign w:val="center"/>
            <w:hideMark/>
          </w:tcPr>
          <w:p w14:paraId="366F4E0D" w14:textId="77777777" w:rsidR="003F5418" w:rsidRDefault="002A6C25">
            <w:pPr>
              <w:pStyle w:val="P68B1DB1-Normal4"/>
              <w:jc w:val="center"/>
              <w:rPr>
                <w:noProof/>
              </w:rPr>
            </w:pPr>
            <w:r>
              <w:rPr>
                <w:noProof/>
              </w:rPr>
              <w:t>Mérföldkő</w:t>
            </w:r>
          </w:p>
        </w:tc>
        <w:tc>
          <w:tcPr>
            <w:tcW w:w="520" w:type="pct"/>
            <w:shd w:val="clear" w:color="auto" w:fill="C6EFCE"/>
            <w:noWrap/>
            <w:vAlign w:val="center"/>
            <w:hideMark/>
          </w:tcPr>
          <w:p w14:paraId="671225B5" w14:textId="77777777" w:rsidR="003F5418" w:rsidRDefault="002A6C25">
            <w:pPr>
              <w:pStyle w:val="P68B1DB1-Normal4"/>
              <w:jc w:val="center"/>
              <w:rPr>
                <w:noProof/>
              </w:rPr>
            </w:pPr>
            <w:r>
              <w:rPr>
                <w:noProof/>
              </w:rPr>
              <w:t>A Cinecittà SPA végrehajtó szerv és a társaságok közötti, kilenc stúdió építésére vonatkozó szerződések aláírása</w:t>
            </w:r>
          </w:p>
        </w:tc>
        <w:tc>
          <w:tcPr>
            <w:tcW w:w="520" w:type="pct"/>
            <w:shd w:val="clear" w:color="auto" w:fill="C6EFCE"/>
            <w:noWrap/>
            <w:vAlign w:val="center"/>
            <w:hideMark/>
          </w:tcPr>
          <w:p w14:paraId="3E3D7A8E" w14:textId="77777777" w:rsidR="003F5418" w:rsidRDefault="002A6C25">
            <w:pPr>
              <w:pStyle w:val="P68B1DB1-Normal4"/>
              <w:jc w:val="center"/>
              <w:rPr>
                <w:noProof/>
              </w:rPr>
            </w:pPr>
            <w:r>
              <w:rPr>
                <w:noProof/>
              </w:rPr>
              <w:t>A szerződések aláírása</w:t>
            </w:r>
          </w:p>
        </w:tc>
        <w:tc>
          <w:tcPr>
            <w:tcW w:w="331" w:type="pct"/>
            <w:shd w:val="clear" w:color="auto" w:fill="C6EFCE"/>
            <w:noWrap/>
            <w:vAlign w:val="center"/>
            <w:hideMark/>
          </w:tcPr>
          <w:p w14:paraId="57935F58" w14:textId="77777777" w:rsidR="003F5418" w:rsidRDefault="002A6C25">
            <w:pPr>
              <w:pStyle w:val="P68B1DB1-Normal4"/>
              <w:spacing w:before="120" w:after="120"/>
              <w:jc w:val="center"/>
              <w:rPr>
                <w:noProof/>
              </w:rPr>
            </w:pPr>
            <w:r>
              <w:rPr>
                <w:noProof/>
              </w:rPr>
              <w:t>NINCS</w:t>
            </w:r>
          </w:p>
        </w:tc>
        <w:tc>
          <w:tcPr>
            <w:tcW w:w="332" w:type="pct"/>
            <w:shd w:val="clear" w:color="auto" w:fill="C6EFCE"/>
            <w:noWrap/>
            <w:vAlign w:val="center"/>
            <w:hideMark/>
          </w:tcPr>
          <w:p w14:paraId="4BBD90EE" w14:textId="77777777" w:rsidR="003F5418" w:rsidRDefault="002A6C25">
            <w:pPr>
              <w:pStyle w:val="P68B1DB1-Normal4"/>
              <w:jc w:val="center"/>
              <w:rPr>
                <w:noProof/>
              </w:rPr>
            </w:pPr>
            <w:r>
              <w:rPr>
                <w:noProof/>
              </w:rPr>
              <w:t>NINCS</w:t>
            </w:r>
          </w:p>
        </w:tc>
        <w:tc>
          <w:tcPr>
            <w:tcW w:w="424" w:type="pct"/>
            <w:shd w:val="clear" w:color="auto" w:fill="C6EFCE"/>
            <w:noWrap/>
            <w:vAlign w:val="center"/>
            <w:hideMark/>
          </w:tcPr>
          <w:p w14:paraId="426DCBC2" w14:textId="77777777" w:rsidR="003F5418" w:rsidRDefault="002A6C25">
            <w:pPr>
              <w:pStyle w:val="P68B1DB1-Normal4"/>
              <w:jc w:val="center"/>
              <w:rPr>
                <w:noProof/>
              </w:rPr>
            </w:pPr>
            <w:r>
              <w:rPr>
                <w:noProof/>
              </w:rPr>
              <w:t>NINCS</w:t>
            </w:r>
          </w:p>
        </w:tc>
        <w:tc>
          <w:tcPr>
            <w:tcW w:w="332" w:type="pct"/>
            <w:shd w:val="clear" w:color="auto" w:fill="C6EFCE"/>
            <w:noWrap/>
            <w:vAlign w:val="center"/>
            <w:hideMark/>
          </w:tcPr>
          <w:p w14:paraId="092EAE64"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5EE4EECB" w14:textId="77777777" w:rsidR="003F5418" w:rsidRDefault="002A6C25">
            <w:pPr>
              <w:pStyle w:val="P68B1DB1-Normal4"/>
              <w:jc w:val="center"/>
              <w:rPr>
                <w:noProof/>
              </w:rPr>
            </w:pPr>
            <w:r>
              <w:rPr>
                <w:noProof/>
              </w:rPr>
              <w:t>2023</w:t>
            </w:r>
          </w:p>
        </w:tc>
        <w:tc>
          <w:tcPr>
            <w:tcW w:w="1047" w:type="pct"/>
            <w:shd w:val="clear" w:color="auto" w:fill="C6EFCE"/>
            <w:noWrap/>
            <w:vAlign w:val="center"/>
            <w:hideMark/>
          </w:tcPr>
          <w:p w14:paraId="0FA9D1FE" w14:textId="77777777" w:rsidR="003F5418" w:rsidRDefault="002A6C25">
            <w:pPr>
              <w:pStyle w:val="P68B1DB1-Normal4"/>
              <w:rPr>
                <w:noProof/>
              </w:rPr>
            </w:pPr>
            <w:r>
              <w:rPr>
                <w:noProof/>
              </w:rPr>
              <w:t xml:space="preserve">A Cinecittà SPA végrehajtó szerv és a vállalkozások közötti szerződések aláírása kilenc stúdió megépítéséről. </w:t>
            </w:r>
          </w:p>
          <w:p w14:paraId="00E9B480" w14:textId="77777777" w:rsidR="003F5418" w:rsidRDefault="002A6C25">
            <w:pPr>
              <w:pStyle w:val="P68B1DB1-Normal4"/>
              <w:rPr>
                <w:noProof/>
              </w:rPr>
            </w:pPr>
            <w:r>
              <w:rPr>
                <w:noProof/>
              </w:rPr>
              <w:t xml:space="preserve"> </w:t>
            </w:r>
          </w:p>
          <w:p w14:paraId="20BE40F5" w14:textId="77777777" w:rsidR="003F5418" w:rsidRDefault="002A6C25">
            <w:pPr>
              <w:pStyle w:val="P68B1DB1-Normal4"/>
              <w:rPr>
                <w:noProof/>
              </w:rPr>
            </w:pPr>
            <w:r>
              <w:rPr>
                <w:noProof/>
              </w:rPr>
              <w:t>A beavatkozás új stúdiók építését, meglévő stúdiók helyreállítását, valamint új digitális technológiákra, rendszerekre és szolgáltatásokra irán</w:t>
            </w:r>
            <w:r>
              <w:rPr>
                <w:noProof/>
              </w:rPr>
              <w:t>yuló beruházásokat foglal magában a Cinecittà SPA által kezelt Cinecittà filmstúdiók fejlesztése érdekében.</w:t>
            </w:r>
          </w:p>
          <w:p w14:paraId="3DCEC229" w14:textId="77777777" w:rsidR="003F5418" w:rsidRDefault="003F5418">
            <w:pPr>
              <w:rPr>
                <w:rFonts w:ascii="Arial Narrow" w:hAnsi="Arial Narrow"/>
                <w:noProof/>
                <w:color w:val="006100"/>
                <w:sz w:val="20"/>
              </w:rPr>
            </w:pPr>
          </w:p>
          <w:p w14:paraId="3FFB64FE" w14:textId="77777777" w:rsidR="003F5418" w:rsidRDefault="002A6C25">
            <w:pPr>
              <w:pStyle w:val="P68B1DB1-Normal4"/>
              <w:rPr>
                <w:noProof/>
              </w:rPr>
            </w:pPr>
            <w:r>
              <w:rPr>
                <w:noProof/>
              </w:rPr>
              <w:t xml:space="preserve">A Cinecittà SPA végrehajtó szerv és a vállalkozások közötti szerződésekben foglalt kiválasztási/jogosultsági kritériumoknak meg kell követelniük a </w:t>
            </w:r>
            <w:r>
              <w:rPr>
                <w:noProof/>
              </w:rPr>
              <w:t>DNSH technikai iránymutatásnak (2021/C58/01) való megfelelést a támogatott eszközök/tevékenységek és/vagy vállalkozások vonatkozásában.</w:t>
            </w:r>
          </w:p>
          <w:p w14:paraId="2A5E2803" w14:textId="77777777" w:rsidR="003F5418" w:rsidRDefault="003F5418">
            <w:pPr>
              <w:rPr>
                <w:rFonts w:ascii="Arial Narrow" w:hAnsi="Arial Narrow"/>
                <w:noProof/>
                <w:color w:val="006100"/>
                <w:sz w:val="20"/>
              </w:rPr>
            </w:pPr>
          </w:p>
          <w:p w14:paraId="7931B65B" w14:textId="77777777" w:rsidR="003F5418" w:rsidRDefault="002A6C25">
            <w:pPr>
              <w:pStyle w:val="P68B1DB1-Normal4"/>
              <w:rPr>
                <w:noProof/>
              </w:rPr>
            </w:pPr>
            <w:r>
              <w:rPr>
                <w:noProof/>
              </w:rPr>
              <w:t>Kötelezettségvállalás/cél: a beruházások 20%-ban olyan eszközökre/tevékenységekre és/vagy vállalkozásokra irányuljanak,</w:t>
            </w:r>
            <w:r>
              <w:rPr>
                <w:noProof/>
              </w:rPr>
              <w:t xml:space="preserve"> amelyek megfelelnek a digitális politikai nyomon követésre vonatkozó kiválasztási kritériumoknak, és 70%-ban olyanokra, amelyek megfelelnek az éghajlat-politikai nyomon követésre vonatkozó kiválasztási kritériumoknak;</w:t>
            </w:r>
          </w:p>
        </w:tc>
      </w:tr>
      <w:tr w:rsidR="003F5418" w14:paraId="7C38361F" w14:textId="77777777">
        <w:trPr>
          <w:trHeight w:val="313"/>
          <w:jc w:val="center"/>
        </w:trPr>
        <w:tc>
          <w:tcPr>
            <w:tcW w:w="377" w:type="pct"/>
            <w:shd w:val="clear" w:color="auto" w:fill="C6EFCE"/>
            <w:noWrap/>
            <w:vAlign w:val="center"/>
            <w:hideMark/>
          </w:tcPr>
          <w:p w14:paraId="0B81AE81" w14:textId="77777777" w:rsidR="003F5418" w:rsidRDefault="002A6C25">
            <w:pPr>
              <w:pStyle w:val="P68B1DB1-Normal4"/>
              <w:jc w:val="center"/>
              <w:rPr>
                <w:noProof/>
              </w:rPr>
            </w:pPr>
            <w:r>
              <w:rPr>
                <w:noProof/>
              </w:rPr>
              <w:t>M1C3–21. INTÉZKEDÉS</w:t>
            </w:r>
          </w:p>
        </w:tc>
        <w:tc>
          <w:tcPr>
            <w:tcW w:w="520" w:type="pct"/>
            <w:shd w:val="clear" w:color="auto" w:fill="C6EFCE"/>
            <w:noWrap/>
            <w:vAlign w:val="center"/>
            <w:hideMark/>
          </w:tcPr>
          <w:p w14:paraId="09104144" w14:textId="77777777" w:rsidR="003F5418" w:rsidRDefault="002A6C25">
            <w:pPr>
              <w:pStyle w:val="P68B1DB1-Normal4"/>
              <w:jc w:val="center"/>
              <w:rPr>
                <w:noProof/>
              </w:rPr>
            </w:pPr>
            <w:r>
              <w:rPr>
                <w:noProof/>
              </w:rPr>
              <w:t xml:space="preserve">Beruházás – A </w:t>
            </w:r>
            <w:r>
              <w:rPr>
                <w:noProof/>
              </w:rPr>
              <w:t>filmipar fejlesztése (Cinecittà projekt)</w:t>
            </w:r>
          </w:p>
        </w:tc>
        <w:tc>
          <w:tcPr>
            <w:tcW w:w="378" w:type="pct"/>
            <w:shd w:val="clear" w:color="auto" w:fill="C6EFCE"/>
            <w:noWrap/>
            <w:vAlign w:val="center"/>
            <w:hideMark/>
          </w:tcPr>
          <w:p w14:paraId="4FA4933A"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77B0F83A" w14:textId="77777777" w:rsidR="003F5418" w:rsidRDefault="002A6C25">
            <w:pPr>
              <w:pStyle w:val="P68B1DB1-Normal4"/>
              <w:jc w:val="center"/>
              <w:rPr>
                <w:noProof/>
              </w:rPr>
            </w:pPr>
            <w:r>
              <w:rPr>
                <w:noProof/>
              </w:rPr>
              <w:t>Azon stúdiók száma, amelyek átminősítési, korszerűsítési és építési munkálatai befejeződtek</w:t>
            </w:r>
          </w:p>
        </w:tc>
        <w:tc>
          <w:tcPr>
            <w:tcW w:w="520" w:type="pct"/>
            <w:shd w:val="clear" w:color="auto" w:fill="C6EFCE"/>
            <w:noWrap/>
            <w:vAlign w:val="center"/>
            <w:hideMark/>
          </w:tcPr>
          <w:p w14:paraId="5B2FD26A"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54A80466"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4CBD995E"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20B17C99" w14:textId="77777777" w:rsidR="003F5418" w:rsidRDefault="002A6C25">
            <w:pPr>
              <w:pStyle w:val="P68B1DB1-Normal4"/>
              <w:jc w:val="center"/>
              <w:rPr>
                <w:noProof/>
              </w:rPr>
            </w:pPr>
            <w:r>
              <w:rPr>
                <w:noProof/>
              </w:rPr>
              <w:t>9</w:t>
            </w:r>
          </w:p>
        </w:tc>
        <w:tc>
          <w:tcPr>
            <w:tcW w:w="332" w:type="pct"/>
            <w:shd w:val="clear" w:color="auto" w:fill="C6EFCE"/>
            <w:noWrap/>
            <w:vAlign w:val="center"/>
            <w:hideMark/>
          </w:tcPr>
          <w:p w14:paraId="5405BE11"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7B596CC3" w14:textId="77777777" w:rsidR="003F5418" w:rsidRDefault="002A6C25">
            <w:pPr>
              <w:pStyle w:val="P68B1DB1-Normal4"/>
              <w:jc w:val="center"/>
              <w:rPr>
                <w:noProof/>
              </w:rPr>
            </w:pPr>
            <w:r>
              <w:rPr>
                <w:noProof/>
              </w:rPr>
              <w:t>2026</w:t>
            </w:r>
          </w:p>
        </w:tc>
        <w:tc>
          <w:tcPr>
            <w:tcW w:w="1047" w:type="pct"/>
            <w:shd w:val="clear" w:color="auto" w:fill="C6EFCE"/>
            <w:noWrap/>
            <w:vAlign w:val="center"/>
            <w:hideMark/>
          </w:tcPr>
          <w:p w14:paraId="30AE65D5" w14:textId="77777777" w:rsidR="003F5418" w:rsidRDefault="002A6C25">
            <w:pPr>
              <w:pStyle w:val="P68B1DB1-Normal4"/>
              <w:rPr>
                <w:noProof/>
              </w:rPr>
            </w:pPr>
            <w:r>
              <w:rPr>
                <w:noProof/>
              </w:rPr>
              <w:t xml:space="preserve">A beavatkozások a következőkre vonatkoznak: </w:t>
            </w:r>
          </w:p>
          <w:p w14:paraId="2D8572EC" w14:textId="77777777" w:rsidR="003F5418" w:rsidRDefault="002A6C25">
            <w:pPr>
              <w:pStyle w:val="P68B1DB1-Normal4"/>
              <w:rPr>
                <w:noProof/>
              </w:rPr>
            </w:pPr>
            <w:r>
              <w:rPr>
                <w:noProof/>
              </w:rPr>
              <w:t xml:space="preserve">öt új stúdió építése, valamint </w:t>
            </w:r>
          </w:p>
          <w:p w14:paraId="739699B4" w14:textId="77777777" w:rsidR="003F5418" w:rsidRDefault="002A6C25">
            <w:pPr>
              <w:pStyle w:val="P68B1DB1-Normal4"/>
              <w:rPr>
                <w:noProof/>
              </w:rPr>
            </w:pPr>
            <w:r>
              <w:rPr>
                <w:noProof/>
              </w:rPr>
              <w:t xml:space="preserve">– négy meglévő </w:t>
            </w:r>
            <w:r>
              <w:rPr>
                <w:noProof/>
              </w:rPr>
              <w:t>stúdió felújítása.</w:t>
            </w:r>
          </w:p>
          <w:p w14:paraId="739383A7" w14:textId="77777777" w:rsidR="003F5418" w:rsidRDefault="003F5418">
            <w:pPr>
              <w:rPr>
                <w:rFonts w:ascii="Arial Narrow" w:hAnsi="Arial Narrow"/>
                <w:noProof/>
                <w:color w:val="006100"/>
                <w:sz w:val="20"/>
              </w:rPr>
            </w:pPr>
          </w:p>
          <w:p w14:paraId="7D2E81D8" w14:textId="77777777" w:rsidR="003F5418" w:rsidRDefault="002A6C25">
            <w:pPr>
              <w:pStyle w:val="P68B1DB1-Normal4"/>
              <w:rPr>
                <w:noProof/>
              </w:rPr>
            </w:pPr>
            <w:r>
              <w:rPr>
                <w:noProof/>
              </w:rPr>
              <w:t>A cél kielégítő teljesítése az intézkedés leírásában a B. és C. sorban feltüntetett beavatkozások befejezésétől is függ.</w:t>
            </w:r>
          </w:p>
        </w:tc>
      </w:tr>
      <w:tr w:rsidR="003F5418" w14:paraId="6B01E2D1" w14:textId="77777777">
        <w:trPr>
          <w:trHeight w:val="313"/>
          <w:jc w:val="center"/>
        </w:trPr>
        <w:tc>
          <w:tcPr>
            <w:tcW w:w="377" w:type="pct"/>
            <w:shd w:val="clear" w:color="auto" w:fill="C6EFCE"/>
            <w:noWrap/>
            <w:vAlign w:val="center"/>
          </w:tcPr>
          <w:p w14:paraId="138150CE" w14:textId="77777777" w:rsidR="003F5418" w:rsidRDefault="002A6C25">
            <w:pPr>
              <w:pStyle w:val="P68B1DB1-Normal4"/>
              <w:jc w:val="center"/>
              <w:rPr>
                <w:noProof/>
              </w:rPr>
            </w:pPr>
            <w:r>
              <w:rPr>
                <w:noProof/>
              </w:rPr>
              <w:t>M1C3–22</w:t>
            </w:r>
          </w:p>
        </w:tc>
        <w:tc>
          <w:tcPr>
            <w:tcW w:w="520" w:type="pct"/>
            <w:shd w:val="clear" w:color="auto" w:fill="C6EFCE"/>
            <w:noWrap/>
            <w:vAlign w:val="center"/>
          </w:tcPr>
          <w:p w14:paraId="6305A6F5"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tcPr>
          <w:p w14:paraId="6AE2E0B7"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1CD3B2E9" w14:textId="77777777" w:rsidR="003F5418" w:rsidRDefault="002A6C25">
            <w:pPr>
              <w:pStyle w:val="P68B1DB1-Normal4"/>
              <w:jc w:val="center"/>
              <w:rPr>
                <w:noProof/>
              </w:rPr>
            </w:pPr>
            <w:r>
              <w:rPr>
                <w:noProof/>
              </w:rPr>
              <w:t xml:space="preserve">A következőkre </w:t>
            </w:r>
            <w:r>
              <w:rPr>
                <w:noProof/>
              </w:rPr>
              <w:t>vonatkozó beruházási politika:</w:t>
            </w:r>
          </w:p>
          <w:p w14:paraId="008353D0" w14:textId="77777777" w:rsidR="003F5418" w:rsidRDefault="002A6C25">
            <w:pPr>
              <w:pStyle w:val="P68B1DB1-Normal4"/>
              <w:jc w:val="center"/>
              <w:rPr>
                <w:noProof/>
              </w:rPr>
            </w:pPr>
            <w:r>
              <w:rPr>
                <w:noProof/>
              </w:rPr>
              <w:t>az Európai Beruházási Bank tematikus alapja;</w:t>
            </w:r>
          </w:p>
        </w:tc>
        <w:tc>
          <w:tcPr>
            <w:tcW w:w="520" w:type="pct"/>
            <w:shd w:val="clear" w:color="auto" w:fill="C6EFCE"/>
            <w:noWrap/>
            <w:vAlign w:val="center"/>
          </w:tcPr>
          <w:p w14:paraId="49330AC2" w14:textId="77777777" w:rsidR="003F5418" w:rsidRDefault="002A6C25">
            <w:pPr>
              <w:pStyle w:val="P68B1DB1-Normal4"/>
              <w:jc w:val="center"/>
              <w:rPr>
                <w:noProof/>
              </w:rPr>
            </w:pPr>
            <w:r>
              <w:rPr>
                <w:noProof/>
              </w:rPr>
              <w:t>A beruházási politika elfogadása</w:t>
            </w:r>
          </w:p>
        </w:tc>
        <w:tc>
          <w:tcPr>
            <w:tcW w:w="331" w:type="pct"/>
            <w:shd w:val="clear" w:color="auto" w:fill="C6EFCE"/>
            <w:noWrap/>
            <w:vAlign w:val="center"/>
          </w:tcPr>
          <w:p w14:paraId="46309729"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5123C74D"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64A1B2C8"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2A548C62"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089A4A65" w14:textId="77777777" w:rsidR="003F5418" w:rsidRDefault="002A6C25">
            <w:pPr>
              <w:pStyle w:val="P68B1DB1-Normal4"/>
              <w:jc w:val="center"/>
              <w:rPr>
                <w:noProof/>
              </w:rPr>
            </w:pPr>
            <w:r>
              <w:rPr>
                <w:noProof/>
              </w:rPr>
              <w:t>2021</w:t>
            </w:r>
          </w:p>
        </w:tc>
        <w:tc>
          <w:tcPr>
            <w:tcW w:w="1047" w:type="pct"/>
            <w:shd w:val="clear" w:color="auto" w:fill="C6EFCE"/>
            <w:noWrap/>
            <w:vAlign w:val="center"/>
          </w:tcPr>
          <w:p w14:paraId="2224C069" w14:textId="77777777" w:rsidR="003F5418" w:rsidRDefault="002A6C25">
            <w:pPr>
              <w:pStyle w:val="P68B1DB1-Normal4"/>
              <w:rPr>
                <w:noProof/>
              </w:rPr>
            </w:pPr>
            <w:r>
              <w:rPr>
                <w:noProof/>
              </w:rPr>
              <w:t xml:space="preserve">A befektetési politika legalább a következőket határozza meg: a támogatott műveletek jellege, hatóköre és műveletei, a </w:t>
            </w:r>
            <w:r>
              <w:rPr>
                <w:noProof/>
              </w:rPr>
              <w:t>megcélzott kedvezményezettek, a pénzügyi kedvezményezettek támogathatósági kritériumai és nyílt felhívás útján történő kiválasztása; valamint az ugyanazon szakpolitikai célkitűzésekre irányuló potenciális visszaáramlások újbóli befektetésére vonatkozó rend</w:t>
            </w:r>
            <w:r>
              <w:rPr>
                <w:noProof/>
              </w:rPr>
              <w:t>elkezések.</w:t>
            </w:r>
          </w:p>
          <w:p w14:paraId="76F64D10" w14:textId="77777777" w:rsidR="003F5418" w:rsidRDefault="002A6C25">
            <w:pPr>
              <w:pStyle w:val="P68B1DB1-Normal4"/>
              <w:rPr>
                <w:noProof/>
              </w:rPr>
            </w:pPr>
            <w:r>
              <w:rPr>
                <w:noProof/>
              </w:rPr>
              <w:t>A beruházási politikának elő kell irányoznia, hogy az alap 50%-át energiahatékonysági intézkedésekre fordítsák.</w:t>
            </w:r>
          </w:p>
          <w:p w14:paraId="61F7659B" w14:textId="77777777" w:rsidR="003F5418" w:rsidRDefault="002A6C25">
            <w:pPr>
              <w:pStyle w:val="P68B1DB1-Normal4"/>
              <w:rPr>
                <w:noProof/>
              </w:rPr>
            </w:pPr>
            <w:r>
              <w:rPr>
                <w:noProof/>
              </w:rPr>
              <w:t xml:space="preserve">A beruházási politikának kiválasztási kritériumokat kell tartalmaznia annak biztosítása érdekében, hogy az ezen intézkedés keretében </w:t>
            </w:r>
            <w:r>
              <w:rPr>
                <w:noProof/>
              </w:rPr>
              <w:t>támogatott ügyletek megfeleljenek a jelentős károkozás elkerülését célzó technikai iránymutatásnak (2021/C58/01) a fenntarthatósági vizsgálat, a kizárási lista, valamint a vonatkozó uniós és nemzeti környezetvédelmi jogszabályoknak való megfelelés követelm</w:t>
            </w:r>
            <w:r>
              <w:rPr>
                <w:noProof/>
              </w:rPr>
              <w:t>énye révén.</w:t>
            </w:r>
          </w:p>
        </w:tc>
      </w:tr>
      <w:tr w:rsidR="003F5418" w14:paraId="67E6EFDB" w14:textId="77777777">
        <w:trPr>
          <w:trHeight w:val="313"/>
          <w:jc w:val="center"/>
        </w:trPr>
        <w:tc>
          <w:tcPr>
            <w:tcW w:w="377" w:type="pct"/>
            <w:shd w:val="clear" w:color="auto" w:fill="C6EFCE"/>
            <w:noWrap/>
            <w:vAlign w:val="center"/>
          </w:tcPr>
          <w:p w14:paraId="42676144" w14:textId="77777777" w:rsidR="003F5418" w:rsidRDefault="002A6C25">
            <w:pPr>
              <w:pStyle w:val="P68B1DB1-Normal4"/>
              <w:jc w:val="center"/>
              <w:rPr>
                <w:noProof/>
              </w:rPr>
            </w:pPr>
            <w:r>
              <w:rPr>
                <w:noProof/>
              </w:rPr>
              <w:t>M1C3–23</w:t>
            </w:r>
          </w:p>
        </w:tc>
        <w:tc>
          <w:tcPr>
            <w:tcW w:w="520" w:type="pct"/>
            <w:shd w:val="clear" w:color="auto" w:fill="C6EFCE"/>
            <w:noWrap/>
            <w:vAlign w:val="center"/>
          </w:tcPr>
          <w:p w14:paraId="130B3291"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tcPr>
          <w:p w14:paraId="2F9F9561"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183286A1" w14:textId="77777777" w:rsidR="003F5418" w:rsidRDefault="002A6C25">
            <w:pPr>
              <w:pStyle w:val="P68B1DB1-Normal4"/>
              <w:jc w:val="center"/>
              <w:rPr>
                <w:noProof/>
              </w:rPr>
            </w:pPr>
            <w:r>
              <w:rPr>
                <w:noProof/>
              </w:rPr>
              <w:t>A Nemzeti Turisztikai Alap beruházási politikája,</w:t>
            </w:r>
          </w:p>
        </w:tc>
        <w:tc>
          <w:tcPr>
            <w:tcW w:w="520" w:type="pct"/>
            <w:shd w:val="clear" w:color="auto" w:fill="C6EFCE"/>
            <w:noWrap/>
            <w:vAlign w:val="center"/>
          </w:tcPr>
          <w:p w14:paraId="6563808A" w14:textId="77777777" w:rsidR="003F5418" w:rsidRDefault="002A6C25">
            <w:pPr>
              <w:pStyle w:val="P68B1DB1-Normal4"/>
              <w:jc w:val="center"/>
              <w:rPr>
                <w:noProof/>
              </w:rPr>
            </w:pPr>
            <w:r>
              <w:rPr>
                <w:noProof/>
              </w:rPr>
              <w:t>A beruházási politika elfogadása</w:t>
            </w:r>
          </w:p>
        </w:tc>
        <w:tc>
          <w:tcPr>
            <w:tcW w:w="331" w:type="pct"/>
            <w:shd w:val="clear" w:color="auto" w:fill="C6EFCE"/>
            <w:noWrap/>
            <w:vAlign w:val="center"/>
          </w:tcPr>
          <w:p w14:paraId="354714DC"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02F816E4"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0292C993"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544BCE57"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7B37CA72" w14:textId="77777777" w:rsidR="003F5418" w:rsidRDefault="002A6C25">
            <w:pPr>
              <w:pStyle w:val="P68B1DB1-Normal4"/>
              <w:jc w:val="center"/>
              <w:rPr>
                <w:noProof/>
              </w:rPr>
            </w:pPr>
            <w:r>
              <w:rPr>
                <w:noProof/>
              </w:rPr>
              <w:t>2021</w:t>
            </w:r>
          </w:p>
        </w:tc>
        <w:tc>
          <w:tcPr>
            <w:tcW w:w="1047" w:type="pct"/>
            <w:shd w:val="clear" w:color="auto" w:fill="C6EFCE"/>
            <w:noWrap/>
            <w:vAlign w:val="center"/>
          </w:tcPr>
          <w:p w14:paraId="265E70BA" w14:textId="77777777" w:rsidR="003F5418" w:rsidRDefault="002A6C25">
            <w:pPr>
              <w:pStyle w:val="P68B1DB1-Normal4"/>
              <w:rPr>
                <w:noProof/>
              </w:rPr>
            </w:pPr>
            <w:r>
              <w:rPr>
                <w:noProof/>
              </w:rPr>
              <w:t xml:space="preserve">Az alap olasz ingatlanok vásárlására, </w:t>
            </w:r>
            <w:r>
              <w:rPr>
                <w:noProof/>
              </w:rPr>
              <w:t xml:space="preserve">szerkezetátalakítására és átminősítésére szolgál a válság által leginkább érintett vagy marginális területek (part menti területek, kisebb szigetek, legkülső régiók, vidéki és hegyvidéki területek) idegenforgalmi fejlesztésének támogatása érdekében. </w:t>
            </w:r>
          </w:p>
          <w:p w14:paraId="1017460C" w14:textId="77777777" w:rsidR="003F5418" w:rsidRDefault="002A6C25">
            <w:pPr>
              <w:pStyle w:val="P68B1DB1-Normal4"/>
              <w:rPr>
                <w:noProof/>
              </w:rPr>
            </w:pPr>
            <w:r>
              <w:rPr>
                <w:noProof/>
              </w:rPr>
              <w:t xml:space="preserve">A </w:t>
            </w:r>
            <w:r>
              <w:rPr>
                <w:noProof/>
              </w:rPr>
              <w:t>beruházási politikának kiválasztási kritériumokat kell tartalmaznia annak biztosítása érdekében, hogy az ezen intézkedés keretében támogatott ügyletek megfeleljenek a jelentős károkozás elkerülését célzó technikai iránymutatásnak (2021/C58/01) a fenntartha</w:t>
            </w:r>
            <w:r>
              <w:rPr>
                <w:noProof/>
              </w:rPr>
              <w:t>tósági vizsgálat, a kizárási lista, valamint a vonatkozó uniós és nemzeti környezetvédelmi jogszabályoknak való megfelelés követelménye révén.</w:t>
            </w:r>
          </w:p>
        </w:tc>
      </w:tr>
      <w:tr w:rsidR="003F5418" w14:paraId="40029729" w14:textId="77777777">
        <w:trPr>
          <w:trHeight w:val="313"/>
          <w:jc w:val="center"/>
        </w:trPr>
        <w:tc>
          <w:tcPr>
            <w:tcW w:w="377" w:type="pct"/>
            <w:shd w:val="clear" w:color="auto" w:fill="C6EFCE"/>
            <w:noWrap/>
            <w:vAlign w:val="center"/>
          </w:tcPr>
          <w:p w14:paraId="218C98ED" w14:textId="77777777" w:rsidR="003F5418" w:rsidRDefault="002A6C25">
            <w:pPr>
              <w:pStyle w:val="P68B1DB1-Normal4"/>
              <w:jc w:val="center"/>
              <w:rPr>
                <w:noProof/>
              </w:rPr>
            </w:pPr>
            <w:r>
              <w:rPr>
                <w:noProof/>
              </w:rPr>
              <w:t>M1C3–24</w:t>
            </w:r>
          </w:p>
        </w:tc>
        <w:tc>
          <w:tcPr>
            <w:tcW w:w="520" w:type="pct"/>
            <w:shd w:val="clear" w:color="auto" w:fill="C6EFCE"/>
            <w:noWrap/>
            <w:vAlign w:val="center"/>
          </w:tcPr>
          <w:p w14:paraId="29D372F2"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tcPr>
          <w:p w14:paraId="2FED8641"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46444B5F" w14:textId="77777777" w:rsidR="003F5418" w:rsidRDefault="002A6C25">
            <w:pPr>
              <w:pStyle w:val="P68B1DB1-Normal4"/>
              <w:jc w:val="center"/>
              <w:rPr>
                <w:noProof/>
              </w:rPr>
            </w:pPr>
            <w:r>
              <w:rPr>
                <w:noProof/>
              </w:rPr>
              <w:t xml:space="preserve">A következőkre </w:t>
            </w:r>
            <w:r>
              <w:rPr>
                <w:noProof/>
              </w:rPr>
              <w:t>vonatkozó beruházási politika: Kkv-garanciaalap,</w:t>
            </w:r>
          </w:p>
        </w:tc>
        <w:tc>
          <w:tcPr>
            <w:tcW w:w="520" w:type="pct"/>
            <w:shd w:val="clear" w:color="auto" w:fill="C6EFCE"/>
            <w:noWrap/>
            <w:vAlign w:val="center"/>
          </w:tcPr>
          <w:p w14:paraId="450C5A99" w14:textId="77777777" w:rsidR="003F5418" w:rsidRDefault="002A6C25">
            <w:pPr>
              <w:pStyle w:val="P68B1DB1-Normal4"/>
              <w:jc w:val="center"/>
              <w:rPr>
                <w:noProof/>
              </w:rPr>
            </w:pPr>
            <w:r>
              <w:rPr>
                <w:noProof/>
              </w:rPr>
              <w:t>A beruházási politika elfogadása</w:t>
            </w:r>
          </w:p>
        </w:tc>
        <w:tc>
          <w:tcPr>
            <w:tcW w:w="331" w:type="pct"/>
            <w:shd w:val="clear" w:color="auto" w:fill="C6EFCE"/>
            <w:noWrap/>
            <w:vAlign w:val="center"/>
          </w:tcPr>
          <w:p w14:paraId="05FC6651"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3EEDF6E2"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4A25248D"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0DF81702"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01975CC8" w14:textId="77777777" w:rsidR="003F5418" w:rsidRDefault="002A6C25">
            <w:pPr>
              <w:pStyle w:val="P68B1DB1-Normal4"/>
              <w:jc w:val="center"/>
              <w:rPr>
                <w:noProof/>
              </w:rPr>
            </w:pPr>
            <w:r>
              <w:rPr>
                <w:noProof/>
              </w:rPr>
              <w:t>2021</w:t>
            </w:r>
          </w:p>
        </w:tc>
        <w:tc>
          <w:tcPr>
            <w:tcW w:w="1047" w:type="pct"/>
            <w:shd w:val="clear" w:color="auto" w:fill="C6EFCE"/>
            <w:noWrap/>
            <w:vAlign w:val="center"/>
          </w:tcPr>
          <w:p w14:paraId="26CF08D9" w14:textId="77777777" w:rsidR="003F5418" w:rsidRDefault="002A6C25">
            <w:pPr>
              <w:pStyle w:val="P68B1DB1-Normal4"/>
              <w:rPr>
                <w:noProof/>
              </w:rPr>
            </w:pPr>
            <w:r>
              <w:rPr>
                <w:noProof/>
              </w:rPr>
              <w:t>A beruházási politikának elő kell irányoznia, hogy az alap 50%-át energiahatékonysági intézkedésekre fordítsák.</w:t>
            </w:r>
          </w:p>
          <w:p w14:paraId="6F933C68" w14:textId="77777777" w:rsidR="003F5418" w:rsidRDefault="002A6C25">
            <w:pPr>
              <w:pStyle w:val="P68B1DB1-Normal4"/>
              <w:rPr>
                <w:noProof/>
              </w:rPr>
            </w:pPr>
            <w:r>
              <w:rPr>
                <w:noProof/>
              </w:rPr>
              <w:t xml:space="preserve">A beruházási politikának </w:t>
            </w:r>
            <w:r>
              <w:rPr>
                <w:noProof/>
              </w:rPr>
              <w:t>kiválasztási kritériumokat kell tartalmaznia annak biztosítása érdekében, hogy az ezen intézkedés keretében támogatott ügyletek megfeleljenek a jelentős károkozás elkerülését célzó technikai iránymutatásnak (2021/C58/01) a fenntarthatósági vizsgálat, a kiz</w:t>
            </w:r>
            <w:r>
              <w:rPr>
                <w:noProof/>
              </w:rPr>
              <w:t>árási lista, valamint a vonatkozó uniós és nemzeti környezetvédelmi jogszabályoknak való megfelelés követelménye révén.</w:t>
            </w:r>
          </w:p>
          <w:p w14:paraId="7E81435F" w14:textId="77777777" w:rsidR="003F5418" w:rsidRDefault="003F5418">
            <w:pPr>
              <w:rPr>
                <w:rFonts w:ascii="Arial Narrow" w:hAnsi="Arial Narrow"/>
                <w:noProof/>
                <w:color w:val="006100"/>
                <w:sz w:val="20"/>
              </w:rPr>
            </w:pPr>
          </w:p>
        </w:tc>
      </w:tr>
      <w:tr w:rsidR="003F5418" w14:paraId="23443348" w14:textId="77777777">
        <w:trPr>
          <w:trHeight w:val="313"/>
          <w:jc w:val="center"/>
        </w:trPr>
        <w:tc>
          <w:tcPr>
            <w:tcW w:w="377" w:type="pct"/>
            <w:shd w:val="clear" w:color="auto" w:fill="C6EFCE"/>
            <w:noWrap/>
            <w:vAlign w:val="center"/>
          </w:tcPr>
          <w:p w14:paraId="3E6DDF47" w14:textId="77777777" w:rsidR="003F5418" w:rsidRDefault="002A6C25">
            <w:pPr>
              <w:pStyle w:val="P68B1DB1-Normal4"/>
              <w:jc w:val="center"/>
              <w:rPr>
                <w:noProof/>
              </w:rPr>
            </w:pPr>
            <w:r>
              <w:rPr>
                <w:noProof/>
              </w:rPr>
              <w:t>M1C3–25</w:t>
            </w:r>
          </w:p>
        </w:tc>
        <w:tc>
          <w:tcPr>
            <w:tcW w:w="520" w:type="pct"/>
            <w:shd w:val="clear" w:color="auto" w:fill="C6EFCE"/>
            <w:noWrap/>
            <w:vAlign w:val="center"/>
          </w:tcPr>
          <w:p w14:paraId="181B8967"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tcPr>
          <w:p w14:paraId="7372E964" w14:textId="77777777" w:rsidR="003F5418" w:rsidRDefault="002A6C25">
            <w:pPr>
              <w:pStyle w:val="P68B1DB1-Normal4"/>
              <w:jc w:val="center"/>
              <w:rPr>
                <w:noProof/>
              </w:rPr>
            </w:pPr>
            <w:r>
              <w:rPr>
                <w:noProof/>
              </w:rPr>
              <w:t>Mérföldkő</w:t>
            </w:r>
          </w:p>
        </w:tc>
        <w:tc>
          <w:tcPr>
            <w:tcW w:w="520" w:type="pct"/>
            <w:shd w:val="clear" w:color="auto" w:fill="C6EFCE"/>
            <w:noWrap/>
            <w:vAlign w:val="center"/>
          </w:tcPr>
          <w:p w14:paraId="1A708B48" w14:textId="77777777" w:rsidR="003F5418" w:rsidRDefault="002A6C25">
            <w:pPr>
              <w:pStyle w:val="P68B1DB1-Normal4"/>
              <w:jc w:val="center"/>
              <w:rPr>
                <w:noProof/>
              </w:rPr>
            </w:pPr>
            <w:r>
              <w:rPr>
                <w:noProof/>
              </w:rPr>
              <w:t>A Fondo Rotativo beruházási politikája</w:t>
            </w:r>
          </w:p>
        </w:tc>
        <w:tc>
          <w:tcPr>
            <w:tcW w:w="520" w:type="pct"/>
            <w:shd w:val="clear" w:color="auto" w:fill="C6EFCE"/>
            <w:noWrap/>
            <w:vAlign w:val="center"/>
          </w:tcPr>
          <w:p w14:paraId="6A9BF6A3" w14:textId="77777777" w:rsidR="003F5418" w:rsidRDefault="002A6C25">
            <w:pPr>
              <w:pStyle w:val="P68B1DB1-Normal4"/>
              <w:jc w:val="center"/>
              <w:rPr>
                <w:noProof/>
              </w:rPr>
            </w:pPr>
            <w:r>
              <w:rPr>
                <w:noProof/>
              </w:rPr>
              <w:t>A beruházási politika elfogadása</w:t>
            </w:r>
          </w:p>
        </w:tc>
        <w:tc>
          <w:tcPr>
            <w:tcW w:w="331" w:type="pct"/>
            <w:shd w:val="clear" w:color="auto" w:fill="C6EFCE"/>
            <w:noWrap/>
            <w:vAlign w:val="center"/>
          </w:tcPr>
          <w:p w14:paraId="7C51AEDE"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64AE6AD0" w14:textId="77777777" w:rsidR="003F5418" w:rsidRDefault="002A6C25">
            <w:pPr>
              <w:pStyle w:val="P68B1DB1-Normal4"/>
              <w:jc w:val="center"/>
              <w:rPr>
                <w:noProof/>
              </w:rPr>
            </w:pPr>
            <w:r>
              <w:rPr>
                <w:noProof/>
              </w:rPr>
              <w:t>NINCS</w:t>
            </w:r>
          </w:p>
        </w:tc>
        <w:tc>
          <w:tcPr>
            <w:tcW w:w="424" w:type="pct"/>
            <w:shd w:val="clear" w:color="auto" w:fill="C6EFCE"/>
            <w:noWrap/>
            <w:vAlign w:val="center"/>
          </w:tcPr>
          <w:p w14:paraId="1244AA9F" w14:textId="77777777" w:rsidR="003F5418" w:rsidRDefault="002A6C25">
            <w:pPr>
              <w:pStyle w:val="P68B1DB1-Normal4"/>
              <w:jc w:val="center"/>
              <w:rPr>
                <w:noProof/>
              </w:rPr>
            </w:pPr>
            <w:r>
              <w:rPr>
                <w:noProof/>
              </w:rPr>
              <w:t>NINCS</w:t>
            </w:r>
          </w:p>
        </w:tc>
        <w:tc>
          <w:tcPr>
            <w:tcW w:w="332" w:type="pct"/>
            <w:shd w:val="clear" w:color="auto" w:fill="C6EFCE"/>
            <w:noWrap/>
            <w:vAlign w:val="center"/>
          </w:tcPr>
          <w:p w14:paraId="6F524F4E"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43B9505B" w14:textId="77777777" w:rsidR="003F5418" w:rsidRDefault="002A6C25">
            <w:pPr>
              <w:pStyle w:val="P68B1DB1-Normal4"/>
              <w:jc w:val="center"/>
              <w:rPr>
                <w:noProof/>
              </w:rPr>
            </w:pPr>
            <w:r>
              <w:rPr>
                <w:noProof/>
              </w:rPr>
              <w:t>2021</w:t>
            </w:r>
          </w:p>
        </w:tc>
        <w:tc>
          <w:tcPr>
            <w:tcW w:w="1047" w:type="pct"/>
            <w:shd w:val="clear" w:color="auto" w:fill="C6EFCE"/>
            <w:noWrap/>
            <w:vAlign w:val="center"/>
          </w:tcPr>
          <w:p w14:paraId="374C97FD" w14:textId="77777777" w:rsidR="003F5418" w:rsidRDefault="002A6C25">
            <w:pPr>
              <w:pStyle w:val="P68B1DB1-Normal4"/>
              <w:rPr>
                <w:noProof/>
              </w:rPr>
            </w:pPr>
            <w:r>
              <w:rPr>
                <w:noProof/>
              </w:rPr>
              <w:t>A beruházási politikának elő kell irányoznia, hogy az alap 50%-át energiahatékonysági intézkedésekre fordítsák.</w:t>
            </w:r>
          </w:p>
          <w:p w14:paraId="106F9217" w14:textId="77777777" w:rsidR="003F5418" w:rsidRDefault="002A6C25">
            <w:pPr>
              <w:pStyle w:val="P68B1DB1-Normal4"/>
              <w:rPr>
                <w:noProof/>
              </w:rPr>
            </w:pPr>
            <w:r>
              <w:rPr>
                <w:noProof/>
              </w:rPr>
              <w:t xml:space="preserve">A beruházási politikának kiválasztási kritériumokat kell tartalmaznia annak </w:t>
            </w:r>
            <w:r>
              <w:rPr>
                <w:noProof/>
              </w:rPr>
              <w:t xml:space="preserve">biztosítása érdekében, hogy az ezen intézkedés keretében támogatott ügyletek megfeleljenek a jelentős károkozás elkerülését célzó technikai iránymutatásnak (2021/C58/01) a fenntarthatósági vizsgálat, a kizárási lista, valamint a vonatkozó uniós és nemzeti </w:t>
            </w:r>
            <w:r>
              <w:rPr>
                <w:noProof/>
              </w:rPr>
              <w:t>környezetvédelmi jogszabályoknak való megfelelés követelménye révén.</w:t>
            </w:r>
          </w:p>
        </w:tc>
      </w:tr>
      <w:tr w:rsidR="003F5418" w14:paraId="3C745D84" w14:textId="77777777">
        <w:trPr>
          <w:trHeight w:val="313"/>
          <w:jc w:val="center"/>
        </w:trPr>
        <w:tc>
          <w:tcPr>
            <w:tcW w:w="377" w:type="pct"/>
            <w:shd w:val="clear" w:color="auto" w:fill="C6EFCE"/>
            <w:noWrap/>
            <w:vAlign w:val="center"/>
            <w:hideMark/>
          </w:tcPr>
          <w:p w14:paraId="0A700A1B" w14:textId="77777777" w:rsidR="003F5418" w:rsidRDefault="002A6C25">
            <w:pPr>
              <w:pStyle w:val="P68B1DB1-Normal4"/>
              <w:jc w:val="center"/>
              <w:rPr>
                <w:noProof/>
              </w:rPr>
            </w:pPr>
            <w:r>
              <w:rPr>
                <w:noProof/>
              </w:rPr>
              <w:t>M1C3–26</w:t>
            </w:r>
          </w:p>
        </w:tc>
        <w:tc>
          <w:tcPr>
            <w:tcW w:w="520" w:type="pct"/>
            <w:shd w:val="clear" w:color="auto" w:fill="C6EFCE"/>
            <w:noWrap/>
            <w:vAlign w:val="center"/>
            <w:hideMark/>
          </w:tcPr>
          <w:p w14:paraId="07406316"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4C25FC16" w14:textId="77777777" w:rsidR="003F5418" w:rsidRDefault="002A6C25">
            <w:pPr>
              <w:pStyle w:val="P68B1DB1-Normal4"/>
              <w:jc w:val="center"/>
              <w:rPr>
                <w:noProof/>
              </w:rPr>
            </w:pPr>
            <w:r>
              <w:rPr>
                <w:noProof/>
              </w:rPr>
              <w:t>Mérföldkő</w:t>
            </w:r>
          </w:p>
        </w:tc>
        <w:tc>
          <w:tcPr>
            <w:tcW w:w="520" w:type="pct"/>
            <w:shd w:val="clear" w:color="auto" w:fill="C6EFCE"/>
            <w:noWrap/>
            <w:vAlign w:val="center"/>
            <w:hideMark/>
          </w:tcPr>
          <w:p w14:paraId="6844C190" w14:textId="77777777" w:rsidR="003F5418" w:rsidRDefault="002A6C25">
            <w:pPr>
              <w:pStyle w:val="P68B1DB1-Normal4"/>
              <w:jc w:val="center"/>
              <w:rPr>
                <w:noProof/>
              </w:rPr>
            </w:pPr>
            <w:r>
              <w:rPr>
                <w:noProof/>
              </w:rPr>
              <w:t xml:space="preserve">A szálláshelyek felújításához nyújtott adójóváírásról szóló végrehajtási rendelet </w:t>
            </w:r>
            <w:r>
              <w:rPr>
                <w:noProof/>
              </w:rPr>
              <w:t>hatálybalépése.</w:t>
            </w:r>
          </w:p>
        </w:tc>
        <w:tc>
          <w:tcPr>
            <w:tcW w:w="520" w:type="pct"/>
            <w:shd w:val="clear" w:color="auto" w:fill="C6EFCE"/>
            <w:noWrap/>
            <w:vAlign w:val="center"/>
            <w:hideMark/>
          </w:tcPr>
          <w:p w14:paraId="30C2AEE5" w14:textId="77777777" w:rsidR="003F5418" w:rsidRDefault="002A6C25">
            <w:pPr>
              <w:pStyle w:val="P68B1DB1-Normal4"/>
              <w:jc w:val="center"/>
              <w:rPr>
                <w:noProof/>
              </w:rPr>
            </w:pPr>
            <w:r>
              <w:rPr>
                <w:noProof/>
              </w:rPr>
              <w:t>Az adójóváírást lehetővé tevő költségvetési törvény hatálybalépését feltüntető jogszabályi rendelkezés, valamint a vonatkozó végrehajtási jogi aktusokban a hatálybalépésüket jelző rendelkezés</w:t>
            </w:r>
          </w:p>
        </w:tc>
        <w:tc>
          <w:tcPr>
            <w:tcW w:w="331" w:type="pct"/>
            <w:shd w:val="clear" w:color="auto" w:fill="C6EFCE"/>
            <w:noWrap/>
            <w:vAlign w:val="center"/>
            <w:hideMark/>
          </w:tcPr>
          <w:p w14:paraId="37BC4B27" w14:textId="77777777" w:rsidR="003F5418" w:rsidRDefault="002A6C25">
            <w:pPr>
              <w:pStyle w:val="P68B1DB1-Normal4"/>
              <w:jc w:val="center"/>
              <w:rPr>
                <w:noProof/>
              </w:rPr>
            </w:pPr>
            <w:r>
              <w:rPr>
                <w:noProof/>
              </w:rPr>
              <w:t>NINCS</w:t>
            </w:r>
          </w:p>
        </w:tc>
        <w:tc>
          <w:tcPr>
            <w:tcW w:w="332" w:type="pct"/>
            <w:shd w:val="clear" w:color="auto" w:fill="C6EFCE"/>
            <w:noWrap/>
            <w:vAlign w:val="center"/>
            <w:hideMark/>
          </w:tcPr>
          <w:p w14:paraId="4D9BE757" w14:textId="77777777" w:rsidR="003F5418" w:rsidRDefault="002A6C25">
            <w:pPr>
              <w:pStyle w:val="P68B1DB1-Normal4"/>
              <w:jc w:val="center"/>
              <w:rPr>
                <w:noProof/>
              </w:rPr>
            </w:pPr>
            <w:r>
              <w:rPr>
                <w:noProof/>
              </w:rPr>
              <w:t>NINCS</w:t>
            </w:r>
          </w:p>
        </w:tc>
        <w:tc>
          <w:tcPr>
            <w:tcW w:w="424" w:type="pct"/>
            <w:shd w:val="clear" w:color="auto" w:fill="C6EFCE"/>
            <w:noWrap/>
            <w:vAlign w:val="center"/>
            <w:hideMark/>
          </w:tcPr>
          <w:p w14:paraId="7106DC14" w14:textId="77777777" w:rsidR="003F5418" w:rsidRDefault="002A6C25">
            <w:pPr>
              <w:pStyle w:val="P68B1DB1-Normal4"/>
              <w:jc w:val="center"/>
              <w:rPr>
                <w:noProof/>
              </w:rPr>
            </w:pPr>
            <w:r>
              <w:rPr>
                <w:noProof/>
              </w:rPr>
              <w:t>NINCS</w:t>
            </w:r>
          </w:p>
        </w:tc>
        <w:tc>
          <w:tcPr>
            <w:tcW w:w="332" w:type="pct"/>
            <w:shd w:val="clear" w:color="auto" w:fill="C6EFCE"/>
            <w:noWrap/>
            <w:vAlign w:val="center"/>
            <w:hideMark/>
          </w:tcPr>
          <w:p w14:paraId="2F35E58D"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41B4167C" w14:textId="77777777" w:rsidR="003F5418" w:rsidRDefault="002A6C25">
            <w:pPr>
              <w:pStyle w:val="P68B1DB1-Normal4"/>
              <w:jc w:val="center"/>
              <w:rPr>
                <w:noProof/>
              </w:rPr>
            </w:pPr>
            <w:r>
              <w:rPr>
                <w:noProof/>
              </w:rPr>
              <w:t>2021</w:t>
            </w:r>
          </w:p>
        </w:tc>
        <w:tc>
          <w:tcPr>
            <w:tcW w:w="1047" w:type="pct"/>
            <w:shd w:val="clear" w:color="auto" w:fill="C6EFCE"/>
            <w:noWrap/>
            <w:vAlign w:val="center"/>
            <w:hideMark/>
          </w:tcPr>
          <w:p w14:paraId="34CF58BB" w14:textId="77777777" w:rsidR="003F5418" w:rsidRDefault="002A6C25">
            <w:pPr>
              <w:pStyle w:val="P68B1DB1-Normal4"/>
              <w:rPr>
                <w:noProof/>
              </w:rPr>
            </w:pPr>
            <w:r>
              <w:rPr>
                <w:noProof/>
              </w:rPr>
              <w:t xml:space="preserve">Az adójóváírásra </w:t>
            </w:r>
            <w:r>
              <w:rPr>
                <w:noProof/>
              </w:rPr>
              <w:t>vonatkozó referenciajogszabály a 2014. május 31-i 83. sz. törvény, amely bevezette a turisztikai szálláshelyek rehabilitációjára irányuló beavatkozásokra vonatkozó adójóváírás elismerését.</w:t>
            </w:r>
          </w:p>
          <w:p w14:paraId="118BD4EE" w14:textId="77777777" w:rsidR="003F5418" w:rsidRDefault="002A6C25">
            <w:pPr>
              <w:pStyle w:val="P68B1DB1-Normal4"/>
              <w:rPr>
                <w:noProof/>
              </w:rPr>
            </w:pPr>
            <w:r>
              <w:rPr>
                <w:noProof/>
              </w:rPr>
              <w:t>A támogatott eszközök/tevékenységek és kedvezményezettek DNSH techn</w:t>
            </w:r>
            <w:r>
              <w:rPr>
                <w:noProof/>
              </w:rPr>
              <w:t>ikai iránymutatásnak (2021/C58/01) való megfelelésére vonatkozó kiválasztási/jogosultsági kritériumok, amelyek megkövetelik legalább egy kizárási lista használatát, valamint a támogatott eszközök/tevékenységek és kedvezményezettek vonatkozó uniós és nemzet</w:t>
            </w:r>
            <w:r>
              <w:rPr>
                <w:noProof/>
              </w:rPr>
              <w:t>i környezetvédelmi vívmányoknak való megfelelését, és biztosítják a megfelelést.</w:t>
            </w:r>
          </w:p>
        </w:tc>
      </w:tr>
      <w:tr w:rsidR="003F5418" w14:paraId="5C56235C" w14:textId="77777777">
        <w:trPr>
          <w:trHeight w:val="313"/>
          <w:jc w:val="center"/>
        </w:trPr>
        <w:tc>
          <w:tcPr>
            <w:tcW w:w="377" w:type="pct"/>
            <w:shd w:val="clear" w:color="auto" w:fill="C6EFCE"/>
            <w:noWrap/>
            <w:vAlign w:val="center"/>
            <w:hideMark/>
          </w:tcPr>
          <w:p w14:paraId="57346D7D" w14:textId="77777777" w:rsidR="003F5418" w:rsidRDefault="002A6C25">
            <w:pPr>
              <w:pStyle w:val="P68B1DB1-Normal4"/>
              <w:jc w:val="center"/>
              <w:rPr>
                <w:noProof/>
              </w:rPr>
            </w:pPr>
            <w:r>
              <w:rPr>
                <w:noProof/>
              </w:rPr>
              <w:t>M1C3–27</w:t>
            </w:r>
          </w:p>
        </w:tc>
        <w:tc>
          <w:tcPr>
            <w:tcW w:w="520" w:type="pct"/>
            <w:shd w:val="clear" w:color="auto" w:fill="C6EFCE"/>
            <w:noWrap/>
            <w:vAlign w:val="center"/>
            <w:hideMark/>
          </w:tcPr>
          <w:p w14:paraId="11593AC4" w14:textId="77777777" w:rsidR="003F5418" w:rsidRDefault="002A6C25">
            <w:pPr>
              <w:pStyle w:val="P68B1DB1-Normal4"/>
              <w:jc w:val="center"/>
              <w:rPr>
                <w:noProof/>
              </w:rPr>
            </w:pPr>
            <w:r>
              <w:rPr>
                <w:noProof/>
              </w:rPr>
              <w:t>Beruházás – 4.3 Caput Mundi-Next Generation EU turisztikai nagyrendezvényekért</w:t>
            </w:r>
          </w:p>
        </w:tc>
        <w:tc>
          <w:tcPr>
            <w:tcW w:w="378" w:type="pct"/>
            <w:shd w:val="clear" w:color="auto" w:fill="C6EFCE"/>
            <w:noWrap/>
            <w:vAlign w:val="center"/>
            <w:hideMark/>
          </w:tcPr>
          <w:p w14:paraId="27302954"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7DAE30DC" w14:textId="77777777" w:rsidR="003F5418" w:rsidRDefault="002A6C25">
            <w:pPr>
              <w:pStyle w:val="P68B1DB1-Normal4"/>
              <w:jc w:val="center"/>
              <w:rPr>
                <w:noProof/>
              </w:rPr>
            </w:pPr>
            <w:r>
              <w:rPr>
                <w:noProof/>
              </w:rPr>
              <w:t>Száma</w:t>
            </w:r>
          </w:p>
          <w:p w14:paraId="1E9574B7" w14:textId="77777777" w:rsidR="003F5418" w:rsidRDefault="002A6C25">
            <w:pPr>
              <w:pStyle w:val="P68B1DB1-Normal4"/>
              <w:jc w:val="center"/>
              <w:rPr>
                <w:noProof/>
              </w:rPr>
            </w:pPr>
            <w:r>
              <w:rPr>
                <w:noProof/>
              </w:rPr>
              <w:t xml:space="preserve">kulturális és turisztikai helyszínek, amelyek átképzése átlagosan elérte a </w:t>
            </w:r>
            <w:r>
              <w:rPr>
                <w:noProof/>
              </w:rPr>
              <w:t>Stato Avanzamento Lavori (SAL) 50%-át (első tétel)</w:t>
            </w:r>
          </w:p>
        </w:tc>
        <w:tc>
          <w:tcPr>
            <w:tcW w:w="520" w:type="pct"/>
            <w:shd w:val="clear" w:color="auto" w:fill="C6EFCE"/>
            <w:noWrap/>
            <w:vAlign w:val="center"/>
            <w:hideMark/>
          </w:tcPr>
          <w:p w14:paraId="66AB4FA5"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551B4B80"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132C502F"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260CD705" w14:textId="77777777" w:rsidR="003F5418" w:rsidRDefault="002A6C25">
            <w:pPr>
              <w:pStyle w:val="P68B1DB1-Normal4"/>
              <w:jc w:val="center"/>
              <w:rPr>
                <w:noProof/>
              </w:rPr>
            </w:pPr>
            <w:r>
              <w:rPr>
                <w:noProof/>
              </w:rPr>
              <w:t>100</w:t>
            </w:r>
          </w:p>
        </w:tc>
        <w:tc>
          <w:tcPr>
            <w:tcW w:w="332" w:type="pct"/>
            <w:shd w:val="clear" w:color="auto" w:fill="C6EFCE"/>
            <w:noWrap/>
            <w:vAlign w:val="center"/>
            <w:hideMark/>
          </w:tcPr>
          <w:p w14:paraId="55A19A48"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33A8903A" w14:textId="77777777" w:rsidR="003F5418" w:rsidRDefault="002A6C25">
            <w:pPr>
              <w:pStyle w:val="P68B1DB1-Normal4"/>
              <w:jc w:val="center"/>
              <w:rPr>
                <w:noProof/>
              </w:rPr>
            </w:pPr>
            <w:r>
              <w:rPr>
                <w:noProof/>
              </w:rPr>
              <w:t>2024</w:t>
            </w:r>
          </w:p>
        </w:tc>
        <w:tc>
          <w:tcPr>
            <w:tcW w:w="1047" w:type="pct"/>
            <w:shd w:val="clear" w:color="auto" w:fill="C6EFCE"/>
            <w:noWrap/>
            <w:vAlign w:val="center"/>
            <w:hideMark/>
          </w:tcPr>
          <w:p w14:paraId="64B1D344" w14:textId="77777777" w:rsidR="003F5418" w:rsidRDefault="002A6C25">
            <w:pPr>
              <w:pStyle w:val="P68B1DB1-Normal4"/>
              <w:rPr>
                <w:noProof/>
              </w:rPr>
            </w:pPr>
            <w:r>
              <w:rPr>
                <w:noProof/>
              </w:rPr>
              <w:t>A beruházás a következőkre kiterjedő beavatkozásokat foglal magában:</w:t>
            </w:r>
          </w:p>
          <w:p w14:paraId="1502BB83" w14:textId="77777777" w:rsidR="003F5418" w:rsidRDefault="002A6C25">
            <w:pPr>
              <w:pStyle w:val="P68B1DB1-ListParagraph5"/>
              <w:numPr>
                <w:ilvl w:val="0"/>
                <w:numId w:val="86"/>
              </w:numPr>
              <w:ind w:left="362" w:hanging="284"/>
              <w:jc w:val="left"/>
              <w:rPr>
                <w:noProof/>
              </w:rPr>
            </w:pPr>
            <w:r>
              <w:rPr>
                <w:noProof/>
              </w:rPr>
              <w:t xml:space="preserve"> a „Roman Kulturális Örökség az EU-</w:t>
            </w:r>
            <w:r>
              <w:rPr>
                <w:noProof/>
              </w:rPr>
              <w:t xml:space="preserve">Next Generation” beruházási sor kulturális és városi örökségének, valamint Róma magas történelmi-építészeti értéket képviselő komplexumainak rehabilitációja és helyreállítása;  </w:t>
            </w:r>
          </w:p>
          <w:p w14:paraId="24E041F8" w14:textId="77777777" w:rsidR="003F5418" w:rsidRDefault="002A6C25">
            <w:pPr>
              <w:pStyle w:val="P68B1DB1-ListParagraph5"/>
              <w:numPr>
                <w:ilvl w:val="0"/>
                <w:numId w:val="86"/>
              </w:numPr>
              <w:tabs>
                <w:tab w:val="left" w:pos="1340"/>
                <w:tab w:val="left" w:pos="1341"/>
              </w:tabs>
              <w:ind w:left="362" w:right="-7" w:hanging="284"/>
              <w:jc w:val="left"/>
              <w:rPr>
                <w:noProof/>
              </w:rPr>
            </w:pPr>
            <w:r>
              <w:rPr>
                <w:noProof/>
              </w:rPr>
              <w:t>a „Jubilee paths” beruházási sor fejlesztése, biztonsága, földrengésellenes ko</w:t>
            </w:r>
            <w:r>
              <w:rPr>
                <w:noProof/>
              </w:rPr>
              <w:t>nszolidációja, történelmi jelentőségű helyek és épületek helyreállítása, valamint régészeti útvonalak;</w:t>
            </w:r>
          </w:p>
          <w:p w14:paraId="4A4F9578" w14:textId="77777777" w:rsidR="003F5418" w:rsidRDefault="002A6C25">
            <w:pPr>
              <w:pStyle w:val="P68B1DB1-ListParagraph5"/>
              <w:numPr>
                <w:ilvl w:val="0"/>
                <w:numId w:val="86"/>
              </w:numPr>
              <w:tabs>
                <w:tab w:val="left" w:pos="1340"/>
                <w:tab w:val="left" w:pos="1341"/>
              </w:tabs>
              <w:ind w:left="362" w:right="-7" w:hanging="284"/>
              <w:jc w:val="left"/>
              <w:rPr>
                <w:noProof/>
              </w:rPr>
            </w:pPr>
            <w:r>
              <w:rPr>
                <w:noProof/>
              </w:rPr>
              <w:t>a periférikus területeken található telephelyek átalakítása a(z) „#LaCittàCondivisa” beruházási sor tekintetében;</w:t>
            </w:r>
          </w:p>
          <w:p w14:paraId="6A25F648" w14:textId="77777777" w:rsidR="003F5418" w:rsidRDefault="002A6C25">
            <w:pPr>
              <w:pStyle w:val="P68B1DB1-ListParagraph5"/>
              <w:numPr>
                <w:ilvl w:val="0"/>
                <w:numId w:val="86"/>
              </w:numPr>
              <w:tabs>
                <w:tab w:val="left" w:pos="1340"/>
                <w:tab w:val="left" w:pos="1341"/>
              </w:tabs>
              <w:ind w:left="362" w:right="-7" w:hanging="284"/>
              <w:jc w:val="left"/>
              <w:rPr>
                <w:noProof/>
              </w:rPr>
            </w:pPr>
            <w:r>
              <w:rPr>
                <w:noProof/>
              </w:rPr>
              <w:t>parkokra, történelmi kertekre, villakra</w:t>
            </w:r>
            <w:r>
              <w:rPr>
                <w:noProof/>
              </w:rPr>
              <w:t xml:space="preserve"> és ivókutakra irányuló beavatkozások a #Mitingodiverde. beruházási sorban;</w:t>
            </w:r>
          </w:p>
          <w:p w14:paraId="4D661241" w14:textId="77777777" w:rsidR="003F5418" w:rsidRDefault="002A6C25">
            <w:pPr>
              <w:pStyle w:val="P68B1DB1-ListParagraph5"/>
              <w:numPr>
                <w:ilvl w:val="0"/>
                <w:numId w:val="86"/>
              </w:numPr>
              <w:tabs>
                <w:tab w:val="left" w:pos="1340"/>
                <w:tab w:val="left" w:pos="1341"/>
              </w:tabs>
              <w:ind w:left="362" w:right="-7" w:hanging="284"/>
              <w:jc w:val="left"/>
              <w:rPr>
                <w:noProof/>
              </w:rPr>
            </w:pPr>
            <w:r>
              <w:rPr>
                <w:noProof/>
              </w:rPr>
              <w:t>a kulturális szolgáltatások digitalizálása és a turistáknak szánt alkalmazások fejlesztése vagy az #Roma 4.0 beruházási vonal;</w:t>
            </w:r>
          </w:p>
          <w:p w14:paraId="5FD7293E" w14:textId="77777777" w:rsidR="003F5418" w:rsidRDefault="002A6C25">
            <w:pPr>
              <w:pStyle w:val="P68B1DB1-ListParagraph5"/>
              <w:numPr>
                <w:ilvl w:val="0"/>
                <w:numId w:val="86"/>
              </w:numPr>
              <w:tabs>
                <w:tab w:val="left" w:pos="1340"/>
                <w:tab w:val="left" w:pos="1341"/>
              </w:tabs>
              <w:ind w:left="362" w:right="-7" w:hanging="284"/>
              <w:jc w:val="left"/>
              <w:rPr>
                <w:noProof/>
              </w:rPr>
            </w:pPr>
            <w:r>
              <w:rPr>
                <w:noProof/>
              </w:rPr>
              <w:t>A társadalmi integráció érdekében a perifériák kultur</w:t>
            </w:r>
            <w:r>
              <w:rPr>
                <w:noProof/>
              </w:rPr>
              <w:t>ális kínálatának növelésére irányuló beavatkozások a #Amanotesa. beruházási sor esetében.</w:t>
            </w:r>
          </w:p>
        </w:tc>
      </w:tr>
      <w:tr w:rsidR="003F5418" w14:paraId="33FF1D5C" w14:textId="77777777">
        <w:trPr>
          <w:trHeight w:val="313"/>
          <w:jc w:val="center"/>
        </w:trPr>
        <w:tc>
          <w:tcPr>
            <w:tcW w:w="377" w:type="pct"/>
            <w:shd w:val="clear" w:color="auto" w:fill="C6EFCE"/>
            <w:noWrap/>
            <w:vAlign w:val="center"/>
            <w:hideMark/>
          </w:tcPr>
          <w:p w14:paraId="6F977994" w14:textId="77777777" w:rsidR="003F5418" w:rsidRDefault="002A6C25">
            <w:pPr>
              <w:pStyle w:val="P68B1DB1-Normal4"/>
              <w:jc w:val="center"/>
              <w:rPr>
                <w:noProof/>
              </w:rPr>
            </w:pPr>
            <w:r>
              <w:rPr>
                <w:noProof/>
              </w:rPr>
              <w:t>M1C3–28</w:t>
            </w:r>
          </w:p>
        </w:tc>
        <w:tc>
          <w:tcPr>
            <w:tcW w:w="520" w:type="pct"/>
            <w:shd w:val="clear" w:color="auto" w:fill="C6EFCE"/>
            <w:noWrap/>
            <w:vAlign w:val="center"/>
            <w:hideMark/>
          </w:tcPr>
          <w:p w14:paraId="212017F5"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6743C8C6"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2E7A4BAB" w14:textId="77777777" w:rsidR="003F5418" w:rsidRDefault="002A6C25">
            <w:pPr>
              <w:pStyle w:val="P68B1DB1-Normal4"/>
              <w:jc w:val="center"/>
              <w:rPr>
                <w:noProof/>
              </w:rPr>
            </w:pPr>
            <w:r>
              <w:rPr>
                <w:noProof/>
              </w:rPr>
              <w:t xml:space="preserve">Az infrastruktúrákra és/vagy szolgáltatásokra vonatkozó adójóváírás által </w:t>
            </w:r>
            <w:r>
              <w:rPr>
                <w:noProof/>
              </w:rPr>
              <w:t>támogatott idegenforgalmi vállalkozások száma;</w:t>
            </w:r>
          </w:p>
        </w:tc>
        <w:tc>
          <w:tcPr>
            <w:tcW w:w="520" w:type="pct"/>
            <w:shd w:val="clear" w:color="auto" w:fill="C6EFCE"/>
            <w:noWrap/>
            <w:vAlign w:val="center"/>
            <w:hideMark/>
          </w:tcPr>
          <w:p w14:paraId="24B59CA4"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6646F7EC"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4BA2095A"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224D9BC3" w14:textId="77777777" w:rsidR="003F5418" w:rsidRDefault="002A6C25">
            <w:pPr>
              <w:pStyle w:val="P68B1DB1-Normal4"/>
              <w:jc w:val="center"/>
              <w:rPr>
                <w:noProof/>
              </w:rPr>
            </w:pPr>
            <w:r>
              <w:rPr>
                <w:noProof/>
              </w:rPr>
              <w:t>3 500</w:t>
            </w:r>
          </w:p>
        </w:tc>
        <w:tc>
          <w:tcPr>
            <w:tcW w:w="332" w:type="pct"/>
            <w:shd w:val="clear" w:color="auto" w:fill="C6EFCE"/>
            <w:noWrap/>
            <w:vAlign w:val="center"/>
            <w:hideMark/>
          </w:tcPr>
          <w:p w14:paraId="165D480E"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13A20E1E"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4B043DE2" w14:textId="77777777" w:rsidR="003F5418" w:rsidRDefault="002A6C25">
            <w:pPr>
              <w:pStyle w:val="P68B1DB1-Normal9"/>
              <w:rPr>
                <w:rFonts w:ascii="Arial Narrow" w:hAnsi="Arial Narrow"/>
                <w:noProof/>
              </w:rPr>
            </w:pPr>
            <w:r>
              <w:rPr>
                <w:rFonts w:ascii="Arial Narrow" w:hAnsi="Arial Narrow"/>
                <w:noProof/>
              </w:rPr>
              <w:t>Legalább 3500</w:t>
            </w:r>
            <w:r>
              <w:rPr>
                <w:noProof/>
              </w:rPr>
              <w:t xml:space="preserve"> </w:t>
            </w:r>
            <w:r>
              <w:rPr>
                <w:rFonts w:ascii="Arial Narrow" w:hAnsi="Arial Narrow"/>
                <w:noProof/>
              </w:rPr>
              <w:t>turisztikai vállalkozás, amelyet az infrastruktúrákra és/vagy szolgáltatásokra vonatkozó adójóváírás támogat;</w:t>
            </w:r>
          </w:p>
          <w:p w14:paraId="7CC6EEA6" w14:textId="77777777" w:rsidR="003F5418" w:rsidRDefault="002A6C25">
            <w:pPr>
              <w:pStyle w:val="P68B1DB1-Normal4"/>
              <w:rPr>
                <w:noProof/>
              </w:rPr>
            </w:pPr>
            <w:r>
              <w:rPr>
                <w:noProof/>
              </w:rPr>
              <w:t xml:space="preserve">Az adójóváírás által nyújtott támogatás javítja a turisztikai vendéglátás minőségét a következők révén: </w:t>
            </w:r>
          </w:p>
          <w:p w14:paraId="76BE578E" w14:textId="77777777" w:rsidR="003F5418" w:rsidRDefault="002A6C25">
            <w:pPr>
              <w:pStyle w:val="P68B1DB1-ListParagraph5"/>
              <w:numPr>
                <w:ilvl w:val="0"/>
                <w:numId w:val="88"/>
              </w:numPr>
              <w:ind w:left="310" w:hanging="310"/>
              <w:jc w:val="left"/>
              <w:rPr>
                <w:noProof/>
              </w:rPr>
            </w:pPr>
            <w:r>
              <w:rPr>
                <w:noProof/>
              </w:rPr>
              <w:t>beruházás a környezeti fenntarthatóságba (a megújuló energiaforrások kevésbé energiaigényesek)</w:t>
            </w:r>
          </w:p>
          <w:p w14:paraId="7F31C929" w14:textId="77777777" w:rsidR="003F5418" w:rsidRDefault="002A6C25">
            <w:pPr>
              <w:pStyle w:val="P68B1DB1-ListParagraph5"/>
              <w:numPr>
                <w:ilvl w:val="0"/>
                <w:numId w:val="88"/>
              </w:numPr>
              <w:ind w:left="310" w:hanging="310"/>
              <w:jc w:val="left"/>
              <w:rPr>
                <w:noProof/>
              </w:rPr>
            </w:pPr>
            <w:r>
              <w:rPr>
                <w:noProof/>
              </w:rPr>
              <w:t>az olasz szálláshelyek minőségi színvonalának emelése és</w:t>
            </w:r>
            <w:r>
              <w:rPr>
                <w:noProof/>
              </w:rPr>
              <w:t xml:space="preserve"> javítása </w:t>
            </w:r>
          </w:p>
        </w:tc>
      </w:tr>
      <w:tr w:rsidR="003F5418" w14:paraId="5077DEE6" w14:textId="77777777">
        <w:trPr>
          <w:trHeight w:val="313"/>
          <w:jc w:val="center"/>
        </w:trPr>
        <w:tc>
          <w:tcPr>
            <w:tcW w:w="377" w:type="pct"/>
            <w:shd w:val="clear" w:color="auto" w:fill="C6EFCE"/>
            <w:noWrap/>
            <w:vAlign w:val="center"/>
            <w:hideMark/>
          </w:tcPr>
          <w:p w14:paraId="5D1628D0" w14:textId="77777777" w:rsidR="003F5418" w:rsidRDefault="002A6C25">
            <w:pPr>
              <w:pStyle w:val="P68B1DB1-Normal4"/>
              <w:jc w:val="center"/>
              <w:rPr>
                <w:noProof/>
              </w:rPr>
            </w:pPr>
            <w:r>
              <w:rPr>
                <w:noProof/>
              </w:rPr>
              <w:t>M1C3–29</w:t>
            </w:r>
          </w:p>
        </w:tc>
        <w:tc>
          <w:tcPr>
            <w:tcW w:w="520" w:type="pct"/>
            <w:shd w:val="clear" w:color="auto" w:fill="C6EFCE"/>
            <w:noWrap/>
            <w:vAlign w:val="center"/>
            <w:hideMark/>
          </w:tcPr>
          <w:p w14:paraId="36289DF6"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4F40BD82"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01B30796" w14:textId="77777777" w:rsidR="003F5418" w:rsidRDefault="002A6C25">
            <w:pPr>
              <w:pStyle w:val="P68B1DB1-Normal4"/>
              <w:jc w:val="center"/>
              <w:rPr>
                <w:noProof/>
              </w:rPr>
            </w:pPr>
            <w:r>
              <w:rPr>
                <w:noProof/>
              </w:rPr>
              <w:t>Az Európai Beruházási Bank tematikus alapjain keresztül támogatandó turisztikai projektek száma</w:t>
            </w:r>
          </w:p>
        </w:tc>
        <w:tc>
          <w:tcPr>
            <w:tcW w:w="520" w:type="pct"/>
            <w:shd w:val="clear" w:color="auto" w:fill="C6EFCE"/>
            <w:noWrap/>
            <w:vAlign w:val="center"/>
            <w:hideMark/>
          </w:tcPr>
          <w:p w14:paraId="4C36B36C"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698E1D56"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0C085AB1"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378BE1BD" w14:textId="77777777" w:rsidR="003F5418" w:rsidRDefault="002A6C25">
            <w:pPr>
              <w:pStyle w:val="P68B1DB1-Normal4"/>
              <w:jc w:val="center"/>
              <w:rPr>
                <w:noProof/>
              </w:rPr>
            </w:pPr>
            <w:r>
              <w:rPr>
                <w:noProof/>
              </w:rPr>
              <w:t>170</w:t>
            </w:r>
          </w:p>
        </w:tc>
        <w:tc>
          <w:tcPr>
            <w:tcW w:w="332" w:type="pct"/>
            <w:shd w:val="clear" w:color="auto" w:fill="C6EFCE"/>
            <w:noWrap/>
            <w:vAlign w:val="center"/>
            <w:hideMark/>
          </w:tcPr>
          <w:p w14:paraId="0C5FD44C"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536029C5" w14:textId="77777777" w:rsidR="003F5418" w:rsidRDefault="002A6C25">
            <w:pPr>
              <w:pStyle w:val="P68B1DB1-Normal4"/>
              <w:jc w:val="center"/>
              <w:rPr>
                <w:noProof/>
              </w:rPr>
            </w:pPr>
            <w:r>
              <w:rPr>
                <w:noProof/>
              </w:rPr>
              <w:t>2026</w:t>
            </w:r>
          </w:p>
        </w:tc>
        <w:tc>
          <w:tcPr>
            <w:tcW w:w="1047" w:type="pct"/>
            <w:shd w:val="clear" w:color="auto" w:fill="C6EFCE"/>
            <w:noWrap/>
            <w:vAlign w:val="center"/>
            <w:hideMark/>
          </w:tcPr>
          <w:p w14:paraId="2B2F5351" w14:textId="77777777" w:rsidR="003F5418" w:rsidRDefault="002A6C25">
            <w:pPr>
              <w:pStyle w:val="P68B1DB1-Normal4"/>
              <w:rPr>
                <w:noProof/>
              </w:rPr>
            </w:pPr>
            <w:r>
              <w:rPr>
                <w:noProof/>
              </w:rPr>
              <w:t xml:space="preserve">Legalább 170 turisztikai projekt </w:t>
            </w:r>
            <w:r>
              <w:rPr>
                <w:noProof/>
              </w:rPr>
              <w:t>támogatása;</w:t>
            </w:r>
          </w:p>
          <w:p w14:paraId="519C21B7" w14:textId="77777777" w:rsidR="003F5418" w:rsidRDefault="002A6C25">
            <w:pPr>
              <w:pStyle w:val="P68B1DB1-Normal4"/>
              <w:rPr>
                <w:noProof/>
              </w:rPr>
            </w:pPr>
            <w:r>
              <w:rPr>
                <w:noProof/>
              </w:rPr>
              <w:t xml:space="preserve">Az Európai Beruházási Bank tematikus alapjain keresztül nyújtott támogatás a következőkre irányul: </w:t>
            </w:r>
          </w:p>
          <w:p w14:paraId="6DC65AC5" w14:textId="77777777" w:rsidR="003F5418" w:rsidRDefault="002A6C25">
            <w:pPr>
              <w:pStyle w:val="P68B1DB1-ListParagraph5"/>
              <w:numPr>
                <w:ilvl w:val="0"/>
                <w:numId w:val="105"/>
              </w:numPr>
              <w:jc w:val="left"/>
              <w:rPr>
                <w:noProof/>
              </w:rPr>
            </w:pPr>
            <w:r>
              <w:rPr>
                <w:noProof/>
              </w:rPr>
              <w:t>a digitális átállást szolgáló innovatív beruházások támogatása</w:t>
            </w:r>
          </w:p>
          <w:p w14:paraId="6D9529FB" w14:textId="77777777" w:rsidR="003F5418" w:rsidRDefault="002A6C25">
            <w:pPr>
              <w:pStyle w:val="P68B1DB1-ListParagraph5"/>
              <w:numPr>
                <w:ilvl w:val="0"/>
                <w:numId w:val="105"/>
              </w:numPr>
              <w:jc w:val="left"/>
              <w:rPr>
                <w:noProof/>
              </w:rPr>
            </w:pPr>
            <w:r>
              <w:rPr>
                <w:noProof/>
              </w:rPr>
              <w:t>a turisztikai szolgáltatások kínálatának növelése</w:t>
            </w:r>
          </w:p>
          <w:p w14:paraId="0E786A1D" w14:textId="77777777" w:rsidR="003F5418" w:rsidRDefault="002A6C25">
            <w:pPr>
              <w:pStyle w:val="P68B1DB1-ListParagraph5"/>
              <w:numPr>
                <w:ilvl w:val="0"/>
                <w:numId w:val="105"/>
              </w:numPr>
              <w:jc w:val="left"/>
              <w:rPr>
                <w:noProof/>
              </w:rPr>
            </w:pPr>
            <w:r>
              <w:rPr>
                <w:noProof/>
              </w:rPr>
              <w:t>a vállalati aggregálási folyama</w:t>
            </w:r>
            <w:r>
              <w:rPr>
                <w:noProof/>
              </w:rPr>
              <w:t>tok ösztönzése</w:t>
            </w:r>
          </w:p>
          <w:p w14:paraId="3C8B8B9D" w14:textId="77777777" w:rsidR="003F5418" w:rsidRDefault="003F5418">
            <w:pPr>
              <w:rPr>
                <w:rFonts w:ascii="Arial Narrow" w:hAnsi="Arial Narrow"/>
                <w:noProof/>
                <w:color w:val="006100"/>
                <w:sz w:val="20"/>
              </w:rPr>
            </w:pPr>
          </w:p>
        </w:tc>
      </w:tr>
      <w:tr w:rsidR="003F5418" w14:paraId="245A841C" w14:textId="77777777">
        <w:trPr>
          <w:trHeight w:val="313"/>
          <w:jc w:val="center"/>
        </w:trPr>
        <w:tc>
          <w:tcPr>
            <w:tcW w:w="377" w:type="pct"/>
            <w:shd w:val="clear" w:color="auto" w:fill="C6EFCE"/>
            <w:noWrap/>
            <w:vAlign w:val="center"/>
          </w:tcPr>
          <w:p w14:paraId="21AF07BB" w14:textId="77777777" w:rsidR="003F5418" w:rsidRDefault="002A6C25">
            <w:pPr>
              <w:pStyle w:val="P68B1DB1-Normal4"/>
              <w:jc w:val="center"/>
              <w:rPr>
                <w:noProof/>
              </w:rPr>
            </w:pPr>
            <w:r>
              <w:rPr>
                <w:noProof/>
              </w:rPr>
              <w:t>M1C3–30</w:t>
            </w:r>
          </w:p>
        </w:tc>
        <w:tc>
          <w:tcPr>
            <w:tcW w:w="520" w:type="pct"/>
            <w:shd w:val="clear" w:color="auto" w:fill="C6EFCE"/>
            <w:noWrap/>
            <w:vAlign w:val="center"/>
          </w:tcPr>
          <w:p w14:paraId="52C8532B" w14:textId="77777777" w:rsidR="003F5418" w:rsidRDefault="002A6C25">
            <w:pPr>
              <w:pStyle w:val="P68B1DB1-Normal4"/>
              <w:jc w:val="center"/>
              <w:rPr>
                <w:noProof/>
              </w:rPr>
            </w:pPr>
            <w:r>
              <w:rPr>
                <w:noProof/>
              </w:rPr>
              <w:t>Beruházás:  A turizmus versenyképességét szolgáló alapok</w:t>
            </w:r>
          </w:p>
          <w:p w14:paraId="6A2B8856" w14:textId="77777777" w:rsidR="003F5418" w:rsidRDefault="002A6C25">
            <w:pPr>
              <w:pStyle w:val="P68B1DB1-Normal4"/>
              <w:jc w:val="center"/>
              <w:rPr>
                <w:noProof/>
              </w:rPr>
            </w:pPr>
            <w:r>
              <w:rPr>
                <w:noProof/>
              </w:rPr>
              <w:t>vállalatok</w:t>
            </w:r>
          </w:p>
        </w:tc>
        <w:tc>
          <w:tcPr>
            <w:tcW w:w="378" w:type="pct"/>
            <w:shd w:val="clear" w:color="auto" w:fill="C6EFCE"/>
            <w:noWrap/>
            <w:vAlign w:val="center"/>
          </w:tcPr>
          <w:p w14:paraId="231A44C7" w14:textId="77777777" w:rsidR="003F5418" w:rsidRDefault="002A6C25">
            <w:pPr>
              <w:pStyle w:val="P68B1DB1-Normal4"/>
              <w:jc w:val="center"/>
              <w:rPr>
                <w:noProof/>
              </w:rPr>
            </w:pPr>
            <w:r>
              <w:rPr>
                <w:noProof/>
              </w:rPr>
              <w:t>Cél</w:t>
            </w:r>
          </w:p>
        </w:tc>
        <w:tc>
          <w:tcPr>
            <w:tcW w:w="520" w:type="pct"/>
            <w:shd w:val="clear" w:color="auto" w:fill="C6EFCE"/>
            <w:noWrap/>
            <w:vAlign w:val="center"/>
          </w:tcPr>
          <w:p w14:paraId="41CD5199" w14:textId="77777777" w:rsidR="003F5418" w:rsidRDefault="002A6C25">
            <w:pPr>
              <w:pStyle w:val="P68B1DB1-Normal4"/>
              <w:jc w:val="center"/>
              <w:rPr>
                <w:noProof/>
              </w:rPr>
            </w:pPr>
            <w:r>
              <w:rPr>
                <w:noProof/>
              </w:rPr>
              <w:t>Az Európai Beruházási Bank tematikus alapjai:</w:t>
            </w:r>
          </w:p>
          <w:p w14:paraId="7CC0231C" w14:textId="77777777" w:rsidR="003F5418" w:rsidRDefault="002A6C25">
            <w:pPr>
              <w:pStyle w:val="P68B1DB1-Normal9"/>
              <w:jc w:val="center"/>
              <w:rPr>
                <w:rFonts w:ascii="Arial Narrow" w:hAnsi="Arial Narrow"/>
                <w:noProof/>
              </w:rPr>
            </w:pPr>
            <w:r>
              <w:rPr>
                <w:rFonts w:ascii="Arial Narrow" w:hAnsi="Arial Narrow"/>
                <w:noProof/>
              </w:rPr>
              <w:t>Összesen 350 000 000 EUR folyósítása az</w:t>
            </w:r>
            <w:r>
              <w:rPr>
                <w:noProof/>
              </w:rPr>
              <w:t xml:space="preserve">  </w:t>
            </w:r>
            <w:r>
              <w:rPr>
                <w:rFonts w:ascii="Arial Narrow" w:hAnsi="Arial Narrow"/>
                <w:noProof/>
              </w:rPr>
              <w:t>Alapnak</w:t>
            </w:r>
          </w:p>
        </w:tc>
        <w:tc>
          <w:tcPr>
            <w:tcW w:w="520" w:type="pct"/>
            <w:shd w:val="clear" w:color="auto" w:fill="C6EFCE"/>
            <w:noWrap/>
            <w:vAlign w:val="center"/>
          </w:tcPr>
          <w:p w14:paraId="720FE2C7" w14:textId="77777777" w:rsidR="003F5418" w:rsidRDefault="002A6C25">
            <w:pPr>
              <w:pStyle w:val="P68B1DB1-Normal4"/>
              <w:jc w:val="center"/>
              <w:rPr>
                <w:noProof/>
              </w:rPr>
            </w:pPr>
            <w:r>
              <w:rPr>
                <w:noProof/>
              </w:rPr>
              <w:t>NINCS</w:t>
            </w:r>
          </w:p>
        </w:tc>
        <w:tc>
          <w:tcPr>
            <w:tcW w:w="331" w:type="pct"/>
            <w:shd w:val="clear" w:color="auto" w:fill="C6EFCE"/>
            <w:noWrap/>
            <w:vAlign w:val="center"/>
          </w:tcPr>
          <w:p w14:paraId="667BE500" w14:textId="77777777" w:rsidR="003F5418" w:rsidRDefault="002A6C25">
            <w:pPr>
              <w:pStyle w:val="P68B1DB1-Normal4"/>
              <w:jc w:val="center"/>
              <w:rPr>
                <w:noProof/>
              </w:rPr>
            </w:pPr>
            <w:r>
              <w:rPr>
                <w:noProof/>
              </w:rPr>
              <w:t>Szám</w:t>
            </w:r>
          </w:p>
        </w:tc>
        <w:tc>
          <w:tcPr>
            <w:tcW w:w="332" w:type="pct"/>
            <w:shd w:val="clear" w:color="auto" w:fill="C6EFCE"/>
            <w:noWrap/>
            <w:vAlign w:val="center"/>
          </w:tcPr>
          <w:p w14:paraId="3A0D22D1" w14:textId="77777777" w:rsidR="003F5418" w:rsidRDefault="002A6C25">
            <w:pPr>
              <w:pStyle w:val="P68B1DB1-Normal4"/>
              <w:jc w:val="center"/>
              <w:rPr>
                <w:noProof/>
              </w:rPr>
            </w:pPr>
            <w:r>
              <w:rPr>
                <w:noProof/>
              </w:rPr>
              <w:t>0</w:t>
            </w:r>
          </w:p>
        </w:tc>
        <w:tc>
          <w:tcPr>
            <w:tcW w:w="424" w:type="pct"/>
            <w:shd w:val="clear" w:color="auto" w:fill="C6EFCE"/>
            <w:noWrap/>
            <w:vAlign w:val="center"/>
          </w:tcPr>
          <w:p w14:paraId="24FD8265" w14:textId="77777777" w:rsidR="003F5418" w:rsidRDefault="002A6C25">
            <w:pPr>
              <w:pStyle w:val="P68B1DB1-Normal4"/>
              <w:jc w:val="center"/>
              <w:rPr>
                <w:noProof/>
              </w:rPr>
            </w:pPr>
            <w:r>
              <w:rPr>
                <w:noProof/>
              </w:rPr>
              <w:t>350 000 000</w:t>
            </w:r>
          </w:p>
        </w:tc>
        <w:tc>
          <w:tcPr>
            <w:tcW w:w="332" w:type="pct"/>
            <w:shd w:val="clear" w:color="auto" w:fill="C6EFCE"/>
            <w:noWrap/>
            <w:vAlign w:val="center"/>
          </w:tcPr>
          <w:p w14:paraId="2C8027B2"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4B7FAAAF"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7BC3DF4D" w14:textId="77777777" w:rsidR="003F5418" w:rsidRDefault="002A6C25">
            <w:pPr>
              <w:pStyle w:val="P68B1DB1-Normal4"/>
              <w:rPr>
                <w:noProof/>
              </w:rPr>
            </w:pPr>
            <w:r>
              <w:rPr>
                <w:noProof/>
              </w:rPr>
              <w:t>A kifizetésnek összhangban kell</w:t>
            </w:r>
            <w:r>
              <w:rPr>
                <w:noProof/>
              </w:rPr>
              <w:t xml:space="preserve"> lennie a mérföldkőben meghatározott beruházási politikával.</w:t>
            </w:r>
          </w:p>
        </w:tc>
      </w:tr>
      <w:tr w:rsidR="003F5418" w14:paraId="3C65F80A" w14:textId="77777777">
        <w:trPr>
          <w:trHeight w:val="313"/>
          <w:jc w:val="center"/>
        </w:trPr>
        <w:tc>
          <w:tcPr>
            <w:tcW w:w="377" w:type="pct"/>
            <w:shd w:val="clear" w:color="auto" w:fill="C6EFCE"/>
            <w:noWrap/>
            <w:vAlign w:val="center"/>
          </w:tcPr>
          <w:p w14:paraId="3F8AF8D1" w14:textId="77777777" w:rsidR="003F5418" w:rsidRDefault="002A6C25">
            <w:pPr>
              <w:pStyle w:val="P68B1DB1-Normal4"/>
              <w:jc w:val="center"/>
              <w:rPr>
                <w:noProof/>
              </w:rPr>
            </w:pPr>
            <w:r>
              <w:rPr>
                <w:noProof/>
              </w:rPr>
              <w:t>M1C3–31</w:t>
            </w:r>
          </w:p>
        </w:tc>
        <w:tc>
          <w:tcPr>
            <w:tcW w:w="520" w:type="pct"/>
            <w:shd w:val="clear" w:color="auto" w:fill="C6EFCE"/>
            <w:noWrap/>
            <w:vAlign w:val="center"/>
          </w:tcPr>
          <w:p w14:paraId="5178512D"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tcPr>
          <w:p w14:paraId="0FCF10BB" w14:textId="77777777" w:rsidR="003F5418" w:rsidRDefault="002A6C25">
            <w:pPr>
              <w:pStyle w:val="P68B1DB1-Normal4"/>
              <w:jc w:val="center"/>
              <w:rPr>
                <w:noProof/>
              </w:rPr>
            </w:pPr>
            <w:r>
              <w:rPr>
                <w:noProof/>
              </w:rPr>
              <w:t>Cél</w:t>
            </w:r>
          </w:p>
        </w:tc>
        <w:tc>
          <w:tcPr>
            <w:tcW w:w="520" w:type="pct"/>
            <w:shd w:val="clear" w:color="auto" w:fill="C6EFCE"/>
            <w:noWrap/>
            <w:vAlign w:val="center"/>
          </w:tcPr>
          <w:p w14:paraId="15C18032" w14:textId="77777777" w:rsidR="003F5418" w:rsidRDefault="003F5418">
            <w:pPr>
              <w:jc w:val="center"/>
              <w:rPr>
                <w:rFonts w:ascii="Arial Narrow" w:hAnsi="Arial Narrow"/>
                <w:noProof/>
                <w:color w:val="006100"/>
                <w:sz w:val="20"/>
              </w:rPr>
            </w:pPr>
          </w:p>
          <w:p w14:paraId="3B5FC2B9" w14:textId="77777777" w:rsidR="003F5418" w:rsidRDefault="002A6C25">
            <w:pPr>
              <w:pStyle w:val="P68B1DB1-Normal4"/>
              <w:jc w:val="center"/>
              <w:rPr>
                <w:noProof/>
              </w:rPr>
            </w:pPr>
            <w:r>
              <w:rPr>
                <w:noProof/>
              </w:rPr>
              <w:t>Nemzeti Turisztikai Alap:</w:t>
            </w:r>
          </w:p>
          <w:p w14:paraId="63BE14C3" w14:textId="77777777" w:rsidR="003F5418" w:rsidRDefault="002A6C25">
            <w:pPr>
              <w:pStyle w:val="P68B1DB1-Normal9"/>
              <w:jc w:val="center"/>
              <w:rPr>
                <w:rFonts w:ascii="Arial Narrow" w:hAnsi="Arial Narrow"/>
                <w:noProof/>
              </w:rPr>
            </w:pPr>
            <w:r>
              <w:rPr>
                <w:rFonts w:ascii="Arial Narrow" w:hAnsi="Arial Narrow"/>
                <w:noProof/>
              </w:rPr>
              <w:t>Összesen 150 000 000 EUR folyósítása az</w:t>
            </w:r>
            <w:r>
              <w:rPr>
                <w:noProof/>
              </w:rPr>
              <w:t xml:space="preserve">  </w:t>
            </w:r>
            <w:r>
              <w:rPr>
                <w:rFonts w:ascii="Arial Narrow" w:hAnsi="Arial Narrow"/>
                <w:noProof/>
              </w:rPr>
              <w:t>Alapnak tőketámogatásra</w:t>
            </w:r>
          </w:p>
        </w:tc>
        <w:tc>
          <w:tcPr>
            <w:tcW w:w="520" w:type="pct"/>
            <w:shd w:val="clear" w:color="auto" w:fill="C6EFCE"/>
            <w:noWrap/>
            <w:vAlign w:val="center"/>
          </w:tcPr>
          <w:p w14:paraId="0E2F69B7" w14:textId="77777777" w:rsidR="003F5418" w:rsidRDefault="002A6C25">
            <w:pPr>
              <w:pStyle w:val="P68B1DB1-Normal4"/>
              <w:jc w:val="center"/>
              <w:rPr>
                <w:noProof/>
              </w:rPr>
            </w:pPr>
            <w:r>
              <w:rPr>
                <w:noProof/>
              </w:rPr>
              <w:t>NINCS</w:t>
            </w:r>
          </w:p>
        </w:tc>
        <w:tc>
          <w:tcPr>
            <w:tcW w:w="331" w:type="pct"/>
            <w:shd w:val="clear" w:color="auto" w:fill="C6EFCE"/>
            <w:noWrap/>
            <w:vAlign w:val="center"/>
          </w:tcPr>
          <w:p w14:paraId="4BF74209" w14:textId="77777777" w:rsidR="003F5418" w:rsidRDefault="002A6C25">
            <w:pPr>
              <w:pStyle w:val="P68B1DB1-Normal4"/>
              <w:jc w:val="center"/>
              <w:rPr>
                <w:noProof/>
              </w:rPr>
            </w:pPr>
            <w:r>
              <w:rPr>
                <w:noProof/>
              </w:rPr>
              <w:t>Szám</w:t>
            </w:r>
          </w:p>
        </w:tc>
        <w:tc>
          <w:tcPr>
            <w:tcW w:w="332" w:type="pct"/>
            <w:shd w:val="clear" w:color="auto" w:fill="C6EFCE"/>
            <w:noWrap/>
            <w:vAlign w:val="center"/>
          </w:tcPr>
          <w:p w14:paraId="67AD21B8" w14:textId="77777777" w:rsidR="003F5418" w:rsidRDefault="002A6C25">
            <w:pPr>
              <w:pStyle w:val="P68B1DB1-Normal4"/>
              <w:jc w:val="center"/>
              <w:rPr>
                <w:noProof/>
              </w:rPr>
            </w:pPr>
            <w:r>
              <w:rPr>
                <w:noProof/>
              </w:rPr>
              <w:t>0</w:t>
            </w:r>
          </w:p>
        </w:tc>
        <w:tc>
          <w:tcPr>
            <w:tcW w:w="424" w:type="pct"/>
            <w:shd w:val="clear" w:color="auto" w:fill="C6EFCE"/>
            <w:noWrap/>
            <w:vAlign w:val="center"/>
          </w:tcPr>
          <w:p w14:paraId="77F37080" w14:textId="77777777" w:rsidR="003F5418" w:rsidRDefault="002A6C25">
            <w:pPr>
              <w:pStyle w:val="P68B1DB1-Normal4"/>
              <w:jc w:val="center"/>
              <w:rPr>
                <w:noProof/>
              </w:rPr>
            </w:pPr>
            <w:r>
              <w:rPr>
                <w:noProof/>
              </w:rPr>
              <w:t>150 000 000</w:t>
            </w:r>
          </w:p>
        </w:tc>
        <w:tc>
          <w:tcPr>
            <w:tcW w:w="332" w:type="pct"/>
            <w:shd w:val="clear" w:color="auto" w:fill="C6EFCE"/>
            <w:noWrap/>
            <w:vAlign w:val="center"/>
          </w:tcPr>
          <w:p w14:paraId="512FC47A" w14:textId="77777777" w:rsidR="003F5418" w:rsidRDefault="002A6C25">
            <w:pPr>
              <w:pStyle w:val="P68B1DB1-Normal4"/>
              <w:jc w:val="center"/>
              <w:rPr>
                <w:noProof/>
              </w:rPr>
            </w:pPr>
            <w:r>
              <w:rPr>
                <w:noProof/>
              </w:rPr>
              <w:t>Q4</w:t>
            </w:r>
          </w:p>
        </w:tc>
        <w:tc>
          <w:tcPr>
            <w:tcW w:w="220" w:type="pct"/>
            <w:shd w:val="clear" w:color="auto" w:fill="C6EFCE"/>
            <w:noWrap/>
            <w:vAlign w:val="center"/>
          </w:tcPr>
          <w:p w14:paraId="30915E67"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53DF6657" w14:textId="77777777" w:rsidR="003F5418" w:rsidRDefault="002A6C25">
            <w:pPr>
              <w:pStyle w:val="P68B1DB1-Normal4"/>
              <w:rPr>
                <w:noProof/>
              </w:rPr>
            </w:pPr>
            <w:r>
              <w:rPr>
                <w:noProof/>
              </w:rPr>
              <w:t>A kifizetésnek összhangban kell lennie a mérföldkőben meghatározott beruházási politikával.</w:t>
            </w:r>
          </w:p>
        </w:tc>
      </w:tr>
      <w:tr w:rsidR="003F5418" w14:paraId="62B87CCF" w14:textId="77777777">
        <w:trPr>
          <w:trHeight w:val="313"/>
          <w:jc w:val="center"/>
        </w:trPr>
        <w:tc>
          <w:tcPr>
            <w:tcW w:w="377" w:type="pct"/>
            <w:shd w:val="clear" w:color="auto" w:fill="C6EFCE"/>
            <w:noWrap/>
            <w:vAlign w:val="center"/>
            <w:hideMark/>
          </w:tcPr>
          <w:p w14:paraId="2EE968B5" w14:textId="77777777" w:rsidR="003F5418" w:rsidRDefault="002A6C25">
            <w:pPr>
              <w:pStyle w:val="P68B1DB1-Normal4"/>
              <w:jc w:val="center"/>
              <w:rPr>
                <w:noProof/>
              </w:rPr>
            </w:pPr>
            <w:r>
              <w:rPr>
                <w:noProof/>
              </w:rPr>
              <w:t>M1C3–32</w:t>
            </w:r>
          </w:p>
        </w:tc>
        <w:tc>
          <w:tcPr>
            <w:tcW w:w="520" w:type="pct"/>
            <w:shd w:val="clear" w:color="auto" w:fill="C6EFCE"/>
            <w:noWrap/>
            <w:vAlign w:val="center"/>
            <w:hideMark/>
          </w:tcPr>
          <w:p w14:paraId="4B62AFC2"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23FD94AC"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523D533D" w14:textId="77777777" w:rsidR="003F5418" w:rsidRDefault="003F5418">
            <w:pPr>
              <w:jc w:val="center"/>
              <w:rPr>
                <w:rFonts w:ascii="Arial Narrow" w:hAnsi="Arial Narrow"/>
                <w:noProof/>
                <w:color w:val="006100"/>
                <w:sz w:val="20"/>
              </w:rPr>
            </w:pPr>
          </w:p>
          <w:p w14:paraId="15AF3350" w14:textId="77777777" w:rsidR="003F5418" w:rsidRDefault="002A6C25">
            <w:pPr>
              <w:pStyle w:val="P68B1DB1-Normal4"/>
              <w:jc w:val="center"/>
              <w:rPr>
                <w:noProof/>
              </w:rPr>
            </w:pPr>
            <w:r>
              <w:rPr>
                <w:noProof/>
              </w:rPr>
              <w:t xml:space="preserve">A kkv-garanciaalapon keresztül támogatandó </w:t>
            </w:r>
            <w:r>
              <w:rPr>
                <w:noProof/>
              </w:rPr>
              <w:t>idegenforgalmi vállalkozások száma</w:t>
            </w:r>
          </w:p>
        </w:tc>
        <w:tc>
          <w:tcPr>
            <w:tcW w:w="520" w:type="pct"/>
            <w:shd w:val="clear" w:color="auto" w:fill="C6EFCE"/>
            <w:noWrap/>
            <w:vAlign w:val="center"/>
            <w:hideMark/>
          </w:tcPr>
          <w:p w14:paraId="7D5049F8"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0C329AFE"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0C70CB55"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5E35332D" w14:textId="77777777" w:rsidR="003F5418" w:rsidRDefault="002A6C25">
            <w:pPr>
              <w:pStyle w:val="P68B1DB1-Normal4"/>
              <w:jc w:val="center"/>
              <w:rPr>
                <w:noProof/>
              </w:rPr>
            </w:pPr>
            <w:r>
              <w:rPr>
                <w:noProof/>
              </w:rPr>
              <w:t>1 000</w:t>
            </w:r>
          </w:p>
        </w:tc>
        <w:tc>
          <w:tcPr>
            <w:tcW w:w="332" w:type="pct"/>
            <w:shd w:val="clear" w:color="auto" w:fill="C6EFCE"/>
            <w:noWrap/>
            <w:vAlign w:val="center"/>
            <w:hideMark/>
          </w:tcPr>
          <w:p w14:paraId="39F92123"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257902C0"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2E6B3AB8" w14:textId="77777777" w:rsidR="003F5418" w:rsidRDefault="002A6C25">
            <w:pPr>
              <w:pStyle w:val="P68B1DB1-Normal4"/>
              <w:rPr>
                <w:noProof/>
              </w:rPr>
            </w:pPr>
            <w:r>
              <w:rPr>
                <w:noProof/>
              </w:rPr>
              <w:t>A kkv-k garanciaalapja által támogatott legalább 1000 turisztikai vállalkozás.</w:t>
            </w:r>
          </w:p>
        </w:tc>
      </w:tr>
      <w:tr w:rsidR="003F5418" w14:paraId="5AA8CA6A" w14:textId="77777777">
        <w:trPr>
          <w:trHeight w:val="313"/>
          <w:jc w:val="center"/>
        </w:trPr>
        <w:tc>
          <w:tcPr>
            <w:tcW w:w="377" w:type="pct"/>
            <w:shd w:val="clear" w:color="auto" w:fill="C6EFCE"/>
            <w:noWrap/>
            <w:vAlign w:val="center"/>
            <w:hideMark/>
          </w:tcPr>
          <w:p w14:paraId="5A98F47A" w14:textId="77777777" w:rsidR="003F5418" w:rsidRDefault="002A6C25">
            <w:pPr>
              <w:pStyle w:val="P68B1DB1-Normal4"/>
              <w:jc w:val="center"/>
              <w:rPr>
                <w:noProof/>
              </w:rPr>
            </w:pPr>
            <w:r>
              <w:rPr>
                <w:noProof/>
              </w:rPr>
              <w:t>M1C3–33</w:t>
            </w:r>
          </w:p>
        </w:tc>
        <w:tc>
          <w:tcPr>
            <w:tcW w:w="520" w:type="pct"/>
            <w:shd w:val="clear" w:color="auto" w:fill="C6EFCE"/>
            <w:noWrap/>
            <w:vAlign w:val="center"/>
            <w:hideMark/>
          </w:tcPr>
          <w:p w14:paraId="38E7E003"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328997F3"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63971C58" w14:textId="77777777" w:rsidR="003F5418" w:rsidRDefault="002A6C25">
            <w:pPr>
              <w:pStyle w:val="P68B1DB1-Normal4"/>
              <w:jc w:val="center"/>
              <w:rPr>
                <w:noProof/>
              </w:rPr>
            </w:pPr>
            <w:r>
              <w:rPr>
                <w:noProof/>
              </w:rPr>
              <w:t>A Fondo Rotative</w:t>
            </w:r>
            <w:r>
              <w:rPr>
                <w:noProof/>
              </w:rPr>
              <w:t xml:space="preserve"> (első csoport) révén támogatandó vállalkozások száma</w:t>
            </w:r>
          </w:p>
        </w:tc>
        <w:tc>
          <w:tcPr>
            <w:tcW w:w="520" w:type="pct"/>
            <w:shd w:val="clear" w:color="auto" w:fill="C6EFCE"/>
            <w:noWrap/>
            <w:vAlign w:val="center"/>
            <w:hideMark/>
          </w:tcPr>
          <w:p w14:paraId="3727385B"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76A9D379"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6C22AFAE"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09BAA79E" w14:textId="77777777" w:rsidR="003F5418" w:rsidRDefault="002A6C25">
            <w:pPr>
              <w:pStyle w:val="P68B1DB1-Normal4"/>
              <w:jc w:val="center"/>
              <w:rPr>
                <w:noProof/>
              </w:rPr>
            </w:pPr>
            <w:r>
              <w:rPr>
                <w:noProof/>
              </w:rPr>
              <w:t>300</w:t>
            </w:r>
          </w:p>
        </w:tc>
        <w:tc>
          <w:tcPr>
            <w:tcW w:w="332" w:type="pct"/>
            <w:shd w:val="clear" w:color="auto" w:fill="C6EFCE"/>
            <w:noWrap/>
            <w:vAlign w:val="center"/>
            <w:hideMark/>
          </w:tcPr>
          <w:p w14:paraId="58BD002F"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65BCF638"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1D3EB8CF" w14:textId="77777777" w:rsidR="003F5418" w:rsidRDefault="002A6C25">
            <w:pPr>
              <w:pStyle w:val="P68B1DB1-Normal4"/>
              <w:rPr>
                <w:noProof/>
              </w:rPr>
            </w:pPr>
            <w:r>
              <w:rPr>
                <w:noProof/>
              </w:rPr>
              <w:t>Legalább 300, a Fondo Rotativo által támogatott vállalkozás;</w:t>
            </w:r>
          </w:p>
          <w:p w14:paraId="0A449759" w14:textId="77777777" w:rsidR="003F5418" w:rsidRDefault="003F5418">
            <w:pPr>
              <w:rPr>
                <w:rFonts w:ascii="Arial Narrow" w:hAnsi="Arial Narrow"/>
                <w:noProof/>
                <w:color w:val="006100"/>
                <w:sz w:val="20"/>
              </w:rPr>
            </w:pPr>
          </w:p>
          <w:p w14:paraId="046EE303" w14:textId="77777777" w:rsidR="003F5418" w:rsidRDefault="002A6C25">
            <w:pPr>
              <w:pStyle w:val="P68B1DB1-Normal4"/>
              <w:rPr>
                <w:noProof/>
              </w:rPr>
            </w:pPr>
            <w:r>
              <w:rPr>
                <w:noProof/>
              </w:rPr>
              <w:t>A Fondo Rotativo-n keresztül finanszírozott beavatkozások a következőket foglalják magukban:</w:t>
            </w:r>
          </w:p>
          <w:p w14:paraId="2D07ADFA" w14:textId="77777777" w:rsidR="003F5418" w:rsidRDefault="002A6C25">
            <w:pPr>
              <w:pStyle w:val="P68B1DB1-ListParagraph5"/>
              <w:numPr>
                <w:ilvl w:val="0"/>
                <w:numId w:val="89"/>
              </w:numPr>
              <w:ind w:left="26" w:hanging="103"/>
              <w:jc w:val="left"/>
              <w:rPr>
                <w:noProof/>
              </w:rPr>
            </w:pPr>
            <w:r>
              <w:rPr>
                <w:noProof/>
              </w:rPr>
              <w:t xml:space="preserve">energetikai átképzési </w:t>
            </w:r>
            <w:r>
              <w:rPr>
                <w:noProof/>
              </w:rPr>
              <w:t>beavatkozások</w:t>
            </w:r>
          </w:p>
          <w:p w14:paraId="1AAA1907" w14:textId="77777777" w:rsidR="003F5418" w:rsidRDefault="002A6C25">
            <w:pPr>
              <w:pStyle w:val="P68B1DB1-ListParagraph5"/>
              <w:numPr>
                <w:ilvl w:val="0"/>
                <w:numId w:val="89"/>
              </w:numPr>
              <w:ind w:left="26" w:hanging="103"/>
              <w:jc w:val="left"/>
              <w:rPr>
                <w:noProof/>
              </w:rPr>
            </w:pPr>
            <w:r>
              <w:rPr>
                <w:noProof/>
              </w:rPr>
              <w:t>a külső térelhatárolókra és a felújításra vonatkozó beavatkozások a 380/2001. sz. köztársasági elnöki rendelet 3. cikke (1) bekezdésének b) pontja szerint (az épületekre vonatkozó jogszabályi és szabályozási rendelkezések egységes szövege)</w:t>
            </w:r>
          </w:p>
          <w:p w14:paraId="0A8EE6C8" w14:textId="77777777" w:rsidR="003F5418" w:rsidRDefault="002A6C25">
            <w:pPr>
              <w:pStyle w:val="P68B1DB1-ListParagraph5"/>
              <w:numPr>
                <w:ilvl w:val="0"/>
                <w:numId w:val="89"/>
              </w:numPr>
              <w:ind w:left="26" w:hanging="103"/>
              <w:jc w:val="left"/>
              <w:rPr>
                <w:noProof/>
              </w:rPr>
            </w:pPr>
            <w:r>
              <w:rPr>
                <w:noProof/>
              </w:rPr>
              <w:t>az</w:t>
            </w:r>
            <w:r>
              <w:rPr>
                <w:noProof/>
              </w:rPr>
              <w:t xml:space="preserve"> építészeti akadályok felszámolására irányuló beavatkozások.</w:t>
            </w:r>
          </w:p>
          <w:p w14:paraId="273833D7" w14:textId="77777777" w:rsidR="003F5418" w:rsidRDefault="002A6C25">
            <w:pPr>
              <w:pStyle w:val="P68B1DB1-ListParagraph5"/>
              <w:numPr>
                <w:ilvl w:val="0"/>
                <w:numId w:val="89"/>
              </w:numPr>
              <w:ind w:left="26" w:hanging="103"/>
              <w:jc w:val="left"/>
              <w:rPr>
                <w:noProof/>
              </w:rPr>
            </w:pPr>
            <w:r>
              <w:rPr>
                <w:noProof/>
              </w:rPr>
              <w:t>a légkondicionáló rendszerek teljes vagy részleges lecserélésére irányuló beavatkozások.</w:t>
            </w:r>
          </w:p>
          <w:p w14:paraId="322986E3" w14:textId="77777777" w:rsidR="003F5418" w:rsidRDefault="002A6C25">
            <w:pPr>
              <w:pStyle w:val="P68B1DB1-ListParagraph5"/>
              <w:numPr>
                <w:ilvl w:val="0"/>
                <w:numId w:val="89"/>
              </w:numPr>
              <w:ind w:left="26" w:hanging="103"/>
              <w:jc w:val="left"/>
              <w:rPr>
                <w:noProof/>
              </w:rPr>
            </w:pPr>
            <w:r>
              <w:rPr>
                <w:noProof/>
              </w:rPr>
              <w:t>kizárólag az e rendelet hatálya alá tartozó szálláshelyekhez szánt bútorok és lakberendezési elemek beszer</w:t>
            </w:r>
            <w:r>
              <w:rPr>
                <w:noProof/>
              </w:rPr>
              <w:t>zése</w:t>
            </w:r>
          </w:p>
          <w:p w14:paraId="7E288CC0" w14:textId="77777777" w:rsidR="003F5418" w:rsidRDefault="002A6C25">
            <w:pPr>
              <w:pStyle w:val="P68B1DB1-ListParagraph5"/>
              <w:numPr>
                <w:ilvl w:val="0"/>
                <w:numId w:val="89"/>
              </w:numPr>
              <w:ind w:left="26" w:hanging="103"/>
              <w:jc w:val="left"/>
              <w:rPr>
                <w:noProof/>
              </w:rPr>
            </w:pPr>
            <w:r>
              <w:rPr>
                <w:noProof/>
              </w:rPr>
              <w:t>a földrengésellenes intézkedések elfogadására irányuló beavatkozások</w:t>
            </w:r>
          </w:p>
          <w:p w14:paraId="74AC9D3B" w14:textId="77777777" w:rsidR="003F5418" w:rsidRDefault="002A6C25">
            <w:pPr>
              <w:pStyle w:val="P68B1DB1-ListParagraph5"/>
              <w:numPr>
                <w:ilvl w:val="0"/>
                <w:numId w:val="89"/>
              </w:numPr>
              <w:ind w:left="26" w:hanging="103"/>
              <w:jc w:val="left"/>
              <w:rPr>
                <w:noProof/>
              </w:rPr>
            </w:pPr>
            <w:r>
              <w:rPr>
                <w:noProof/>
              </w:rPr>
              <w:t>bútoralkatrészek felújítása.</w:t>
            </w:r>
          </w:p>
          <w:p w14:paraId="1D18C776" w14:textId="77777777" w:rsidR="003F5418" w:rsidRDefault="002A6C25">
            <w:pPr>
              <w:pStyle w:val="P68B1DB1-ListParagraph5"/>
              <w:numPr>
                <w:ilvl w:val="0"/>
                <w:numId w:val="89"/>
              </w:numPr>
              <w:ind w:left="26" w:hanging="103"/>
              <w:jc w:val="left"/>
              <w:rPr>
                <w:noProof/>
              </w:rPr>
            </w:pPr>
            <w:r>
              <w:rPr>
                <w:noProof/>
              </w:rPr>
              <w:t>termikus medencék kialakítása, a gyógyfürdőipari tevékenységek végzéséhez szükséges berendezések és készülékek beszerzése, valamint a kiállítási építmény</w:t>
            </w:r>
            <w:r>
              <w:rPr>
                <w:noProof/>
              </w:rPr>
              <w:t>ek felújítására szolgáló vásárok.</w:t>
            </w:r>
          </w:p>
        </w:tc>
      </w:tr>
      <w:tr w:rsidR="003F5418" w14:paraId="15E56B70" w14:textId="77777777">
        <w:trPr>
          <w:trHeight w:val="313"/>
          <w:jc w:val="center"/>
        </w:trPr>
        <w:tc>
          <w:tcPr>
            <w:tcW w:w="377" w:type="pct"/>
            <w:shd w:val="clear" w:color="auto" w:fill="C6EFCE"/>
            <w:noWrap/>
            <w:vAlign w:val="center"/>
            <w:hideMark/>
          </w:tcPr>
          <w:p w14:paraId="186A2877" w14:textId="77777777" w:rsidR="003F5418" w:rsidRDefault="002A6C25">
            <w:pPr>
              <w:pStyle w:val="P68B1DB1-Normal4"/>
              <w:jc w:val="center"/>
              <w:rPr>
                <w:noProof/>
              </w:rPr>
            </w:pPr>
            <w:r>
              <w:rPr>
                <w:noProof/>
              </w:rPr>
              <w:t>M1C3–34</w:t>
            </w:r>
          </w:p>
        </w:tc>
        <w:tc>
          <w:tcPr>
            <w:tcW w:w="520" w:type="pct"/>
            <w:shd w:val="clear" w:color="auto" w:fill="C6EFCE"/>
            <w:noWrap/>
            <w:vAlign w:val="center"/>
            <w:hideMark/>
          </w:tcPr>
          <w:p w14:paraId="3B9F1C8C" w14:textId="77777777" w:rsidR="003F5418" w:rsidRDefault="002A6C25">
            <w:pPr>
              <w:pStyle w:val="P68B1DB1-Normal4"/>
              <w:jc w:val="center"/>
              <w:rPr>
                <w:noProof/>
              </w:rPr>
            </w:pPr>
            <w:r>
              <w:rPr>
                <w:noProof/>
              </w:rPr>
              <w:t>Beruházás: Az idegenforgalmi vállalkozások versenyképességét szolgáló alapok</w:t>
            </w:r>
          </w:p>
        </w:tc>
        <w:tc>
          <w:tcPr>
            <w:tcW w:w="378" w:type="pct"/>
            <w:shd w:val="clear" w:color="auto" w:fill="C6EFCE"/>
            <w:noWrap/>
            <w:vAlign w:val="center"/>
            <w:hideMark/>
          </w:tcPr>
          <w:p w14:paraId="6216ECFE"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248EA6B7" w14:textId="77777777" w:rsidR="003F5418" w:rsidRDefault="002A6C25">
            <w:pPr>
              <w:pStyle w:val="P68B1DB1-Normal4"/>
              <w:jc w:val="center"/>
              <w:rPr>
                <w:noProof/>
              </w:rPr>
            </w:pPr>
            <w:r>
              <w:rPr>
                <w:noProof/>
              </w:rPr>
              <w:t>A Nemzeti Turisztikai Alap által turizmusra átalakított ingatlanok száma</w:t>
            </w:r>
          </w:p>
        </w:tc>
        <w:tc>
          <w:tcPr>
            <w:tcW w:w="520" w:type="pct"/>
            <w:shd w:val="clear" w:color="auto" w:fill="C6EFCE"/>
            <w:noWrap/>
            <w:vAlign w:val="center"/>
            <w:hideMark/>
          </w:tcPr>
          <w:p w14:paraId="0F9E772D" w14:textId="77777777" w:rsidR="003F5418" w:rsidRDefault="003F5418">
            <w:pPr>
              <w:jc w:val="center"/>
              <w:rPr>
                <w:rFonts w:ascii="Arial Narrow" w:hAnsi="Arial Narrow"/>
                <w:noProof/>
                <w:color w:val="006100"/>
                <w:sz w:val="20"/>
              </w:rPr>
            </w:pPr>
          </w:p>
        </w:tc>
        <w:tc>
          <w:tcPr>
            <w:tcW w:w="331" w:type="pct"/>
            <w:shd w:val="clear" w:color="auto" w:fill="C6EFCE"/>
            <w:noWrap/>
            <w:vAlign w:val="center"/>
            <w:hideMark/>
          </w:tcPr>
          <w:p w14:paraId="4D4EB1C5"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5F06A3C9"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1CC65254" w14:textId="77777777" w:rsidR="003F5418" w:rsidRDefault="002A6C25">
            <w:pPr>
              <w:pStyle w:val="P68B1DB1-Normal4"/>
              <w:jc w:val="center"/>
              <w:rPr>
                <w:noProof/>
              </w:rPr>
            </w:pPr>
            <w:r>
              <w:rPr>
                <w:noProof/>
              </w:rPr>
              <w:t>12</w:t>
            </w:r>
          </w:p>
        </w:tc>
        <w:tc>
          <w:tcPr>
            <w:tcW w:w="332" w:type="pct"/>
            <w:shd w:val="clear" w:color="auto" w:fill="C6EFCE"/>
            <w:noWrap/>
            <w:vAlign w:val="center"/>
            <w:hideMark/>
          </w:tcPr>
          <w:p w14:paraId="7F51211A" w14:textId="77777777" w:rsidR="003F5418" w:rsidRDefault="002A6C25">
            <w:pPr>
              <w:pStyle w:val="P68B1DB1-Normal4"/>
              <w:jc w:val="center"/>
              <w:rPr>
                <w:noProof/>
              </w:rPr>
            </w:pPr>
            <w:r>
              <w:rPr>
                <w:noProof/>
              </w:rPr>
              <w:t>Q4</w:t>
            </w:r>
          </w:p>
        </w:tc>
        <w:tc>
          <w:tcPr>
            <w:tcW w:w="220" w:type="pct"/>
            <w:shd w:val="clear" w:color="auto" w:fill="C6EFCE"/>
            <w:noWrap/>
            <w:vAlign w:val="center"/>
            <w:hideMark/>
          </w:tcPr>
          <w:p w14:paraId="666FD250" w14:textId="77777777" w:rsidR="003F5418" w:rsidRDefault="002A6C25">
            <w:pPr>
              <w:pStyle w:val="P68B1DB1-Normal4"/>
              <w:jc w:val="center"/>
              <w:rPr>
                <w:noProof/>
              </w:rPr>
            </w:pPr>
            <w:r>
              <w:rPr>
                <w:noProof/>
              </w:rPr>
              <w:t>2025</w:t>
            </w:r>
          </w:p>
        </w:tc>
        <w:tc>
          <w:tcPr>
            <w:tcW w:w="1047" w:type="pct"/>
            <w:shd w:val="clear" w:color="auto" w:fill="C6EFCE"/>
            <w:noWrap/>
            <w:vAlign w:val="center"/>
            <w:hideMark/>
          </w:tcPr>
          <w:p w14:paraId="6AE4283E" w14:textId="77777777" w:rsidR="003F5418" w:rsidRDefault="002A6C25">
            <w:pPr>
              <w:pStyle w:val="P68B1DB1-Normal4"/>
              <w:rPr>
                <w:noProof/>
              </w:rPr>
            </w:pPr>
            <w:r>
              <w:rPr>
                <w:noProof/>
              </w:rPr>
              <w:t xml:space="preserve">A Nemzeti Turisztikai Alap legalább 12 </w:t>
            </w:r>
            <w:r>
              <w:rPr>
                <w:noProof/>
              </w:rPr>
              <w:t>olyan ingatlant alakított át turizmus céljára, amely a tőkeáttételi hatás figyelembevételével elérheti a 17 ingatlant.</w:t>
            </w:r>
          </w:p>
          <w:p w14:paraId="4DE8C2EA" w14:textId="77777777" w:rsidR="003F5418" w:rsidRDefault="002A6C25">
            <w:pPr>
              <w:pStyle w:val="P68B1DB1-ListParagraph5"/>
              <w:ind w:left="26"/>
              <w:jc w:val="left"/>
              <w:rPr>
                <w:noProof/>
              </w:rPr>
            </w:pPr>
            <w:r>
              <w:rPr>
                <w:noProof/>
              </w:rPr>
              <w:t xml:space="preserve">A Nemzeti Turisztikai Alapból nyújtott támogatás a következőkre irányul: </w:t>
            </w:r>
          </w:p>
          <w:p w14:paraId="758A7687" w14:textId="77777777" w:rsidR="003F5418" w:rsidRDefault="002A6C25">
            <w:pPr>
              <w:pStyle w:val="P68B1DB1-ListParagraph5"/>
              <w:numPr>
                <w:ilvl w:val="0"/>
                <w:numId w:val="89"/>
              </w:numPr>
              <w:ind w:left="26" w:hanging="103"/>
              <w:jc w:val="left"/>
              <w:rPr>
                <w:noProof/>
              </w:rPr>
            </w:pPr>
            <w:r>
              <w:rPr>
                <w:noProof/>
              </w:rPr>
              <w:t>Beruházás a termék-, folyamat- és irányítási innovációba az ide</w:t>
            </w:r>
            <w:r>
              <w:rPr>
                <w:noProof/>
              </w:rPr>
              <w:t>genforgalmi szolgáltatások digitális átalakításának fellendítése érdekében,</w:t>
            </w:r>
          </w:p>
          <w:p w14:paraId="5BF20BFB" w14:textId="77777777" w:rsidR="003F5418" w:rsidRDefault="002A6C25">
            <w:pPr>
              <w:pStyle w:val="P68B1DB1-ListParagraph5"/>
              <w:numPr>
                <w:ilvl w:val="0"/>
                <w:numId w:val="89"/>
              </w:numPr>
              <w:ind w:left="26" w:hanging="103"/>
              <w:jc w:val="left"/>
              <w:rPr>
                <w:noProof/>
              </w:rPr>
            </w:pPr>
            <w:r>
              <w:rPr>
                <w:noProof/>
              </w:rPr>
              <w:t xml:space="preserve">Beruházás a turisztikai vendéglátás színvonalának biztosításához </w:t>
            </w:r>
          </w:p>
          <w:p w14:paraId="6FC28E99" w14:textId="77777777" w:rsidR="003F5418" w:rsidRDefault="002A6C25">
            <w:pPr>
              <w:pStyle w:val="P68B1DB1-ListParagraph5"/>
              <w:numPr>
                <w:ilvl w:val="0"/>
                <w:numId w:val="89"/>
              </w:numPr>
              <w:ind w:left="26" w:hanging="103"/>
              <w:jc w:val="left"/>
              <w:rPr>
                <w:noProof/>
              </w:rPr>
            </w:pPr>
            <w:r>
              <w:rPr>
                <w:noProof/>
              </w:rPr>
              <w:t>az összevonások és az üzleti hálózatok fejlesztésének előmozdítása.</w:t>
            </w:r>
          </w:p>
        </w:tc>
      </w:tr>
      <w:tr w:rsidR="003F5418" w14:paraId="57AB77B3" w14:textId="77777777">
        <w:trPr>
          <w:trHeight w:val="313"/>
          <w:jc w:val="center"/>
        </w:trPr>
        <w:tc>
          <w:tcPr>
            <w:tcW w:w="377" w:type="pct"/>
            <w:shd w:val="clear" w:color="auto" w:fill="C6EFCE"/>
            <w:noWrap/>
            <w:vAlign w:val="center"/>
            <w:hideMark/>
          </w:tcPr>
          <w:p w14:paraId="1D5751E0" w14:textId="77777777" w:rsidR="003F5418" w:rsidRDefault="002A6C25">
            <w:pPr>
              <w:pStyle w:val="P68B1DB1-Normal4"/>
              <w:jc w:val="center"/>
              <w:rPr>
                <w:noProof/>
              </w:rPr>
            </w:pPr>
            <w:r>
              <w:rPr>
                <w:noProof/>
              </w:rPr>
              <w:t>M1C3–35</w:t>
            </w:r>
          </w:p>
        </w:tc>
        <w:tc>
          <w:tcPr>
            <w:tcW w:w="520" w:type="pct"/>
            <w:shd w:val="clear" w:color="auto" w:fill="C6EFCE"/>
            <w:noWrap/>
            <w:vAlign w:val="center"/>
            <w:hideMark/>
          </w:tcPr>
          <w:p w14:paraId="39ECBBF7" w14:textId="77777777" w:rsidR="003F5418" w:rsidRDefault="002A6C25">
            <w:pPr>
              <w:pStyle w:val="P68B1DB1-Normal4"/>
              <w:jc w:val="center"/>
              <w:rPr>
                <w:noProof/>
              </w:rPr>
            </w:pPr>
            <w:r>
              <w:rPr>
                <w:noProof/>
              </w:rPr>
              <w:t xml:space="preserve">Beruházás – 4.3. Caput Mundi-Next </w:t>
            </w:r>
            <w:r>
              <w:rPr>
                <w:noProof/>
              </w:rPr>
              <w:t>Generation EU turisztikai nagyrendezvények számára</w:t>
            </w:r>
          </w:p>
        </w:tc>
        <w:tc>
          <w:tcPr>
            <w:tcW w:w="378" w:type="pct"/>
            <w:shd w:val="clear" w:color="auto" w:fill="C6EFCE"/>
            <w:noWrap/>
            <w:vAlign w:val="center"/>
            <w:hideMark/>
          </w:tcPr>
          <w:p w14:paraId="49F3D868" w14:textId="77777777" w:rsidR="003F5418" w:rsidRDefault="002A6C25">
            <w:pPr>
              <w:pStyle w:val="P68B1DB1-Normal4"/>
              <w:jc w:val="center"/>
              <w:rPr>
                <w:noProof/>
              </w:rPr>
            </w:pPr>
            <w:r>
              <w:rPr>
                <w:noProof/>
              </w:rPr>
              <w:t>Mérföldkő</w:t>
            </w:r>
          </w:p>
        </w:tc>
        <w:tc>
          <w:tcPr>
            <w:tcW w:w="520" w:type="pct"/>
            <w:shd w:val="clear" w:color="auto" w:fill="C6EFCE"/>
            <w:noWrap/>
            <w:vAlign w:val="center"/>
            <w:hideMark/>
          </w:tcPr>
          <w:p w14:paraId="2AC1FA47" w14:textId="77777777" w:rsidR="003F5418" w:rsidRDefault="002A6C25">
            <w:pPr>
              <w:pStyle w:val="P68B1DB1-Normal4"/>
              <w:jc w:val="center"/>
              <w:rPr>
                <w:noProof/>
              </w:rPr>
            </w:pPr>
            <w:r>
              <w:rPr>
                <w:noProof/>
              </w:rPr>
              <w:t>Az idegenforgalmi minisztérium és a kedvezményezettek/végrehajtó szervek közötti, hat projektre vonatkozó minden egyes megállapodás aláírása</w:t>
            </w:r>
          </w:p>
        </w:tc>
        <w:tc>
          <w:tcPr>
            <w:tcW w:w="520" w:type="pct"/>
            <w:shd w:val="clear" w:color="auto" w:fill="C6EFCE"/>
            <w:noWrap/>
            <w:vAlign w:val="center"/>
            <w:hideMark/>
          </w:tcPr>
          <w:p w14:paraId="6EAB503B" w14:textId="77777777" w:rsidR="003F5418" w:rsidRDefault="002A6C25">
            <w:pPr>
              <w:pStyle w:val="P68B1DB1-Normal4"/>
              <w:jc w:val="center"/>
              <w:rPr>
                <w:noProof/>
              </w:rPr>
            </w:pPr>
            <w:r>
              <w:rPr>
                <w:noProof/>
              </w:rPr>
              <w:t>Az Idegenforgalmi Minisztérium, a Róma főváros önkormá</w:t>
            </w:r>
            <w:r>
              <w:rPr>
                <w:noProof/>
              </w:rPr>
              <w:t>nyzata és a többi érintett szereplő közötti programmegállapodás közzététele</w:t>
            </w:r>
          </w:p>
        </w:tc>
        <w:tc>
          <w:tcPr>
            <w:tcW w:w="331" w:type="pct"/>
            <w:shd w:val="clear" w:color="auto" w:fill="C6EFCE"/>
            <w:noWrap/>
            <w:vAlign w:val="center"/>
            <w:hideMark/>
          </w:tcPr>
          <w:p w14:paraId="3D31CA7D" w14:textId="77777777" w:rsidR="003F5418" w:rsidRDefault="002A6C25">
            <w:pPr>
              <w:pStyle w:val="P68B1DB1-Normal4"/>
              <w:jc w:val="center"/>
              <w:rPr>
                <w:noProof/>
              </w:rPr>
            </w:pPr>
            <w:r>
              <w:rPr>
                <w:noProof/>
              </w:rPr>
              <w:t>NINCS</w:t>
            </w:r>
          </w:p>
        </w:tc>
        <w:tc>
          <w:tcPr>
            <w:tcW w:w="332" w:type="pct"/>
            <w:shd w:val="clear" w:color="auto" w:fill="C6EFCE"/>
            <w:noWrap/>
            <w:vAlign w:val="center"/>
            <w:hideMark/>
          </w:tcPr>
          <w:p w14:paraId="3A31FC58" w14:textId="77777777" w:rsidR="003F5418" w:rsidRDefault="002A6C25">
            <w:pPr>
              <w:pStyle w:val="P68B1DB1-Normal4"/>
              <w:jc w:val="center"/>
              <w:rPr>
                <w:noProof/>
              </w:rPr>
            </w:pPr>
            <w:r>
              <w:rPr>
                <w:noProof/>
              </w:rPr>
              <w:t>NINCS</w:t>
            </w:r>
          </w:p>
        </w:tc>
        <w:tc>
          <w:tcPr>
            <w:tcW w:w="424" w:type="pct"/>
            <w:shd w:val="clear" w:color="auto" w:fill="C6EFCE"/>
            <w:noWrap/>
            <w:vAlign w:val="center"/>
            <w:hideMark/>
          </w:tcPr>
          <w:p w14:paraId="2AAA9B21" w14:textId="77777777" w:rsidR="003F5418" w:rsidRDefault="002A6C25">
            <w:pPr>
              <w:pStyle w:val="P68B1DB1-Normal4"/>
              <w:jc w:val="center"/>
              <w:rPr>
                <w:noProof/>
              </w:rPr>
            </w:pPr>
            <w:r>
              <w:rPr>
                <w:noProof/>
              </w:rPr>
              <w:t>NINCS</w:t>
            </w:r>
          </w:p>
        </w:tc>
        <w:tc>
          <w:tcPr>
            <w:tcW w:w="332" w:type="pct"/>
            <w:shd w:val="clear" w:color="auto" w:fill="C6EFCE"/>
            <w:noWrap/>
            <w:vAlign w:val="center"/>
            <w:hideMark/>
          </w:tcPr>
          <w:p w14:paraId="6E0E0EB0"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2C565DA4" w14:textId="77777777" w:rsidR="003F5418" w:rsidRDefault="002A6C25">
            <w:pPr>
              <w:pStyle w:val="P68B1DB1-Normal4"/>
              <w:jc w:val="center"/>
              <w:rPr>
                <w:noProof/>
              </w:rPr>
            </w:pPr>
            <w:r>
              <w:rPr>
                <w:noProof/>
              </w:rPr>
              <w:t>2022</w:t>
            </w:r>
          </w:p>
        </w:tc>
        <w:tc>
          <w:tcPr>
            <w:tcW w:w="1047" w:type="pct"/>
            <w:shd w:val="clear" w:color="auto" w:fill="C6EFCE"/>
            <w:noWrap/>
            <w:vAlign w:val="center"/>
            <w:hideMark/>
          </w:tcPr>
          <w:p w14:paraId="08531F0B" w14:textId="77777777" w:rsidR="003F5418" w:rsidRDefault="003F5418">
            <w:pPr>
              <w:rPr>
                <w:rFonts w:ascii="Arial Narrow" w:hAnsi="Arial Narrow"/>
                <w:noProof/>
                <w:color w:val="006100"/>
                <w:sz w:val="20"/>
              </w:rPr>
            </w:pPr>
          </w:p>
          <w:p w14:paraId="77DAA0E4" w14:textId="050D4F2E" w:rsidR="003F5418" w:rsidRDefault="002A6C25">
            <w:pPr>
              <w:rPr>
                <w:rFonts w:ascii="Arial Narrow" w:hAnsi="Arial Narrow"/>
                <w:noProof/>
                <w:color w:val="006100"/>
                <w:sz w:val="20"/>
              </w:rPr>
            </w:pPr>
            <w:r>
              <w:rPr>
                <w:rFonts w:ascii="Arial Narrow" w:hAnsi="Arial Narrow"/>
                <w:noProof/>
                <w:color w:val="006100"/>
                <w:sz w:val="20"/>
              </w:rPr>
              <w:t>A megállapodásokat a következő hat projektre vonatkozóan kell aláírni:</w:t>
            </w:r>
            <w:r>
              <w:rPr>
                <w:rFonts w:ascii="Arial Narrow" w:hAnsi="Arial Narrow"/>
                <w:noProof/>
              </w:rPr>
              <w:t xml:space="preserve"> </w:t>
            </w:r>
            <w:r>
              <w:rPr>
                <w:noProof/>
              </w:rPr>
              <w:t xml:space="preserve"> </w:t>
            </w:r>
            <w:r>
              <w:rPr>
                <w:noProof/>
              </w:rPr>
              <w:br/>
            </w:r>
            <w:r>
              <w:rPr>
                <w:rFonts w:ascii="Arial Narrow" w:hAnsi="Arial Narrow"/>
                <w:noProof/>
                <w:color w:val="006100"/>
                <w:sz w:val="20"/>
              </w:rPr>
              <w:t>A római kulturális örökség az EU következő generációja számára; 2. Pagan rómától</w:t>
            </w:r>
            <w:r>
              <w:rPr>
                <w:rFonts w:ascii="Arial Narrow" w:hAnsi="Arial Narrow"/>
                <w:noProof/>
                <w:color w:val="006100"/>
                <w:sz w:val="20"/>
              </w:rPr>
              <w:t xml:space="preserve"> keresztény Rómaig – Jubilee útvonalak; 3) #Lacittàcondivisa; 4) #Mitingodiverde; Romák 4.0; 6) #Amanotesa</w:t>
            </w:r>
          </w:p>
          <w:p w14:paraId="195B3800" w14:textId="77777777" w:rsidR="003F5418" w:rsidRDefault="003F5418">
            <w:pPr>
              <w:rPr>
                <w:rFonts w:ascii="Arial Narrow" w:hAnsi="Arial Narrow"/>
                <w:noProof/>
                <w:color w:val="006100"/>
                <w:sz w:val="20"/>
              </w:rPr>
            </w:pPr>
          </w:p>
          <w:p w14:paraId="5B802480" w14:textId="77777777" w:rsidR="003F5418" w:rsidRDefault="002A6C25">
            <w:pPr>
              <w:pStyle w:val="P68B1DB1-Normal4"/>
              <w:rPr>
                <w:noProof/>
              </w:rPr>
            </w:pPr>
            <w:r>
              <w:rPr>
                <w:noProof/>
              </w:rPr>
              <w:t>A kedvezményezettek/végrehajtó szervek listája a következőket tartalmazza: Róma Fővárosa; Régészeti szuperintendencia a római kulturális, környezeti</w:t>
            </w:r>
            <w:r>
              <w:rPr>
                <w:noProof/>
              </w:rPr>
              <w:t xml:space="preserve"> és tájvédelmi örökségért (MIC); A Colosseum régészeti parkja;  Az Appia Antica régészeti parkja; Római Diocese; Turisztikai Minisztérium; Lazio régió.</w:t>
            </w:r>
          </w:p>
          <w:p w14:paraId="5E052DCC" w14:textId="77777777" w:rsidR="003F5418" w:rsidRDefault="003F5418">
            <w:pPr>
              <w:rPr>
                <w:rFonts w:ascii="Arial Narrow" w:hAnsi="Arial Narrow"/>
                <w:noProof/>
                <w:color w:val="006100"/>
                <w:sz w:val="20"/>
              </w:rPr>
            </w:pPr>
          </w:p>
          <w:p w14:paraId="07BAC926" w14:textId="77777777" w:rsidR="003F5418" w:rsidRDefault="002A6C25">
            <w:pPr>
              <w:pStyle w:val="P68B1DB1-Normal4"/>
              <w:rPr>
                <w:noProof/>
              </w:rPr>
            </w:pPr>
            <w:r>
              <w:rPr>
                <w:noProof/>
              </w:rPr>
              <w:t>Az ajánlati felhívást megelőzően a kiválasztás és az odaítélés kritériumait, valamint a projektek saját</w:t>
            </w:r>
            <w:r>
              <w:rPr>
                <w:noProof/>
              </w:rPr>
              <w:t>osságait a kapcsolódó erőforrásokkal együtt kell meghatározni.</w:t>
            </w:r>
          </w:p>
          <w:p w14:paraId="23C368B5" w14:textId="77777777" w:rsidR="003F5418" w:rsidRDefault="003F5418">
            <w:pPr>
              <w:rPr>
                <w:rFonts w:ascii="Arial Narrow" w:hAnsi="Arial Narrow"/>
                <w:noProof/>
                <w:color w:val="006100"/>
                <w:sz w:val="20"/>
              </w:rPr>
            </w:pPr>
          </w:p>
          <w:p w14:paraId="1A94C08C" w14:textId="77777777" w:rsidR="003F5418" w:rsidRDefault="002A6C25">
            <w:pPr>
              <w:pStyle w:val="P68B1DB1-Normal4"/>
              <w:rPr>
                <w:noProof/>
              </w:rPr>
            </w:pPr>
            <w:r>
              <w:rPr>
                <w:noProof/>
              </w:rPr>
              <w:t>A versenypályázati felhívások keretében kiválasztott projekteknek odaítélt szerződéseknek meg kell felelniük a jelentős károkozás elkerülését célzó technikai iránymutatásnak (2021/C58/01) a ki</w:t>
            </w:r>
            <w:r>
              <w:rPr>
                <w:noProof/>
              </w:rPr>
              <w:t>zárási lista, valamint a vonatkozó uniós és nemzeti környezetvédelmi jogszabályoknak való megfelelés követelménye révén.</w:t>
            </w:r>
          </w:p>
        </w:tc>
      </w:tr>
      <w:tr w:rsidR="003F5418" w14:paraId="2CF95BE8" w14:textId="77777777">
        <w:trPr>
          <w:trHeight w:val="313"/>
          <w:jc w:val="center"/>
        </w:trPr>
        <w:tc>
          <w:tcPr>
            <w:tcW w:w="377" w:type="pct"/>
            <w:shd w:val="clear" w:color="auto" w:fill="C6EFCE"/>
            <w:noWrap/>
            <w:vAlign w:val="center"/>
            <w:hideMark/>
          </w:tcPr>
          <w:p w14:paraId="681BFABF" w14:textId="77777777" w:rsidR="003F5418" w:rsidRDefault="002A6C25">
            <w:pPr>
              <w:pStyle w:val="P68B1DB1-Normal4"/>
              <w:jc w:val="center"/>
              <w:rPr>
                <w:noProof/>
              </w:rPr>
            </w:pPr>
            <w:r>
              <w:rPr>
                <w:noProof/>
              </w:rPr>
              <w:t>M1C3–36.</w:t>
            </w:r>
          </w:p>
        </w:tc>
        <w:tc>
          <w:tcPr>
            <w:tcW w:w="520" w:type="pct"/>
            <w:shd w:val="clear" w:color="auto" w:fill="C6EFCE"/>
            <w:noWrap/>
            <w:vAlign w:val="center"/>
            <w:hideMark/>
          </w:tcPr>
          <w:p w14:paraId="146F60BC" w14:textId="77777777" w:rsidR="003F5418" w:rsidRDefault="002A6C25">
            <w:pPr>
              <w:pStyle w:val="P68B1DB1-Normal4"/>
              <w:jc w:val="center"/>
              <w:rPr>
                <w:noProof/>
              </w:rPr>
            </w:pPr>
            <w:r>
              <w:rPr>
                <w:noProof/>
              </w:rPr>
              <w:t>Beruházás – 4.3 Caput Mundi-Next Generation EU turisztikai nagyrendezvények számára</w:t>
            </w:r>
          </w:p>
        </w:tc>
        <w:tc>
          <w:tcPr>
            <w:tcW w:w="378" w:type="pct"/>
            <w:shd w:val="clear" w:color="auto" w:fill="C6EFCE"/>
            <w:noWrap/>
            <w:vAlign w:val="center"/>
            <w:hideMark/>
          </w:tcPr>
          <w:p w14:paraId="0FDEBCA1" w14:textId="77777777" w:rsidR="003F5418" w:rsidRDefault="002A6C25">
            <w:pPr>
              <w:pStyle w:val="P68B1DB1-Normal4"/>
              <w:jc w:val="center"/>
              <w:rPr>
                <w:noProof/>
              </w:rPr>
            </w:pPr>
            <w:r>
              <w:rPr>
                <w:noProof/>
              </w:rPr>
              <w:t>Cél</w:t>
            </w:r>
          </w:p>
        </w:tc>
        <w:tc>
          <w:tcPr>
            <w:tcW w:w="520" w:type="pct"/>
            <w:shd w:val="clear" w:color="auto" w:fill="C6EFCE"/>
            <w:noWrap/>
            <w:vAlign w:val="center"/>
            <w:hideMark/>
          </w:tcPr>
          <w:p w14:paraId="6EF72608" w14:textId="77777777" w:rsidR="003F5418" w:rsidRDefault="002A6C25">
            <w:pPr>
              <w:pStyle w:val="P68B1DB1-Normal4"/>
              <w:jc w:val="center"/>
              <w:rPr>
                <w:noProof/>
              </w:rPr>
            </w:pPr>
            <w:r>
              <w:rPr>
                <w:noProof/>
              </w:rPr>
              <w:t>Az átminősítéssel érintett kulturális</w:t>
            </w:r>
            <w:r>
              <w:rPr>
                <w:noProof/>
              </w:rPr>
              <w:t xml:space="preserve"> és turisztikai helyszínek száma</w:t>
            </w:r>
          </w:p>
        </w:tc>
        <w:tc>
          <w:tcPr>
            <w:tcW w:w="520" w:type="pct"/>
            <w:shd w:val="clear" w:color="auto" w:fill="C6EFCE"/>
            <w:noWrap/>
            <w:vAlign w:val="center"/>
            <w:hideMark/>
          </w:tcPr>
          <w:p w14:paraId="1A7AEDEE" w14:textId="77777777" w:rsidR="003F5418" w:rsidRDefault="002A6C25">
            <w:pPr>
              <w:pStyle w:val="P68B1DB1-Normal4"/>
              <w:jc w:val="center"/>
              <w:rPr>
                <w:noProof/>
              </w:rPr>
            </w:pPr>
            <w:r>
              <w:rPr>
                <w:noProof/>
              </w:rPr>
              <w:t>NINCS</w:t>
            </w:r>
          </w:p>
        </w:tc>
        <w:tc>
          <w:tcPr>
            <w:tcW w:w="331" w:type="pct"/>
            <w:shd w:val="clear" w:color="auto" w:fill="C6EFCE"/>
            <w:noWrap/>
            <w:vAlign w:val="center"/>
            <w:hideMark/>
          </w:tcPr>
          <w:p w14:paraId="79068206" w14:textId="77777777" w:rsidR="003F5418" w:rsidRDefault="002A6C25">
            <w:pPr>
              <w:pStyle w:val="P68B1DB1-Normal4"/>
              <w:jc w:val="center"/>
              <w:rPr>
                <w:noProof/>
              </w:rPr>
            </w:pPr>
            <w:r>
              <w:rPr>
                <w:noProof/>
              </w:rPr>
              <w:t>Szám</w:t>
            </w:r>
          </w:p>
        </w:tc>
        <w:tc>
          <w:tcPr>
            <w:tcW w:w="332" w:type="pct"/>
            <w:shd w:val="clear" w:color="auto" w:fill="C6EFCE"/>
            <w:noWrap/>
            <w:vAlign w:val="center"/>
            <w:hideMark/>
          </w:tcPr>
          <w:p w14:paraId="09B713B9" w14:textId="77777777" w:rsidR="003F5418" w:rsidRDefault="002A6C25">
            <w:pPr>
              <w:pStyle w:val="P68B1DB1-Normal4"/>
              <w:jc w:val="center"/>
              <w:rPr>
                <w:noProof/>
              </w:rPr>
            </w:pPr>
            <w:r>
              <w:rPr>
                <w:noProof/>
              </w:rPr>
              <w:t>0</w:t>
            </w:r>
          </w:p>
        </w:tc>
        <w:tc>
          <w:tcPr>
            <w:tcW w:w="424" w:type="pct"/>
            <w:shd w:val="clear" w:color="auto" w:fill="C6EFCE"/>
            <w:noWrap/>
            <w:vAlign w:val="center"/>
            <w:hideMark/>
          </w:tcPr>
          <w:p w14:paraId="4F7C5747" w14:textId="77777777" w:rsidR="003F5418" w:rsidRDefault="002A6C25">
            <w:pPr>
              <w:pStyle w:val="P68B1DB1-Normal4"/>
              <w:jc w:val="center"/>
              <w:rPr>
                <w:noProof/>
              </w:rPr>
            </w:pPr>
            <w:r>
              <w:rPr>
                <w:noProof/>
              </w:rPr>
              <w:t>200</w:t>
            </w:r>
          </w:p>
        </w:tc>
        <w:tc>
          <w:tcPr>
            <w:tcW w:w="332" w:type="pct"/>
            <w:shd w:val="clear" w:color="auto" w:fill="C6EFCE"/>
            <w:noWrap/>
            <w:vAlign w:val="center"/>
            <w:hideMark/>
          </w:tcPr>
          <w:p w14:paraId="702D2C09" w14:textId="77777777" w:rsidR="003F5418" w:rsidRDefault="002A6C25">
            <w:pPr>
              <w:pStyle w:val="P68B1DB1-Normal4"/>
              <w:jc w:val="center"/>
              <w:rPr>
                <w:noProof/>
              </w:rPr>
            </w:pPr>
            <w:r>
              <w:rPr>
                <w:noProof/>
              </w:rPr>
              <w:t>Q2</w:t>
            </w:r>
          </w:p>
        </w:tc>
        <w:tc>
          <w:tcPr>
            <w:tcW w:w="220" w:type="pct"/>
            <w:shd w:val="clear" w:color="auto" w:fill="C6EFCE"/>
            <w:noWrap/>
            <w:vAlign w:val="center"/>
            <w:hideMark/>
          </w:tcPr>
          <w:p w14:paraId="0FFF4F08" w14:textId="77777777" w:rsidR="003F5418" w:rsidRDefault="002A6C25">
            <w:pPr>
              <w:pStyle w:val="P68B1DB1-Normal4"/>
              <w:jc w:val="center"/>
              <w:rPr>
                <w:noProof/>
              </w:rPr>
            </w:pPr>
            <w:r>
              <w:rPr>
                <w:noProof/>
              </w:rPr>
              <w:t>2026</w:t>
            </w:r>
          </w:p>
        </w:tc>
        <w:tc>
          <w:tcPr>
            <w:tcW w:w="1047" w:type="pct"/>
            <w:shd w:val="clear" w:color="auto" w:fill="C6EFCE"/>
            <w:noWrap/>
            <w:vAlign w:val="center"/>
            <w:hideMark/>
          </w:tcPr>
          <w:p w14:paraId="50879FD3" w14:textId="77777777" w:rsidR="003F5418" w:rsidRDefault="002A6C25">
            <w:pPr>
              <w:pStyle w:val="P68B1DB1-Normal4"/>
              <w:rPr>
                <w:noProof/>
              </w:rPr>
            </w:pPr>
            <w:r>
              <w:rPr>
                <w:noProof/>
              </w:rPr>
              <w:t>A beruházás a következőkre kiterjedő beavatkozásokat foglal magában:</w:t>
            </w:r>
          </w:p>
          <w:p w14:paraId="7E0B4B26" w14:textId="77777777" w:rsidR="003F5418" w:rsidRDefault="002A6C25">
            <w:pPr>
              <w:pStyle w:val="P68B1DB1-ListParagraph5"/>
              <w:numPr>
                <w:ilvl w:val="0"/>
                <w:numId w:val="87"/>
              </w:numPr>
              <w:ind w:left="362" w:hanging="284"/>
              <w:jc w:val="left"/>
              <w:rPr>
                <w:noProof/>
              </w:rPr>
            </w:pPr>
            <w:r>
              <w:rPr>
                <w:noProof/>
              </w:rPr>
              <w:t>a „Roman Kulturális Örökség az EU-Next Generation</w:t>
            </w:r>
            <w:r>
              <w:rPr>
                <w:noProof/>
              </w:rPr>
              <w:t xml:space="preserve">” beruházási sor kulturális és városi örökségének, valamint Róma magas történelmi-építészeti értéket képviselő komplexumainak rehabilitációja és helyreállítása;  </w:t>
            </w:r>
          </w:p>
          <w:p w14:paraId="124EE76B" w14:textId="77777777" w:rsidR="003F5418" w:rsidRDefault="002A6C25">
            <w:pPr>
              <w:pStyle w:val="P68B1DB1-ListParagraph5"/>
              <w:numPr>
                <w:ilvl w:val="0"/>
                <w:numId w:val="87"/>
              </w:numPr>
              <w:tabs>
                <w:tab w:val="left" w:pos="1340"/>
                <w:tab w:val="left" w:pos="1341"/>
              </w:tabs>
              <w:spacing w:after="0"/>
              <w:ind w:left="362" w:hanging="284"/>
              <w:jc w:val="left"/>
              <w:rPr>
                <w:noProof/>
              </w:rPr>
            </w:pPr>
            <w:r>
              <w:rPr>
                <w:noProof/>
              </w:rPr>
              <w:t xml:space="preserve">a „Jubilee paths” beruházási sor fejlesztése, biztonsága, földrengésellenes konszolidációja, </w:t>
            </w:r>
            <w:r>
              <w:rPr>
                <w:noProof/>
              </w:rPr>
              <w:t>történelmi jelentőségű helyek és épületek helyreállítása, valamint régészeti útvonalak;</w:t>
            </w:r>
          </w:p>
          <w:p w14:paraId="7810BC06" w14:textId="77777777" w:rsidR="003F5418" w:rsidRDefault="002A6C25">
            <w:pPr>
              <w:pStyle w:val="P68B1DB1-ListParagraph5"/>
              <w:numPr>
                <w:ilvl w:val="0"/>
                <w:numId w:val="87"/>
              </w:numPr>
              <w:tabs>
                <w:tab w:val="left" w:pos="1340"/>
                <w:tab w:val="left" w:pos="1341"/>
              </w:tabs>
              <w:spacing w:after="0"/>
              <w:ind w:left="362" w:hanging="284"/>
              <w:jc w:val="left"/>
              <w:rPr>
                <w:noProof/>
              </w:rPr>
            </w:pPr>
            <w:r>
              <w:rPr>
                <w:noProof/>
              </w:rPr>
              <w:t>a periférikus területeken található telephelyek átalakítása a(z) „#LaCittàCondivisa” beruházási sor tekintetében;</w:t>
            </w:r>
          </w:p>
          <w:p w14:paraId="350A2F50" w14:textId="77777777" w:rsidR="003F5418" w:rsidRDefault="002A6C25">
            <w:pPr>
              <w:pStyle w:val="P68B1DB1-ListParagraph5"/>
              <w:numPr>
                <w:ilvl w:val="0"/>
                <w:numId w:val="87"/>
              </w:numPr>
              <w:ind w:left="362" w:hanging="284"/>
              <w:jc w:val="left"/>
              <w:rPr>
                <w:noProof/>
              </w:rPr>
            </w:pPr>
            <w:r>
              <w:rPr>
                <w:noProof/>
              </w:rPr>
              <w:t xml:space="preserve">parkokra, történelmi kertekre, villakra és ivókutakra </w:t>
            </w:r>
            <w:r>
              <w:rPr>
                <w:noProof/>
              </w:rPr>
              <w:t>irányuló beavatkozások a #Mitingodiverde. beruházási sorban;</w:t>
            </w:r>
          </w:p>
          <w:p w14:paraId="62C5D0B9" w14:textId="77777777" w:rsidR="003F5418" w:rsidRDefault="002A6C25">
            <w:pPr>
              <w:pStyle w:val="P68B1DB1-ListParagraph5"/>
              <w:numPr>
                <w:ilvl w:val="0"/>
                <w:numId w:val="87"/>
              </w:numPr>
              <w:ind w:left="362" w:hanging="284"/>
              <w:jc w:val="left"/>
              <w:rPr>
                <w:noProof/>
              </w:rPr>
            </w:pPr>
            <w:r>
              <w:rPr>
                <w:noProof/>
              </w:rPr>
              <w:t>a kulturális szolgáltatások digitalizálása és a turistáknak szánt alkalmazások fejlesztése vagy az #Roma 4.0 beruházási vonal;</w:t>
            </w:r>
          </w:p>
          <w:p w14:paraId="59E5400B" w14:textId="77777777" w:rsidR="003F5418" w:rsidRDefault="002A6C25">
            <w:pPr>
              <w:pStyle w:val="P68B1DB1-ListParagraph5"/>
              <w:numPr>
                <w:ilvl w:val="0"/>
                <w:numId w:val="87"/>
              </w:numPr>
              <w:ind w:left="362" w:hanging="284"/>
              <w:jc w:val="left"/>
              <w:rPr>
                <w:noProof/>
              </w:rPr>
            </w:pPr>
            <w:r>
              <w:rPr>
                <w:noProof/>
              </w:rPr>
              <w:t>a társadalmi integráció érdekében a perifériák kulturális kínálatána</w:t>
            </w:r>
            <w:r>
              <w:rPr>
                <w:noProof/>
              </w:rPr>
              <w:t>k növelésére irányuló beavatkozások a #Amanotesa. beruházási sor esetében.</w:t>
            </w:r>
          </w:p>
          <w:p w14:paraId="4AD6C2FB" w14:textId="77777777" w:rsidR="003F5418" w:rsidRDefault="003F5418">
            <w:pPr>
              <w:pStyle w:val="ListParagraph"/>
              <w:tabs>
                <w:tab w:val="left" w:pos="1340"/>
                <w:tab w:val="left" w:pos="1341"/>
              </w:tabs>
              <w:spacing w:after="0"/>
              <w:jc w:val="left"/>
              <w:rPr>
                <w:rFonts w:ascii="Arial Narrow" w:hAnsi="Arial Narrow"/>
                <w:noProof/>
                <w:color w:val="006100"/>
                <w:sz w:val="20"/>
              </w:rPr>
            </w:pPr>
          </w:p>
          <w:p w14:paraId="2C0300FC" w14:textId="77777777" w:rsidR="003F5418" w:rsidRDefault="002A6C25">
            <w:pPr>
              <w:pStyle w:val="P68B1DB1-Normal4"/>
              <w:rPr>
                <w:noProof/>
              </w:rPr>
            </w:pPr>
            <w:r>
              <w:rPr>
                <w:noProof/>
              </w:rPr>
              <w:t xml:space="preserve">A beruházás magában foglalja a „Roman Kulturális Örökség az EU-Next Generation számára” elnevezésű beruházási sor esetében legalább öt régészeti/kulturális helyszínen végrehajtott </w:t>
            </w:r>
            <w:r>
              <w:rPr>
                <w:noProof/>
              </w:rPr>
              <w:t>átképzési tevékenységeket, a „Jubilee paths” esetében; legalább 50 régészeti/kulturális helyszín #Lacittàcondivisa esetében; legalább 15 régészeti/kulturális helyszín #Mitingodiverde esetében, és legalább 5 régészeti/kulturális helyszín a romák számára 4.0</w:t>
            </w:r>
            <w:r>
              <w:rPr>
                <w:noProof/>
              </w:rPr>
              <w:t xml:space="preserve"> </w:t>
            </w:r>
          </w:p>
          <w:p w14:paraId="0A49894F" w14:textId="77777777" w:rsidR="003F5418" w:rsidRDefault="003F5418">
            <w:pPr>
              <w:rPr>
                <w:rFonts w:ascii="Arial Narrow" w:hAnsi="Arial Narrow"/>
                <w:noProof/>
                <w:color w:val="006100"/>
                <w:sz w:val="20"/>
              </w:rPr>
            </w:pPr>
          </w:p>
          <w:p w14:paraId="4225534C" w14:textId="77777777" w:rsidR="003F5418" w:rsidRDefault="002A6C25">
            <w:pPr>
              <w:pStyle w:val="P68B1DB1-Normal4"/>
              <w:rPr>
                <w:noProof/>
              </w:rPr>
            </w:pPr>
            <w:r>
              <w:rPr>
                <w:noProof/>
              </w:rPr>
              <w:t>A cél kielégítő elérése a(z) „#Amanotesa” beruházási sor valamennyi projektjének befejezésétől és a „CaputMundi – Roma4U” alkalmazás nyilvános elérhetőségétől is függ.</w:t>
            </w:r>
          </w:p>
        </w:tc>
      </w:tr>
    </w:tbl>
    <w:p w14:paraId="7547B030" w14:textId="77777777" w:rsidR="003F5418" w:rsidRDefault="003F5418">
      <w:pPr>
        <w:rPr>
          <w:b/>
          <w:noProof/>
        </w:rPr>
      </w:pPr>
    </w:p>
    <w:p w14:paraId="5A3F2AA1" w14:textId="77777777" w:rsidR="003F5418" w:rsidRDefault="003F5418">
      <w:pPr>
        <w:rPr>
          <w:b/>
          <w:noProof/>
        </w:rPr>
      </w:pPr>
    </w:p>
    <w:p w14:paraId="445352CE" w14:textId="77777777" w:rsidR="003F5418" w:rsidRDefault="003F5418">
      <w:pPr>
        <w:spacing w:before="120" w:after="120"/>
        <w:jc w:val="both"/>
        <w:rPr>
          <w:noProof/>
        </w:rPr>
        <w:sectPr w:rsidR="003F5418">
          <w:headerReference w:type="even" r:id="rId104"/>
          <w:headerReference w:type="default" r:id="rId105"/>
          <w:footerReference w:type="even" r:id="rId106"/>
          <w:footerReference w:type="default" r:id="rId107"/>
          <w:headerReference w:type="first" r:id="rId108"/>
          <w:footerReference w:type="first" r:id="rId109"/>
          <w:pgSz w:w="16839" w:h="11907" w:orient="landscape"/>
          <w:pgMar w:top="1134" w:right="1134" w:bottom="1134" w:left="1134" w:header="567" w:footer="567" w:gutter="0"/>
          <w:cols w:space="720"/>
          <w:docGrid w:linePitch="360"/>
        </w:sectPr>
      </w:pPr>
    </w:p>
    <w:p w14:paraId="4B9C8D64" w14:textId="77777777" w:rsidR="003F5418" w:rsidRDefault="002A6C25">
      <w:pPr>
        <w:pStyle w:val="Heading2"/>
        <w:numPr>
          <w:ilvl w:val="0"/>
          <w:numId w:val="0"/>
        </w:numPr>
        <w:ind w:left="850" w:hanging="850"/>
        <w:rPr>
          <w:noProof/>
        </w:rPr>
      </w:pPr>
      <w:r>
        <w:rPr>
          <w:noProof/>
        </w:rPr>
        <w:t xml:space="preserve">D. 2. KÜLDETÉS: 1. </w:t>
      </w:r>
      <w:r>
        <w:rPr>
          <w:noProof/>
        </w:rPr>
        <w:t>KOMPONENS: Körforgásos gazdaság, agrár-élelmiszeripar és zöld átállás</w:t>
      </w:r>
    </w:p>
    <w:p w14:paraId="4FE90606" w14:textId="77777777" w:rsidR="003F5418" w:rsidRDefault="002A6C25">
      <w:pPr>
        <w:spacing w:before="120" w:after="120"/>
        <w:jc w:val="both"/>
        <w:rPr>
          <w:noProof/>
        </w:rPr>
      </w:pPr>
      <w:r>
        <w:rPr>
          <w:noProof/>
        </w:rPr>
        <w:t>Az olasz helyreállítási és rezilienciaépítési terv ezen komponense a hulladékgazdálkodással, a körforgásos gazdasággal, az agrár-élelmiszeripari értékláncok támogatásával és a zöld átáll</w:t>
      </w:r>
      <w:r>
        <w:rPr>
          <w:noProof/>
        </w:rPr>
        <w:t>ással kapcsolatos beruházásokat és reformokat foglalja magában. Ezeket a reformokat és beruházásokat olyan reformok egészítik ki, amelyek fokozzák a versenyt a hulladékgazdálkodás és a helyi közszolgáltatások terén az „üzleti környezet” reformkomponensben,</w:t>
      </w:r>
      <w:r>
        <w:rPr>
          <w:noProof/>
        </w:rPr>
        <w:t xml:space="preserve"> és javítják a mezőgazdaság vízfogyasztását. Ez a komponens megfelel azoknak az országspecifikus ajánlásoknak, amelyek szerint a beruházásokat a zöld átállásra, többek között a körforgásos gazdaságra kell összpontosítani.  </w:t>
      </w:r>
    </w:p>
    <w:p w14:paraId="39990612" w14:textId="77777777" w:rsidR="003F5418" w:rsidRDefault="002A6C25">
      <w:pPr>
        <w:spacing w:before="120" w:after="120"/>
        <w:jc w:val="both"/>
        <w:rPr>
          <w:noProof/>
        </w:rPr>
      </w:pPr>
      <w:r>
        <w:rPr>
          <w:noProof/>
        </w:rPr>
        <w:t>Az e komponens alá tartozó beruh</w:t>
      </w:r>
      <w:r>
        <w:rPr>
          <w:noProof/>
        </w:rPr>
        <w:t>ázásoknak és reformoknak hozzá kell járulniuk a 2020-ban és 2019-ben Olaszországnak címzett országspecifikus ajánlások megvalósításához, amelyek szerint a beruházásokat „a zöld és digitális átállásra, különösen [...] a hulladék- és vízgazdálkodásra kell ös</w:t>
      </w:r>
      <w:r>
        <w:rPr>
          <w:noProof/>
        </w:rPr>
        <w:t>szpontosítani” (3. országspecifikus ajánlás, 2020. évi 3. ajánlás), valamint „a beruházásokkal kapcsolatos gazdaságpolitika [...]-ra és az infrastruktúra minőségére kell összpontosítani, figyelembe véve a regionális különbségeket is” (2019. évi 3. országsp</w:t>
      </w:r>
      <w:r>
        <w:rPr>
          <w:noProof/>
        </w:rPr>
        <w:t>ecifikus ajánlás).</w:t>
      </w:r>
    </w:p>
    <w:p w14:paraId="3E8ABDFA" w14:textId="77777777" w:rsidR="003F5418" w:rsidRDefault="002A6C25">
      <w:pPr>
        <w:spacing w:before="120" w:after="120"/>
        <w:jc w:val="both"/>
        <w:rPr>
          <w:noProof/>
        </w:rPr>
      </w:pPr>
      <w:r>
        <w:rPr>
          <w:noProof/>
        </w:rPr>
        <w:t xml:space="preserve">A jelentős károkozás elkerülését célzó elvről szóló technikai iránymutatásnak (2021/C58/01) megfelelően a helyreállítási és rezilienciaépítési tervben meghatározott intézkedések leírását és a helyreállítási és rezilienciaépítési tervben </w:t>
      </w:r>
      <w:r>
        <w:rPr>
          <w:noProof/>
        </w:rPr>
        <w:t xml:space="preserve">meghatározott enyhítő lépéseket figyelembe véve ebben a komponensben várhatóan egyetlen intézkedés sem sérti jelentős mértékben az (EU) 2020/852 rendelet 17. cikke szerinti környezeti célkitűzéseket.  </w:t>
      </w:r>
    </w:p>
    <w:p w14:paraId="6BA6E6B3" w14:textId="77777777" w:rsidR="003F5418" w:rsidRDefault="002A6C25">
      <w:pPr>
        <w:pStyle w:val="Heading3"/>
        <w:numPr>
          <w:ilvl w:val="0"/>
          <w:numId w:val="0"/>
        </w:numPr>
        <w:ind w:left="850" w:hanging="850"/>
        <w:rPr>
          <w:b/>
          <w:i w:val="0"/>
          <w:noProof/>
          <w:u w:val="single"/>
        </w:rPr>
      </w:pPr>
      <w:r>
        <w:rPr>
          <w:b/>
          <w:i w:val="0"/>
          <w:noProof/>
          <w:u w:val="single"/>
        </w:rPr>
        <w:t>D.1.</w:t>
      </w:r>
      <w:r>
        <w:rPr>
          <w:b/>
          <w:noProof/>
          <w:u w:val="single"/>
        </w:rPr>
        <w:t xml:space="preserve"> </w:t>
      </w:r>
      <w:r>
        <w:rPr>
          <w:noProof/>
        </w:rPr>
        <w:t xml:space="preserve"> </w:t>
      </w:r>
      <w:r>
        <w:rPr>
          <w:b/>
          <w:i w:val="0"/>
          <w:noProof/>
          <w:u w:val="single"/>
        </w:rPr>
        <w:t>Vissza nem térítendő pénzügyi támogatás – a refo</w:t>
      </w:r>
      <w:r>
        <w:rPr>
          <w:b/>
          <w:i w:val="0"/>
          <w:noProof/>
          <w:u w:val="single"/>
        </w:rPr>
        <w:t xml:space="preserve">rmok és beruházások ismertetése </w:t>
      </w:r>
    </w:p>
    <w:p w14:paraId="7CED5AC8" w14:textId="77777777" w:rsidR="003F5418" w:rsidRDefault="002A6C25">
      <w:pPr>
        <w:pStyle w:val="Axistitle"/>
        <w:ind w:left="0"/>
        <w:rPr>
          <w:noProof/>
        </w:rPr>
      </w:pPr>
      <w:r>
        <w:rPr>
          <w:noProof/>
        </w:rPr>
        <w:t xml:space="preserve">Körforgásos gazdaság </w:t>
      </w:r>
    </w:p>
    <w:p w14:paraId="38C0B14E" w14:textId="760371F0" w:rsidR="003F5418" w:rsidRDefault="003A29CE">
      <w:pPr>
        <w:pStyle w:val="P68B1DB1-Normal2"/>
        <w:spacing w:before="120" w:after="120"/>
        <w:jc w:val="both"/>
        <w:rPr>
          <w:noProof/>
        </w:rPr>
      </w:pPr>
      <w:r>
        <w:rPr>
          <w:noProof/>
        </w:rPr>
        <w:t>1.1. Reform – A körforgásos gazdaságra vonatkozó nemzeti stratégia</w:t>
      </w:r>
    </w:p>
    <w:p w14:paraId="535EC08C" w14:textId="77777777" w:rsidR="003F5418" w:rsidRDefault="002A6C25">
      <w:pPr>
        <w:spacing w:before="120" w:after="120"/>
        <w:jc w:val="both"/>
        <w:rPr>
          <w:noProof/>
        </w:rPr>
      </w:pPr>
      <w:r>
        <w:rPr>
          <w:noProof/>
        </w:rPr>
        <w:t xml:space="preserve">Ez a reform a következőkből áll: a körforgásos gazdaságra vonatkozó átfogó nemzeti stratégia elfogadása, amely magában foglalja az új </w:t>
      </w:r>
      <w:r>
        <w:rPr>
          <w:noProof/>
        </w:rPr>
        <w:t>digitális hulladék-nyomonkövethetőségi rendszert, az újrafeldolgozási tevékenységeket és a másodlagos nyersanyagok felhasználását támogató adókedvezményeket, a környezetvédelmi adók felülvizsgálatát, az újrahasználathoz és a javításhoz való jogot, a kiterj</w:t>
      </w:r>
      <w:r>
        <w:rPr>
          <w:noProof/>
        </w:rPr>
        <w:t xml:space="preserve">esztett gyártói felelősség és a konzorciumi rendszer reformját, a meglévő szabályozási eszközök (például a hulladékstátusz megszűnésére vonatkozó jogszabályok és a zöld közbeszerzés keretében a környezeti minimumkritériumok) támogatását, valamint az ipari </w:t>
      </w:r>
      <w:r>
        <w:rPr>
          <w:noProof/>
        </w:rPr>
        <w:t>szimbiózissal kapcsolatos projekt támogatását. A kiterjesztett gyártói felelősség és a konzorciumi rendszer reformjának foglalkoznia kell a környezeti hozzájárulás hatékonyabb felhasználásának szükségességével is az átlátható és megkülönböztetésmentes krit</w:t>
      </w:r>
      <w:r>
        <w:rPr>
          <w:noProof/>
        </w:rPr>
        <w:t xml:space="preserve">ériumok alkalmazásának biztosítása érdekében. Az ökológiai átállásért felelős minisztérium (MITE) elnöksége alatt létre kell hozni egy külön felügyeleti szervet, amelynek feladata a konzorciumi rendszerek működésének és hatékonyságának nyomon követése. Az </w:t>
      </w:r>
      <w:r>
        <w:rPr>
          <w:noProof/>
        </w:rPr>
        <w:t>intézkedésnek valamennyi konzorciumra ki kell terjednie (nem csak a CONAI csomagolási rendszerére).</w:t>
      </w:r>
    </w:p>
    <w:p w14:paraId="750D9213" w14:textId="4C1D295E" w:rsidR="003F5418" w:rsidRDefault="003A29CE">
      <w:pPr>
        <w:pStyle w:val="P68B1DB1-Normal2"/>
        <w:spacing w:before="120" w:after="120"/>
        <w:jc w:val="both"/>
        <w:rPr>
          <w:noProof/>
        </w:rPr>
      </w:pPr>
      <w:r>
        <w:rPr>
          <w:noProof/>
        </w:rPr>
        <w:t>1.3. Reform – Technikai támogatás a helyi önkormányzatok számára</w:t>
      </w:r>
    </w:p>
    <w:p w14:paraId="24A9CD3A" w14:textId="77777777" w:rsidR="003F5418" w:rsidRDefault="002A6C25">
      <w:pPr>
        <w:spacing w:before="120" w:after="120"/>
        <w:jc w:val="both"/>
        <w:rPr>
          <w:noProof/>
        </w:rPr>
      </w:pPr>
      <w:r>
        <w:rPr>
          <w:noProof/>
        </w:rPr>
        <w:t xml:space="preserve">Ez a reform magában foglalja a helyi hatóságok számára a kormány által az uniós és nemzeti </w:t>
      </w:r>
      <w:r>
        <w:rPr>
          <w:noProof/>
        </w:rPr>
        <w:t>környezetvédelmi szabályozás végrehajtásához nyújtott technikai támogatást, a hulladékgazdálkodással kapcsolatos tervek és projektek kidolgozását, valamint a pályázati eljárásokat. A pályázati eljárások támogatásának biztosítania kell, hogy a hulladékgazdá</w:t>
      </w:r>
      <w:r>
        <w:rPr>
          <w:noProof/>
        </w:rPr>
        <w:t>lkodási koncessziók odaítélése átlátható és megkülönböztetésmentes módon történjen, növelve a versenyfolyamatokat a közszolgáltatások jobb színvonalának elérése érdekében. Ez a reform ezért támogatja az üzleti környezet reformjának komponensében javasolt h</w:t>
      </w:r>
      <w:r>
        <w:rPr>
          <w:noProof/>
        </w:rPr>
        <w:t>ulladékgazdálkodási reformok végrehajtását. A technikai támogatásnak a zöld közbeszerzésre is ki kell terjednie.</w:t>
      </w:r>
    </w:p>
    <w:p w14:paraId="4332856F" w14:textId="77777777" w:rsidR="003F5418" w:rsidRDefault="003F5418">
      <w:pPr>
        <w:spacing w:before="120" w:after="120"/>
        <w:jc w:val="both"/>
        <w:rPr>
          <w:b/>
          <w:noProof/>
        </w:rPr>
        <w:sectPr w:rsidR="003F5418">
          <w:headerReference w:type="even" r:id="rId110"/>
          <w:headerReference w:type="default" r:id="rId111"/>
          <w:footerReference w:type="even" r:id="rId112"/>
          <w:footerReference w:type="default" r:id="rId113"/>
          <w:headerReference w:type="first" r:id="rId114"/>
          <w:footerReference w:type="first" r:id="rId115"/>
          <w:pgSz w:w="11907" w:h="16839"/>
          <w:pgMar w:top="1440" w:right="1440" w:bottom="1440" w:left="1440" w:header="567" w:footer="567" w:gutter="0"/>
          <w:cols w:space="720"/>
          <w:docGrid w:linePitch="360"/>
        </w:sectPr>
      </w:pPr>
    </w:p>
    <w:p w14:paraId="2132FA52" w14:textId="20C2B234" w:rsidR="003F5418" w:rsidRDefault="003A29CE">
      <w:pPr>
        <w:pStyle w:val="P68B1DB1-Normal2"/>
        <w:spacing w:before="120" w:after="120"/>
        <w:jc w:val="both"/>
        <w:rPr>
          <w:noProof/>
        </w:rPr>
      </w:pPr>
      <w:r>
        <w:rPr>
          <w:noProof/>
        </w:rPr>
        <w:t>2.1. Beruházás – Logisztikai terv az agrár-élelmiszeripari, a halászati és akvakultúra-, az erdészeti, a virágkertészeti és a növényiskolai ágazat számára</w:t>
      </w:r>
    </w:p>
    <w:p w14:paraId="3BB9E3DF" w14:textId="77777777" w:rsidR="003F5418" w:rsidRDefault="002A6C25">
      <w:pPr>
        <w:spacing w:before="120" w:after="120"/>
        <w:jc w:val="both"/>
        <w:rPr>
          <w:noProof/>
        </w:rPr>
      </w:pPr>
      <w:r>
        <w:rPr>
          <w:noProof/>
        </w:rPr>
        <w:t>Ez az intézkedés tárgyi és immateriális beruházásokhoz (például a mezőgazdasági nyersanyagok tárolására szolgáló létesítményekhez, a nyersanyagok átalakításához és megőrzéséhez, a logisztika di</w:t>
      </w:r>
      <w:r>
        <w:rPr>
          <w:noProof/>
        </w:rPr>
        <w:t xml:space="preserve">gitalizálásához és az élelmiszerpiaci infrastrukturális beavatkozásokhoz), az élelmiszer-szállításba és -logisztikába történő beruházásokból áll, amelyek célja a környezeti és gazdasági költségek csökkentése, valamint a termelési folyamatok innovációja, a </w:t>
      </w:r>
      <w:r>
        <w:rPr>
          <w:noProof/>
        </w:rPr>
        <w:t>precíziós gazdálkodás és a nyomonkövethetőség (például a blokklánc). A kiválasztási kritériumoknak összhangban kell lenniük a Mezőgazdasági, Élelmiszerügyi és Erdészeti Minisztérium által a közös agrárpolitika stratégiai terve keretében kidolgozott igényfe</w:t>
      </w:r>
      <w:r>
        <w:rPr>
          <w:noProof/>
        </w:rPr>
        <w:t>lméréssel. Az intézkedés célja, hogy elektromos járművek és közlekedési rendszerek révén ösztönözze a kibocsátások csökkentését az agrár-élelmiszeripari ágazatban a szállítási és logisztikai szakaszban, valamint fokozza az ágazat digitalizációját és a megú</w:t>
      </w:r>
      <w:r>
        <w:rPr>
          <w:noProof/>
        </w:rPr>
        <w:t xml:space="preserve">juló energia felhasználását. </w:t>
      </w:r>
    </w:p>
    <w:p w14:paraId="6567B1CF" w14:textId="117FAC3F" w:rsidR="003F5418" w:rsidRDefault="003A29CE">
      <w:pPr>
        <w:pStyle w:val="P68B1DB1-Normal2"/>
        <w:spacing w:before="120" w:after="120"/>
        <w:jc w:val="both"/>
        <w:rPr>
          <w:noProof/>
        </w:rPr>
      </w:pPr>
      <w:r>
        <w:rPr>
          <w:noProof/>
        </w:rPr>
        <w:t>2.2. Beruházás – Agrárfolyadékpark</w:t>
      </w:r>
    </w:p>
    <w:p w14:paraId="561D3D32" w14:textId="77777777" w:rsidR="003F5418" w:rsidRDefault="002A6C25">
      <w:pPr>
        <w:spacing w:before="120" w:after="120"/>
        <w:jc w:val="both"/>
        <w:rPr>
          <w:noProof/>
        </w:rPr>
      </w:pPr>
      <w:r>
        <w:rPr>
          <w:noProof/>
        </w:rPr>
        <w:t>Ez az intézkedés a mezőgazdasági, állattenyésztési és agráripari ágazat termelőszerkezeteire, a meglévő tető eltávolítására és ártalmatlanítására, egy új szigetelt tető építésére, az automati</w:t>
      </w:r>
      <w:r>
        <w:rPr>
          <w:noProof/>
        </w:rPr>
        <w:t xml:space="preserve">zált szellőztető és/vagy hűtőrendszerek létrehozására, valamint a napelemek telepítésére, az áramlás és az akkumulátorok intelligens kezelésére irányuló beruházásokhoz nyújtott támogatásból áll. </w:t>
      </w:r>
    </w:p>
    <w:p w14:paraId="3AC18FB1" w14:textId="5B429BBD" w:rsidR="003F5418" w:rsidRDefault="003A29CE">
      <w:pPr>
        <w:pStyle w:val="P68B1DB1-Normal2"/>
        <w:spacing w:before="120" w:after="120"/>
        <w:jc w:val="both"/>
        <w:rPr>
          <w:noProof/>
        </w:rPr>
      </w:pPr>
      <w:r>
        <w:rPr>
          <w:noProof/>
        </w:rPr>
        <w:t>2.3. Beruházás – Innováció és gépesítés a mezőgazdasági és élelmiszeripari ágazatban</w:t>
      </w:r>
    </w:p>
    <w:p w14:paraId="2EB23BB0" w14:textId="77777777" w:rsidR="003F5418" w:rsidRDefault="002A6C25">
      <w:pPr>
        <w:spacing w:before="120" w:after="120"/>
        <w:jc w:val="both"/>
        <w:rPr>
          <w:noProof/>
        </w:rPr>
      </w:pPr>
      <w:r>
        <w:rPr>
          <w:noProof/>
        </w:rPr>
        <w:t>Ez az intézkedés olyan tárgyi eszközökre és immateriális javakra irányuló beruházásokhoz nyújt támogatást, amelyek célja:</w:t>
      </w:r>
    </w:p>
    <w:p w14:paraId="06A8A63C" w14:textId="77777777" w:rsidR="003F5418" w:rsidRDefault="002A6C25">
      <w:pPr>
        <w:numPr>
          <w:ilvl w:val="0"/>
          <w:numId w:val="63"/>
        </w:numPr>
        <w:spacing w:before="120" w:after="120" w:line="259" w:lineRule="auto"/>
        <w:ind w:left="360"/>
        <w:contextualSpacing/>
        <w:jc w:val="both"/>
        <w:rPr>
          <w:noProof/>
        </w:rPr>
      </w:pPr>
      <w:r>
        <w:rPr>
          <w:noProof/>
        </w:rPr>
        <w:t>mezőgazdasági innováció és gépesítés, különösen a terepjáró gépek;</w:t>
      </w:r>
    </w:p>
    <w:p w14:paraId="0EFDF05D" w14:textId="77777777" w:rsidR="003F5418" w:rsidRDefault="002A6C25">
      <w:pPr>
        <w:numPr>
          <w:ilvl w:val="0"/>
          <w:numId w:val="63"/>
        </w:numPr>
        <w:spacing w:before="120" w:after="120" w:line="259" w:lineRule="auto"/>
        <w:ind w:left="360"/>
        <w:contextualSpacing/>
        <w:jc w:val="both"/>
        <w:rPr>
          <w:i/>
          <w:noProof/>
        </w:rPr>
      </w:pPr>
      <w:r>
        <w:rPr>
          <w:noProof/>
        </w:rPr>
        <w:t>innováció az extraszűz olívaolaj átalakítá</w:t>
      </w:r>
      <w:r>
        <w:rPr>
          <w:noProof/>
        </w:rPr>
        <w:t>si, tárolási és csomagolási folyamataiban.</w:t>
      </w:r>
    </w:p>
    <w:p w14:paraId="3EFAEBD6" w14:textId="77777777" w:rsidR="003F5418" w:rsidRDefault="002A6C25">
      <w:pPr>
        <w:spacing w:before="120" w:after="120" w:line="259" w:lineRule="auto"/>
        <w:contextualSpacing/>
        <w:jc w:val="both"/>
        <w:rPr>
          <w:noProof/>
        </w:rPr>
      </w:pPr>
      <w:r>
        <w:rPr>
          <w:noProof/>
        </w:rPr>
        <w:t>A terepjáró gépeknek kibocsátásmentesnek kell lenniük, vagy kizárólag az (EU) 2018/2001 irányelvben (RED II. irányelv) meghatározott kritériumoknak megfelelő biometánnal kell működniük. A bioüzemanyag- és biometán</w:t>
      </w:r>
      <w:r>
        <w:rPr>
          <w:noProof/>
        </w:rPr>
        <w:t>gáz- és bioüzemanyag-gyártóknak független értékelők által kiállított tanúsítványokat (fenntarthatósági igazolást) kell benyújtaniuk az (EU) 2018/2001 irányelvben előírtak szerint. Az üzemeltető a várható tüzelőanyag-felhasználással arányos származási bizon</w:t>
      </w:r>
      <w:r>
        <w:rPr>
          <w:noProof/>
        </w:rPr>
        <w:t xml:space="preserve">yítványt vásárol.  </w:t>
      </w:r>
    </w:p>
    <w:p w14:paraId="3B365898" w14:textId="66F8290B" w:rsidR="003F5418" w:rsidRDefault="003A29CE">
      <w:pPr>
        <w:pStyle w:val="P68B1DB1-Normal2"/>
        <w:spacing w:before="120" w:after="120"/>
        <w:jc w:val="both"/>
        <w:rPr>
          <w:noProof/>
        </w:rPr>
      </w:pPr>
      <w:r>
        <w:rPr>
          <w:noProof/>
        </w:rPr>
        <w:t>3.3. Beruházás – Kultúra és tudatosság a környezetvédelmi témákban és kihívásokkal kapcsolatban</w:t>
      </w:r>
    </w:p>
    <w:p w14:paraId="2EF18F9E" w14:textId="77777777" w:rsidR="003F5418" w:rsidRDefault="002A6C25">
      <w:pPr>
        <w:spacing w:before="120" w:after="120"/>
        <w:jc w:val="both"/>
        <w:rPr>
          <w:noProof/>
        </w:rPr>
        <w:sectPr w:rsidR="003F5418">
          <w:headerReference w:type="even" r:id="rId116"/>
          <w:headerReference w:type="default" r:id="rId117"/>
          <w:footerReference w:type="even" r:id="rId118"/>
          <w:footerReference w:type="default" r:id="rId119"/>
          <w:headerReference w:type="first" r:id="rId120"/>
          <w:footerReference w:type="first" r:id="rId121"/>
          <w:pgSz w:w="11907" w:h="16839"/>
          <w:pgMar w:top="1440" w:right="1440" w:bottom="1440" w:left="1440" w:header="567" w:footer="567" w:gutter="0"/>
          <w:cols w:space="720"/>
          <w:docGrid w:linePitch="360"/>
        </w:sectPr>
      </w:pPr>
      <w:r>
        <w:rPr>
          <w:noProof/>
        </w:rPr>
        <w:t>Ez a beruházás digitális tartalom tervezéséből és előállításából áll, hogy felhívja a figyelm</w:t>
      </w:r>
      <w:r>
        <w:rPr>
          <w:noProof/>
        </w:rPr>
        <w:t>et a környezeti és éghajlati kihívásokra. A digitális tartalom podcastokból, iskolai videótanfolyamokból, videókból és cikkekből áll. Online, előfizetésmentes platformot kell létrehozni azzal a céllal, hogy a környezettel kapcsolatos témákkal kapcsolatos o</w:t>
      </w:r>
      <w:r>
        <w:rPr>
          <w:noProof/>
        </w:rPr>
        <w:t>ktatási és rekreációs anyagok legátfogóbb „tárává” váljon. A digitális tartalom előállítása során várhatóan kulcsfontosságú véleményformálók vesznek részt. Példák a különböző csatornákon keresztül tárgyalt témákra: az átállás szabályai, az energiaszerkezet</w:t>
      </w:r>
      <w:r>
        <w:rPr>
          <w:noProof/>
        </w:rPr>
        <w:t xml:space="preserve"> és a megújuló energiaforrások szerepe, az éghajlatváltozás, a légkör és a globális hőmérséklet fenntarthatósága, az óceánok, a vízkészletek, az egyéni és szervezeti ökológiai lábnyom, a körforgásos gazdaság és az új mezőgazdaság rejtett szerepe.</w:t>
      </w:r>
    </w:p>
    <w:p w14:paraId="041F766C" w14:textId="77777777" w:rsidR="003F5418" w:rsidRDefault="002A6C25">
      <w:pPr>
        <w:pStyle w:val="Heading3"/>
        <w:numPr>
          <w:ilvl w:val="0"/>
          <w:numId w:val="0"/>
        </w:numPr>
        <w:ind w:left="850" w:hanging="850"/>
        <w:rPr>
          <w:b/>
          <w:i w:val="0"/>
          <w:noProof/>
          <w:u w:val="single"/>
        </w:rPr>
      </w:pPr>
      <w:r>
        <w:rPr>
          <w:b/>
          <w:i w:val="0"/>
          <w:noProof/>
          <w:u w:val="single"/>
        </w:rPr>
        <w:t xml:space="preserve">D.2. </w:t>
      </w:r>
      <w:r>
        <w:rPr>
          <w:noProof/>
        </w:rPr>
        <w:t xml:space="preserve"> </w:t>
      </w:r>
      <w:r>
        <w:rPr>
          <w:b/>
          <w:i w:val="0"/>
          <w:noProof/>
          <w:u w:val="single"/>
        </w:rPr>
        <w:t>Vis</w:t>
      </w:r>
      <w:r>
        <w:rPr>
          <w:b/>
          <w:i w:val="0"/>
          <w:noProof/>
          <w:u w:val="single"/>
        </w:rPr>
        <w:t>sza nem térítendő pénzügyi támogatás – a végrehajtáshoz és a nyomon követéshez kapcsolódó mérföldkövek, célok, mutatók és ütemterv</w:t>
      </w:r>
    </w:p>
    <w:tbl>
      <w:tblPr>
        <w:tblW w:w="15309" w:type="dxa"/>
        <w:jc w:val="center"/>
        <w:tblLayout w:type="fixed"/>
        <w:tblLook w:val="04A0" w:firstRow="1" w:lastRow="0" w:firstColumn="1" w:lastColumn="0" w:noHBand="0" w:noVBand="1"/>
      </w:tblPr>
      <w:tblGrid>
        <w:gridCol w:w="1129"/>
        <w:gridCol w:w="1701"/>
        <w:gridCol w:w="1134"/>
        <w:gridCol w:w="1701"/>
        <w:gridCol w:w="1843"/>
        <w:gridCol w:w="1180"/>
        <w:gridCol w:w="1159"/>
        <w:gridCol w:w="1347"/>
        <w:gridCol w:w="992"/>
        <w:gridCol w:w="680"/>
        <w:gridCol w:w="2443"/>
      </w:tblGrid>
      <w:tr w:rsidR="003F5418" w14:paraId="32393A4F" w14:textId="77777777">
        <w:trPr>
          <w:trHeight w:val="927"/>
          <w:tblHeader/>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0EAE6D" w14:textId="77777777" w:rsidR="003F5418" w:rsidRDefault="002A6C25">
            <w:pPr>
              <w:pStyle w:val="P68B1DB1-Normal3"/>
              <w:jc w:val="center"/>
              <w:rPr>
                <w:noProof/>
              </w:rPr>
            </w:pPr>
            <w:r>
              <w:rPr>
                <w:noProof/>
              </w:rPr>
              <w:t>Sorszám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467758" w14:textId="77777777" w:rsidR="003F5418" w:rsidRDefault="002A6C25">
            <w:pPr>
              <w:pStyle w:val="P68B1DB1-Normal3"/>
              <w:jc w:val="center"/>
              <w:rPr>
                <w:noProof/>
              </w:rPr>
            </w:pPr>
            <w:r>
              <w:rPr>
                <w:noProof/>
              </w:rPr>
              <w:t>Kapcsolódó intézkedés (reform vagy beruházás)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5D4C73" w14:textId="77777777" w:rsidR="003F5418" w:rsidRDefault="002A6C25">
            <w:pPr>
              <w:pStyle w:val="P68B1DB1-Normal3"/>
              <w:jc w:val="center"/>
              <w:rPr>
                <w:noProof/>
              </w:rPr>
            </w:pPr>
            <w:r>
              <w:rPr>
                <w:noProof/>
              </w:rPr>
              <w:t>Mérföldkő/cél</w:t>
            </w:r>
          </w:p>
        </w:tc>
        <w:tc>
          <w:tcPr>
            <w:tcW w:w="1701" w:type="dxa"/>
            <w:vMerge w:val="restart"/>
            <w:tcBorders>
              <w:top w:val="single" w:sz="4" w:space="0" w:color="auto"/>
              <w:left w:val="nil"/>
              <w:bottom w:val="single" w:sz="4" w:space="0" w:color="auto"/>
              <w:right w:val="single" w:sz="4" w:space="0" w:color="auto"/>
            </w:tcBorders>
            <w:shd w:val="clear" w:color="auto" w:fill="BDD7EE"/>
            <w:vAlign w:val="center"/>
            <w:hideMark/>
          </w:tcPr>
          <w:p w14:paraId="744ABDAD" w14:textId="77777777" w:rsidR="003F5418" w:rsidRDefault="002A6C25">
            <w:pPr>
              <w:pStyle w:val="P68B1DB1-Normal3"/>
              <w:jc w:val="center"/>
              <w:rPr>
                <w:noProof/>
              </w:rPr>
            </w:pPr>
            <w:r>
              <w:rPr>
                <w:noProof/>
              </w:rPr>
              <w:t>Név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25B973F"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686" w:type="dxa"/>
            <w:gridSpan w:val="3"/>
            <w:tcBorders>
              <w:top w:val="single" w:sz="4" w:space="0" w:color="auto"/>
              <w:left w:val="nil"/>
              <w:bottom w:val="single" w:sz="4" w:space="0" w:color="auto"/>
              <w:right w:val="single" w:sz="4" w:space="0" w:color="auto"/>
            </w:tcBorders>
            <w:shd w:val="clear" w:color="auto" w:fill="BDD7EE"/>
            <w:vAlign w:val="center"/>
            <w:hideMark/>
          </w:tcPr>
          <w:p w14:paraId="3EC64067"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672" w:type="dxa"/>
            <w:gridSpan w:val="2"/>
            <w:tcBorders>
              <w:top w:val="single" w:sz="4" w:space="0" w:color="auto"/>
              <w:left w:val="nil"/>
              <w:bottom w:val="single" w:sz="4" w:space="0" w:color="auto"/>
              <w:right w:val="single" w:sz="4" w:space="0" w:color="auto"/>
            </w:tcBorders>
            <w:shd w:val="clear" w:color="auto" w:fill="BDD7EE"/>
            <w:vAlign w:val="center"/>
            <w:hideMark/>
          </w:tcPr>
          <w:p w14:paraId="56A17447" w14:textId="77777777" w:rsidR="003F5418" w:rsidRDefault="002A6C25">
            <w:pPr>
              <w:pStyle w:val="P68B1DB1-Normal3"/>
              <w:jc w:val="center"/>
              <w:rPr>
                <w:noProof/>
              </w:rPr>
            </w:pPr>
            <w:r>
              <w:rPr>
                <w:noProof/>
              </w:rPr>
              <w:t>A végrehajtás indikatív ütemterve</w:t>
            </w:r>
          </w:p>
        </w:tc>
        <w:tc>
          <w:tcPr>
            <w:tcW w:w="24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AF69EDD" w14:textId="77777777" w:rsidR="003F5418" w:rsidRDefault="002A6C25">
            <w:pPr>
              <w:pStyle w:val="P68B1DB1-Normal3"/>
              <w:rPr>
                <w:noProof/>
              </w:rPr>
            </w:pPr>
            <w:r>
              <w:rPr>
                <w:noProof/>
              </w:rPr>
              <w:t>Az egyes mérföldkövek és célértékek leírása</w:t>
            </w:r>
          </w:p>
        </w:tc>
      </w:tr>
      <w:tr w:rsidR="003F5418" w14:paraId="2196C66C" w14:textId="77777777">
        <w:trPr>
          <w:trHeight w:val="617"/>
          <w:tblHeade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87EC11D" w14:textId="77777777" w:rsidR="003F5418" w:rsidRDefault="003F5418">
            <w:pPr>
              <w:jc w:val="center"/>
              <w:rPr>
                <w:rFonts w:ascii="Arial Narrow" w:hAnsi="Arial Narrow"/>
                <w:b/>
                <w:noProof/>
                <w:sz w:val="20"/>
              </w:rPr>
            </w:pPr>
          </w:p>
        </w:tc>
        <w:tc>
          <w:tcPr>
            <w:tcW w:w="1701" w:type="dxa"/>
            <w:vMerge/>
            <w:tcBorders>
              <w:left w:val="single" w:sz="4" w:space="0" w:color="auto"/>
              <w:bottom w:val="single" w:sz="4" w:space="0" w:color="auto"/>
              <w:right w:val="single" w:sz="4" w:space="0" w:color="auto"/>
            </w:tcBorders>
            <w:vAlign w:val="center"/>
            <w:hideMark/>
          </w:tcPr>
          <w:p w14:paraId="11C35C44" w14:textId="77777777" w:rsidR="003F5418" w:rsidRDefault="003F5418">
            <w:pPr>
              <w:jc w:val="cente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B7514E" w14:textId="77777777" w:rsidR="003F5418" w:rsidRDefault="003F5418">
            <w:pPr>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B6E472" w14:textId="77777777" w:rsidR="003F5418" w:rsidRDefault="003F5418">
            <w:pPr>
              <w:jc w:val="center"/>
              <w:rPr>
                <w:rFonts w:ascii="Arial Narrow" w:hAnsi="Arial Narrow"/>
                <w:b/>
                <w:noProof/>
                <w:sz w:val="20"/>
              </w:rPr>
            </w:pPr>
          </w:p>
        </w:tc>
        <w:tc>
          <w:tcPr>
            <w:tcW w:w="1843" w:type="dxa"/>
            <w:vMerge/>
            <w:tcBorders>
              <w:left w:val="single" w:sz="4" w:space="0" w:color="auto"/>
              <w:bottom w:val="single" w:sz="4" w:space="0" w:color="auto"/>
            </w:tcBorders>
            <w:vAlign w:val="center"/>
            <w:hideMark/>
          </w:tcPr>
          <w:p w14:paraId="6866AB59" w14:textId="77777777" w:rsidR="003F5418" w:rsidRDefault="003F5418">
            <w:pPr>
              <w:jc w:val="center"/>
              <w:rPr>
                <w:rFonts w:ascii="Arial Narrow" w:hAnsi="Arial Narrow"/>
                <w:b/>
                <w:noProof/>
                <w:sz w:val="20"/>
              </w:rPr>
            </w:pPr>
          </w:p>
        </w:tc>
        <w:tc>
          <w:tcPr>
            <w:tcW w:w="1180" w:type="dxa"/>
            <w:tcBorders>
              <w:top w:val="nil"/>
              <w:left w:val="single" w:sz="4" w:space="0" w:color="auto"/>
              <w:bottom w:val="single" w:sz="4" w:space="0" w:color="auto"/>
              <w:right w:val="single" w:sz="4" w:space="0" w:color="auto"/>
            </w:tcBorders>
            <w:shd w:val="clear" w:color="auto" w:fill="BDD7EE"/>
            <w:vAlign w:val="center"/>
            <w:hideMark/>
          </w:tcPr>
          <w:p w14:paraId="45C86F8A" w14:textId="77777777" w:rsidR="003F5418" w:rsidRDefault="002A6C25">
            <w:pPr>
              <w:pStyle w:val="P68B1DB1-Normal3"/>
              <w:jc w:val="center"/>
              <w:rPr>
                <w:noProof/>
              </w:rPr>
            </w:pPr>
            <w:r>
              <w:rPr>
                <w:noProof/>
              </w:rPr>
              <w:t>Mértékegység</w:t>
            </w:r>
          </w:p>
        </w:tc>
        <w:tc>
          <w:tcPr>
            <w:tcW w:w="1159" w:type="dxa"/>
            <w:tcBorders>
              <w:top w:val="nil"/>
              <w:left w:val="nil"/>
              <w:bottom w:val="single" w:sz="4" w:space="0" w:color="auto"/>
              <w:right w:val="single" w:sz="4" w:space="0" w:color="auto"/>
            </w:tcBorders>
            <w:shd w:val="clear" w:color="auto" w:fill="BDD7EE"/>
            <w:vAlign w:val="center"/>
            <w:hideMark/>
          </w:tcPr>
          <w:p w14:paraId="356BE4CA" w14:textId="77777777" w:rsidR="003F5418" w:rsidRDefault="002A6C25">
            <w:pPr>
              <w:pStyle w:val="P68B1DB1-Normal3"/>
              <w:jc w:val="center"/>
              <w:rPr>
                <w:noProof/>
              </w:rPr>
            </w:pPr>
            <w:r>
              <w:rPr>
                <w:noProof/>
              </w:rPr>
              <w:t>Kiindulási</w:t>
            </w:r>
          </w:p>
        </w:tc>
        <w:tc>
          <w:tcPr>
            <w:tcW w:w="1347" w:type="dxa"/>
            <w:tcBorders>
              <w:top w:val="nil"/>
              <w:left w:val="nil"/>
              <w:bottom w:val="single" w:sz="4" w:space="0" w:color="auto"/>
              <w:right w:val="single" w:sz="4" w:space="0" w:color="auto"/>
            </w:tcBorders>
            <w:shd w:val="clear" w:color="auto" w:fill="BDD7EE"/>
            <w:vAlign w:val="center"/>
            <w:hideMark/>
          </w:tcPr>
          <w:p w14:paraId="0734E331" w14:textId="77777777" w:rsidR="003F5418" w:rsidRDefault="002A6C25">
            <w:pPr>
              <w:pStyle w:val="P68B1DB1-Normal3"/>
              <w:jc w:val="center"/>
              <w:rPr>
                <w:noProof/>
              </w:rPr>
            </w:pPr>
            <w:r>
              <w:rPr>
                <w:noProof/>
              </w:rPr>
              <w:t>Cél</w:t>
            </w:r>
          </w:p>
        </w:tc>
        <w:tc>
          <w:tcPr>
            <w:tcW w:w="992" w:type="dxa"/>
            <w:tcBorders>
              <w:top w:val="nil"/>
              <w:left w:val="nil"/>
              <w:bottom w:val="single" w:sz="4" w:space="0" w:color="auto"/>
              <w:right w:val="single" w:sz="4" w:space="0" w:color="auto"/>
            </w:tcBorders>
            <w:shd w:val="clear" w:color="auto" w:fill="BDD7EE"/>
            <w:vAlign w:val="center"/>
            <w:hideMark/>
          </w:tcPr>
          <w:p w14:paraId="12FC7F0F" w14:textId="77777777" w:rsidR="003F5418" w:rsidRDefault="002A6C25">
            <w:pPr>
              <w:pStyle w:val="P68B1DB1-Normal3"/>
              <w:jc w:val="center"/>
              <w:rPr>
                <w:noProof/>
              </w:rPr>
            </w:pPr>
            <w:r>
              <w:rPr>
                <w:noProof/>
              </w:rPr>
              <w:t>Negyedév</w:t>
            </w:r>
          </w:p>
        </w:tc>
        <w:tc>
          <w:tcPr>
            <w:tcW w:w="680" w:type="dxa"/>
            <w:tcBorders>
              <w:top w:val="nil"/>
              <w:left w:val="nil"/>
              <w:bottom w:val="single" w:sz="4" w:space="0" w:color="auto"/>
              <w:right w:val="single" w:sz="4" w:space="0" w:color="auto"/>
            </w:tcBorders>
            <w:shd w:val="clear" w:color="auto" w:fill="BDD7EE"/>
            <w:vAlign w:val="center"/>
            <w:hideMark/>
          </w:tcPr>
          <w:p w14:paraId="7BA31506" w14:textId="77777777" w:rsidR="003F5418" w:rsidRDefault="002A6C25">
            <w:pPr>
              <w:pStyle w:val="P68B1DB1-Normal3"/>
              <w:jc w:val="center"/>
              <w:rPr>
                <w:noProof/>
              </w:rPr>
            </w:pPr>
            <w:r>
              <w:rPr>
                <w:noProof/>
              </w:rPr>
              <w:t>Éve</w:t>
            </w:r>
          </w:p>
        </w:tc>
        <w:tc>
          <w:tcPr>
            <w:tcW w:w="2443" w:type="dxa"/>
            <w:vMerge/>
            <w:tcBorders>
              <w:top w:val="single" w:sz="4" w:space="0" w:color="auto"/>
              <w:bottom w:val="single" w:sz="4" w:space="0" w:color="auto"/>
              <w:right w:val="single" w:sz="4" w:space="0" w:color="auto"/>
            </w:tcBorders>
            <w:vAlign w:val="center"/>
            <w:hideMark/>
          </w:tcPr>
          <w:p w14:paraId="3A6A7852" w14:textId="77777777" w:rsidR="003F5418" w:rsidRDefault="003F5418">
            <w:pPr>
              <w:rPr>
                <w:rFonts w:ascii="Arial Narrow" w:hAnsi="Arial Narrow"/>
                <w:b/>
                <w:noProof/>
                <w:sz w:val="20"/>
              </w:rPr>
            </w:pPr>
          </w:p>
        </w:tc>
      </w:tr>
      <w:tr w:rsidR="003F5418" w14:paraId="30EAAA2C"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046CE8A" w14:textId="77777777" w:rsidR="003F5418" w:rsidRDefault="002A6C25">
            <w:pPr>
              <w:pStyle w:val="P68B1DB1-Normal4"/>
              <w:spacing w:line="276" w:lineRule="auto"/>
              <w:jc w:val="center"/>
              <w:rPr>
                <w:noProof/>
              </w:rPr>
            </w:pPr>
            <w:r>
              <w:rPr>
                <w:noProof/>
              </w:rPr>
              <w:t>M2C1–1</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76E4B8B" w14:textId="77777777" w:rsidR="003F5418" w:rsidRDefault="002A6C25">
            <w:pPr>
              <w:pStyle w:val="P68B1DB1-Normal4"/>
              <w:spacing w:line="276" w:lineRule="auto"/>
              <w:jc w:val="center"/>
              <w:rPr>
                <w:noProof/>
              </w:rPr>
            </w:pPr>
            <w:r>
              <w:rPr>
                <w:noProof/>
              </w:rPr>
              <w:t>Reform – A körforgásos gazdaságra vonatkozó nemzeti stratégia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D54CAF1" w14:textId="77777777" w:rsidR="003F5418" w:rsidRDefault="002A6C25">
            <w:pPr>
              <w:pStyle w:val="P68B1DB1-Normal4"/>
              <w:spacing w:line="276" w:lineRule="auto"/>
              <w:jc w:val="center"/>
              <w:rPr>
                <w:noProof/>
              </w:rPr>
            </w:pPr>
            <w:r>
              <w:rPr>
                <w:noProof/>
              </w:rPr>
              <w:t>Mérföldkő</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8FA6946" w14:textId="77777777" w:rsidR="003F5418" w:rsidRDefault="002A6C25">
            <w:pPr>
              <w:pStyle w:val="P68B1DB1-Normal4"/>
              <w:spacing w:line="276" w:lineRule="auto"/>
              <w:jc w:val="center"/>
              <w:rPr>
                <w:noProof/>
              </w:rPr>
            </w:pPr>
            <w:r>
              <w:rPr>
                <w:noProof/>
              </w:rPr>
              <w:t>A körforgásos gazdaságra vonatkozó nemzeti stratégia elfogadásáról szóló miniszteri rendelet hatálybalépése</w:t>
            </w:r>
          </w:p>
        </w:tc>
        <w:tc>
          <w:tcPr>
            <w:tcW w:w="18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9A58795" w14:textId="77777777" w:rsidR="003F5418" w:rsidRDefault="002A6C25">
            <w:pPr>
              <w:pStyle w:val="P68B1DB1-Normal4"/>
              <w:spacing w:line="276" w:lineRule="auto"/>
              <w:jc w:val="center"/>
              <w:rPr>
                <w:noProof/>
              </w:rPr>
            </w:pPr>
            <w:r>
              <w:rPr>
                <w:noProof/>
              </w:rPr>
              <w:t>A miniszteri rendeletben szereplő, a hatálybalépésre vo</w:t>
            </w:r>
            <w:r>
              <w:rPr>
                <w:noProof/>
              </w:rPr>
              <w:t>natkozó rendelkezés</w:t>
            </w:r>
          </w:p>
        </w:tc>
        <w:tc>
          <w:tcPr>
            <w:tcW w:w="11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E4F4135" w14:textId="77777777" w:rsidR="003F5418" w:rsidRDefault="002A6C25">
            <w:pPr>
              <w:pStyle w:val="P68B1DB1-Normal4"/>
              <w:spacing w:line="276" w:lineRule="auto"/>
              <w:jc w:val="center"/>
              <w:rPr>
                <w:noProof/>
              </w:rPr>
            </w:pPr>
            <w:r>
              <w:rPr>
                <w:noProof/>
              </w:rPr>
              <w:t>NINCS</w:t>
            </w:r>
          </w:p>
        </w:tc>
        <w:tc>
          <w:tcPr>
            <w:tcW w:w="115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71858589" w14:textId="77777777" w:rsidR="003F5418" w:rsidRDefault="002A6C25">
            <w:pPr>
              <w:pStyle w:val="P68B1DB1-Normal4"/>
              <w:spacing w:line="276" w:lineRule="auto"/>
              <w:jc w:val="center"/>
              <w:rPr>
                <w:noProof/>
              </w:rPr>
            </w:pPr>
            <w:r>
              <w:rPr>
                <w:noProof/>
              </w:rPr>
              <w:t>NINCS</w:t>
            </w:r>
          </w:p>
        </w:tc>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A60DF91" w14:textId="77777777" w:rsidR="003F5418" w:rsidRDefault="002A6C25">
            <w:pPr>
              <w:pStyle w:val="P68B1DB1-Normal4"/>
              <w:spacing w:line="276" w:lineRule="auto"/>
              <w:jc w:val="center"/>
              <w:rPr>
                <w:noProof/>
              </w:rPr>
            </w:pPr>
            <w:r>
              <w:rPr>
                <w:noProof/>
              </w:rPr>
              <w:t>NINCS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16D8ED2"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30D03A0" w14:textId="77777777" w:rsidR="003F5418" w:rsidRDefault="002A6C25">
            <w:pPr>
              <w:pStyle w:val="P68B1DB1-Normal4"/>
              <w:spacing w:line="276" w:lineRule="auto"/>
              <w:jc w:val="center"/>
              <w:rPr>
                <w:noProof/>
              </w:rPr>
            </w:pPr>
            <w:r>
              <w:rPr>
                <w:noProof/>
              </w:rPr>
              <w:t>2022</w:t>
            </w:r>
          </w:p>
        </w:tc>
        <w:tc>
          <w:tcPr>
            <w:tcW w:w="244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6550FC32" w14:textId="77777777" w:rsidR="003F5418" w:rsidRDefault="002A6C25">
            <w:pPr>
              <w:pStyle w:val="P68B1DB1-Normal4"/>
              <w:spacing w:before="120" w:after="120" w:line="276" w:lineRule="auto"/>
              <w:rPr>
                <w:noProof/>
              </w:rPr>
            </w:pPr>
            <w:r>
              <w:rPr>
                <w:noProof/>
              </w:rPr>
              <w:t>A körforgásos gazdaságra vonatkozó nemzeti stratégia elfogadásáról szóló miniszteri rendelet legalább a következő intézkedéseket tartalmazza:</w:t>
            </w:r>
          </w:p>
          <w:p w14:paraId="6EE7F9A8" w14:textId="77777777" w:rsidR="003F5418" w:rsidRDefault="002A6C25">
            <w:pPr>
              <w:pStyle w:val="P68B1DB1-Normal4"/>
              <w:numPr>
                <w:ilvl w:val="0"/>
                <w:numId w:val="58"/>
              </w:numPr>
              <w:spacing w:before="120" w:line="276" w:lineRule="auto"/>
              <w:ind w:left="244" w:hanging="188"/>
              <w:rPr>
                <w:noProof/>
              </w:rPr>
            </w:pPr>
            <w:r>
              <w:rPr>
                <w:noProof/>
              </w:rPr>
              <w:t>új digitális hulladék-nyomonkövethetőségi</w:t>
            </w:r>
            <w:r>
              <w:rPr>
                <w:noProof/>
              </w:rPr>
              <w:t xml:space="preserve"> rendszer, amely egyrészt támogatja a nyersanyagok másodlagos piacának fejlesztését (egyértelmű keretet adva a másodlagos nyersanyagokkal való ellátásnak), másrészt az ellenőrző hatóságokat az illegális hulladékgazdálkodás megelőzése és kezelése terén.</w:t>
            </w:r>
          </w:p>
          <w:p w14:paraId="546186A9" w14:textId="77777777" w:rsidR="003F5418" w:rsidRDefault="002A6C25">
            <w:pPr>
              <w:pStyle w:val="P68B1DB1-Normal4"/>
              <w:numPr>
                <w:ilvl w:val="0"/>
                <w:numId w:val="58"/>
              </w:numPr>
              <w:spacing w:before="120" w:line="276" w:lineRule="auto"/>
              <w:ind w:left="244" w:hanging="188"/>
              <w:rPr>
                <w:noProof/>
              </w:rPr>
            </w:pPr>
            <w:r>
              <w:rPr>
                <w:noProof/>
              </w:rPr>
              <w:t>adó</w:t>
            </w:r>
            <w:r>
              <w:rPr>
                <w:noProof/>
              </w:rPr>
              <w:t>ösztönzők az újrafeldolgozási tevékenységek és a másodlagos nyersanyagok felhasználásának támogatására;</w:t>
            </w:r>
          </w:p>
          <w:p w14:paraId="3C77D923" w14:textId="77777777" w:rsidR="003F5418" w:rsidRDefault="002A6C25">
            <w:pPr>
              <w:pStyle w:val="P68B1DB1-Normal4"/>
              <w:numPr>
                <w:ilvl w:val="0"/>
                <w:numId w:val="58"/>
              </w:numPr>
              <w:spacing w:before="120" w:line="276" w:lineRule="auto"/>
              <w:ind w:left="244" w:hanging="188"/>
              <w:rPr>
                <w:noProof/>
              </w:rPr>
            </w:pPr>
            <w:r>
              <w:rPr>
                <w:noProof/>
              </w:rPr>
              <w:t>a hulladékra vonatkozó környezetvédelmi adóztatási rendszer felülvizsgálata annak érdekében, hogy az újrafeldolgozás kényelmesebb legyen, mint a hulladé</w:t>
            </w:r>
            <w:r>
              <w:rPr>
                <w:noProof/>
              </w:rPr>
              <w:t>klerakás és -égetés az ország egész területén;</w:t>
            </w:r>
          </w:p>
          <w:p w14:paraId="5CD1E217" w14:textId="77777777" w:rsidR="003F5418" w:rsidRDefault="002A6C25">
            <w:pPr>
              <w:pStyle w:val="P68B1DB1-Normal4"/>
              <w:numPr>
                <w:ilvl w:val="0"/>
                <w:numId w:val="58"/>
              </w:numPr>
              <w:spacing w:before="120" w:line="276" w:lineRule="auto"/>
              <w:ind w:left="244" w:hanging="188"/>
              <w:rPr>
                <w:noProof/>
              </w:rPr>
            </w:pPr>
            <w:r>
              <w:rPr>
                <w:noProof/>
              </w:rPr>
              <w:t>az újrahasználathoz és a javításhoz való jog;</w:t>
            </w:r>
          </w:p>
          <w:p w14:paraId="7ADB660B" w14:textId="77777777" w:rsidR="003F5418" w:rsidRDefault="002A6C25">
            <w:pPr>
              <w:pStyle w:val="P68B1DB1-Normal4"/>
              <w:numPr>
                <w:ilvl w:val="0"/>
                <w:numId w:val="58"/>
              </w:numPr>
              <w:spacing w:before="120" w:line="276" w:lineRule="auto"/>
              <w:ind w:left="244" w:hanging="188"/>
              <w:rPr>
                <w:noProof/>
              </w:rPr>
            </w:pPr>
            <w:r>
              <w:rPr>
                <w:noProof/>
              </w:rPr>
              <w:t xml:space="preserve">a kiterjesztett gyártói felelősség és a konzorciumok rendszerének reformja annak érdekében, hogy a MITE elnöksége alatt egy külön felügyeleti szerv létrehozásával </w:t>
            </w:r>
            <w:r>
              <w:rPr>
                <w:noProof/>
              </w:rPr>
              <w:t>támogassák az uniós célok elérését, amelynek célja a konzorciumi rendszerek működésének és hatékonyságának nyomon követése;</w:t>
            </w:r>
          </w:p>
          <w:p w14:paraId="4DE69E18" w14:textId="77777777" w:rsidR="003F5418" w:rsidRDefault="002A6C25">
            <w:pPr>
              <w:pStyle w:val="P68B1DB1-Normal4"/>
              <w:numPr>
                <w:ilvl w:val="0"/>
                <w:numId w:val="58"/>
              </w:numPr>
              <w:spacing w:before="120" w:line="276" w:lineRule="auto"/>
              <w:ind w:left="244" w:hanging="188"/>
              <w:rPr>
                <w:noProof/>
              </w:rPr>
            </w:pPr>
            <w:r>
              <w:rPr>
                <w:noProof/>
              </w:rPr>
              <w:t>a meglévő szabályozási eszközök támogatása: A hulladékokról szóló jogszabályok megszűnése (nemzeti és regionális), minimum környezet</w:t>
            </w:r>
            <w:r>
              <w:rPr>
                <w:noProof/>
              </w:rPr>
              <w:t>védelmi kritériumok (CAM) a zöld közbeszerzés keretében. Az EOW és a CAM fejlesztése/frissítése kifejezetten az építőiparra, a textilre, a műanyagokra, az elektromos és elektronikus berendezések hulladékaira (WEEE) vonatkozik.</w:t>
            </w:r>
          </w:p>
          <w:p w14:paraId="234BE05A" w14:textId="77777777" w:rsidR="003F5418" w:rsidRDefault="002A6C25">
            <w:pPr>
              <w:pStyle w:val="P68B1DB1-Normal4"/>
              <w:numPr>
                <w:ilvl w:val="0"/>
                <w:numId w:val="58"/>
              </w:numPr>
              <w:spacing w:before="120" w:line="276" w:lineRule="auto"/>
              <w:ind w:left="244" w:hanging="188"/>
              <w:rPr>
                <w:noProof/>
              </w:rPr>
            </w:pPr>
            <w:r>
              <w:rPr>
                <w:noProof/>
              </w:rPr>
              <w:t>az ipari szimbiózissal kapcso</w:t>
            </w:r>
            <w:r>
              <w:rPr>
                <w:noProof/>
              </w:rPr>
              <w:t>latos projekt támogatása szabályozási és pénzügyi eszközök révén.)</w:t>
            </w:r>
          </w:p>
        </w:tc>
      </w:tr>
      <w:tr w:rsidR="003F5418" w14:paraId="565E0960"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58F2CC8" w14:textId="77777777" w:rsidR="003F5418" w:rsidRDefault="002A6C25">
            <w:pPr>
              <w:pStyle w:val="P68B1DB1-Normal4"/>
              <w:spacing w:line="276" w:lineRule="auto"/>
              <w:jc w:val="center"/>
              <w:rPr>
                <w:noProof/>
              </w:rPr>
            </w:pPr>
            <w:r>
              <w:rPr>
                <w:noProof/>
              </w:rPr>
              <w:t>M2C1–2</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50B5C37B" w14:textId="77777777" w:rsidR="003F5418" w:rsidRDefault="002A6C25">
            <w:pPr>
              <w:pStyle w:val="P68B1DB1-Normal4"/>
              <w:spacing w:line="276" w:lineRule="auto"/>
              <w:jc w:val="center"/>
              <w:rPr>
                <w:noProof/>
              </w:rPr>
            </w:pPr>
            <w:r>
              <w:rPr>
                <w:noProof/>
              </w:rPr>
              <w:t>Reform – Technikai támogatás a helyi hatóságok számára</w:t>
            </w:r>
          </w:p>
        </w:tc>
        <w:tc>
          <w:tcPr>
            <w:tcW w:w="1134" w:type="dxa"/>
            <w:tcBorders>
              <w:top w:val="single" w:sz="4" w:space="0" w:color="auto"/>
              <w:left w:val="nil"/>
              <w:bottom w:val="single" w:sz="4" w:space="0" w:color="auto"/>
              <w:right w:val="single" w:sz="4" w:space="0" w:color="auto"/>
            </w:tcBorders>
            <w:shd w:val="clear" w:color="auto" w:fill="C6EFCE"/>
            <w:noWrap/>
            <w:vAlign w:val="center"/>
            <w:hideMark/>
          </w:tcPr>
          <w:p w14:paraId="681922D1" w14:textId="77777777" w:rsidR="003F5418" w:rsidRDefault="002A6C25">
            <w:pPr>
              <w:pStyle w:val="P68B1DB1-Normal4"/>
              <w:spacing w:line="276" w:lineRule="auto"/>
              <w:jc w:val="center"/>
              <w:rPr>
                <w:noProof/>
              </w:rPr>
            </w:pPr>
            <w:r>
              <w:rPr>
                <w:noProof/>
              </w:rPr>
              <w:t>Mérföldkő</w:t>
            </w:r>
          </w:p>
        </w:tc>
        <w:tc>
          <w:tcPr>
            <w:tcW w:w="1701" w:type="dxa"/>
            <w:tcBorders>
              <w:top w:val="single" w:sz="4" w:space="0" w:color="auto"/>
              <w:left w:val="nil"/>
              <w:bottom w:val="single" w:sz="4" w:space="0" w:color="auto"/>
              <w:right w:val="single" w:sz="4" w:space="0" w:color="auto"/>
            </w:tcBorders>
            <w:shd w:val="clear" w:color="auto" w:fill="C6EFCE"/>
            <w:noWrap/>
            <w:vAlign w:val="center"/>
            <w:hideMark/>
          </w:tcPr>
          <w:p w14:paraId="2759A3AA" w14:textId="77777777" w:rsidR="003F5418" w:rsidRDefault="002A6C25">
            <w:pPr>
              <w:pStyle w:val="P68B1DB1-Normal4"/>
              <w:spacing w:line="276" w:lineRule="auto"/>
              <w:jc w:val="center"/>
              <w:rPr>
                <w:noProof/>
              </w:rPr>
            </w:pPr>
            <w:r>
              <w:rPr>
                <w:noProof/>
              </w:rPr>
              <w:t xml:space="preserve">Megállapodás jóváhagyása a helyi hatóságok támogatására irányuló, az építési kapacitásra vonatkozó cselekvési terv </w:t>
            </w:r>
            <w:r>
              <w:rPr>
                <w:noProof/>
              </w:rPr>
              <w:t>kidolgozására vonatkozóan</w:t>
            </w:r>
          </w:p>
        </w:tc>
        <w:tc>
          <w:tcPr>
            <w:tcW w:w="1843" w:type="dxa"/>
            <w:tcBorders>
              <w:top w:val="single" w:sz="4" w:space="0" w:color="auto"/>
              <w:left w:val="nil"/>
              <w:bottom w:val="single" w:sz="4" w:space="0" w:color="auto"/>
              <w:right w:val="single" w:sz="4" w:space="0" w:color="auto"/>
            </w:tcBorders>
            <w:shd w:val="clear" w:color="auto" w:fill="C6EFCE"/>
            <w:noWrap/>
            <w:vAlign w:val="center"/>
            <w:hideMark/>
          </w:tcPr>
          <w:p w14:paraId="34E86E46" w14:textId="77777777" w:rsidR="003F5418" w:rsidRDefault="002A6C25">
            <w:pPr>
              <w:pStyle w:val="P68B1DB1-Normal4"/>
              <w:spacing w:line="276" w:lineRule="auto"/>
              <w:jc w:val="center"/>
              <w:rPr>
                <w:noProof/>
              </w:rPr>
            </w:pPr>
            <w:r>
              <w:rPr>
                <w:noProof/>
              </w:rPr>
              <w:t>A jóváhagyott megállapodás közzététele a minisztérium honlapján</w:t>
            </w:r>
          </w:p>
        </w:tc>
        <w:tc>
          <w:tcPr>
            <w:tcW w:w="1180" w:type="dxa"/>
            <w:tcBorders>
              <w:top w:val="single" w:sz="4" w:space="0" w:color="auto"/>
              <w:left w:val="nil"/>
              <w:bottom w:val="single" w:sz="4" w:space="0" w:color="auto"/>
              <w:right w:val="single" w:sz="4" w:space="0" w:color="auto"/>
            </w:tcBorders>
            <w:shd w:val="clear" w:color="auto" w:fill="C6EFCE"/>
            <w:noWrap/>
            <w:vAlign w:val="center"/>
            <w:hideMark/>
          </w:tcPr>
          <w:p w14:paraId="53DB5223" w14:textId="77777777" w:rsidR="003F5418" w:rsidRDefault="002A6C25">
            <w:pPr>
              <w:pStyle w:val="P68B1DB1-Normal4"/>
              <w:spacing w:line="276" w:lineRule="auto"/>
              <w:jc w:val="center"/>
              <w:rPr>
                <w:noProof/>
              </w:rPr>
            </w:pPr>
            <w:r>
              <w:rPr>
                <w:noProof/>
              </w:rPr>
              <w:t>NINCS</w:t>
            </w:r>
          </w:p>
        </w:tc>
        <w:tc>
          <w:tcPr>
            <w:tcW w:w="1159" w:type="dxa"/>
            <w:tcBorders>
              <w:top w:val="single" w:sz="4" w:space="0" w:color="auto"/>
              <w:left w:val="nil"/>
              <w:bottom w:val="single" w:sz="4" w:space="0" w:color="auto"/>
              <w:right w:val="single" w:sz="4" w:space="0" w:color="auto"/>
            </w:tcBorders>
            <w:shd w:val="clear" w:color="auto" w:fill="C6EFCE"/>
            <w:noWrap/>
            <w:vAlign w:val="center"/>
            <w:hideMark/>
          </w:tcPr>
          <w:p w14:paraId="1FEAF956" w14:textId="77777777" w:rsidR="003F5418" w:rsidRDefault="002A6C25">
            <w:pPr>
              <w:pStyle w:val="P68B1DB1-Normal4"/>
              <w:spacing w:line="276" w:lineRule="auto"/>
              <w:jc w:val="center"/>
              <w:rPr>
                <w:noProof/>
              </w:rPr>
            </w:pPr>
            <w:r>
              <w:rPr>
                <w:noProof/>
              </w:rPr>
              <w:t>NINCS</w:t>
            </w:r>
          </w:p>
        </w:tc>
        <w:tc>
          <w:tcPr>
            <w:tcW w:w="1347" w:type="dxa"/>
            <w:tcBorders>
              <w:top w:val="single" w:sz="4" w:space="0" w:color="auto"/>
              <w:left w:val="nil"/>
              <w:bottom w:val="single" w:sz="4" w:space="0" w:color="auto"/>
              <w:right w:val="single" w:sz="4" w:space="0" w:color="auto"/>
            </w:tcBorders>
            <w:shd w:val="clear" w:color="auto" w:fill="C6EFCE"/>
            <w:noWrap/>
            <w:vAlign w:val="center"/>
            <w:hideMark/>
          </w:tcPr>
          <w:p w14:paraId="146C0BF2" w14:textId="77777777" w:rsidR="003F5418" w:rsidRDefault="002A6C25">
            <w:pPr>
              <w:pStyle w:val="P68B1DB1-Normal4"/>
              <w:spacing w:line="276" w:lineRule="auto"/>
              <w:jc w:val="center"/>
              <w:rPr>
                <w:noProof/>
              </w:rPr>
            </w:pPr>
            <w:r>
              <w:rPr>
                <w:noProof/>
              </w:rPr>
              <w:t>NINCS</w:t>
            </w:r>
          </w:p>
        </w:tc>
        <w:tc>
          <w:tcPr>
            <w:tcW w:w="992" w:type="dxa"/>
            <w:tcBorders>
              <w:top w:val="single" w:sz="4" w:space="0" w:color="auto"/>
              <w:left w:val="nil"/>
              <w:bottom w:val="single" w:sz="4" w:space="0" w:color="auto"/>
              <w:right w:val="single" w:sz="4" w:space="0" w:color="auto"/>
            </w:tcBorders>
            <w:shd w:val="clear" w:color="auto" w:fill="C6EFCE"/>
            <w:noWrap/>
            <w:vAlign w:val="center"/>
            <w:hideMark/>
          </w:tcPr>
          <w:p w14:paraId="10130322"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hideMark/>
          </w:tcPr>
          <w:p w14:paraId="446BD604" w14:textId="77777777" w:rsidR="003F5418" w:rsidRDefault="002A6C25">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hideMark/>
          </w:tcPr>
          <w:p w14:paraId="77FE26CD" w14:textId="77777777" w:rsidR="003F5418" w:rsidRDefault="002A6C25">
            <w:pPr>
              <w:pStyle w:val="P68B1DB1-Normal4"/>
              <w:spacing w:before="120" w:after="120" w:line="276" w:lineRule="auto"/>
              <w:rPr>
                <w:noProof/>
              </w:rPr>
            </w:pPr>
            <w:r>
              <w:rPr>
                <w:noProof/>
              </w:rPr>
              <w:t>Jóvá kell hagyni a zöld közbeszerzés (GPP) keretében a törvényben (a közbeszerzésről szóló 50/2016. sz. törvényerejű rendelet) meghatározott</w:t>
            </w:r>
            <w:r>
              <w:rPr>
                <w:noProof/>
              </w:rPr>
              <w:t xml:space="preserve"> minimális környezetvédelmi kritériumok (CAM) közbeszerzési eljárásokon belüli végrehajtásában és a támogatási intézkedés megkezdésében a helyi hatóságokat támogató kapacitásépítési cselekvési terv kidolgozására vonatkozó megállapodást.</w:t>
            </w:r>
          </w:p>
          <w:p w14:paraId="6C236E05" w14:textId="77777777" w:rsidR="003F5418" w:rsidRDefault="002A6C25">
            <w:pPr>
              <w:pStyle w:val="P68B1DB1-Normal4"/>
              <w:suppressAutoHyphens/>
              <w:spacing w:line="276" w:lineRule="auto"/>
              <w:rPr>
                <w:noProof/>
              </w:rPr>
            </w:pPr>
            <w:r>
              <w:rPr>
                <w:noProof/>
              </w:rPr>
              <w:t>A helyi önkormányza</w:t>
            </w:r>
            <w:r>
              <w:rPr>
                <w:noProof/>
              </w:rPr>
              <w:t>toknak (régiók, tartományok és települések) nyújtott technikai támogatást a kormány (ökológiai átállásért felelős minisztérium, Gazdaságfejlesztési Minisztérium és egyéb releváns) biztosítja a házon belüli vállalatokon keresztül. A technikai támogatás a kö</w:t>
            </w:r>
            <w:r>
              <w:rPr>
                <w:noProof/>
              </w:rPr>
              <w:t>vetkezőkre terjed ki:</w:t>
            </w:r>
          </w:p>
          <w:p w14:paraId="2640B738" w14:textId="77777777" w:rsidR="003F5418" w:rsidRDefault="002A6C25">
            <w:pPr>
              <w:pStyle w:val="P68B1DB1-Normal4"/>
              <w:numPr>
                <w:ilvl w:val="0"/>
                <w:numId w:val="58"/>
              </w:numPr>
              <w:suppressAutoHyphens/>
              <w:spacing w:before="120" w:line="276" w:lineRule="auto"/>
              <w:ind w:left="340" w:hanging="284"/>
              <w:contextualSpacing/>
              <w:rPr>
                <w:noProof/>
              </w:rPr>
            </w:pPr>
            <w:r>
              <w:rPr>
                <w:noProof/>
              </w:rPr>
              <w:t>technikai segítségnyújtás az uniós és nemzeti környezetvédelmi szabályozás végrehajtásához;</w:t>
            </w:r>
          </w:p>
          <w:p w14:paraId="1BC1AD7F" w14:textId="77777777" w:rsidR="003F5418" w:rsidRDefault="002A6C25">
            <w:pPr>
              <w:pStyle w:val="P68B1DB1-Normal4"/>
              <w:numPr>
                <w:ilvl w:val="0"/>
                <w:numId w:val="58"/>
              </w:numPr>
              <w:suppressAutoHyphens/>
              <w:spacing w:before="120" w:line="276" w:lineRule="auto"/>
              <w:ind w:left="340" w:hanging="284"/>
              <w:contextualSpacing/>
              <w:rPr>
                <w:noProof/>
              </w:rPr>
            </w:pPr>
            <w:r>
              <w:rPr>
                <w:noProof/>
              </w:rPr>
              <w:t>hulladékgazdálkodási tervek és projektek kidolgozásának támogatása;</w:t>
            </w:r>
          </w:p>
          <w:p w14:paraId="7029A5EB" w14:textId="77777777" w:rsidR="003F5418" w:rsidRDefault="002A6C25">
            <w:pPr>
              <w:pStyle w:val="P68B1DB1-Normal4"/>
              <w:numPr>
                <w:ilvl w:val="0"/>
                <w:numId w:val="58"/>
              </w:numPr>
              <w:suppressAutoHyphens/>
              <w:spacing w:before="120" w:line="276" w:lineRule="auto"/>
              <w:ind w:left="340" w:hanging="284"/>
              <w:contextualSpacing/>
              <w:rPr>
                <w:noProof/>
              </w:rPr>
            </w:pPr>
            <w:r>
              <w:rPr>
                <w:noProof/>
              </w:rPr>
              <w:t>a közbeszerzési eljárások támogatása, többek között annak biztosítása érde</w:t>
            </w:r>
            <w:r>
              <w:rPr>
                <w:noProof/>
              </w:rPr>
              <w:t>kében, hogy a hulladékgazdálkodási koncessziók odaítélése átlátható és megkülönböztetésmentes módon történjen, növelve a versenyfolyamatokat a közszolgáltatások jobb színvonalának elérése érdekében.</w:t>
            </w:r>
          </w:p>
          <w:p w14:paraId="08CF1ED6" w14:textId="77777777" w:rsidR="003F5418" w:rsidRDefault="003F5418">
            <w:pPr>
              <w:suppressAutoHyphens/>
              <w:spacing w:line="276" w:lineRule="auto"/>
              <w:rPr>
                <w:rFonts w:ascii="Arial Narrow" w:hAnsi="Arial Narrow"/>
                <w:noProof/>
                <w:color w:val="006100"/>
                <w:sz w:val="20"/>
              </w:rPr>
            </w:pPr>
          </w:p>
          <w:p w14:paraId="0CDEB1F7" w14:textId="77777777" w:rsidR="003F5418" w:rsidRDefault="002A6C25">
            <w:pPr>
              <w:pStyle w:val="P68B1DB1-Normal4"/>
              <w:suppressAutoHyphens/>
              <w:spacing w:line="276" w:lineRule="auto"/>
              <w:rPr>
                <w:noProof/>
              </w:rPr>
            </w:pPr>
            <w:r>
              <w:rPr>
                <w:noProof/>
              </w:rPr>
              <w:t>Az ökológiai átállásért felelős minisztérium egyedi kapa</w:t>
            </w:r>
            <w:r>
              <w:rPr>
                <w:noProof/>
              </w:rPr>
              <w:t>citásépítési cselekvési tervet dolgoz ki annak érdekében, hogy támogassa a helyi hatóságokat és a hivatásos közbeszerzőket a zöld közbeszerzés (GPP) keretében a törvényben (a közbeszerzésről szóló 50/2016. sz. törvényerejű rendelet) meghatározott minimális</w:t>
            </w:r>
            <w:r>
              <w:rPr>
                <w:noProof/>
              </w:rPr>
              <w:t xml:space="preserve"> környezetvédelmi kritériumoknak (CAM) a közbeszerzési eljárásokban való alkalmazásában.</w:t>
            </w:r>
          </w:p>
        </w:tc>
      </w:tr>
      <w:tr w:rsidR="003F5418" w14:paraId="2666D0A8"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09A8E00" w14:textId="77777777" w:rsidR="003F5418" w:rsidRDefault="002A6C25">
            <w:pPr>
              <w:pStyle w:val="P68B1DB1-Normal4"/>
              <w:spacing w:line="276" w:lineRule="auto"/>
              <w:jc w:val="center"/>
              <w:rPr>
                <w:noProof/>
              </w:rPr>
            </w:pPr>
            <w:r>
              <w:rPr>
                <w:noProof/>
              </w:rPr>
              <w:t>M2C1–3</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44685F1" w14:textId="77777777" w:rsidR="003F5418" w:rsidRDefault="002A6C25">
            <w:pPr>
              <w:pStyle w:val="P68B1DB1-Normal4"/>
              <w:spacing w:line="276" w:lineRule="auto"/>
              <w:jc w:val="center"/>
              <w:rPr>
                <w:noProof/>
              </w:rPr>
            </w:pPr>
            <w:r>
              <w:rPr>
                <w:noProof/>
              </w:rPr>
              <w:t>Beruházás: Az agrár-élelmiszeripari, halászati és akvakultúra-ágazat, az erdészet, a virágkertészet és a növényiskolák logisztikai terve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08D56C6" w14:textId="77777777" w:rsidR="003F5418" w:rsidRDefault="002A6C25">
            <w:pPr>
              <w:pStyle w:val="P68B1DB1-Normal4"/>
              <w:spacing w:line="276" w:lineRule="auto"/>
              <w:jc w:val="center"/>
              <w:rPr>
                <w:noProof/>
              </w:rPr>
            </w:pPr>
            <w:r>
              <w:rPr>
                <w:noProof/>
              </w:rPr>
              <w:t>Mérföldkő</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46DD3E" w14:textId="77777777" w:rsidR="003F5418" w:rsidRDefault="002A6C25">
            <w:pPr>
              <w:pStyle w:val="P68B1DB1-Normal4"/>
              <w:spacing w:line="276" w:lineRule="auto"/>
              <w:jc w:val="center"/>
              <w:rPr>
                <w:noProof/>
              </w:rPr>
            </w:pPr>
            <w:r>
              <w:rPr>
                <w:noProof/>
              </w:rPr>
              <w:t xml:space="preserve">A </w:t>
            </w:r>
            <w:r>
              <w:rPr>
                <w:noProof/>
              </w:rPr>
              <w:t>logisztikai ösztönzőrendszer végső rangsorolásának közzététele</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EA28245" w14:textId="77777777" w:rsidR="003F5418" w:rsidRDefault="002A6C25">
            <w:pPr>
              <w:pStyle w:val="P68B1DB1-Normal4"/>
              <w:spacing w:line="276" w:lineRule="auto"/>
              <w:jc w:val="center"/>
              <w:rPr>
                <w:noProof/>
              </w:rPr>
            </w:pPr>
            <w:r>
              <w:rPr>
                <w:noProof/>
              </w:rPr>
              <w:t>Közzététel a minisztérium vagy bármely más támogató csatorna honlapján</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B6C5661" w14:textId="77777777" w:rsidR="003F5418" w:rsidRDefault="002A6C25">
            <w:pPr>
              <w:pStyle w:val="P68B1DB1-Normal4"/>
              <w:spacing w:line="276" w:lineRule="auto"/>
              <w:jc w:val="center"/>
              <w:rPr>
                <w:noProof/>
              </w:rPr>
            </w:pPr>
            <w:r>
              <w:rPr>
                <w:noProof/>
              </w:rPr>
              <w:t>NINCS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563A7B63" w14:textId="77777777" w:rsidR="003F5418" w:rsidRDefault="002A6C25">
            <w:pPr>
              <w:pStyle w:val="P68B1DB1-Normal4"/>
              <w:spacing w:line="276" w:lineRule="auto"/>
              <w:jc w:val="center"/>
              <w:rPr>
                <w:noProof/>
              </w:rPr>
            </w:pPr>
            <w:r>
              <w:rPr>
                <w:noProof/>
              </w:rPr>
              <w:t>NINCS</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C9C6EFE" w14:textId="77777777" w:rsidR="003F5418" w:rsidRDefault="002A6C25">
            <w:pPr>
              <w:pStyle w:val="P68B1DB1-Normal4"/>
              <w:spacing w:line="276" w:lineRule="auto"/>
              <w:jc w:val="center"/>
              <w:rPr>
                <w:noProof/>
              </w:rPr>
            </w:pPr>
            <w:r>
              <w:rPr>
                <w:noProof/>
              </w:rPr>
              <w:t>NINCS</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85ABA93" w14:textId="77777777" w:rsidR="003F5418" w:rsidRDefault="002A6C25">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0BB46B01" w14:textId="77777777" w:rsidR="003F5418" w:rsidRDefault="002A6C25">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379B16C" w14:textId="77777777" w:rsidR="003F5418" w:rsidRDefault="002A6C25">
            <w:pPr>
              <w:pStyle w:val="P68B1DB1-Normal4"/>
              <w:spacing w:line="276" w:lineRule="auto"/>
              <w:rPr>
                <w:noProof/>
              </w:rPr>
            </w:pPr>
            <w:r>
              <w:rPr>
                <w:noProof/>
              </w:rPr>
              <w:t>A végső rangsort a jóváhagyó rendelet határozza meg.</w:t>
            </w:r>
          </w:p>
          <w:p w14:paraId="0E984E95" w14:textId="77777777" w:rsidR="003F5418" w:rsidRDefault="003F5418">
            <w:pPr>
              <w:spacing w:line="276" w:lineRule="auto"/>
              <w:rPr>
                <w:rFonts w:ascii="Arial Narrow" w:hAnsi="Arial Narrow"/>
                <w:noProof/>
                <w:color w:val="006100"/>
                <w:sz w:val="20"/>
              </w:rPr>
            </w:pPr>
          </w:p>
          <w:p w14:paraId="040B7583" w14:textId="77777777" w:rsidR="003F5418" w:rsidRDefault="002A6C25">
            <w:pPr>
              <w:pStyle w:val="P68B1DB1-paragraph18"/>
              <w:spacing w:before="0" w:beforeAutospacing="0" w:after="0" w:afterAutospacing="0" w:line="276" w:lineRule="auto"/>
              <w:textAlignment w:val="baseline"/>
              <w:rPr>
                <w:noProof/>
              </w:rPr>
            </w:pPr>
            <w:r>
              <w:rPr>
                <w:noProof/>
              </w:rPr>
              <w:t xml:space="preserve">A logisztikai ösztönző rendszer a </w:t>
            </w:r>
            <w:r>
              <w:rPr>
                <w:noProof/>
              </w:rPr>
              <w:t>következőket tartalmazza:</w:t>
            </w:r>
          </w:p>
          <w:p w14:paraId="46A7CBBA" w14:textId="77777777" w:rsidR="003F5418" w:rsidRDefault="002A6C25">
            <w:pPr>
              <w:pStyle w:val="P68B1DB1-paragraph18"/>
              <w:spacing w:before="0" w:beforeAutospacing="0" w:after="0" w:afterAutospacing="0" w:line="276" w:lineRule="auto"/>
              <w:textAlignment w:val="baseline"/>
              <w:rPr>
                <w:noProof/>
              </w:rPr>
            </w:pPr>
            <w:r>
              <w:rPr>
                <w:noProof/>
              </w:rPr>
              <w:t>a) támogathatósági kritériumok, amelyek egy kizárási lista, valamint a vonatkozó uniós és nemzeti környezetvédelmi jogszabályoknak való megfelelés követelménye révén biztosítják, hogy a kiválasztott projektek megfeleljenek a jelen</w:t>
            </w:r>
            <w:r>
              <w:rPr>
                <w:noProof/>
              </w:rPr>
              <w:t>tős károkozás elkerülését célzó technikai iránymutatásnak (2021/C58/01).</w:t>
            </w:r>
          </w:p>
          <w:p w14:paraId="2E3F6DB2" w14:textId="77777777" w:rsidR="003F5418" w:rsidRDefault="002A6C25">
            <w:pPr>
              <w:pStyle w:val="P68B1DB1-paragraph18"/>
              <w:spacing w:before="0" w:beforeAutospacing="0" w:after="0" w:afterAutospacing="0" w:line="276" w:lineRule="auto"/>
              <w:textAlignment w:val="baseline"/>
              <w:rPr>
                <w:noProof/>
              </w:rPr>
            </w:pPr>
            <w:r>
              <w:rPr>
                <w:noProof/>
              </w:rPr>
              <w:t>b) Kötelezettségvállalás arra, hogy a beruházás éghajlat-politikai hozzájárulása az (EU) 2021/241 rendelet VI. mellékletében szereplő módszertan szerint a Helyreállítási és Rezilienci</w:t>
            </w:r>
            <w:r>
              <w:rPr>
                <w:noProof/>
              </w:rPr>
              <w:t>aépítési Eszközből támogatott beruházás összköltségének legalább 32%-át teszi ki.</w:t>
            </w:r>
          </w:p>
          <w:p w14:paraId="5260184F" w14:textId="77777777" w:rsidR="003F5418" w:rsidRDefault="002A6C25">
            <w:pPr>
              <w:pStyle w:val="P68B1DB1-Normal4"/>
              <w:spacing w:line="276" w:lineRule="auto"/>
              <w:rPr>
                <w:noProof/>
              </w:rPr>
            </w:pPr>
            <w:r>
              <w:rPr>
                <w:noProof/>
              </w:rPr>
              <w:t>C) Kötelezettségvállalás arra, hogy a beruházásnak az (EU) 2021/241 rendelet VII. mellékletében szereplő módszertan szerinti digitális hozzájárulása a Helyreállítási és Rezil</w:t>
            </w:r>
            <w:r>
              <w:rPr>
                <w:noProof/>
              </w:rPr>
              <w:t>ienciaépítési Eszközből támogatott beruházás összköltségének legalább 27%-át teszi ki.</w:t>
            </w:r>
          </w:p>
          <w:p w14:paraId="4B9175F3" w14:textId="77777777" w:rsidR="003F5418" w:rsidRDefault="002A6C25">
            <w:pPr>
              <w:pStyle w:val="P68B1DB1-Normal4"/>
              <w:spacing w:line="276" w:lineRule="auto"/>
              <w:rPr>
                <w:noProof/>
              </w:rPr>
            </w:pPr>
            <w:r>
              <w:rPr>
                <w:noProof/>
              </w:rPr>
              <w:t>d) Kötelezettségvállalás arra, hogy jelentést tesznek az intézkedés végrehajtásáról a program időtartamának félidejében és a program végén.</w:t>
            </w:r>
          </w:p>
        </w:tc>
      </w:tr>
      <w:tr w:rsidR="003F5418" w14:paraId="03A98390"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15F8DA7" w14:textId="77777777" w:rsidR="003F5418" w:rsidRDefault="002A6C25">
            <w:pPr>
              <w:pStyle w:val="P68B1DB1-Normal4"/>
              <w:spacing w:line="276" w:lineRule="auto"/>
              <w:jc w:val="center"/>
              <w:rPr>
                <w:noProof/>
              </w:rPr>
            </w:pPr>
            <w:r>
              <w:rPr>
                <w:noProof/>
              </w:rPr>
              <w:t>M2C1–4</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9CA2A97" w14:textId="77777777" w:rsidR="003F5418" w:rsidRDefault="002A6C25">
            <w:pPr>
              <w:pStyle w:val="P68B1DB1-Normal4"/>
              <w:spacing w:line="276" w:lineRule="auto"/>
              <w:jc w:val="center"/>
              <w:rPr>
                <w:noProof/>
              </w:rPr>
            </w:pPr>
            <w:r>
              <w:rPr>
                <w:noProof/>
              </w:rPr>
              <w:t xml:space="preserve">Beruházás: </w:t>
            </w:r>
            <w:r>
              <w:rPr>
                <w:noProof/>
              </w:rPr>
              <w:t>Agrár-soláris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BD0C46A"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30BDD04" w14:textId="77777777" w:rsidR="003F5418" w:rsidRDefault="002A6C25">
            <w:pPr>
              <w:pStyle w:val="P68B1DB1-Normal4"/>
              <w:spacing w:line="276" w:lineRule="auto"/>
              <w:jc w:val="center"/>
              <w:rPr>
                <w:noProof/>
              </w:rPr>
            </w:pPr>
            <w:r>
              <w:rPr>
                <w:noProof/>
              </w:rPr>
              <w:t>A források kedvezményezettek közötti elosztása a beruházáshoz rendelt összes pénzügyi forrás %-ában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AB960"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47163FF6" w14:textId="77777777" w:rsidR="003F5418" w:rsidRDefault="002A6C25">
            <w:pPr>
              <w:pStyle w:val="P68B1DB1-Normal4"/>
              <w:spacing w:line="276" w:lineRule="auto"/>
              <w:jc w:val="center"/>
              <w:rPr>
                <w:noProof/>
              </w:rPr>
            </w:pPr>
            <w:r>
              <w:rPr>
                <w:noProof/>
              </w:rPr>
              <w:t>Százalék</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BA0A106" w14:textId="77777777" w:rsidR="003F5418" w:rsidRDefault="002A6C25">
            <w:pPr>
              <w:pStyle w:val="P68B1DB1-Normal4"/>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C4E4929" w14:textId="77777777" w:rsidR="003F5418" w:rsidRDefault="002A6C25">
            <w:pPr>
              <w:pStyle w:val="P68B1DB1-Normal4"/>
              <w:spacing w:line="276" w:lineRule="auto"/>
              <w:jc w:val="center"/>
              <w:rPr>
                <w:noProof/>
              </w:rPr>
            </w:pPr>
            <w:r>
              <w:rPr>
                <w:noProof/>
              </w:rPr>
              <w:t>30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259658B" w14:textId="77777777" w:rsidR="003F5418" w:rsidRDefault="002A6C25">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A992916" w14:textId="77777777" w:rsidR="003F5418" w:rsidRDefault="002A6C25">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20CA158D" w14:textId="77777777" w:rsidR="003F5418" w:rsidRDefault="002A6C25">
            <w:pPr>
              <w:pStyle w:val="P68B1DB1-Normal4"/>
              <w:spacing w:line="276" w:lineRule="auto"/>
              <w:rPr>
                <w:noProof/>
              </w:rPr>
            </w:pPr>
            <w:r>
              <w:rPr>
                <w:noProof/>
              </w:rPr>
              <w:t xml:space="preserve">Azon kedvezményezett projektek azonosítása, amelyek összértéke a beruházáshoz rendelt összes pénzügyi </w:t>
            </w:r>
            <w:r>
              <w:rPr>
                <w:noProof/>
              </w:rPr>
              <w:t>forrás legalább 30%-át teszi ki. A beruházást két különböző, már létező eljárás keretében kell végrehajtani, és refinanszírozni kell. Ezek az eljárások a követelményeket teljesítő és a kérelmet benyújtó vállalatoknak nyújtott hitelek folyósításáról rendelk</w:t>
            </w:r>
            <w:r>
              <w:rPr>
                <w:noProof/>
              </w:rPr>
              <w:t>eznek.</w:t>
            </w:r>
          </w:p>
        </w:tc>
      </w:tr>
      <w:tr w:rsidR="003F5418" w14:paraId="58A8C66E"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928EDC7" w14:textId="77777777" w:rsidR="003F5418" w:rsidRDefault="002A6C25">
            <w:pPr>
              <w:pStyle w:val="P68B1DB1-Normal4"/>
              <w:spacing w:line="276" w:lineRule="auto"/>
              <w:jc w:val="center"/>
              <w:rPr>
                <w:noProof/>
              </w:rPr>
            </w:pPr>
            <w:r>
              <w:rPr>
                <w:noProof/>
              </w:rPr>
              <w:t>M2C1–5</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36A330" w14:textId="77777777" w:rsidR="003F5418" w:rsidRDefault="002A6C25">
            <w:pPr>
              <w:pStyle w:val="P68B1DB1-Normal4"/>
              <w:spacing w:line="276" w:lineRule="auto"/>
              <w:jc w:val="center"/>
              <w:rPr>
                <w:noProof/>
              </w:rPr>
            </w:pPr>
            <w:r>
              <w:rPr>
                <w:noProof/>
              </w:rPr>
              <w:t>Beruházás: Agrár-soláris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51F559C"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40E19" w14:textId="77777777" w:rsidR="003F5418" w:rsidRDefault="002A6C25">
            <w:pPr>
              <w:pStyle w:val="P68B1DB1-Normal4"/>
              <w:spacing w:line="276" w:lineRule="auto"/>
              <w:jc w:val="center"/>
              <w:rPr>
                <w:noProof/>
              </w:rPr>
            </w:pPr>
            <w:r>
              <w:rPr>
                <w:noProof/>
              </w:rPr>
              <w:t>A források kedvezményezettek közötti elosztása a beruházáshoz rendelt összes pénzügyi forrás %-ában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783DB968"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2FED35F" w14:textId="77777777" w:rsidR="003F5418" w:rsidRDefault="002A6C25">
            <w:pPr>
              <w:pStyle w:val="P68B1DB1-Normal4"/>
              <w:spacing w:line="276" w:lineRule="auto"/>
              <w:jc w:val="center"/>
              <w:rPr>
                <w:noProof/>
              </w:rPr>
            </w:pPr>
            <w:r>
              <w:rPr>
                <w:noProof/>
              </w:rPr>
              <w:t>Százalék</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4FFE8CF" w14:textId="77777777" w:rsidR="003F5418" w:rsidRDefault="002A6C25">
            <w:pPr>
              <w:pStyle w:val="P68B1DB1-Normal4"/>
              <w:spacing w:line="276" w:lineRule="auto"/>
              <w:jc w:val="center"/>
              <w:rPr>
                <w:noProof/>
              </w:rPr>
            </w:pPr>
            <w:r>
              <w:rPr>
                <w:noProof/>
              </w:rPr>
              <w:t>19</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58932C6F" w14:textId="77777777" w:rsidR="003F5418" w:rsidRDefault="002A6C25">
            <w:pPr>
              <w:pStyle w:val="P68B1DB1-Normal4"/>
              <w:spacing w:line="276" w:lineRule="auto"/>
              <w:jc w:val="center"/>
              <w:rPr>
                <w:noProof/>
              </w:rPr>
            </w:pPr>
            <w:r>
              <w:rPr>
                <w:noProof/>
              </w:rPr>
              <w:t>32</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211C72FF" w14:textId="77777777" w:rsidR="003F5418" w:rsidRDefault="002A6C25">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B745DDA" w14:textId="77777777" w:rsidR="003F5418" w:rsidRDefault="002A6C25">
            <w:pPr>
              <w:pStyle w:val="P68B1DB1-Normal4"/>
              <w:spacing w:line="276" w:lineRule="auto"/>
              <w:jc w:val="center"/>
              <w:rPr>
                <w:noProof/>
              </w:rPr>
            </w:pPr>
            <w:r>
              <w:rPr>
                <w:noProof/>
              </w:rPr>
              <w:t>2023</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A415D66" w14:textId="77777777" w:rsidR="003F5418" w:rsidRDefault="002A6C25">
            <w:pPr>
              <w:pStyle w:val="P68B1DB1-Normal4"/>
              <w:spacing w:line="276" w:lineRule="auto"/>
              <w:rPr>
                <w:noProof/>
              </w:rPr>
            </w:pPr>
            <w:r>
              <w:rPr>
                <w:noProof/>
              </w:rPr>
              <w:t>Meg kell határozni azokat a kedvezményezett projekteket, amelyek összértéke a beruházáshoz rendelt összes pénzügyi forrás legalább 32%-át teszi ki. Az odaítélési eljárás előírja, hogy a követelményeket teljesítő és a pályázatot benyújtó vállalatoknak vissz</w:t>
            </w:r>
            <w:r>
              <w:rPr>
                <w:noProof/>
              </w:rPr>
              <w:t>a nem térítendő támogatásokat vagy egyéb ösztönzőket kell folyósítani.</w:t>
            </w:r>
          </w:p>
        </w:tc>
      </w:tr>
      <w:tr w:rsidR="003F5418" w14:paraId="2081E0E6"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D14286" w14:textId="77777777" w:rsidR="003F5418" w:rsidRDefault="002A6C25">
            <w:pPr>
              <w:pStyle w:val="P68B1DB1-Normal4"/>
              <w:spacing w:line="276" w:lineRule="auto"/>
              <w:jc w:val="center"/>
              <w:rPr>
                <w:noProof/>
              </w:rPr>
            </w:pPr>
            <w:r>
              <w:rPr>
                <w:noProof/>
              </w:rPr>
              <w:t>M2C1–6</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FF20358" w14:textId="77777777" w:rsidR="003F5418" w:rsidRDefault="002A6C25">
            <w:pPr>
              <w:pStyle w:val="P68B1DB1-Normal4"/>
              <w:spacing w:line="276" w:lineRule="auto"/>
              <w:jc w:val="center"/>
              <w:rPr>
                <w:noProof/>
              </w:rPr>
            </w:pPr>
            <w:r>
              <w:rPr>
                <w:noProof/>
              </w:rPr>
              <w:t>Beruházás: Agrár-soláris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27719B1"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E216328" w14:textId="77777777" w:rsidR="003F5418" w:rsidRDefault="002A6C25">
            <w:pPr>
              <w:pStyle w:val="P68B1DB1-Normal4"/>
              <w:spacing w:line="276" w:lineRule="auto"/>
              <w:jc w:val="center"/>
              <w:rPr>
                <w:noProof/>
              </w:rPr>
            </w:pPr>
            <w:r>
              <w:rPr>
                <w:noProof/>
              </w:rPr>
              <w:t>A források kedvezményezettek közötti elosztása a beruházáshoz rendelt összes pénzügyi forrás %-ában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11E5D6CB"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96DD488" w14:textId="77777777" w:rsidR="003F5418" w:rsidRDefault="002A6C25">
            <w:pPr>
              <w:pStyle w:val="P68B1DB1-Normal4"/>
              <w:spacing w:line="276" w:lineRule="auto"/>
              <w:jc w:val="center"/>
              <w:rPr>
                <w:noProof/>
              </w:rPr>
            </w:pPr>
            <w:r>
              <w:rPr>
                <w:noProof/>
              </w:rPr>
              <w:t>Százalék</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457F3461" w14:textId="77777777" w:rsidR="003F5418" w:rsidRDefault="002A6C25">
            <w:pPr>
              <w:pStyle w:val="P68B1DB1-Normal4"/>
              <w:spacing w:line="276" w:lineRule="auto"/>
              <w:jc w:val="center"/>
              <w:rPr>
                <w:noProof/>
              </w:rPr>
            </w:pPr>
            <w:r>
              <w:rPr>
                <w:noProof/>
              </w:rPr>
              <w:t>32</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C095850" w14:textId="77777777" w:rsidR="003F5418" w:rsidRDefault="002A6C25">
            <w:pPr>
              <w:pStyle w:val="P68B1DB1-Normal4"/>
              <w:spacing w:line="276" w:lineRule="auto"/>
              <w:jc w:val="center"/>
              <w:rPr>
                <w:noProof/>
              </w:rPr>
            </w:pPr>
            <w:r>
              <w:rPr>
                <w:noProof/>
              </w:rPr>
              <w:t>63.5</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4D8DBE31"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1C6426E" w14:textId="77777777" w:rsidR="003F5418" w:rsidRDefault="002A6C25">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3DEF4DA1" w14:textId="77777777" w:rsidR="003F5418" w:rsidRDefault="002A6C25">
            <w:pPr>
              <w:pStyle w:val="P68B1DB1-Normal4"/>
              <w:spacing w:line="276" w:lineRule="auto"/>
              <w:rPr>
                <w:noProof/>
              </w:rPr>
            </w:pPr>
            <w:r>
              <w:rPr>
                <w:noProof/>
              </w:rPr>
              <w:t>Azon kedvezményezett projektek azonosítása, amelyek összértéke a beruházáshoz rendelt összes pénzügyi forrás legalább 63,5%-át teszi ki.  Az odaítélési eljárásnak rendelkeznie kell arról, hogy a követelményeket teljesítő és a pályázatot benyújtó vállalkozá</w:t>
            </w:r>
            <w:r>
              <w:rPr>
                <w:noProof/>
              </w:rPr>
              <w:t>soknak vissza nem térítendő támogatásokat vagy egyéb ösztönzőket folyósítsanak.</w:t>
            </w:r>
          </w:p>
        </w:tc>
      </w:tr>
      <w:tr w:rsidR="003F5418" w14:paraId="0DD44793"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9D8F01" w14:textId="77777777" w:rsidR="003F5418" w:rsidRDefault="002A6C25">
            <w:pPr>
              <w:pStyle w:val="P68B1DB1-Normal4"/>
              <w:spacing w:line="276" w:lineRule="auto"/>
              <w:jc w:val="center"/>
              <w:rPr>
                <w:noProof/>
              </w:rPr>
            </w:pPr>
            <w:r>
              <w:rPr>
                <w:noProof/>
              </w:rPr>
              <w:t>M2C1–6bis</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483DCBA" w14:textId="77777777" w:rsidR="003F5418" w:rsidRDefault="002A6C25">
            <w:pPr>
              <w:pStyle w:val="P68B1DB1-Normal4"/>
              <w:spacing w:line="276" w:lineRule="auto"/>
              <w:jc w:val="center"/>
              <w:rPr>
                <w:noProof/>
              </w:rPr>
            </w:pPr>
            <w:r>
              <w:rPr>
                <w:noProof/>
              </w:rPr>
              <w:t>Beruházás: Agrár-soláris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B78A5C"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943CD82" w14:textId="77777777" w:rsidR="003F5418" w:rsidRDefault="002A6C25">
            <w:pPr>
              <w:pStyle w:val="P68B1DB1-Normal4"/>
              <w:spacing w:line="276" w:lineRule="auto"/>
              <w:jc w:val="center"/>
              <w:rPr>
                <w:noProof/>
              </w:rPr>
            </w:pPr>
            <w:r>
              <w:rPr>
                <w:noProof/>
              </w:rPr>
              <w:t>A források kedvezményezettek közötti elosztása a beruházáshoz rendelt összes pénzügyi forrás %-ában</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92F9ECA"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02EB6575" w14:textId="77777777" w:rsidR="003F5418" w:rsidRDefault="002A6C25">
            <w:pPr>
              <w:pStyle w:val="P68B1DB1-Normal4"/>
              <w:spacing w:line="276" w:lineRule="auto"/>
              <w:jc w:val="center"/>
              <w:rPr>
                <w:noProof/>
              </w:rPr>
            </w:pPr>
            <w:r>
              <w:rPr>
                <w:noProof/>
              </w:rPr>
              <w:t>Százalék</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1B9FE437" w14:textId="77777777" w:rsidR="003F5418" w:rsidRDefault="002A6C25">
            <w:pPr>
              <w:pStyle w:val="P68B1DB1-Normal4"/>
              <w:spacing w:line="276" w:lineRule="auto"/>
              <w:jc w:val="center"/>
              <w:rPr>
                <w:noProof/>
              </w:rPr>
            </w:pPr>
            <w:r>
              <w:rPr>
                <w:noProof/>
              </w:rPr>
              <w:t>63.5</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6002D9FD" w14:textId="77777777" w:rsidR="003F5418" w:rsidRDefault="002A6C25">
            <w:pPr>
              <w:pStyle w:val="P68B1DB1-Normal4"/>
              <w:spacing w:line="276" w:lineRule="auto"/>
              <w:jc w:val="center"/>
              <w:rPr>
                <w:noProof/>
              </w:rPr>
            </w:pPr>
            <w:r>
              <w:rPr>
                <w:noProof/>
              </w:rPr>
              <w:t>100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8719EBE" w14:textId="77777777" w:rsidR="003F5418" w:rsidRDefault="002A6C25">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9E3C513" w14:textId="77777777" w:rsidR="003F5418" w:rsidRDefault="002A6C25">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20C52E0" w14:textId="77777777" w:rsidR="003F5418" w:rsidRDefault="002A6C25">
            <w:pPr>
              <w:pStyle w:val="P68B1DB1-Normal4"/>
              <w:spacing w:line="276" w:lineRule="auto"/>
              <w:rPr>
                <w:noProof/>
              </w:rPr>
            </w:pPr>
            <w:r>
              <w:rPr>
                <w:noProof/>
              </w:rPr>
              <w:t>Azon kedvezményezett projektek azonosítása, amelyek összértéke eléri a beruházáshoz rendelt kiegészítő pénzügyi források legalább 100%-át. Az odaítélési eljárás előírja, hogy a követelményeket teljesítő és a pályázatot benyújtó vállalatoknak vissza nem té</w:t>
            </w:r>
            <w:r>
              <w:rPr>
                <w:noProof/>
              </w:rPr>
              <w:t>rítendő támogatásokat vagy egyéb ösztönzőket kell folyósítani.</w:t>
            </w:r>
          </w:p>
        </w:tc>
      </w:tr>
      <w:tr w:rsidR="003F5418" w14:paraId="080AFD50"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A90F8" w14:textId="77777777" w:rsidR="003F5418" w:rsidRDefault="002A6C25">
            <w:pPr>
              <w:pStyle w:val="P68B1DB1-Normal4"/>
              <w:spacing w:line="276" w:lineRule="auto"/>
              <w:jc w:val="center"/>
              <w:rPr>
                <w:noProof/>
              </w:rPr>
            </w:pPr>
            <w:r>
              <w:rPr>
                <w:noProof/>
              </w:rPr>
              <w:t>M2C1–7</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D284745" w14:textId="77777777" w:rsidR="003F5418" w:rsidRDefault="002A6C25">
            <w:pPr>
              <w:pStyle w:val="P68B1DB1-Normal4"/>
              <w:spacing w:line="276" w:lineRule="auto"/>
              <w:jc w:val="center"/>
              <w:rPr>
                <w:noProof/>
              </w:rPr>
            </w:pPr>
            <w:r>
              <w:rPr>
                <w:noProof/>
              </w:rPr>
              <w:t>Beruházás: Innováció és gépesítés a mezőgazdasági és élelmiszeripari ágazatban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42FF59"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0E4AFF02" w14:textId="77777777" w:rsidR="003F5418" w:rsidRDefault="002A6C25">
            <w:pPr>
              <w:pStyle w:val="P68B1DB1-Normal4"/>
              <w:spacing w:line="276" w:lineRule="auto"/>
              <w:jc w:val="center"/>
              <w:rPr>
                <w:noProof/>
              </w:rPr>
            </w:pPr>
            <w:r>
              <w:rPr>
                <w:noProof/>
              </w:rPr>
              <w:t>A végső rangsorok közzététele a végső kedvezményezettek azonosításával.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6E25A500"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3537D076" w14:textId="77777777" w:rsidR="003F5418" w:rsidRDefault="002A6C25">
            <w:pPr>
              <w:pStyle w:val="P68B1DB1-Normal4"/>
              <w:spacing w:line="276" w:lineRule="auto"/>
              <w:jc w:val="center"/>
              <w:rPr>
                <w:noProof/>
              </w:rPr>
            </w:pPr>
            <w:r>
              <w:rPr>
                <w:noProof/>
              </w:rPr>
              <w:t>Szám</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945023A" w14:textId="77777777" w:rsidR="003F5418" w:rsidRDefault="002A6C25">
            <w:pPr>
              <w:pStyle w:val="P68B1DB1-Normal4"/>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2773503A" w14:textId="77777777" w:rsidR="003F5418" w:rsidRDefault="002A6C25">
            <w:pPr>
              <w:pStyle w:val="P68B1DB1-Normal4"/>
              <w:spacing w:line="276" w:lineRule="auto"/>
              <w:jc w:val="center"/>
              <w:rPr>
                <w:noProof/>
              </w:rPr>
            </w:pPr>
            <w:r>
              <w:rPr>
                <w:noProof/>
              </w:rPr>
              <w:t>10 000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0DD97CCB" w14:textId="77777777" w:rsidR="003F5418" w:rsidRDefault="002A6C25">
            <w:pPr>
              <w:pStyle w:val="P68B1DB1-Normal4"/>
              <w:spacing w:line="276" w:lineRule="auto"/>
              <w:jc w:val="center"/>
              <w:rPr>
                <w:noProof/>
              </w:rPr>
            </w:pPr>
            <w:r>
              <w:rPr>
                <w:noProof/>
              </w:rPr>
              <w:t>Q4</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B95224E" w14:textId="77777777" w:rsidR="003F5418" w:rsidRDefault="002A6C25">
            <w:pPr>
              <w:pStyle w:val="P68B1DB1-Normal4"/>
              <w:spacing w:line="276" w:lineRule="auto"/>
              <w:jc w:val="center"/>
              <w:rPr>
                <w:noProof/>
              </w:rPr>
            </w:pPr>
            <w:r>
              <w:rPr>
                <w:noProof/>
              </w:rPr>
              <w:t>2024</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5351EAC5" w14:textId="614F7664" w:rsidR="003F5418" w:rsidRDefault="002A6C25">
            <w:pPr>
              <w:pStyle w:val="P68B1DB1-Normal4"/>
              <w:spacing w:line="276" w:lineRule="auto"/>
              <w:rPr>
                <w:noProof/>
              </w:rPr>
            </w:pPr>
            <w:r>
              <w:rPr>
                <w:noProof/>
              </w:rPr>
              <w:t>Legalább 10000 végső kedvezményezett azonosítása a körforgásos gazdaság és a biogazdaság innovációjára irányuló beruházások számára.</w:t>
            </w:r>
          </w:p>
          <w:p w14:paraId="08A858B8" w14:textId="77777777" w:rsidR="003F5418" w:rsidRDefault="002A6C25">
            <w:pPr>
              <w:pStyle w:val="P68B1DB1-Normal4"/>
              <w:spacing w:line="276" w:lineRule="auto"/>
              <w:rPr>
                <w:noProof/>
              </w:rPr>
            </w:pPr>
            <w:r>
              <w:rPr>
                <w:noProof/>
              </w:rPr>
              <w:t>A beruházásoknak a következők közül legalább az egyikre ki kell terjedniük:</w:t>
            </w:r>
          </w:p>
          <w:p w14:paraId="3D603375" w14:textId="77777777" w:rsidR="003F5418" w:rsidRDefault="002A6C25">
            <w:pPr>
              <w:pStyle w:val="P68B1DB1-Normal4"/>
              <w:spacing w:line="276" w:lineRule="auto"/>
              <w:rPr>
                <w:noProof/>
              </w:rPr>
            </w:pPr>
            <w:r>
              <w:rPr>
                <w:noProof/>
              </w:rPr>
              <w:t>– Több helyett</w:t>
            </w:r>
          </w:p>
          <w:p w14:paraId="2EA2D437" w14:textId="77777777" w:rsidR="003F5418" w:rsidRDefault="002A6C25">
            <w:pPr>
              <w:pStyle w:val="P68B1DB1-Normal4"/>
              <w:spacing w:line="276" w:lineRule="auto"/>
              <w:rPr>
                <w:noProof/>
              </w:rPr>
            </w:pPr>
            <w:r>
              <w:rPr>
                <w:noProof/>
              </w:rPr>
              <w:t>szennyező terepjáró járművek</w:t>
            </w:r>
          </w:p>
          <w:p w14:paraId="37B40B1C" w14:textId="77777777" w:rsidR="003F5418" w:rsidRDefault="002A6C25">
            <w:pPr>
              <w:pStyle w:val="P68B1DB1-Normal4"/>
              <w:spacing w:line="276" w:lineRule="auto"/>
              <w:rPr>
                <w:noProof/>
              </w:rPr>
            </w:pPr>
            <w:r>
              <w:rPr>
                <w:noProof/>
              </w:rPr>
              <w:t>Pre</w:t>
            </w:r>
            <w:r>
              <w:rPr>
                <w:noProof/>
              </w:rPr>
              <w:t>cíziós gazdálkodás és mezőgazdasági gépek bevezetése 4.0</w:t>
            </w:r>
          </w:p>
          <w:p w14:paraId="111B15CE" w14:textId="77777777" w:rsidR="003F5418" w:rsidRDefault="002A6C25">
            <w:pPr>
              <w:pStyle w:val="P68B1DB1-Normal4"/>
              <w:spacing w:line="276" w:lineRule="auto"/>
              <w:rPr>
                <w:noProof/>
              </w:rPr>
            </w:pPr>
            <w:r>
              <w:rPr>
                <w:noProof/>
              </w:rPr>
              <w:t>Az olajsajtoló üzemek elavultabb létesítményeinek cseréje</w:t>
            </w:r>
          </w:p>
          <w:p w14:paraId="57203123" w14:textId="77777777" w:rsidR="003F5418" w:rsidRDefault="002A6C25">
            <w:pPr>
              <w:pStyle w:val="P68B1DB1-Normal4"/>
              <w:spacing w:line="276" w:lineRule="auto"/>
              <w:rPr>
                <w:noProof/>
              </w:rPr>
            </w:pPr>
            <w:r>
              <w:rPr>
                <w:noProof/>
              </w:rPr>
              <w:t>A „Nem”-nek való megfelelés érdekében</w:t>
            </w:r>
          </w:p>
          <w:p w14:paraId="0909F97D" w14:textId="77777777" w:rsidR="003F5418" w:rsidRDefault="002A6C25">
            <w:pPr>
              <w:pStyle w:val="P68B1DB1-Normal4"/>
              <w:spacing w:line="276" w:lineRule="auto"/>
              <w:rPr>
                <w:noProof/>
              </w:rPr>
            </w:pPr>
            <w:r>
              <w:rPr>
                <w:noProof/>
              </w:rPr>
              <w:t>A jelentős visszatartás elve szerint a terepjáró járműveknek kibocsátásmentesnek kell lenniük, vagy kiz</w:t>
            </w:r>
            <w:r>
              <w:rPr>
                <w:noProof/>
              </w:rPr>
              <w:t>árólag biometánnal kell közlekedniük, amelynek meg kell felelnie az (EU) 2018/2001 irányelvben (RED II. irányelv) meghatározott kritériumoknak.</w:t>
            </w:r>
          </w:p>
          <w:p w14:paraId="5EB4E7DB" w14:textId="77777777" w:rsidR="003F5418" w:rsidRDefault="002A6C25">
            <w:pPr>
              <w:pStyle w:val="P68B1DB1-Normal4"/>
              <w:spacing w:line="276" w:lineRule="auto"/>
              <w:rPr>
                <w:noProof/>
              </w:rPr>
            </w:pPr>
            <w:r>
              <w:rPr>
                <w:noProof/>
              </w:rPr>
              <w:t xml:space="preserve">A bioüzemanyag- és biometángáz- és bioüzemanyag-gyártóknak független értékelők által kiállított tanúsítványokat </w:t>
            </w:r>
            <w:r>
              <w:rPr>
                <w:noProof/>
              </w:rPr>
              <w:t>(fenntarthatósági igazolást) kell benyújtaniuk az (EU) 2018/2001 irányelvben előírtak szerint.</w:t>
            </w:r>
          </w:p>
          <w:p w14:paraId="5D2FA648" w14:textId="77777777" w:rsidR="003F5418" w:rsidRDefault="002A6C25">
            <w:pPr>
              <w:pStyle w:val="P68B1DB1-Normal4"/>
              <w:spacing w:line="276" w:lineRule="auto"/>
              <w:rPr>
                <w:noProof/>
              </w:rPr>
            </w:pPr>
            <w:r>
              <w:rPr>
                <w:noProof/>
              </w:rPr>
              <w:t>Az üzemeltető a várható tüzelőanyag-felhasználással arányos származási bizonyítványt vásárol.</w:t>
            </w:r>
          </w:p>
        </w:tc>
      </w:tr>
      <w:tr w:rsidR="003F5418" w14:paraId="01EAEAB7"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A4A1C8" w14:textId="77777777" w:rsidR="003F5418" w:rsidRDefault="002A6C25">
            <w:pPr>
              <w:pStyle w:val="P68B1DB1-Normal4"/>
              <w:spacing w:line="276" w:lineRule="auto"/>
              <w:jc w:val="center"/>
              <w:rPr>
                <w:noProof/>
              </w:rPr>
            </w:pPr>
            <w:r>
              <w:rPr>
                <w:noProof/>
              </w:rPr>
              <w:t>M2C1–8</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EDF4694" w14:textId="77777777" w:rsidR="003F5418" w:rsidRDefault="002A6C25">
            <w:pPr>
              <w:pStyle w:val="P68B1DB1-Normal4"/>
              <w:spacing w:line="276" w:lineRule="auto"/>
              <w:jc w:val="center"/>
              <w:rPr>
                <w:noProof/>
              </w:rPr>
            </w:pPr>
            <w:r>
              <w:rPr>
                <w:noProof/>
              </w:rPr>
              <w:t xml:space="preserve">Beruházás: Innováció és gépesítés a mezőgazdasági és </w:t>
            </w:r>
            <w:r>
              <w:rPr>
                <w:noProof/>
              </w:rPr>
              <w:t>élelmiszeripari ágazatban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6A37C32"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8E0819A" w14:textId="77777777" w:rsidR="003F5418" w:rsidRDefault="002A6C25">
            <w:pPr>
              <w:pStyle w:val="P68B1DB1-Normal4"/>
              <w:spacing w:line="276" w:lineRule="auto"/>
              <w:jc w:val="center"/>
              <w:rPr>
                <w:noProof/>
              </w:rPr>
            </w:pPr>
            <w:r>
              <w:rPr>
                <w:noProof/>
              </w:rPr>
              <w:t>A körforgásos gazdaság és a biogazdaság innovációjára irányuló beruházások támogatása</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7D8B8F4"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603C3178" w14:textId="77777777" w:rsidR="003F5418" w:rsidRDefault="002A6C25">
            <w:pPr>
              <w:pStyle w:val="P68B1DB1-Normal4"/>
              <w:spacing w:line="276" w:lineRule="auto"/>
              <w:jc w:val="center"/>
              <w:rPr>
                <w:noProof/>
              </w:rPr>
            </w:pPr>
            <w:r>
              <w:rPr>
                <w:noProof/>
              </w:rPr>
              <w:t>Szám</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0042B7B7" w14:textId="77777777" w:rsidR="003F5418" w:rsidRDefault="002A6C25">
            <w:pPr>
              <w:pStyle w:val="P68B1DB1-Normal4"/>
              <w:spacing w:line="276" w:lineRule="auto"/>
              <w:jc w:val="center"/>
              <w:rPr>
                <w:noProof/>
              </w:rPr>
            </w:pPr>
            <w:r>
              <w:rPr>
                <w:noProof/>
              </w:rPr>
              <w:t>10 000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A8EA945" w14:textId="77777777" w:rsidR="003F5418" w:rsidRDefault="002A6C25">
            <w:pPr>
              <w:pStyle w:val="P68B1DB1-Normal4"/>
              <w:spacing w:line="276" w:lineRule="auto"/>
              <w:jc w:val="center"/>
              <w:rPr>
                <w:noProof/>
              </w:rPr>
            </w:pPr>
            <w:r>
              <w:rPr>
                <w:noProof/>
              </w:rPr>
              <w:t>15 000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6E0081F9"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248727B9" w14:textId="77777777" w:rsidR="003F5418" w:rsidRDefault="002A6C25">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00BB068" w14:textId="77777777" w:rsidR="003F5418" w:rsidRDefault="002A6C25">
            <w:pPr>
              <w:pStyle w:val="P68B1DB1-Normal4"/>
              <w:spacing w:line="276" w:lineRule="auto"/>
              <w:rPr>
                <w:noProof/>
              </w:rPr>
            </w:pPr>
            <w:r>
              <w:rPr>
                <w:noProof/>
              </w:rPr>
              <w:t xml:space="preserve">A projektek befejezését követően legalább 15000 végső kedvezményezett részesült támogatásban a körforgásos </w:t>
            </w:r>
            <w:r>
              <w:rPr>
                <w:noProof/>
              </w:rPr>
              <w:t>gazdaság és a biogazdaság innovációjára irányuló fizetett beruházásokhoz.</w:t>
            </w:r>
          </w:p>
          <w:p w14:paraId="0B7B7B92" w14:textId="77777777" w:rsidR="003F5418" w:rsidRDefault="002A6C25">
            <w:pPr>
              <w:pStyle w:val="P68B1DB1-Normal4"/>
              <w:spacing w:line="276" w:lineRule="auto"/>
              <w:rPr>
                <w:noProof/>
              </w:rPr>
            </w:pPr>
            <w:r>
              <w:rPr>
                <w:noProof/>
              </w:rPr>
              <w:t>A támogatott beruházások a következők:</w:t>
            </w:r>
          </w:p>
          <w:p w14:paraId="1B405833" w14:textId="77777777" w:rsidR="003F5418" w:rsidRDefault="002A6C25">
            <w:pPr>
              <w:pStyle w:val="P68B1DB1-Normal15"/>
              <w:spacing w:line="276" w:lineRule="auto"/>
              <w:rPr>
                <w:noProof/>
                <w:color w:val="006100"/>
                <w:sz w:val="20"/>
              </w:rPr>
            </w:pPr>
            <w:r>
              <w:rPr>
                <w:noProof/>
                <w:color w:val="006100"/>
                <w:sz w:val="20"/>
              </w:rPr>
              <w:t>A</w:t>
            </w:r>
            <w:r>
              <w:rPr>
                <w:noProof/>
              </w:rPr>
              <w:t xml:space="preserve"> </w:t>
            </w:r>
            <w:r>
              <w:rPr>
                <w:noProof/>
                <w:color w:val="006100"/>
                <w:sz w:val="20"/>
              </w:rPr>
              <w:t>szennyezőbb terepjáró járművek</w:t>
            </w:r>
            <w:r w:rsidRPr="008F123B">
              <w:rPr>
                <w:noProof/>
                <w:color w:val="006100"/>
                <w:sz w:val="20"/>
              </w:rPr>
              <w:t>cseréje</w:t>
            </w:r>
          </w:p>
          <w:p w14:paraId="0E844CEF" w14:textId="77777777" w:rsidR="003F5418" w:rsidRDefault="002A6C25">
            <w:pPr>
              <w:pStyle w:val="P68B1DB1-Normal15"/>
              <w:spacing w:line="276" w:lineRule="auto"/>
              <w:rPr>
                <w:noProof/>
                <w:color w:val="006100"/>
                <w:sz w:val="20"/>
              </w:rPr>
            </w:pPr>
            <w:r>
              <w:rPr>
                <w:noProof/>
                <w:color w:val="006100"/>
                <w:sz w:val="20"/>
              </w:rPr>
              <w:t xml:space="preserve">Precíziós gazdálkodásbevezetése </w:t>
            </w:r>
          </w:p>
          <w:p w14:paraId="04882D57" w14:textId="77777777" w:rsidR="003F5418" w:rsidRDefault="002A6C25">
            <w:pPr>
              <w:pStyle w:val="P68B1DB1-Normal15"/>
              <w:spacing w:line="276" w:lineRule="auto"/>
              <w:rPr>
                <w:noProof/>
                <w:color w:val="006100"/>
                <w:sz w:val="20"/>
              </w:rPr>
            </w:pPr>
            <w:r>
              <w:rPr>
                <w:noProof/>
                <w:color w:val="006100"/>
                <w:sz w:val="20"/>
              </w:rPr>
              <w:t>Az</w:t>
            </w:r>
            <w:r>
              <w:rPr>
                <w:noProof/>
              </w:rPr>
              <w:t xml:space="preserve"> </w:t>
            </w:r>
            <w:r>
              <w:rPr>
                <w:noProof/>
                <w:color w:val="006100"/>
                <w:sz w:val="20"/>
              </w:rPr>
              <w:t>olajsajtoló üzemek elavultabb létesítményeinek</w:t>
            </w:r>
            <w:r w:rsidRPr="00CE08CF">
              <w:rPr>
                <w:noProof/>
                <w:color w:val="006100"/>
                <w:sz w:val="20"/>
              </w:rPr>
              <w:t>cseréje</w:t>
            </w:r>
          </w:p>
          <w:p w14:paraId="77402524" w14:textId="77777777" w:rsidR="003F5418" w:rsidRDefault="003F5418">
            <w:pPr>
              <w:spacing w:line="276" w:lineRule="auto"/>
              <w:rPr>
                <w:rFonts w:ascii="Arial Narrow" w:hAnsi="Arial Narrow"/>
                <w:noProof/>
                <w:color w:val="006100"/>
                <w:sz w:val="20"/>
              </w:rPr>
            </w:pPr>
          </w:p>
          <w:p w14:paraId="72DDBB4E" w14:textId="77777777" w:rsidR="003F5418" w:rsidRDefault="002A6C25">
            <w:pPr>
              <w:pStyle w:val="P68B1DB1-Normal4"/>
              <w:spacing w:line="276" w:lineRule="auto"/>
              <w:rPr>
                <w:noProof/>
              </w:rPr>
            </w:pPr>
            <w:r>
              <w:rPr>
                <w:noProof/>
              </w:rPr>
              <w:t>A jelentős károkozás elkerülését célzó elvnek való megfelelés érdekében a terepjáró járműveknek kibocsátásmentesnek kell lenniük, vagy kizárólag biometánnal kell közlekedniük, amelynek meg kell felelnie az (EU) 2018/2001 irányelvben (RED II. irányelv) megh</w:t>
            </w:r>
            <w:r>
              <w:rPr>
                <w:noProof/>
              </w:rPr>
              <w:t>atározott kritériumoknak.</w:t>
            </w:r>
          </w:p>
          <w:p w14:paraId="3F678876" w14:textId="77777777" w:rsidR="003F5418" w:rsidRDefault="002A6C25">
            <w:pPr>
              <w:pStyle w:val="P68B1DB1-Normal4"/>
              <w:spacing w:line="276" w:lineRule="auto"/>
              <w:rPr>
                <w:noProof/>
              </w:rPr>
            </w:pPr>
            <w:r>
              <w:rPr>
                <w:noProof/>
              </w:rPr>
              <w:t>A bioüzemanyag- és biometángáz- és bioüzemanyag-gyártóknak független értékelők által kiállított tanúsítványokat (fenntarthatósági igazolást) kell benyújtaniuk az (EU) 2018/2001 irányelvben előírtak szerint. Az üzemeltető a várható</w:t>
            </w:r>
            <w:r>
              <w:rPr>
                <w:noProof/>
              </w:rPr>
              <w:t xml:space="preserve"> tüzelőanyag-felhasználással arányos származási bizonyítványt vásárol.</w:t>
            </w:r>
          </w:p>
        </w:tc>
      </w:tr>
      <w:tr w:rsidR="003F5418" w14:paraId="6E1DF2F1"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3B2BC6" w14:textId="77777777" w:rsidR="003F5418" w:rsidRDefault="002A6C25">
            <w:pPr>
              <w:pStyle w:val="P68B1DB1-Normal4"/>
              <w:spacing w:line="276" w:lineRule="auto"/>
              <w:jc w:val="center"/>
              <w:rPr>
                <w:noProof/>
              </w:rPr>
            </w:pPr>
            <w:r>
              <w:rPr>
                <w:noProof/>
              </w:rPr>
              <w:t>M2C1–9</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750B14BC" w14:textId="77777777" w:rsidR="003F5418" w:rsidRDefault="002A6C25">
            <w:pPr>
              <w:pStyle w:val="P68B1DB1-Normal4"/>
              <w:spacing w:line="276" w:lineRule="auto"/>
              <w:jc w:val="center"/>
              <w:rPr>
                <w:noProof/>
              </w:rPr>
            </w:pPr>
            <w:r>
              <w:rPr>
                <w:noProof/>
              </w:rPr>
              <w:t>Beruházás: Agrár-soláris park</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5275DEB"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24AD053" w14:textId="77777777" w:rsidR="003F5418" w:rsidRDefault="002A6C25">
            <w:pPr>
              <w:pStyle w:val="P68B1DB1-Normal4"/>
              <w:spacing w:line="276" w:lineRule="auto"/>
              <w:jc w:val="center"/>
              <w:rPr>
                <w:noProof/>
              </w:rPr>
            </w:pPr>
            <w:r>
              <w:rPr>
                <w:noProof/>
              </w:rPr>
              <w:t>Agrár-villamosenergia-termelés</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B26AC5C"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75AF25B4" w14:textId="77777777" w:rsidR="003F5418" w:rsidRDefault="002A6C25">
            <w:pPr>
              <w:pStyle w:val="P68B1DB1-Normal4"/>
              <w:spacing w:line="276" w:lineRule="auto"/>
              <w:jc w:val="center"/>
              <w:rPr>
                <w:noProof/>
              </w:rPr>
            </w:pPr>
            <w:r>
              <w:rPr>
                <w:noProof/>
              </w:rPr>
              <w:t>kW</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5B4653E3" w14:textId="77777777" w:rsidR="003F5418" w:rsidRDefault="002A6C25">
            <w:pPr>
              <w:pStyle w:val="P68B1DB1-Normal4"/>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340D2214" w14:textId="77777777" w:rsidR="003F5418" w:rsidRDefault="002A6C25">
            <w:pPr>
              <w:pStyle w:val="P68B1DB1-Normal4"/>
              <w:spacing w:line="276" w:lineRule="auto"/>
              <w:jc w:val="center"/>
              <w:rPr>
                <w:noProof/>
              </w:rPr>
            </w:pPr>
            <w:r>
              <w:rPr>
                <w:noProof/>
              </w:rPr>
              <w:t>1 383 000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6E12158"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35C92322" w14:textId="77777777" w:rsidR="003F5418" w:rsidRDefault="002A6C25">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00559411" w14:textId="0FF34B8A" w:rsidR="003F5418" w:rsidRDefault="002A6C25">
            <w:pPr>
              <w:pStyle w:val="P68B1DB1-Normal4"/>
              <w:spacing w:line="276" w:lineRule="auto"/>
              <w:rPr>
                <w:noProof/>
              </w:rPr>
            </w:pPr>
            <w:r>
              <w:rPr>
                <w:noProof/>
              </w:rPr>
              <w:t>Legalább 1 383 000 kW telepített napenergia-termelési kapacitás</w:t>
            </w:r>
          </w:p>
        </w:tc>
      </w:tr>
      <w:tr w:rsidR="003F5418" w14:paraId="58B06AAD"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FDEC2F" w14:textId="77777777" w:rsidR="003F5418" w:rsidRDefault="002A6C25">
            <w:pPr>
              <w:pStyle w:val="P68B1DB1-Normal4"/>
              <w:spacing w:line="276" w:lineRule="auto"/>
              <w:jc w:val="center"/>
              <w:rPr>
                <w:noProof/>
              </w:rPr>
            </w:pPr>
            <w:r>
              <w:rPr>
                <w:noProof/>
              </w:rPr>
              <w:t>M2C1–10</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15A86D6" w14:textId="77777777" w:rsidR="003F5418" w:rsidRDefault="002A6C25">
            <w:pPr>
              <w:pStyle w:val="P68B1DB1-Normal4"/>
              <w:spacing w:line="276" w:lineRule="auto"/>
              <w:jc w:val="center"/>
              <w:rPr>
                <w:noProof/>
              </w:rPr>
            </w:pPr>
            <w:r>
              <w:rPr>
                <w:noProof/>
              </w:rPr>
              <w:t>Beruházás:</w:t>
            </w:r>
            <w:r>
              <w:rPr>
                <w:noProof/>
              </w:rPr>
              <w:t xml:space="preserve"> Az agrár-élelmiszeripari, halászati és akvakultúra-ágazat, az erdészet, a virágkertészet és a növényiskolák logisztikai terve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8F3AFAF"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7A7B4A6" w14:textId="77777777" w:rsidR="003F5418" w:rsidRDefault="002A6C25">
            <w:pPr>
              <w:pStyle w:val="P68B1DB1-Normal4"/>
              <w:spacing w:line="276" w:lineRule="auto"/>
              <w:jc w:val="center"/>
              <w:rPr>
                <w:noProof/>
              </w:rPr>
            </w:pPr>
            <w:r>
              <w:rPr>
                <w:noProof/>
              </w:rPr>
              <w:t>Az agrár-élelmiszeripari, halászati és akvakultúra-ágazat, az erdészeti, a virágkertészeti és a növényiskolai ágazat logiszti</w:t>
            </w:r>
            <w:r>
              <w:rPr>
                <w:noProof/>
              </w:rPr>
              <w:t>káját javító beavatkozások</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7CA299C"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1AB0F54" w14:textId="77777777" w:rsidR="003F5418" w:rsidRDefault="002A6C25">
            <w:pPr>
              <w:pStyle w:val="P68B1DB1-Normal4"/>
              <w:spacing w:line="276" w:lineRule="auto"/>
              <w:jc w:val="center"/>
              <w:rPr>
                <w:noProof/>
              </w:rPr>
            </w:pPr>
            <w:r>
              <w:rPr>
                <w:noProof/>
              </w:rPr>
              <w:t>Szám</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A77D232" w14:textId="77777777" w:rsidR="003F5418" w:rsidRDefault="002A6C25">
            <w:pPr>
              <w:pStyle w:val="P68B1DB1-Normal4"/>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1C7A959" w14:textId="77777777" w:rsidR="003F5418" w:rsidRDefault="002A6C25">
            <w:pPr>
              <w:pStyle w:val="P68B1DB1-Normal4"/>
              <w:spacing w:line="276" w:lineRule="auto"/>
              <w:jc w:val="center"/>
              <w:rPr>
                <w:noProof/>
              </w:rPr>
            </w:pPr>
            <w:r>
              <w:rPr>
                <w:noProof/>
              </w:rPr>
              <w:t>48</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3B8855D"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48E105F2" w14:textId="77777777" w:rsidR="003F5418" w:rsidRDefault="002A6C25">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7BADE17D" w14:textId="77777777" w:rsidR="003F5418" w:rsidRDefault="002A6C25">
            <w:pPr>
              <w:pStyle w:val="P68B1DB1-Normal4"/>
              <w:spacing w:line="276" w:lineRule="auto"/>
              <w:rPr>
                <w:noProof/>
              </w:rPr>
            </w:pPr>
            <w:r>
              <w:rPr>
                <w:noProof/>
              </w:rPr>
              <w:t>Legalább 48 beavatkozás az agrár-élelmiszeripari, a halászati és akvakultúra-, az erdészeti, a virágkertészeti és a növényiskolai ágazat logisztikájának javítása érdekében.</w:t>
            </w:r>
          </w:p>
        </w:tc>
      </w:tr>
      <w:tr w:rsidR="003F5418" w14:paraId="782B6B8E"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F948D7" w14:textId="77777777" w:rsidR="003F5418" w:rsidRDefault="002A6C25">
            <w:pPr>
              <w:pStyle w:val="P68B1DB1-Normal4"/>
              <w:spacing w:line="276" w:lineRule="auto"/>
              <w:jc w:val="center"/>
              <w:rPr>
                <w:noProof/>
              </w:rPr>
            </w:pPr>
            <w:r>
              <w:rPr>
                <w:noProof/>
              </w:rPr>
              <w:t>M2C1–11</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06C195A" w14:textId="77777777" w:rsidR="003F5418" w:rsidRDefault="002A6C25">
            <w:pPr>
              <w:pStyle w:val="P68B1DB1-Normal4"/>
              <w:spacing w:line="276" w:lineRule="auto"/>
              <w:jc w:val="center"/>
              <w:rPr>
                <w:noProof/>
              </w:rPr>
            </w:pPr>
            <w:r>
              <w:rPr>
                <w:noProof/>
              </w:rPr>
              <w:t xml:space="preserve">Beruházás: Kultúra és </w:t>
            </w:r>
            <w:r>
              <w:rPr>
                <w:noProof/>
              </w:rPr>
              <w:t>tudatosság a környezetvédelmi témákkal és kihívásokkal kapcsolatban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E1562D8" w14:textId="77777777" w:rsidR="003F5418" w:rsidRDefault="002A6C25">
            <w:pPr>
              <w:pStyle w:val="P68B1DB1-Normal4"/>
              <w:spacing w:line="276" w:lineRule="auto"/>
              <w:jc w:val="center"/>
              <w:rPr>
                <w:noProof/>
              </w:rPr>
            </w:pPr>
            <w:r>
              <w:rPr>
                <w:noProof/>
              </w:rPr>
              <w:t>Mérföldkő</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7DDE72" w14:textId="77777777" w:rsidR="003F5418" w:rsidRDefault="002A6C25">
            <w:pPr>
              <w:pStyle w:val="P68B1DB1-Normal4"/>
              <w:spacing w:line="276" w:lineRule="auto"/>
              <w:jc w:val="center"/>
              <w:rPr>
                <w:noProof/>
              </w:rPr>
            </w:pPr>
            <w:r>
              <w:rPr>
                <w:noProof/>
              </w:rPr>
              <w:t>Internetes platform elindítása és szerzőkkel kötött szerződések</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58CB9D6B" w14:textId="77777777" w:rsidR="003F5418" w:rsidRDefault="002A6C25">
            <w:pPr>
              <w:pStyle w:val="P68B1DB1-Normal4"/>
              <w:spacing w:line="276" w:lineRule="auto"/>
              <w:jc w:val="center"/>
              <w:rPr>
                <w:noProof/>
              </w:rPr>
            </w:pPr>
            <w:r>
              <w:rPr>
                <w:noProof/>
              </w:rPr>
              <w:t>Értesítés a tartalomgyártókkal kötött szerződés aláírásáról</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16630231" w14:textId="77777777" w:rsidR="003F5418" w:rsidRDefault="002A6C25">
            <w:pPr>
              <w:pStyle w:val="P68B1DB1-Normal4"/>
              <w:spacing w:line="276" w:lineRule="auto"/>
              <w:jc w:val="center"/>
              <w:rPr>
                <w:noProof/>
              </w:rPr>
            </w:pPr>
            <w:r>
              <w:rPr>
                <w:noProof/>
              </w:rPr>
              <w:t>NINCS</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6F57CFFD" w14:textId="77777777" w:rsidR="003F5418" w:rsidRDefault="002A6C25">
            <w:pPr>
              <w:pStyle w:val="P68B1DB1-Normal4"/>
              <w:spacing w:line="276" w:lineRule="auto"/>
              <w:jc w:val="center"/>
              <w:rPr>
                <w:noProof/>
              </w:rPr>
            </w:pPr>
            <w:r>
              <w:rPr>
                <w:noProof/>
              </w:rPr>
              <w:t>NINCS</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16D313F9" w14:textId="77777777" w:rsidR="003F5418" w:rsidRDefault="002A6C25">
            <w:pPr>
              <w:pStyle w:val="P68B1DB1-Normal4"/>
              <w:spacing w:line="276" w:lineRule="auto"/>
              <w:jc w:val="center"/>
              <w:rPr>
                <w:noProof/>
              </w:rPr>
            </w:pPr>
            <w:r>
              <w:rPr>
                <w:noProof/>
              </w:rPr>
              <w:t>NINCS</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AB2030F"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5A2C3ADA" w14:textId="77777777" w:rsidR="003F5418" w:rsidRDefault="002A6C25">
            <w:pPr>
              <w:pStyle w:val="P68B1DB1-Normal4"/>
              <w:spacing w:line="276" w:lineRule="auto"/>
              <w:jc w:val="center"/>
              <w:rPr>
                <w:noProof/>
              </w:rPr>
            </w:pPr>
            <w:r>
              <w:rPr>
                <w:noProof/>
              </w:rPr>
              <w:t>2022</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6DDAA651" w14:textId="77777777" w:rsidR="003F5418" w:rsidRDefault="002A6C25">
            <w:pPr>
              <w:pStyle w:val="P68B1DB1-Normal4"/>
              <w:spacing w:line="276" w:lineRule="auto"/>
              <w:rPr>
                <w:noProof/>
              </w:rPr>
            </w:pPr>
            <w:r>
              <w:rPr>
                <w:noProof/>
              </w:rPr>
              <w:t xml:space="preserve">Az internetes platform </w:t>
            </w:r>
            <w:r>
              <w:rPr>
                <w:noProof/>
              </w:rPr>
              <w:t>nyilvános elindítása és a végleges megállapodások aláírása a „tartalomgyártókkal”. A projektek célja, hogy legalább 180 podcastot, iskolaspecifikus videoórát és videótartalmat dolgozzanak ki, amelyeket a környezeti átállásról szóló internetes platformon ál</w:t>
            </w:r>
            <w:r>
              <w:rPr>
                <w:noProof/>
              </w:rPr>
              <w:t>lítottak elő és bocsátanak rendelkezésre.</w:t>
            </w:r>
          </w:p>
        </w:tc>
      </w:tr>
      <w:tr w:rsidR="003F5418" w14:paraId="1D6CDA3F" w14:textId="77777777">
        <w:trPr>
          <w:trHeight w:val="309"/>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CA29C9" w14:textId="77777777" w:rsidR="003F5418" w:rsidRDefault="002A6C25">
            <w:pPr>
              <w:pStyle w:val="P68B1DB1-Normal4"/>
              <w:spacing w:line="276" w:lineRule="auto"/>
              <w:jc w:val="center"/>
              <w:rPr>
                <w:noProof/>
              </w:rPr>
            </w:pPr>
            <w:r>
              <w:rPr>
                <w:noProof/>
              </w:rPr>
              <w:t>M2C1–12</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4AB1DFF5" w14:textId="77777777" w:rsidR="003F5418" w:rsidRDefault="002A6C25">
            <w:pPr>
              <w:pStyle w:val="P68B1DB1-Normal4"/>
              <w:spacing w:line="276" w:lineRule="auto"/>
              <w:jc w:val="center"/>
              <w:rPr>
                <w:noProof/>
              </w:rPr>
            </w:pPr>
            <w:r>
              <w:rPr>
                <w:noProof/>
              </w:rPr>
              <w:t>Beruházás: Kultúra és tudatosság a környezetvédelmi témákkal és kihívásokkal kapcsolatban</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E98EF9" w14:textId="77777777" w:rsidR="003F5418" w:rsidRDefault="002A6C25">
            <w:pPr>
              <w:pStyle w:val="P68B1DB1-Normal4"/>
              <w:spacing w:line="276" w:lineRule="auto"/>
              <w:jc w:val="center"/>
              <w:rPr>
                <w:noProof/>
              </w:rPr>
            </w:pPr>
            <w:r>
              <w:rPr>
                <w:noProof/>
              </w:rPr>
              <w:t>Cél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1EBF8C" w14:textId="77777777" w:rsidR="003F5418" w:rsidRDefault="002A6C25">
            <w:pPr>
              <w:pStyle w:val="P68B1DB1-Normal4"/>
              <w:spacing w:line="276" w:lineRule="auto"/>
              <w:jc w:val="center"/>
              <w:rPr>
                <w:noProof/>
              </w:rPr>
            </w:pPr>
            <w:r>
              <w:rPr>
                <w:noProof/>
              </w:rPr>
              <w:t>Audiovizuális anyagok a környezeti átállásról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49A73693" w14:textId="77777777" w:rsidR="003F5418" w:rsidRDefault="002A6C25">
            <w:pPr>
              <w:pStyle w:val="P68B1DB1-Normal4"/>
              <w:spacing w:line="276" w:lineRule="auto"/>
              <w:jc w:val="center"/>
              <w:rPr>
                <w:noProof/>
              </w:rPr>
            </w:pPr>
            <w:r>
              <w:rPr>
                <w:noProof/>
              </w:rPr>
              <w:t>NINCS</w:t>
            </w:r>
          </w:p>
        </w:tc>
        <w:tc>
          <w:tcPr>
            <w:tcW w:w="1180" w:type="dxa"/>
            <w:tcBorders>
              <w:top w:val="single" w:sz="4" w:space="0" w:color="auto"/>
              <w:left w:val="nil"/>
              <w:bottom w:val="single" w:sz="4" w:space="0" w:color="auto"/>
              <w:right w:val="single" w:sz="4" w:space="0" w:color="auto"/>
            </w:tcBorders>
            <w:shd w:val="clear" w:color="auto" w:fill="C6EFCE"/>
            <w:noWrap/>
            <w:vAlign w:val="center"/>
          </w:tcPr>
          <w:p w14:paraId="2EE581A4" w14:textId="77777777" w:rsidR="003F5418" w:rsidRDefault="002A6C25">
            <w:pPr>
              <w:pStyle w:val="P68B1DB1-Normal4"/>
              <w:spacing w:line="276" w:lineRule="auto"/>
              <w:jc w:val="center"/>
              <w:rPr>
                <w:noProof/>
              </w:rPr>
            </w:pPr>
            <w:r>
              <w:rPr>
                <w:noProof/>
              </w:rPr>
              <w:t>Szám</w:t>
            </w:r>
          </w:p>
        </w:tc>
        <w:tc>
          <w:tcPr>
            <w:tcW w:w="1159" w:type="dxa"/>
            <w:tcBorders>
              <w:top w:val="single" w:sz="4" w:space="0" w:color="auto"/>
              <w:left w:val="nil"/>
              <w:bottom w:val="single" w:sz="4" w:space="0" w:color="auto"/>
              <w:right w:val="single" w:sz="4" w:space="0" w:color="auto"/>
            </w:tcBorders>
            <w:shd w:val="clear" w:color="auto" w:fill="C6EFCE"/>
            <w:noWrap/>
            <w:vAlign w:val="center"/>
          </w:tcPr>
          <w:p w14:paraId="35AB3B0F" w14:textId="77777777" w:rsidR="003F5418" w:rsidRDefault="002A6C25">
            <w:pPr>
              <w:pStyle w:val="P68B1DB1-Normal4"/>
              <w:spacing w:line="276" w:lineRule="auto"/>
              <w:jc w:val="center"/>
              <w:rPr>
                <w:noProof/>
              </w:rPr>
            </w:pPr>
            <w:r>
              <w:rPr>
                <w:noProof/>
              </w:rPr>
              <w:t>0</w:t>
            </w:r>
          </w:p>
        </w:tc>
        <w:tc>
          <w:tcPr>
            <w:tcW w:w="1347" w:type="dxa"/>
            <w:tcBorders>
              <w:top w:val="single" w:sz="4" w:space="0" w:color="auto"/>
              <w:left w:val="nil"/>
              <w:bottom w:val="single" w:sz="4" w:space="0" w:color="auto"/>
              <w:right w:val="single" w:sz="4" w:space="0" w:color="auto"/>
            </w:tcBorders>
            <w:shd w:val="clear" w:color="auto" w:fill="C6EFCE"/>
            <w:noWrap/>
            <w:vAlign w:val="center"/>
          </w:tcPr>
          <w:p w14:paraId="0505770F" w14:textId="77777777" w:rsidR="003F5418" w:rsidRDefault="002A6C25">
            <w:pPr>
              <w:pStyle w:val="P68B1DB1-Normal4"/>
              <w:spacing w:line="276" w:lineRule="auto"/>
              <w:jc w:val="center"/>
              <w:rPr>
                <w:noProof/>
              </w:rPr>
            </w:pPr>
            <w:r>
              <w:rPr>
                <w:noProof/>
              </w:rPr>
              <w:t>180</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3DB52E4D" w14:textId="77777777" w:rsidR="003F5418" w:rsidRDefault="002A6C25">
            <w:pPr>
              <w:pStyle w:val="P68B1DB1-Normal4"/>
              <w:spacing w:line="276" w:lineRule="auto"/>
              <w:jc w:val="center"/>
              <w:rPr>
                <w:noProof/>
              </w:rPr>
            </w:pPr>
            <w:r>
              <w:rPr>
                <w:noProof/>
              </w:rPr>
              <w:t>Q2</w:t>
            </w:r>
          </w:p>
        </w:tc>
        <w:tc>
          <w:tcPr>
            <w:tcW w:w="680" w:type="dxa"/>
            <w:tcBorders>
              <w:top w:val="single" w:sz="4" w:space="0" w:color="auto"/>
              <w:left w:val="nil"/>
              <w:bottom w:val="single" w:sz="4" w:space="0" w:color="auto"/>
              <w:right w:val="single" w:sz="4" w:space="0" w:color="auto"/>
            </w:tcBorders>
            <w:shd w:val="clear" w:color="auto" w:fill="C6EFCE"/>
            <w:noWrap/>
            <w:vAlign w:val="center"/>
          </w:tcPr>
          <w:p w14:paraId="6ABE0E1F" w14:textId="77777777" w:rsidR="003F5418" w:rsidRDefault="002A6C25">
            <w:pPr>
              <w:pStyle w:val="P68B1DB1-Normal4"/>
              <w:spacing w:line="276" w:lineRule="auto"/>
              <w:jc w:val="center"/>
              <w:rPr>
                <w:noProof/>
              </w:rPr>
            </w:pPr>
            <w:r>
              <w:rPr>
                <w:noProof/>
              </w:rPr>
              <w:t>2026</w:t>
            </w:r>
          </w:p>
        </w:tc>
        <w:tc>
          <w:tcPr>
            <w:tcW w:w="2443" w:type="dxa"/>
            <w:tcBorders>
              <w:top w:val="single" w:sz="4" w:space="0" w:color="auto"/>
              <w:left w:val="nil"/>
              <w:bottom w:val="single" w:sz="4" w:space="0" w:color="auto"/>
              <w:right w:val="single" w:sz="4" w:space="0" w:color="auto"/>
            </w:tcBorders>
            <w:shd w:val="clear" w:color="auto" w:fill="C6EFCE"/>
            <w:noWrap/>
            <w:vAlign w:val="center"/>
          </w:tcPr>
          <w:p w14:paraId="1830A669" w14:textId="77777777" w:rsidR="003F5418" w:rsidRDefault="002A6C25">
            <w:pPr>
              <w:pStyle w:val="P68B1DB1-Normal4"/>
              <w:spacing w:line="276" w:lineRule="auto"/>
              <w:rPr>
                <w:noProof/>
              </w:rPr>
            </w:pPr>
            <w:r>
              <w:rPr>
                <w:noProof/>
              </w:rPr>
              <w:t xml:space="preserve">Legalább 180 podcast, iskolaspecifikus </w:t>
            </w:r>
            <w:r>
              <w:rPr>
                <w:noProof/>
              </w:rPr>
              <w:t>videoóra és videotartalom készült és élőben az internetes platformon</w:t>
            </w:r>
          </w:p>
        </w:tc>
      </w:tr>
    </w:tbl>
    <w:p w14:paraId="73FD5D07" w14:textId="77777777" w:rsidR="003F5418" w:rsidRDefault="002A6C25">
      <w:pPr>
        <w:spacing w:before="120" w:after="120"/>
        <w:ind w:left="709"/>
        <w:jc w:val="both"/>
        <w:rPr>
          <w:noProof/>
        </w:rPr>
      </w:pPr>
      <w:r>
        <w:rPr>
          <w:noProof/>
        </w:rPr>
        <w:br/>
      </w:r>
    </w:p>
    <w:p w14:paraId="59E6D3F2" w14:textId="77777777" w:rsidR="003F5418" w:rsidRDefault="003F5418">
      <w:pPr>
        <w:spacing w:before="120" w:after="120"/>
        <w:ind w:left="709"/>
        <w:jc w:val="both"/>
        <w:rPr>
          <w:noProof/>
        </w:rPr>
        <w:sectPr w:rsidR="003F5418">
          <w:headerReference w:type="even" r:id="rId122"/>
          <w:headerReference w:type="default" r:id="rId123"/>
          <w:footerReference w:type="even" r:id="rId124"/>
          <w:footerReference w:type="default" r:id="rId125"/>
          <w:headerReference w:type="first" r:id="rId126"/>
          <w:footerReference w:type="first" r:id="rId127"/>
          <w:pgSz w:w="16838" w:h="11907" w:orient="landscape"/>
          <w:pgMar w:top="1134" w:right="1134" w:bottom="1134" w:left="1134" w:header="567" w:footer="567" w:gutter="0"/>
          <w:cols w:space="720"/>
          <w:docGrid w:linePitch="360"/>
        </w:sectPr>
      </w:pPr>
    </w:p>
    <w:p w14:paraId="075DD53E"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D.3. </w:t>
      </w:r>
      <w:r>
        <w:rPr>
          <w:noProof/>
        </w:rPr>
        <w:t xml:space="preserve"> </w:t>
      </w:r>
      <w:r>
        <w:rPr>
          <w:b/>
          <w:i w:val="0"/>
          <w:noProof/>
          <w:u w:val="single"/>
        </w:rPr>
        <w:t xml:space="preserve">A hitelhez kapcsolódó reformok és beruházások ismertetése </w:t>
      </w:r>
    </w:p>
    <w:p w14:paraId="35CA5556" w14:textId="3C10B9EF" w:rsidR="003F5418" w:rsidRDefault="00B07E42">
      <w:pPr>
        <w:pStyle w:val="P68B1DB1-Normal2"/>
        <w:spacing w:before="120" w:after="120"/>
        <w:jc w:val="both"/>
        <w:rPr>
          <w:noProof/>
        </w:rPr>
      </w:pPr>
      <w:r>
        <w:rPr>
          <w:noProof/>
        </w:rPr>
        <w:t>1.2. Reform – Nemzeti hulladékgazdálkodási program</w:t>
      </w:r>
    </w:p>
    <w:p w14:paraId="2E38855B" w14:textId="77777777" w:rsidR="003F5418" w:rsidRDefault="002A6C25">
      <w:pPr>
        <w:spacing w:before="120" w:after="120"/>
        <w:jc w:val="both"/>
        <w:rPr>
          <w:noProof/>
        </w:rPr>
      </w:pPr>
      <w:r>
        <w:rPr>
          <w:noProof/>
        </w:rPr>
        <w:t xml:space="preserve">Ez a </w:t>
      </w:r>
      <w:r>
        <w:rPr>
          <w:noProof/>
        </w:rPr>
        <w:t>reform a következőkből áll: széles körű nemzeti hulladékgazdálkodási program elfogadása, amelynek célja a hulladék újrahasználatra való előkészítésének, újrafeldolgozásának és hasznosításának legmagasabb szintje, az integrált hulladékgazdálkodáshoz szükség</w:t>
      </w:r>
      <w:r>
        <w:rPr>
          <w:noProof/>
        </w:rPr>
        <w:t>es létesítmények hálózatának kiigazítása, végső és fennmaradó lehetőségként a végső ártalmatlanítás minimalizálása, nyomonkövetési rendszerek létrehozása, az Olaszországgal szembeni új kötelezettségszegési eljárások megindításának megakadályozása, az alacs</w:t>
      </w:r>
      <w:r>
        <w:rPr>
          <w:noProof/>
        </w:rPr>
        <w:t>ony szintű hulladékgyűjtés kezelése, a hulladéklerakóktól való elrettentés és a regionális hulladékprogramokkal való komplementaritás biztosítása, a hulladékokkal kapcsolatos európai és nemzeti célkitűzések elérésének lehetővé tétele, valamint az illegális</w:t>
      </w:r>
      <w:r>
        <w:rPr>
          <w:noProof/>
        </w:rPr>
        <w:t xml:space="preserve"> hulladéklerakás és a szabadtéri égetés kezelése. </w:t>
      </w:r>
    </w:p>
    <w:p w14:paraId="4960C7FA" w14:textId="68B9E4FB" w:rsidR="003F5418" w:rsidRDefault="00B07E42">
      <w:pPr>
        <w:pStyle w:val="P68B1DB1-Normal2"/>
        <w:spacing w:before="120" w:after="120"/>
        <w:jc w:val="both"/>
        <w:rPr>
          <w:noProof/>
        </w:rPr>
      </w:pPr>
      <w:r>
        <w:rPr>
          <w:noProof/>
        </w:rPr>
        <w:t>1.1. Beruházás – Új hulladékkezelő üzemek megvalósítása és meglévő üzemek korszerűsítése</w:t>
      </w:r>
    </w:p>
    <w:p w14:paraId="20E4AC72" w14:textId="77777777" w:rsidR="003F5418" w:rsidRDefault="002A6C25">
      <w:pPr>
        <w:spacing w:before="120" w:after="120"/>
        <w:jc w:val="both"/>
        <w:rPr>
          <w:noProof/>
        </w:rPr>
      </w:pPr>
      <w:r>
        <w:rPr>
          <w:noProof/>
        </w:rPr>
        <w:t xml:space="preserve">Ez a beruházás magában foglalja az önkormányzatok elkülönített hulladékgyűjtő hálózatának javítását és gépesítését, </w:t>
      </w:r>
      <w:r>
        <w:rPr>
          <w:noProof/>
        </w:rPr>
        <w:t>új hulladékkezelő/-újrafeldolgozó üzemek építését a szerves hulladék, a multianyag-, üveg- és papírcsomagolás, valamint a személyes adszorbens ártalmatlanítással (PAD), a szennyvíziszapdal, a bőrhulladékkal és a textilhulladékkal foglalkozó innovatív kezel</w:t>
      </w:r>
      <w:r>
        <w:rPr>
          <w:noProof/>
        </w:rPr>
        <w:t>ő/újrafeldolgozó üzemeket.</w:t>
      </w:r>
    </w:p>
    <w:p w14:paraId="7FB85718" w14:textId="53D3A851" w:rsidR="003F5418" w:rsidRDefault="00B07E42">
      <w:pPr>
        <w:pStyle w:val="P68B1DB1-Normal2"/>
        <w:spacing w:before="120" w:after="120"/>
        <w:jc w:val="both"/>
        <w:rPr>
          <w:noProof/>
        </w:rPr>
      </w:pPr>
      <w:r>
        <w:rPr>
          <w:noProof/>
        </w:rPr>
        <w:t>1.2. Beruházás – Körforgásos gazdaság: kiemelt projektek</w:t>
      </w:r>
    </w:p>
    <w:p w14:paraId="5DF23113" w14:textId="77777777" w:rsidR="003F5418" w:rsidRDefault="002A6C25">
      <w:pPr>
        <w:spacing w:before="120" w:after="120"/>
        <w:jc w:val="both"/>
        <w:rPr>
          <w:noProof/>
        </w:rPr>
      </w:pPr>
      <w:r>
        <w:rPr>
          <w:noProof/>
        </w:rPr>
        <w:t>Ez a beruházás az elkülönített gyűjtési hálózat fejlesztésének támogatására irányul, többek között a folyamatok és/vagy a logisztika digitalizálása, valamint a kezelő/újraf</w:t>
      </w:r>
      <w:r>
        <w:rPr>
          <w:noProof/>
        </w:rPr>
        <w:t>eldolgozó üzemek fejlesztése révén a következő ágazatokban:</w:t>
      </w:r>
    </w:p>
    <w:p w14:paraId="2F517B66" w14:textId="77777777" w:rsidR="003F5418" w:rsidRDefault="002A6C25">
      <w:pPr>
        <w:numPr>
          <w:ilvl w:val="0"/>
          <w:numId w:val="62"/>
        </w:numPr>
        <w:spacing w:before="120" w:after="120" w:line="259" w:lineRule="auto"/>
        <w:ind w:left="360"/>
        <w:contextualSpacing/>
        <w:jc w:val="both"/>
        <w:rPr>
          <w:noProof/>
        </w:rPr>
      </w:pPr>
      <w:r>
        <w:rPr>
          <w:noProof/>
        </w:rPr>
        <w:t>Elektromos és elektronikus berendezések hulladékai, beleértve a szélturbinalapátokat és a fotovoltaikus paneleket is;</w:t>
      </w:r>
    </w:p>
    <w:p w14:paraId="63F7B532" w14:textId="77777777" w:rsidR="003F5418" w:rsidRDefault="002A6C25">
      <w:pPr>
        <w:numPr>
          <w:ilvl w:val="0"/>
          <w:numId w:val="62"/>
        </w:numPr>
        <w:spacing w:before="120" w:after="120" w:line="259" w:lineRule="auto"/>
        <w:ind w:left="360"/>
        <w:contextualSpacing/>
        <w:jc w:val="both"/>
        <w:rPr>
          <w:noProof/>
        </w:rPr>
      </w:pPr>
      <w:r>
        <w:rPr>
          <w:noProof/>
        </w:rPr>
        <w:t>Papír- és kartonipar;</w:t>
      </w:r>
    </w:p>
    <w:p w14:paraId="30EF2165" w14:textId="77777777" w:rsidR="003F5418" w:rsidRDefault="002A6C25">
      <w:pPr>
        <w:numPr>
          <w:ilvl w:val="0"/>
          <w:numId w:val="62"/>
        </w:numPr>
        <w:spacing w:before="120" w:after="120" w:line="259" w:lineRule="auto"/>
        <w:ind w:left="360"/>
        <w:contextualSpacing/>
        <w:jc w:val="both"/>
        <w:rPr>
          <w:noProof/>
        </w:rPr>
      </w:pPr>
      <w:r>
        <w:rPr>
          <w:noProof/>
        </w:rPr>
        <w:t>Műanyaghulladék-újrafeldolgozás (mechanikus, kémiai újra</w:t>
      </w:r>
      <w:r>
        <w:rPr>
          <w:noProof/>
        </w:rPr>
        <w:t>feldolgozás, „műanyag-központok”), beleértve a tengeri műanyaghulladékot is. Ezen a területen „körforgásos körzetek” formájában ösztönözni kell az ipari szimbiózissal kapcsolatos projekteket annak érdekében, hogy biztosítsák a műanyag-újrafeldolgozási mell</w:t>
      </w:r>
      <w:r>
        <w:rPr>
          <w:noProof/>
        </w:rPr>
        <w:t>éktermékek teljes körű újrafelhasználását és a magas hozzáadott értékű termékek előállítását;</w:t>
      </w:r>
    </w:p>
    <w:p w14:paraId="60E0FE8D" w14:textId="77777777" w:rsidR="003F5418" w:rsidRDefault="002A6C25">
      <w:pPr>
        <w:numPr>
          <w:ilvl w:val="0"/>
          <w:numId w:val="62"/>
        </w:numPr>
        <w:spacing w:before="120" w:after="120" w:line="259" w:lineRule="auto"/>
        <w:ind w:left="360"/>
        <w:contextualSpacing/>
        <w:jc w:val="both"/>
        <w:rPr>
          <w:noProof/>
        </w:rPr>
      </w:pPr>
      <w:r>
        <w:rPr>
          <w:noProof/>
        </w:rPr>
        <w:t>Textíliák („Textil Hubs”).</w:t>
      </w:r>
    </w:p>
    <w:p w14:paraId="32923F6A" w14:textId="77777777" w:rsidR="003F5418" w:rsidRDefault="002A6C25">
      <w:pPr>
        <w:spacing w:before="120" w:after="120"/>
        <w:jc w:val="both"/>
        <w:rPr>
          <w:noProof/>
        </w:rPr>
      </w:pPr>
      <w:r>
        <w:rPr>
          <w:noProof/>
        </w:rPr>
        <w:t>Ezen túlmenően műholdak, drónok és mesterséges intelligencia (MI) technológiák felhasználásával globális megfigyelési rendszert kell ki</w:t>
      </w:r>
      <w:r>
        <w:rPr>
          <w:noProof/>
        </w:rPr>
        <w:t xml:space="preserve">fejleszteni az illegális dömping kezelésére (az átfogó beavatkozás további leírását lásd az 1.1. </w:t>
      </w:r>
      <w:r>
        <w:rPr>
          <w:i/>
          <w:noProof/>
        </w:rPr>
        <w:t>beruházásban – Fejlett és integrált nyomonkövetési és előrejelzési rendszer megvalósítása</w:t>
      </w:r>
      <w:r>
        <w:rPr>
          <w:noProof/>
        </w:rPr>
        <w:t xml:space="preserve"> a 2. küldetés 4. komponensében). A globális monitoringrendszer a hull</w:t>
      </w:r>
      <w:r>
        <w:rPr>
          <w:noProof/>
        </w:rPr>
        <w:t>adék nyomon követhetőségére vonatkozóan javasolt intézkedésekkel együtt támogatja a helyi ellenőrző hatóságokat és rendfenntartó erőket az illegális hulladéklerakás és a hulladékgazdálkodás területén folytatott szervezett bűnözés megelőzése, ellenőrzése és</w:t>
      </w:r>
      <w:r>
        <w:rPr>
          <w:noProof/>
        </w:rPr>
        <w:t xml:space="preserve"> leküzdése terén.</w:t>
      </w:r>
    </w:p>
    <w:p w14:paraId="2F979755" w14:textId="39C74AE4" w:rsidR="003F5418" w:rsidRDefault="00B07E42">
      <w:pPr>
        <w:pStyle w:val="P68B1DB1-Normal2"/>
        <w:spacing w:before="120" w:after="120"/>
        <w:ind w:firstLine="567"/>
        <w:jc w:val="both"/>
        <w:rPr>
          <w:noProof/>
        </w:rPr>
      </w:pPr>
      <w:r>
        <w:rPr>
          <w:noProof/>
        </w:rPr>
        <w:t>3.1. Beruházás – Zöld szigetek</w:t>
      </w:r>
    </w:p>
    <w:p w14:paraId="659558D7" w14:textId="77777777" w:rsidR="003F5418" w:rsidRDefault="002A6C25">
      <w:pPr>
        <w:spacing w:before="120" w:after="120"/>
        <w:jc w:val="both"/>
        <w:rPr>
          <w:noProof/>
          <w:color w:val="006100"/>
        </w:rPr>
      </w:pPr>
      <w:r>
        <w:rPr>
          <w:noProof/>
        </w:rPr>
        <w:t>Ez a beruházás az energia (például megújuló energiaforrások, hálózat és energiahatékonyság), a víz (például sótalanítás), a közlekedés (például kerékpárutak, kibocsátásmentes buszok és hajók) és a hulladékka</w:t>
      </w:r>
      <w:r>
        <w:rPr>
          <w:noProof/>
        </w:rPr>
        <w:t>l (például a hulladék elkülönítésével) kapcsolatos projektek finanszírozásából és végrehajtásából áll a 19 össze nem kapcsolt kis szigeten. A biometánnak meg kell felelnie az (EU) 2018/2001 irányelvben (RED II. irányelv) meghatározott kritériumoknak. A bio</w:t>
      </w:r>
      <w:r>
        <w:rPr>
          <w:noProof/>
        </w:rPr>
        <w:t>üzemanyag- és biometángáz- és bioüzemanyag-gyártóknak független értékelők által kiállított tanúsítványokat (fenntarthatósági igazolást) kell benyújtaniuk az (EU) 2018/2001 irányelvben előírtak szerint. Az üzemeltető a várható tüzelőanyag-felhasználással ar</w:t>
      </w:r>
      <w:r>
        <w:rPr>
          <w:noProof/>
        </w:rPr>
        <w:t>ányos származási bizonyítványt vásárol.   Annak biztosítása érdekében, hogy az intézkedés megfeleljen a jelentős károkozás elkerülését célzó elvről szóló technikai iránymutatásnak (2021/C58/01), a soron következő pályázati felhívásokra vonatkozó feladatmeg</w:t>
      </w:r>
      <w:r>
        <w:rPr>
          <w:noProof/>
        </w:rPr>
        <w:t>határozásban szereplő támogathatósági kritériumok nem tartalmazzák a tevékenységek alábbi listáját: a fosszilis tüzelőanyagokkal kapcsolatos tevékenységek, beleértve a továbbfelhasználást is</w:t>
      </w:r>
      <w:r>
        <w:rPr>
          <w:rStyle w:val="FootnoteReference"/>
          <w:noProof/>
        </w:rPr>
        <w:footnoteReference w:id="35"/>
      </w:r>
      <w:r>
        <w:rPr>
          <w:noProof/>
        </w:rPr>
        <w:t>; ii. az uniós kibocsátáskereskedelmi rendszer (ETS) keretében vé</w:t>
      </w:r>
      <w:r>
        <w:rPr>
          <w:noProof/>
        </w:rPr>
        <w:t>gzett tevékenységek, amelyek elérik a vonatkozó referenciaértékeket meg nem haladó, előre jelzett üvegházhatásúgáz-kibocsátást</w:t>
      </w:r>
      <w:r>
        <w:rPr>
          <w:rStyle w:val="FootnoteReference"/>
          <w:noProof/>
        </w:rPr>
        <w:footnoteReference w:id="36"/>
      </w:r>
      <w:r>
        <w:rPr>
          <w:noProof/>
        </w:rPr>
        <w:t>; hulladéklerakókkal, hulladékégetőkkel</w:t>
      </w:r>
      <w:r>
        <w:rPr>
          <w:rStyle w:val="FootnoteReference"/>
          <w:noProof/>
        </w:rPr>
        <w:footnoteReference w:id="37"/>
      </w:r>
      <w:r>
        <w:rPr>
          <w:noProof/>
        </w:rPr>
        <w:t xml:space="preserve"> és mechanikai-biológiai hulladékkezelő létesítményekkel kapcsolatos tevékenységek</w:t>
      </w:r>
      <w:r>
        <w:rPr>
          <w:rStyle w:val="FootnoteReference"/>
          <w:noProof/>
        </w:rPr>
        <w:footnoteReference w:id="38"/>
      </w:r>
      <w:r>
        <w:rPr>
          <w:noProof/>
        </w:rPr>
        <w:t>; vala</w:t>
      </w:r>
      <w:r>
        <w:rPr>
          <w:noProof/>
        </w:rPr>
        <w:t>mint iv. azok a tevékenységek, amelyek esetében a hulladék hosszú távú ártalmatlanítása károsíthatja a környezetet. A pályázati felhívásokban meghatározott szabályoknak emellett ki kell mondaniuk, hogy kizárólag a vonatkozó uniós és nemzeti környezetvédelm</w:t>
      </w:r>
      <w:r>
        <w:rPr>
          <w:noProof/>
        </w:rPr>
        <w:t>i jogszabályokkal összhangban lévő tevékenységek választhatók ki.</w:t>
      </w:r>
    </w:p>
    <w:p w14:paraId="2D7E1C74" w14:textId="1A04B55B" w:rsidR="003F5418" w:rsidRDefault="00B07E42">
      <w:pPr>
        <w:pStyle w:val="P68B1DB1-Normal2"/>
        <w:spacing w:before="120" w:after="120"/>
        <w:jc w:val="both"/>
        <w:rPr>
          <w:noProof/>
        </w:rPr>
      </w:pPr>
      <w:r>
        <w:rPr>
          <w:noProof/>
        </w:rPr>
        <w:t>3.2. Beruházás – Zöld közösségek</w:t>
      </w:r>
    </w:p>
    <w:p w14:paraId="5A165AA4" w14:textId="77777777" w:rsidR="003F5418" w:rsidRDefault="002A6C25">
      <w:pPr>
        <w:spacing w:before="120" w:after="120"/>
        <w:jc w:val="both"/>
        <w:rPr>
          <w:noProof/>
        </w:rPr>
      </w:pPr>
      <w:r>
        <w:rPr>
          <w:noProof/>
        </w:rPr>
        <w:t xml:space="preserve">Ez a beruházás a vidéki és hegyvidéki területek támogatását jelenti, amelyek fő erőforrásaikat (úgynevezett „zöld közösségek”) kiegyensúlyozott módon </w:t>
      </w:r>
      <w:r>
        <w:rPr>
          <w:noProof/>
        </w:rPr>
        <w:t>kívánják kiaknázni, különösen a következő területeken:</w:t>
      </w:r>
    </w:p>
    <w:p w14:paraId="26A030E1" w14:textId="77777777" w:rsidR="003F5418" w:rsidRDefault="002A6C25">
      <w:pPr>
        <w:numPr>
          <w:ilvl w:val="0"/>
          <w:numId w:val="64"/>
        </w:numPr>
        <w:spacing w:before="120" w:after="120" w:line="259" w:lineRule="auto"/>
        <w:ind w:left="360"/>
        <w:contextualSpacing/>
        <w:jc w:val="both"/>
        <w:rPr>
          <w:noProof/>
        </w:rPr>
      </w:pPr>
      <w:r>
        <w:rPr>
          <w:noProof/>
        </w:rPr>
        <w:t>az agrárerdészeti örökség integrált és tanúsított kezelése („a szén-dioxid-leválasztásból származó kreditek cseréje, a biológiai sokféleség kezelése és a faellátási lánc tanúsítása révén is);</w:t>
      </w:r>
    </w:p>
    <w:p w14:paraId="6A7FDF68" w14:textId="77777777" w:rsidR="003F5418" w:rsidRDefault="002A6C25">
      <w:pPr>
        <w:numPr>
          <w:ilvl w:val="0"/>
          <w:numId w:val="64"/>
        </w:numPr>
        <w:spacing w:before="120" w:after="120" w:line="259" w:lineRule="auto"/>
        <w:ind w:left="360"/>
        <w:contextualSpacing/>
        <w:jc w:val="both"/>
        <w:rPr>
          <w:noProof/>
        </w:rPr>
      </w:pPr>
      <w:r>
        <w:rPr>
          <w:noProof/>
        </w:rPr>
        <w:t>integrált</w:t>
      </w:r>
      <w:r>
        <w:rPr>
          <w:noProof/>
        </w:rPr>
        <w:t xml:space="preserve"> és tanúsított vízkészlet-gazdálkodás;</w:t>
      </w:r>
    </w:p>
    <w:p w14:paraId="46AA9769" w14:textId="77777777" w:rsidR="003F5418" w:rsidRDefault="002A6C25">
      <w:pPr>
        <w:numPr>
          <w:ilvl w:val="0"/>
          <w:numId w:val="64"/>
        </w:numPr>
        <w:spacing w:before="120" w:after="120" w:line="259" w:lineRule="auto"/>
        <w:ind w:left="360"/>
        <w:contextualSpacing/>
        <w:jc w:val="both"/>
        <w:rPr>
          <w:noProof/>
        </w:rPr>
      </w:pPr>
      <w:r>
        <w:rPr>
          <w:noProof/>
        </w:rPr>
        <w:t>helyi megújuló energiaforrásokból, például mikrovíz-erőművekből, biomasszából, biogázból, szélből, kapcsolt energiatermelésből és biometánból történő energiatermelés;</w:t>
      </w:r>
    </w:p>
    <w:p w14:paraId="197F6FF0" w14:textId="77777777" w:rsidR="003F5418" w:rsidRDefault="002A6C25">
      <w:pPr>
        <w:numPr>
          <w:ilvl w:val="0"/>
          <w:numId w:val="64"/>
        </w:numPr>
        <w:spacing w:before="120" w:after="120" w:line="259" w:lineRule="auto"/>
        <w:ind w:left="360"/>
        <w:contextualSpacing/>
        <w:jc w:val="both"/>
        <w:rPr>
          <w:noProof/>
        </w:rPr>
      </w:pPr>
      <w:r>
        <w:rPr>
          <w:noProof/>
        </w:rPr>
        <w:t>a fenntartható turizmus fejlesztése („a helyi term</w:t>
      </w:r>
      <w:r>
        <w:rPr>
          <w:noProof/>
        </w:rPr>
        <w:t>ékek fejlesztésére képes”);</w:t>
      </w:r>
    </w:p>
    <w:p w14:paraId="48F60707" w14:textId="77777777" w:rsidR="003F5418" w:rsidRDefault="002A6C25">
      <w:pPr>
        <w:numPr>
          <w:ilvl w:val="0"/>
          <w:numId w:val="64"/>
        </w:numPr>
        <w:spacing w:before="120" w:after="120" w:line="259" w:lineRule="auto"/>
        <w:ind w:left="360"/>
        <w:contextualSpacing/>
        <w:jc w:val="both"/>
        <w:rPr>
          <w:noProof/>
        </w:rPr>
      </w:pPr>
      <w:r>
        <w:rPr>
          <w:noProof/>
        </w:rPr>
        <w:t>modern hegyek épületállományának és infrastruktúrájának építése és fenntartható kezelése;</w:t>
      </w:r>
    </w:p>
    <w:p w14:paraId="21788444" w14:textId="77777777" w:rsidR="003F5418" w:rsidRDefault="002A6C25">
      <w:pPr>
        <w:numPr>
          <w:ilvl w:val="0"/>
          <w:numId w:val="64"/>
        </w:numPr>
        <w:spacing w:before="120" w:after="120" w:line="259" w:lineRule="auto"/>
        <w:ind w:left="360"/>
        <w:contextualSpacing/>
        <w:jc w:val="both"/>
        <w:rPr>
          <w:noProof/>
        </w:rPr>
      </w:pPr>
      <w:r>
        <w:rPr>
          <w:noProof/>
        </w:rPr>
        <w:t>energiahatékonyság, valamint az erőművek és hálózatok intelligens integrációja;</w:t>
      </w:r>
    </w:p>
    <w:p w14:paraId="2776EDAF" w14:textId="77777777" w:rsidR="003F5418" w:rsidRDefault="002A6C25">
      <w:pPr>
        <w:numPr>
          <w:ilvl w:val="0"/>
          <w:numId w:val="64"/>
        </w:numPr>
        <w:spacing w:before="120" w:after="120" w:line="259" w:lineRule="auto"/>
        <w:ind w:left="360"/>
        <w:contextualSpacing/>
        <w:jc w:val="both"/>
        <w:rPr>
          <w:noProof/>
        </w:rPr>
      </w:pPr>
      <w:r>
        <w:rPr>
          <w:noProof/>
        </w:rPr>
        <w:t>a termelési tevékenységek fenntartható fejlesztése (zéró h</w:t>
      </w:r>
      <w:r>
        <w:rPr>
          <w:noProof/>
        </w:rPr>
        <w:t>ulladéktermelés);</w:t>
      </w:r>
    </w:p>
    <w:p w14:paraId="18892945" w14:textId="77777777" w:rsidR="003F5418" w:rsidRDefault="002A6C25">
      <w:pPr>
        <w:numPr>
          <w:ilvl w:val="0"/>
          <w:numId w:val="64"/>
        </w:numPr>
        <w:spacing w:before="120" w:after="120" w:line="259" w:lineRule="auto"/>
        <w:ind w:left="360"/>
        <w:contextualSpacing/>
        <w:jc w:val="both"/>
        <w:rPr>
          <w:noProof/>
        </w:rPr>
      </w:pPr>
      <w:r>
        <w:rPr>
          <w:noProof/>
        </w:rPr>
        <w:t>a mobilitási szolgáltatások integrációja;</w:t>
      </w:r>
    </w:p>
    <w:p w14:paraId="6100F59C" w14:textId="77777777" w:rsidR="003F5418" w:rsidRDefault="002A6C25">
      <w:pPr>
        <w:numPr>
          <w:ilvl w:val="0"/>
          <w:numId w:val="64"/>
        </w:numPr>
        <w:spacing w:before="120" w:after="120" w:line="259" w:lineRule="auto"/>
        <w:ind w:left="360"/>
        <w:contextualSpacing/>
        <w:jc w:val="both"/>
        <w:rPr>
          <w:noProof/>
        </w:rPr>
      </w:pPr>
      <w:r>
        <w:rPr>
          <w:noProof/>
        </w:rPr>
        <w:t xml:space="preserve">fenntartható mezőgazdasági modell kidolgozása („amely az elektromos, a hő- és a közlekedési ágazatban megújuló energiaforrásokból előállított energia termelése és felhasználása révén is független </w:t>
      </w:r>
      <w:r>
        <w:rPr>
          <w:noProof/>
        </w:rPr>
        <w:t>energia”).</w:t>
      </w:r>
    </w:p>
    <w:p w14:paraId="7CDB4EB0" w14:textId="77777777" w:rsidR="003F5418" w:rsidRDefault="002A6C25">
      <w:pPr>
        <w:pStyle w:val="ListParagraph"/>
        <w:numPr>
          <w:ilvl w:val="0"/>
          <w:numId w:val="64"/>
        </w:numPr>
        <w:spacing w:line="259" w:lineRule="auto"/>
        <w:ind w:left="360"/>
        <w:rPr>
          <w:rFonts w:asciiTheme="minorHAnsi" w:eastAsiaTheme="minorEastAsia" w:hAnsiTheme="minorHAnsi" w:cstheme="minorBidi"/>
          <w:noProof/>
          <w:color w:val="006100"/>
        </w:rPr>
      </w:pPr>
      <w:r>
        <w:rPr>
          <w:noProof/>
        </w:rPr>
        <w:t>Annak biztosítása érdekében, hogy az intézkedés megfeleljen a jelentős károkozás elkerülését célzó elvről szóló technikai iránymutatásnak (2021/C58/01), a soron következő pályázati felhívásokra vonatkozó feladatmeghatározásban szereplő támogatha</w:t>
      </w:r>
      <w:r>
        <w:rPr>
          <w:noProof/>
        </w:rPr>
        <w:t>tósági kritériumok nem tartalmazzák a tevékenységek alábbi listáját: a fosszilis tüzelőanyagokkal kapcsolatos tevékenységek, beleértve a továbbfelhasználást is</w:t>
      </w:r>
      <w:r>
        <w:rPr>
          <w:rStyle w:val="FootnoteReference"/>
          <w:noProof/>
        </w:rPr>
        <w:footnoteReference w:id="39"/>
      </w:r>
      <w:r>
        <w:rPr>
          <w:noProof/>
        </w:rPr>
        <w:t>; ii. az uniós kibocsátáskereskedelmi rendszer (ETS) keretében végzett tevékenységek, amelyek el</w:t>
      </w:r>
      <w:r>
        <w:rPr>
          <w:noProof/>
        </w:rPr>
        <w:t>érik a vonatkozó referenciaértékeket meg nem haladó, előre jelzett üvegházhatásúgáz-kibocsátást</w:t>
      </w:r>
      <w:r>
        <w:rPr>
          <w:rStyle w:val="FootnoteReference"/>
          <w:noProof/>
        </w:rPr>
        <w:footnoteReference w:id="40"/>
      </w:r>
      <w:r>
        <w:rPr>
          <w:noProof/>
        </w:rPr>
        <w:t>; hulladéklerakókkal, hulladékégetőkkel</w:t>
      </w:r>
      <w:r>
        <w:rPr>
          <w:rStyle w:val="FootnoteReference"/>
          <w:noProof/>
        </w:rPr>
        <w:footnoteReference w:id="41"/>
      </w:r>
      <w:r>
        <w:rPr>
          <w:noProof/>
        </w:rPr>
        <w:t xml:space="preserve"> és mechanikai-biológiai hulladékkezelő létesítményekkel kapcsolatos tevékenységek</w:t>
      </w:r>
      <w:r>
        <w:rPr>
          <w:rStyle w:val="FootnoteReference"/>
          <w:noProof/>
        </w:rPr>
        <w:footnoteReference w:id="42"/>
      </w:r>
      <w:r>
        <w:rPr>
          <w:noProof/>
        </w:rPr>
        <w:t xml:space="preserve">; valamint iv. azok a tevékenységek, </w:t>
      </w:r>
      <w:r>
        <w:rPr>
          <w:noProof/>
        </w:rPr>
        <w:t>amelyek esetében a hulladék hosszú távú ártalmatlanítása károsíthatja a környezetet. A pályázati felhívásokban meghatározott szabályoknak emellett ki kell mondaniuk, hogy kizárólag a vonatkozó uniós és nemzeti környezetvédelmi jogszabályokkal összhangban l</w:t>
      </w:r>
      <w:r>
        <w:rPr>
          <w:noProof/>
        </w:rPr>
        <w:t>évő tevékenységek választhatók ki.</w:t>
      </w:r>
    </w:p>
    <w:p w14:paraId="0466C129" w14:textId="5EE1A588" w:rsidR="003F5418" w:rsidRDefault="00B07E42">
      <w:pPr>
        <w:pStyle w:val="P68B1DB1-Normal2"/>
        <w:spacing w:before="120" w:after="120"/>
        <w:jc w:val="both"/>
        <w:rPr>
          <w:noProof/>
        </w:rPr>
      </w:pPr>
      <w:r>
        <w:rPr>
          <w:noProof/>
        </w:rPr>
        <w:t>3.4. Beruházás – Fondo Rotativo Contratti di Filiera (FCF) az agrár-élelmiszeripari, halászati és akvakultúra-ágazat, az erdészet, a virágkertészet és a növényiskolák ellátási láncaira vonatkozó szerződések támogatása érdekében</w:t>
      </w:r>
    </w:p>
    <w:p w14:paraId="750CE1E3" w14:textId="77777777" w:rsidR="003F5418" w:rsidRDefault="002A6C25">
      <w:pPr>
        <w:spacing w:after="120"/>
        <w:jc w:val="both"/>
        <w:rPr>
          <w:noProof/>
        </w:rPr>
      </w:pPr>
      <w:r>
        <w:rPr>
          <w:noProof/>
        </w:rPr>
        <w:t>Ez az intézkedés egy eszközbe, a Fondo Rotativo Contratti di Filiera-ba (FCF) történő állami beruházásból áll annak érdekében, hogy ösztönözze a magánberuházásokat, és javítsa a finanszírozáshoz való hozzáférést Olaszország agrár-élelmiszeripari, ha</w:t>
      </w:r>
      <w:r>
        <w:rPr>
          <w:noProof/>
        </w:rPr>
        <w:t>lászati és akvakultúra-, erdészeti, virágkertészeti és növényiskolás ágazataiban. Az eszköz közvetlenül az ISMEA-n (Istituto di Servizi per il Mercato Agricolo Alimentare) keresztül nyújt vissza nem térítendő támogatásokat és támogatott kölcsönöket. Az esz</w:t>
      </w:r>
      <w:r>
        <w:rPr>
          <w:noProof/>
        </w:rPr>
        <w:t xml:space="preserve">köz összege 2 milliárd EUR, beleértve az ISMEA-nak fizetendő díjakat is. </w:t>
      </w:r>
    </w:p>
    <w:p w14:paraId="0A42B0D0" w14:textId="77777777" w:rsidR="003F5418" w:rsidRDefault="002A6C25">
      <w:pPr>
        <w:spacing w:after="120"/>
        <w:jc w:val="both"/>
        <w:rPr>
          <w:noProof/>
        </w:rPr>
      </w:pPr>
      <w:r>
        <w:rPr>
          <w:noProof/>
        </w:rPr>
        <w:t>Az eszközt végrehajtó partnerként az ISMEA kezeli. Az Alap a következő terméksorokat foglalja magában:</w:t>
      </w:r>
    </w:p>
    <w:p w14:paraId="3B85CC0B" w14:textId="77777777" w:rsidR="003F5418" w:rsidRDefault="002A6C25">
      <w:pPr>
        <w:pStyle w:val="ListParagraph"/>
        <w:numPr>
          <w:ilvl w:val="0"/>
          <w:numId w:val="103"/>
        </w:numPr>
        <w:spacing w:before="0"/>
        <w:contextualSpacing w:val="0"/>
        <w:rPr>
          <w:noProof/>
        </w:rPr>
      </w:pPr>
      <w:r>
        <w:rPr>
          <w:noProof/>
        </w:rPr>
        <w:t>Az agrár-élelmiszeripari, a halászati és az akvakultúra-, az erdészeti, a virág</w:t>
      </w:r>
      <w:r>
        <w:rPr>
          <w:noProof/>
        </w:rPr>
        <w:t>kertészeti és a növényiskolai ágazatban működő vállalkozások, vállalkozáscsoportok vagy mezőgazdasági termelői társulások, valamint kutatási és tudásterjesztő szervezetek támogatása a termelési folyamatok javítása révén, az alábbiak közé tartozó tevékenysé</w:t>
      </w:r>
      <w:r>
        <w:rPr>
          <w:noProof/>
        </w:rPr>
        <w:t>gek kombinációjának bevonásával:</w:t>
      </w:r>
    </w:p>
    <w:p w14:paraId="16F1897B" w14:textId="77777777" w:rsidR="003F5418" w:rsidRDefault="002A6C25">
      <w:pPr>
        <w:pStyle w:val="ListParagraph"/>
        <w:numPr>
          <w:ilvl w:val="1"/>
          <w:numId w:val="103"/>
        </w:numPr>
        <w:spacing w:before="0"/>
        <w:contextualSpacing w:val="0"/>
        <w:rPr>
          <w:noProof/>
        </w:rPr>
      </w:pPr>
      <w:r>
        <w:rPr>
          <w:noProof/>
        </w:rPr>
        <w:t>A termelési folyamatok környezeti fenntarthatóságának javítása tárgyi eszközökbe és immateriális javakba történő beruházásokkal a célzott termelési folyamatok energia-, víz- és erőforrás-fogyasztása hatékonyságának jelentős</w:t>
      </w:r>
      <w:r>
        <w:rPr>
          <w:noProof/>
        </w:rPr>
        <w:t xml:space="preserve"> növelése érdekében;</w:t>
      </w:r>
    </w:p>
    <w:p w14:paraId="4B33F219" w14:textId="77777777" w:rsidR="003F5418" w:rsidRDefault="002A6C25">
      <w:pPr>
        <w:pStyle w:val="ListParagraph"/>
        <w:numPr>
          <w:ilvl w:val="1"/>
          <w:numId w:val="103"/>
        </w:numPr>
        <w:spacing w:before="0"/>
        <w:contextualSpacing w:val="0"/>
        <w:rPr>
          <w:noProof/>
        </w:rPr>
      </w:pPr>
      <w:r>
        <w:rPr>
          <w:noProof/>
        </w:rPr>
        <w:t>Tudásba, képzésbe, kutatásba és innovációba, technológiaátadási és -fejlesztési projektekbe történő beruházások,</w:t>
      </w:r>
      <w:r>
        <w:rPr>
          <w:noProof/>
        </w:rPr>
        <w:t xml:space="preserve"> amelyek az ellátási lánc különböző szereplői közötti kapcsolatok átszervezését is támogathatják a termelési folyamatok fenntarthatóságának fokozása érdekében; </w:t>
      </w:r>
    </w:p>
    <w:p w14:paraId="22DB8EB0" w14:textId="77777777" w:rsidR="003F5418" w:rsidRDefault="002A6C25">
      <w:pPr>
        <w:pStyle w:val="ListParagraph"/>
        <w:numPr>
          <w:ilvl w:val="1"/>
          <w:numId w:val="103"/>
        </w:numPr>
        <w:spacing w:before="0"/>
        <w:contextualSpacing w:val="0"/>
        <w:rPr>
          <w:noProof/>
        </w:rPr>
      </w:pPr>
      <w:r>
        <w:rPr>
          <w:noProof/>
        </w:rPr>
        <w:t>A vállalkozások digitalizációjára, többek között az e-kereskedelemre és a kialakulóban lévő tec</w:t>
      </w:r>
      <w:r>
        <w:rPr>
          <w:noProof/>
        </w:rPr>
        <w:t>hnológiákra irányuló beruházások;</w:t>
      </w:r>
    </w:p>
    <w:p w14:paraId="5BFDB51A" w14:textId="77777777" w:rsidR="003F5418" w:rsidRDefault="002A6C25">
      <w:pPr>
        <w:pStyle w:val="ListParagraph"/>
        <w:numPr>
          <w:ilvl w:val="1"/>
          <w:numId w:val="103"/>
        </w:numPr>
        <w:spacing w:before="0"/>
        <w:contextualSpacing w:val="0"/>
        <w:rPr>
          <w:noProof/>
        </w:rPr>
      </w:pPr>
      <w:r>
        <w:rPr>
          <w:noProof/>
        </w:rPr>
        <w:t>Fotovoltaikus és napelemek üzembe helyezése</w:t>
      </w:r>
    </w:p>
    <w:p w14:paraId="2F198502" w14:textId="77777777" w:rsidR="003F5418" w:rsidRDefault="002A6C25">
      <w:pPr>
        <w:spacing w:before="120" w:after="120"/>
        <w:jc w:val="both"/>
        <w:rPr>
          <w:noProof/>
        </w:rPr>
      </w:pPr>
      <w:r>
        <w:rPr>
          <w:noProof/>
        </w:rPr>
        <w:t>Az intézkedés célja az üvegházhatásúgáz-kibocsátás, az élelmiszer-pazarlás, valamint a növényvédő szerek és antimikrobiális</w:t>
      </w:r>
      <w:r>
        <w:rPr>
          <w:noProof/>
        </w:rPr>
        <w:t xml:space="preserve"> szerek használatának csökkentése, az energiahatékonyság javítása, valamint a megújuló energia előállításának és felhasználásának növelése.  </w:t>
      </w:r>
    </w:p>
    <w:p w14:paraId="01105A0C" w14:textId="77777777" w:rsidR="003F5418" w:rsidRDefault="002A6C25">
      <w:pPr>
        <w:spacing w:after="120"/>
        <w:jc w:val="both"/>
        <w:rPr>
          <w:noProof/>
        </w:rPr>
      </w:pPr>
      <w:r>
        <w:rPr>
          <w:noProof/>
        </w:rPr>
        <w:t>Az eszközbe történő beruházás végrehajtása érdekében a minisztérium és az ISMEA végrehajtási megállapodást ír alá,</w:t>
      </w:r>
      <w:r>
        <w:rPr>
          <w:noProof/>
        </w:rPr>
        <w:t xml:space="preserve"> amely a következő tartalmat tartalmazza:</w:t>
      </w:r>
    </w:p>
    <w:p w14:paraId="6B5B3A4D" w14:textId="77777777" w:rsidR="003F5418" w:rsidRDefault="002A6C25">
      <w:pPr>
        <w:pStyle w:val="ListParagraph"/>
        <w:numPr>
          <w:ilvl w:val="0"/>
          <w:numId w:val="102"/>
        </w:numPr>
        <w:spacing w:before="0"/>
        <w:contextualSpacing w:val="0"/>
        <w:rPr>
          <w:noProof/>
        </w:rPr>
      </w:pPr>
      <w:r>
        <w:rPr>
          <w:noProof/>
        </w:rPr>
        <w:t>Az eszköz döntéshozatali folyamatának leírása: Az Alap végleges beruházási határozatát beruházási bizottság vagy más, azzal egyenértékű irányító testület hozza meg, és a kormánytól független tagok szavazatainak töb</w:t>
      </w:r>
      <w:r>
        <w:rPr>
          <w:noProof/>
        </w:rPr>
        <w:t>bségével hagyja jóvá.</w:t>
      </w:r>
    </w:p>
    <w:p w14:paraId="25D881CE" w14:textId="77777777" w:rsidR="003F5418" w:rsidRDefault="002A6C25">
      <w:pPr>
        <w:pStyle w:val="ListParagraph"/>
        <w:numPr>
          <w:ilvl w:val="0"/>
          <w:numId w:val="102"/>
        </w:numPr>
        <w:spacing w:before="0"/>
        <w:contextualSpacing w:val="0"/>
        <w:rPr>
          <w:noProof/>
        </w:rPr>
      </w:pPr>
      <w:r>
        <w:rPr>
          <w:noProof/>
        </w:rPr>
        <w:t>A kapcsolódó beruházási politika fő követelményei, amelyek a következőket foglalják magukban:</w:t>
      </w:r>
    </w:p>
    <w:p w14:paraId="7DF87527" w14:textId="77777777" w:rsidR="003F5418" w:rsidRDefault="002A6C25">
      <w:pPr>
        <w:pStyle w:val="ListParagraph"/>
        <w:numPr>
          <w:ilvl w:val="1"/>
          <w:numId w:val="102"/>
        </w:numPr>
        <w:spacing w:before="0"/>
        <w:contextualSpacing w:val="0"/>
        <w:rPr>
          <w:noProof/>
        </w:rPr>
      </w:pPr>
      <w:r>
        <w:rPr>
          <w:noProof/>
        </w:rPr>
        <w:t>A pénzügyi termék(ek) és a támogatható végső kedvezményezettek leírása.</w:t>
      </w:r>
    </w:p>
    <w:p w14:paraId="3FB357A6" w14:textId="77777777" w:rsidR="003F5418" w:rsidRDefault="002A6C25">
      <w:pPr>
        <w:pStyle w:val="ListParagraph"/>
        <w:numPr>
          <w:ilvl w:val="1"/>
          <w:numId w:val="102"/>
        </w:numPr>
        <w:spacing w:before="0"/>
        <w:contextualSpacing w:val="0"/>
        <w:rPr>
          <w:noProof/>
        </w:rPr>
      </w:pPr>
      <w:r>
        <w:rPr>
          <w:noProof/>
        </w:rPr>
        <w:t>Az a követelmény, hogy minden támogatott beruházás gazdaságilag élet</w:t>
      </w:r>
      <w:r>
        <w:rPr>
          <w:noProof/>
        </w:rPr>
        <w:t>képes legyen.</w:t>
      </w:r>
    </w:p>
    <w:p w14:paraId="5E364628" w14:textId="77777777" w:rsidR="003F5418" w:rsidRDefault="002A6C25">
      <w:pPr>
        <w:pStyle w:val="ListParagraph"/>
        <w:numPr>
          <w:ilvl w:val="1"/>
          <w:numId w:val="102"/>
        </w:numPr>
        <w:spacing w:before="0"/>
        <w:contextualSpacing w:val="0"/>
        <w:rPr>
          <w:noProof/>
        </w:rPr>
      </w:pPr>
      <w:r>
        <w:rPr>
          <w:noProof/>
        </w:rPr>
        <w:t xml:space="preserve">A jelentős károkozás elkerülését célzó elvnek való megfelelés követelménye a DNSH technikai iránymutatásban (2021/C58/01) meghatározottak szerint. A beruházási politikának különösen a tevékenységek és eszközök alábbi listáját kell kizárnia a </w:t>
      </w:r>
      <w:r>
        <w:rPr>
          <w:noProof/>
        </w:rPr>
        <w:t>támogathatóság köréből: i. a fosszilis tüzelőanyagokhoz kapcsolódó tevékenységek és eszközök, beleértve a downstream felhasználást is, ii. az uniós kibocsátáskereskedelmi rendszer</w:t>
      </w:r>
      <w:r>
        <w:rPr>
          <w:rStyle w:val="FootnoteReference"/>
          <w:noProof/>
        </w:rPr>
        <w:footnoteReference w:id="43"/>
      </w:r>
      <w:r>
        <w:rPr>
          <w:noProof/>
        </w:rPr>
        <w:t>(ETS) keretébe tartozó tevékenységek és eszközök, amelyek elérik a vonatkozó</w:t>
      </w:r>
      <w:r>
        <w:rPr>
          <w:noProof/>
        </w:rPr>
        <w:t xml:space="preserve"> referenciaértékeket meg nem haladó, előre jelzett üvegházhatásúgáz-kibocsátást, iii. a hulladéklerakókhoz, égetőművekhez és mechanikai-biológiai hulladékkezelő létesítményekhez kapcsolódó</w:t>
      </w:r>
      <w:r>
        <w:rPr>
          <w:rStyle w:val="FootnoteReference"/>
          <w:noProof/>
        </w:rPr>
        <w:footnoteReference w:id="44"/>
      </w:r>
      <w:r>
        <w:rPr>
          <w:noProof/>
        </w:rPr>
        <w:t>tevékenységek</w:t>
      </w:r>
      <w:r>
        <w:rPr>
          <w:rStyle w:val="FootnoteReference"/>
          <w:noProof/>
        </w:rPr>
        <w:footnoteReference w:id="45"/>
      </w:r>
      <w:r>
        <w:rPr>
          <w:noProof/>
        </w:rPr>
        <w:t xml:space="preserve"> és eszközök</w:t>
      </w:r>
      <w:r>
        <w:rPr>
          <w:rStyle w:val="FootnoteReference"/>
          <w:noProof/>
        </w:rPr>
        <w:footnoteReference w:id="46"/>
      </w:r>
      <w:r>
        <w:rPr>
          <w:noProof/>
        </w:rPr>
        <w:t xml:space="preserve">. </w:t>
      </w:r>
    </w:p>
    <w:p w14:paraId="632E57FA" w14:textId="77777777" w:rsidR="003F5418" w:rsidRDefault="002A6C25">
      <w:pPr>
        <w:pStyle w:val="ListParagraph"/>
        <w:numPr>
          <w:ilvl w:val="1"/>
          <w:numId w:val="102"/>
        </w:numPr>
        <w:spacing w:before="0"/>
        <w:contextualSpacing w:val="0"/>
        <w:rPr>
          <w:noProof/>
        </w:rPr>
      </w:pPr>
      <w:r>
        <w:rPr>
          <w:noProof/>
        </w:rPr>
        <w:t xml:space="preserve">Az a követelmény, hogy az Alap végső </w:t>
      </w:r>
      <w:r>
        <w:rPr>
          <w:noProof/>
        </w:rPr>
        <w:t>kedvezményezettjei nem részesülhetnek támogatásban más uniós eszközökből ugyanazon költségek fedezésére.</w:t>
      </w:r>
    </w:p>
    <w:p w14:paraId="03F1FDCC" w14:textId="77777777" w:rsidR="003F5418" w:rsidRDefault="002A6C25">
      <w:pPr>
        <w:pStyle w:val="ListParagraph"/>
        <w:numPr>
          <w:ilvl w:val="0"/>
          <w:numId w:val="102"/>
        </w:numPr>
        <w:spacing w:before="0"/>
        <w:contextualSpacing w:val="0"/>
        <w:rPr>
          <w:noProof/>
        </w:rPr>
      </w:pPr>
      <w:r>
        <w:rPr>
          <w:noProof/>
        </w:rPr>
        <w:t xml:space="preserve">A végrehajtási megállapodás hatálya alá tartozó összeg, a végrehajtó partner díjstruktúrája, valamint az eszköz beruházási politikájának megfelelően a </w:t>
      </w:r>
      <w:r>
        <w:rPr>
          <w:noProof/>
        </w:rPr>
        <w:t>visszafolyó bevételek újbóli befektetésére vonatkozó követelmény.</w:t>
      </w:r>
    </w:p>
    <w:p w14:paraId="75A224C4" w14:textId="77777777" w:rsidR="003F5418" w:rsidRDefault="002A6C25">
      <w:pPr>
        <w:pStyle w:val="ListParagraph"/>
        <w:numPr>
          <w:ilvl w:val="0"/>
          <w:numId w:val="102"/>
        </w:numPr>
        <w:spacing w:before="0"/>
        <w:contextualSpacing w:val="0"/>
        <w:rPr>
          <w:noProof/>
        </w:rPr>
      </w:pPr>
      <w:r>
        <w:rPr>
          <w:noProof/>
        </w:rPr>
        <w:t>Nyomonkövetési, ellenőrzési és kontrollkövetelmények, beleértve a következőket:</w:t>
      </w:r>
    </w:p>
    <w:p w14:paraId="6869731B" w14:textId="77777777" w:rsidR="003F5418" w:rsidRDefault="002A6C25">
      <w:pPr>
        <w:pStyle w:val="ListParagraph"/>
        <w:numPr>
          <w:ilvl w:val="1"/>
          <w:numId w:val="102"/>
        </w:numPr>
        <w:spacing w:before="0"/>
        <w:contextualSpacing w:val="0"/>
        <w:rPr>
          <w:noProof/>
        </w:rPr>
      </w:pPr>
      <w:r>
        <w:rPr>
          <w:noProof/>
        </w:rPr>
        <w:t>A végrehajtó partner által a mozgósított beruházásról való jelentéstételhez használt monitoringrendszer leírás</w:t>
      </w:r>
      <w:r>
        <w:rPr>
          <w:noProof/>
        </w:rPr>
        <w:t>a.</w:t>
      </w:r>
    </w:p>
    <w:p w14:paraId="3071AF0C" w14:textId="77777777" w:rsidR="003F5418" w:rsidRDefault="002A6C25">
      <w:pPr>
        <w:pStyle w:val="ListParagraph"/>
        <w:numPr>
          <w:ilvl w:val="1"/>
          <w:numId w:val="102"/>
        </w:numPr>
        <w:spacing w:before="0"/>
        <w:contextualSpacing w:val="0"/>
        <w:rPr>
          <w:noProof/>
        </w:rPr>
      </w:pPr>
      <w:r>
        <w:rPr>
          <w:noProof/>
        </w:rPr>
        <w:t xml:space="preserve">A végrehajtó partner azon eljárásainak leírása, amelyek biztosítják a csalás, a korrupció és az összeférhetetlenség megelőzését, felderítését és korrekcióját. </w:t>
      </w:r>
    </w:p>
    <w:p w14:paraId="145529D7" w14:textId="77777777" w:rsidR="003F5418" w:rsidRDefault="002A6C25">
      <w:pPr>
        <w:pStyle w:val="ListParagraph"/>
        <w:numPr>
          <w:ilvl w:val="1"/>
          <w:numId w:val="102"/>
        </w:numPr>
        <w:spacing w:before="0"/>
        <w:contextualSpacing w:val="0"/>
        <w:rPr>
          <w:noProof/>
        </w:rPr>
      </w:pPr>
      <w:r>
        <w:rPr>
          <w:noProof/>
        </w:rPr>
        <w:t>Az egyes műveletek támogathatóságának a végrehajtási megállapodásban meghatározott követelmén</w:t>
      </w:r>
      <w:r>
        <w:rPr>
          <w:noProof/>
        </w:rPr>
        <w:t>yekkel összhangban történő, az egyes műveletek finanszírozására való kötelezettségvállalást megelőző ellenőrzésére vonatkozó kötelezettség.</w:t>
      </w:r>
    </w:p>
    <w:p w14:paraId="2232E5B7" w14:textId="6A30E1E9" w:rsidR="003F5418" w:rsidRDefault="002A6C25">
      <w:pPr>
        <w:pStyle w:val="ListParagraph"/>
        <w:numPr>
          <w:ilvl w:val="1"/>
          <w:numId w:val="102"/>
        </w:numPr>
        <w:spacing w:before="0"/>
        <w:rPr>
          <w:noProof/>
        </w:rPr>
      </w:pPr>
      <w:r>
        <w:rPr>
          <w:noProof/>
        </w:rPr>
        <w:t>A kockázatalapú utólagos ellenőrzések elvégzésére vonatkozó kötelezettség az ISMEA ellenőrzési tervével összhangban.</w:t>
      </w:r>
      <w:r>
        <w:rPr>
          <w:noProof/>
        </w:rPr>
        <w:t xml:space="preserve"> Ezeknek az ellenőrzéseknek meg kell győződniük i. arról, hogy az ellenőrzési rendszerek hatékonyak-e, beleértve a csalás, a korrupció és az összeférhetetlenség felderítését; a DNSH-elvnek, az állami támogatásokra vonatkozó szabályoknak, az éghajlat-politi</w:t>
      </w:r>
      <w:r>
        <w:rPr>
          <w:noProof/>
        </w:rPr>
        <w:t>kai és digitális célkövetelményeknek való megfelelés a Helyreállítási és Rezilienciaépítési Eszközről szóló rendelet VI. mellékletével és a Helyreállítási és Rezilienciaépítési Eszközről szóló rendelet VII. mellékletével összhangban; és iii. tiszteletben t</w:t>
      </w:r>
      <w:r>
        <w:rPr>
          <w:noProof/>
        </w:rPr>
        <w:t>artják azt a követelményt, hogy az Alap végső kedvezményezettjei nem részesültek támogatásban más uniós eszközökből ugyanazon költségek fedezésére. Az ellenőrzések azt is vizsgálják, hogy az ügyletek jogszerűek-e, valamint hogy az alkalmazandó végrehajtási</w:t>
      </w:r>
      <w:r>
        <w:rPr>
          <w:noProof/>
        </w:rPr>
        <w:t xml:space="preserve"> megállapodásban és finanszírozási megállapodásokban foglalt feltételeket betartják-e. </w:t>
      </w:r>
    </w:p>
    <w:p w14:paraId="15A35155" w14:textId="77D68698" w:rsidR="003F5418" w:rsidRDefault="002A6C25">
      <w:pPr>
        <w:pStyle w:val="ListParagraph"/>
        <w:numPr>
          <w:ilvl w:val="0"/>
          <w:numId w:val="102"/>
        </w:numPr>
        <w:spacing w:before="0"/>
        <w:contextualSpacing w:val="0"/>
        <w:rPr>
          <w:noProof/>
        </w:rPr>
      </w:pPr>
      <w:r>
        <w:rPr>
          <w:noProof/>
        </w:rPr>
        <w:t>A végrehajtó partner által végrehajtott éghajlat-politikai beruházásokra vonatkozó követelmények: a Helyreállítási és Rezilienciaépítési Eszköznek az alapba történő ber</w:t>
      </w:r>
      <w:r>
        <w:rPr>
          <w:noProof/>
        </w:rPr>
        <w:t>uházásából legalább 924 000 000,00 EUR-nak hozzá kell járulnia az éghajlatváltozással kapcsolatos célkitűzésekhez a Helyreállítási és Rezilienciaépítési Eszközről szóló rendelet VI. mellékletével összhangban.</w:t>
      </w:r>
      <w:r>
        <w:rPr>
          <w:rStyle w:val="FootnoteReference"/>
          <w:noProof/>
        </w:rPr>
        <w:footnoteReference w:id="47"/>
      </w:r>
    </w:p>
    <w:p w14:paraId="3573F808" w14:textId="77777777" w:rsidR="003F5418" w:rsidRDefault="002A6C25">
      <w:pPr>
        <w:spacing w:after="120"/>
        <w:jc w:val="both"/>
        <w:rPr>
          <w:rFonts w:eastAsiaTheme="minorEastAsia"/>
          <w:noProof/>
        </w:rPr>
      </w:pPr>
      <w:r>
        <w:rPr>
          <w:noProof/>
        </w:rPr>
        <w:t>Az intézkedés végrehajtása úgy fejeződik be, h</w:t>
      </w:r>
      <w:r>
        <w:rPr>
          <w:noProof/>
        </w:rPr>
        <w:t xml:space="preserve">ogy 2026. augusztus 31-ig átcsoportosítják a források teljes összegét az ISMEA-hoz az alap számára. </w:t>
      </w:r>
    </w:p>
    <w:p w14:paraId="3CFF0FB1" w14:textId="77777777" w:rsidR="003F5418" w:rsidRDefault="002A6C25">
      <w:pPr>
        <w:pStyle w:val="Heading3"/>
        <w:numPr>
          <w:ilvl w:val="0"/>
          <w:numId w:val="0"/>
        </w:numPr>
        <w:ind w:left="850" w:hanging="850"/>
        <w:rPr>
          <w:b/>
          <w:i w:val="0"/>
          <w:noProof/>
          <w:u w:val="single"/>
        </w:rPr>
      </w:pPr>
      <w:r>
        <w:rPr>
          <w:b/>
          <w:i w:val="0"/>
          <w:noProof/>
          <w:u w:val="single"/>
        </w:rPr>
        <w:t xml:space="preserve">D.4. </w:t>
      </w:r>
      <w:r>
        <w:rPr>
          <w:noProof/>
        </w:rPr>
        <w:t xml:space="preserve"> </w:t>
      </w:r>
      <w:r>
        <w:rPr>
          <w:b/>
          <w:i w:val="0"/>
          <w:noProof/>
          <w:u w:val="single"/>
        </w:rPr>
        <w:t xml:space="preserve">Hitel – a végrehajtáshoz és a nyomon követéshez kapcsolódó mérföldkövek, célok, mutatók és ütemterv </w:t>
      </w:r>
    </w:p>
    <w:p w14:paraId="2009C967" w14:textId="77777777" w:rsidR="003F5418" w:rsidRDefault="003F5418">
      <w:pPr>
        <w:spacing w:before="120" w:after="120"/>
        <w:ind w:left="709"/>
        <w:contextualSpacing/>
        <w:jc w:val="both"/>
        <w:rPr>
          <w:noProof/>
        </w:rPr>
      </w:pPr>
    </w:p>
    <w:p w14:paraId="32802E90" w14:textId="77777777" w:rsidR="003F5418" w:rsidRDefault="003F5418">
      <w:pPr>
        <w:spacing w:before="120" w:after="120"/>
        <w:ind w:left="709"/>
        <w:contextualSpacing/>
        <w:jc w:val="both"/>
        <w:rPr>
          <w:noProof/>
        </w:rPr>
        <w:sectPr w:rsidR="003F5418">
          <w:headerReference w:type="even" r:id="rId128"/>
          <w:headerReference w:type="default" r:id="rId129"/>
          <w:footerReference w:type="even" r:id="rId130"/>
          <w:footerReference w:type="default" r:id="rId131"/>
          <w:headerReference w:type="first" r:id="rId132"/>
          <w:footerReference w:type="first" r:id="rId133"/>
          <w:pgSz w:w="11907" w:h="16839"/>
          <w:pgMar w:top="1134" w:right="1134" w:bottom="1134" w:left="1134" w:header="567" w:footer="567"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598"/>
        <w:gridCol w:w="1185"/>
        <w:gridCol w:w="1732"/>
        <w:gridCol w:w="1603"/>
        <w:gridCol w:w="1275"/>
        <w:gridCol w:w="993"/>
        <w:gridCol w:w="1162"/>
        <w:gridCol w:w="963"/>
        <w:gridCol w:w="710"/>
        <w:gridCol w:w="3174"/>
      </w:tblGrid>
      <w:tr w:rsidR="003F5418" w14:paraId="7B8C5E1C" w14:textId="77777777">
        <w:trPr>
          <w:trHeight w:val="939"/>
          <w:tblHeader/>
          <w:jc w:val="center"/>
        </w:trPr>
        <w:tc>
          <w:tcPr>
            <w:tcW w:w="1220" w:type="dxa"/>
            <w:vMerge w:val="restart"/>
            <w:shd w:val="clear" w:color="auto" w:fill="BDD7EE"/>
            <w:vAlign w:val="center"/>
            <w:hideMark/>
          </w:tcPr>
          <w:p w14:paraId="7A87225A" w14:textId="77777777" w:rsidR="003F5418" w:rsidRDefault="002A6C25">
            <w:pPr>
              <w:pStyle w:val="P68B1DB1-Normal3"/>
              <w:jc w:val="center"/>
              <w:rPr>
                <w:noProof/>
              </w:rPr>
            </w:pPr>
            <w:r>
              <w:rPr>
                <w:noProof/>
              </w:rPr>
              <w:t>Sorszám</w:t>
            </w:r>
          </w:p>
        </w:tc>
        <w:tc>
          <w:tcPr>
            <w:tcW w:w="1598" w:type="dxa"/>
            <w:vMerge w:val="restart"/>
            <w:shd w:val="clear" w:color="auto" w:fill="BDD7EE"/>
            <w:vAlign w:val="center"/>
            <w:hideMark/>
          </w:tcPr>
          <w:p w14:paraId="2D3DC0F2" w14:textId="77777777" w:rsidR="003F5418" w:rsidRDefault="002A6C25">
            <w:pPr>
              <w:pStyle w:val="P68B1DB1-Normal3"/>
              <w:jc w:val="center"/>
              <w:rPr>
                <w:noProof/>
              </w:rPr>
            </w:pPr>
            <w:r>
              <w:rPr>
                <w:noProof/>
              </w:rPr>
              <w:t>Kapcsolódó intézkedés (reform vagy beruházás)</w:t>
            </w:r>
          </w:p>
        </w:tc>
        <w:tc>
          <w:tcPr>
            <w:tcW w:w="1185" w:type="dxa"/>
            <w:vMerge w:val="restart"/>
            <w:shd w:val="clear" w:color="auto" w:fill="BDD7EE"/>
            <w:vAlign w:val="center"/>
            <w:hideMark/>
          </w:tcPr>
          <w:p w14:paraId="351FCD45" w14:textId="77777777" w:rsidR="003F5418" w:rsidRDefault="002A6C25">
            <w:pPr>
              <w:pStyle w:val="P68B1DB1-Normal3"/>
              <w:jc w:val="center"/>
              <w:rPr>
                <w:noProof/>
              </w:rPr>
            </w:pPr>
            <w:r>
              <w:rPr>
                <w:noProof/>
              </w:rPr>
              <w:t>Mérföldkő/cél</w:t>
            </w:r>
          </w:p>
        </w:tc>
        <w:tc>
          <w:tcPr>
            <w:tcW w:w="1732" w:type="dxa"/>
            <w:vMerge w:val="restart"/>
            <w:shd w:val="clear" w:color="auto" w:fill="BDD7EE"/>
            <w:vAlign w:val="center"/>
            <w:hideMark/>
          </w:tcPr>
          <w:p w14:paraId="2012A33D" w14:textId="77777777" w:rsidR="003F5418" w:rsidRDefault="002A6C25">
            <w:pPr>
              <w:pStyle w:val="P68B1DB1-Normal3"/>
              <w:jc w:val="center"/>
              <w:rPr>
                <w:noProof/>
              </w:rPr>
            </w:pPr>
            <w:r>
              <w:rPr>
                <w:noProof/>
              </w:rPr>
              <w:t>Név</w:t>
            </w:r>
          </w:p>
        </w:tc>
        <w:tc>
          <w:tcPr>
            <w:tcW w:w="1603" w:type="dxa"/>
            <w:vMerge w:val="restart"/>
            <w:shd w:val="clear" w:color="auto" w:fill="BDD7EE"/>
            <w:vAlign w:val="center"/>
            <w:hideMark/>
          </w:tcPr>
          <w:p w14:paraId="060D2678"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430" w:type="dxa"/>
            <w:gridSpan w:val="3"/>
            <w:shd w:val="clear" w:color="auto" w:fill="BDD7EE"/>
            <w:vAlign w:val="center"/>
            <w:hideMark/>
          </w:tcPr>
          <w:p w14:paraId="41896BC3"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673" w:type="dxa"/>
            <w:gridSpan w:val="2"/>
            <w:shd w:val="clear" w:color="auto" w:fill="BDD7EE"/>
            <w:vAlign w:val="center"/>
            <w:hideMark/>
          </w:tcPr>
          <w:p w14:paraId="4FF7EB16" w14:textId="77777777" w:rsidR="003F5418" w:rsidRDefault="002A6C25">
            <w:pPr>
              <w:pStyle w:val="P68B1DB1-Normal3"/>
              <w:jc w:val="center"/>
              <w:rPr>
                <w:noProof/>
              </w:rPr>
            </w:pPr>
            <w:r>
              <w:rPr>
                <w:noProof/>
              </w:rPr>
              <w:t>A végrehajtás indikatív ütemterve</w:t>
            </w:r>
          </w:p>
        </w:tc>
        <w:tc>
          <w:tcPr>
            <w:tcW w:w="3174" w:type="dxa"/>
            <w:vMerge w:val="restart"/>
            <w:shd w:val="clear" w:color="auto" w:fill="BDD7EE"/>
            <w:vAlign w:val="center"/>
            <w:hideMark/>
          </w:tcPr>
          <w:p w14:paraId="75027D43" w14:textId="77777777" w:rsidR="003F5418" w:rsidRDefault="002A6C25">
            <w:pPr>
              <w:pStyle w:val="P68B1DB1-Normal3"/>
              <w:jc w:val="center"/>
              <w:rPr>
                <w:noProof/>
              </w:rPr>
            </w:pPr>
            <w:r>
              <w:rPr>
                <w:noProof/>
              </w:rPr>
              <w:t>Az egyes</w:t>
            </w:r>
            <w:r>
              <w:rPr>
                <w:noProof/>
              </w:rPr>
              <w:t xml:space="preserve"> mérföldkövek és célértékek leírása</w:t>
            </w:r>
          </w:p>
        </w:tc>
      </w:tr>
      <w:tr w:rsidR="003F5418" w14:paraId="75AB0AA8" w14:textId="77777777">
        <w:trPr>
          <w:trHeight w:val="739"/>
          <w:tblHeader/>
          <w:jc w:val="center"/>
        </w:trPr>
        <w:tc>
          <w:tcPr>
            <w:tcW w:w="1220" w:type="dxa"/>
            <w:vMerge/>
            <w:vAlign w:val="center"/>
            <w:hideMark/>
          </w:tcPr>
          <w:p w14:paraId="5303523B" w14:textId="77777777" w:rsidR="003F5418" w:rsidRDefault="003F5418">
            <w:pPr>
              <w:jc w:val="center"/>
              <w:rPr>
                <w:rFonts w:ascii="Arial Narrow" w:hAnsi="Arial Narrow"/>
                <w:b/>
                <w:noProof/>
                <w:sz w:val="20"/>
              </w:rPr>
            </w:pPr>
          </w:p>
        </w:tc>
        <w:tc>
          <w:tcPr>
            <w:tcW w:w="1598" w:type="dxa"/>
            <w:vMerge/>
            <w:vAlign w:val="center"/>
            <w:hideMark/>
          </w:tcPr>
          <w:p w14:paraId="4176773A" w14:textId="77777777" w:rsidR="003F5418" w:rsidRDefault="003F5418">
            <w:pPr>
              <w:jc w:val="center"/>
              <w:rPr>
                <w:rFonts w:ascii="Arial Narrow" w:hAnsi="Arial Narrow"/>
                <w:b/>
                <w:noProof/>
                <w:sz w:val="20"/>
              </w:rPr>
            </w:pPr>
          </w:p>
        </w:tc>
        <w:tc>
          <w:tcPr>
            <w:tcW w:w="1185" w:type="dxa"/>
            <w:vMerge/>
            <w:vAlign w:val="center"/>
            <w:hideMark/>
          </w:tcPr>
          <w:p w14:paraId="78C8C515" w14:textId="77777777" w:rsidR="003F5418" w:rsidRDefault="003F5418">
            <w:pPr>
              <w:jc w:val="center"/>
              <w:rPr>
                <w:rFonts w:ascii="Arial Narrow" w:hAnsi="Arial Narrow"/>
                <w:b/>
                <w:noProof/>
                <w:sz w:val="20"/>
              </w:rPr>
            </w:pPr>
          </w:p>
        </w:tc>
        <w:tc>
          <w:tcPr>
            <w:tcW w:w="1732" w:type="dxa"/>
            <w:vMerge/>
            <w:vAlign w:val="center"/>
            <w:hideMark/>
          </w:tcPr>
          <w:p w14:paraId="493DAEBD" w14:textId="77777777" w:rsidR="003F5418" w:rsidRDefault="003F5418">
            <w:pPr>
              <w:jc w:val="center"/>
              <w:rPr>
                <w:rFonts w:ascii="Arial Narrow" w:hAnsi="Arial Narrow"/>
                <w:b/>
                <w:noProof/>
                <w:sz w:val="20"/>
              </w:rPr>
            </w:pPr>
          </w:p>
        </w:tc>
        <w:tc>
          <w:tcPr>
            <w:tcW w:w="1603" w:type="dxa"/>
            <w:vMerge/>
            <w:vAlign w:val="center"/>
            <w:hideMark/>
          </w:tcPr>
          <w:p w14:paraId="5E656917" w14:textId="77777777" w:rsidR="003F5418" w:rsidRDefault="003F5418">
            <w:pPr>
              <w:jc w:val="center"/>
              <w:rPr>
                <w:rFonts w:ascii="Arial Narrow" w:hAnsi="Arial Narrow"/>
                <w:b/>
                <w:noProof/>
                <w:sz w:val="20"/>
              </w:rPr>
            </w:pPr>
          </w:p>
        </w:tc>
        <w:tc>
          <w:tcPr>
            <w:tcW w:w="1275" w:type="dxa"/>
            <w:shd w:val="clear" w:color="auto" w:fill="BDD7EE"/>
            <w:vAlign w:val="center"/>
            <w:hideMark/>
          </w:tcPr>
          <w:p w14:paraId="737D8ECA" w14:textId="77777777" w:rsidR="003F5418" w:rsidRDefault="002A6C25">
            <w:pPr>
              <w:pStyle w:val="P68B1DB1-Normal3"/>
              <w:jc w:val="center"/>
              <w:rPr>
                <w:noProof/>
              </w:rPr>
            </w:pPr>
            <w:r>
              <w:rPr>
                <w:noProof/>
              </w:rPr>
              <w:t>Mértékegység</w:t>
            </w:r>
          </w:p>
        </w:tc>
        <w:tc>
          <w:tcPr>
            <w:tcW w:w="993" w:type="dxa"/>
            <w:shd w:val="clear" w:color="auto" w:fill="BDD7EE"/>
            <w:vAlign w:val="center"/>
            <w:hideMark/>
          </w:tcPr>
          <w:p w14:paraId="32DBC9C1" w14:textId="77777777" w:rsidR="003F5418" w:rsidRDefault="002A6C25">
            <w:pPr>
              <w:pStyle w:val="P68B1DB1-Normal3"/>
              <w:jc w:val="center"/>
              <w:rPr>
                <w:noProof/>
              </w:rPr>
            </w:pPr>
            <w:r>
              <w:rPr>
                <w:noProof/>
              </w:rPr>
              <w:t>Kiindulási</w:t>
            </w:r>
          </w:p>
        </w:tc>
        <w:tc>
          <w:tcPr>
            <w:tcW w:w="1162" w:type="dxa"/>
            <w:shd w:val="clear" w:color="auto" w:fill="BDD7EE"/>
            <w:vAlign w:val="center"/>
            <w:hideMark/>
          </w:tcPr>
          <w:p w14:paraId="34D7BA05" w14:textId="77777777" w:rsidR="003F5418" w:rsidRDefault="002A6C25">
            <w:pPr>
              <w:pStyle w:val="P68B1DB1-Normal3"/>
              <w:jc w:val="center"/>
              <w:rPr>
                <w:noProof/>
              </w:rPr>
            </w:pPr>
            <w:r>
              <w:rPr>
                <w:noProof/>
              </w:rPr>
              <w:t>Cél</w:t>
            </w:r>
          </w:p>
        </w:tc>
        <w:tc>
          <w:tcPr>
            <w:tcW w:w="963" w:type="dxa"/>
            <w:shd w:val="clear" w:color="auto" w:fill="BDD7EE"/>
            <w:vAlign w:val="center"/>
            <w:hideMark/>
          </w:tcPr>
          <w:p w14:paraId="5308218A" w14:textId="77777777" w:rsidR="003F5418" w:rsidRDefault="002A6C25">
            <w:pPr>
              <w:pStyle w:val="P68B1DB1-Normal3"/>
              <w:jc w:val="center"/>
              <w:rPr>
                <w:noProof/>
              </w:rPr>
            </w:pPr>
            <w:r>
              <w:rPr>
                <w:noProof/>
              </w:rPr>
              <w:t>Negyedév</w:t>
            </w:r>
          </w:p>
        </w:tc>
        <w:tc>
          <w:tcPr>
            <w:tcW w:w="710" w:type="dxa"/>
            <w:shd w:val="clear" w:color="auto" w:fill="BDD7EE"/>
            <w:vAlign w:val="center"/>
            <w:hideMark/>
          </w:tcPr>
          <w:p w14:paraId="79FB8F29" w14:textId="77777777" w:rsidR="003F5418" w:rsidRDefault="002A6C25">
            <w:pPr>
              <w:pStyle w:val="P68B1DB1-Normal3"/>
              <w:jc w:val="center"/>
              <w:rPr>
                <w:noProof/>
              </w:rPr>
            </w:pPr>
            <w:r>
              <w:rPr>
                <w:noProof/>
              </w:rPr>
              <w:t>Éve</w:t>
            </w:r>
          </w:p>
        </w:tc>
        <w:tc>
          <w:tcPr>
            <w:tcW w:w="3174" w:type="dxa"/>
            <w:vMerge/>
            <w:vAlign w:val="center"/>
            <w:hideMark/>
          </w:tcPr>
          <w:p w14:paraId="42B0048A" w14:textId="77777777" w:rsidR="003F5418" w:rsidRDefault="003F5418">
            <w:pPr>
              <w:rPr>
                <w:rFonts w:ascii="Arial Narrow" w:hAnsi="Arial Narrow"/>
                <w:b/>
                <w:noProof/>
                <w:sz w:val="20"/>
              </w:rPr>
            </w:pPr>
          </w:p>
        </w:tc>
      </w:tr>
      <w:tr w:rsidR="003F5418" w14:paraId="21AA3511" w14:textId="77777777">
        <w:trPr>
          <w:trHeight w:val="313"/>
          <w:jc w:val="center"/>
        </w:trPr>
        <w:tc>
          <w:tcPr>
            <w:tcW w:w="1220" w:type="dxa"/>
            <w:shd w:val="clear" w:color="auto" w:fill="C6EFCE"/>
            <w:noWrap/>
            <w:vAlign w:val="center"/>
          </w:tcPr>
          <w:p w14:paraId="3DC4B7C8" w14:textId="77777777" w:rsidR="003F5418" w:rsidRDefault="002A6C25">
            <w:pPr>
              <w:pStyle w:val="P68B1DB1-Normal4"/>
              <w:spacing w:line="276" w:lineRule="auto"/>
              <w:jc w:val="center"/>
              <w:rPr>
                <w:noProof/>
              </w:rPr>
            </w:pPr>
            <w:r>
              <w:rPr>
                <w:noProof/>
              </w:rPr>
              <w:t>M2C1–13</w:t>
            </w:r>
          </w:p>
        </w:tc>
        <w:tc>
          <w:tcPr>
            <w:tcW w:w="1598" w:type="dxa"/>
            <w:shd w:val="clear" w:color="auto" w:fill="C6EFCE"/>
            <w:noWrap/>
            <w:vAlign w:val="center"/>
          </w:tcPr>
          <w:p w14:paraId="3ECB4B19" w14:textId="77777777" w:rsidR="003F5418" w:rsidRDefault="002A6C25">
            <w:pPr>
              <w:pStyle w:val="P68B1DB1-Normal4"/>
              <w:spacing w:line="276" w:lineRule="auto"/>
              <w:jc w:val="center"/>
              <w:rPr>
                <w:noProof/>
              </w:rPr>
            </w:pPr>
            <w:r>
              <w:rPr>
                <w:noProof/>
              </w:rPr>
              <w:t>Reform – Nemzeti hulladékgazdálkodási program</w:t>
            </w:r>
          </w:p>
        </w:tc>
        <w:tc>
          <w:tcPr>
            <w:tcW w:w="1185" w:type="dxa"/>
            <w:shd w:val="clear" w:color="auto" w:fill="C6EFCE"/>
            <w:noWrap/>
            <w:vAlign w:val="center"/>
          </w:tcPr>
          <w:p w14:paraId="180CD6F3"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3F9EEC16" w14:textId="77777777" w:rsidR="003F5418" w:rsidRDefault="002A6C25">
            <w:pPr>
              <w:pStyle w:val="P68B1DB1-Normal4"/>
              <w:spacing w:line="276" w:lineRule="auto"/>
              <w:jc w:val="center"/>
              <w:rPr>
                <w:noProof/>
              </w:rPr>
            </w:pPr>
            <w:r>
              <w:rPr>
                <w:noProof/>
              </w:rPr>
              <w:t>A Nemzeti Hulladékgazdálkodási Program miniszteri rendeletének hatálybalépése</w:t>
            </w:r>
          </w:p>
        </w:tc>
        <w:tc>
          <w:tcPr>
            <w:tcW w:w="1603" w:type="dxa"/>
            <w:shd w:val="clear" w:color="auto" w:fill="C6EFCE"/>
            <w:noWrap/>
            <w:vAlign w:val="center"/>
          </w:tcPr>
          <w:p w14:paraId="4ED3F097" w14:textId="77777777" w:rsidR="003F5418" w:rsidRDefault="002A6C25">
            <w:pPr>
              <w:pStyle w:val="P68B1DB1-Normal4"/>
              <w:spacing w:line="276" w:lineRule="auto"/>
              <w:jc w:val="center"/>
              <w:rPr>
                <w:noProof/>
              </w:rPr>
            </w:pPr>
            <w:r>
              <w:rPr>
                <w:noProof/>
              </w:rPr>
              <w:t xml:space="preserve">A hatálybalépést feltüntető </w:t>
            </w:r>
            <w:r>
              <w:rPr>
                <w:noProof/>
              </w:rPr>
              <w:t>törvényi rendelkezés</w:t>
            </w:r>
          </w:p>
        </w:tc>
        <w:tc>
          <w:tcPr>
            <w:tcW w:w="1275" w:type="dxa"/>
            <w:shd w:val="clear" w:color="auto" w:fill="C6EFCE"/>
            <w:noWrap/>
            <w:vAlign w:val="center"/>
          </w:tcPr>
          <w:p w14:paraId="33C1C093"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2B059A93"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1107C4B5"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72121C48"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3BD3EFC4" w14:textId="77777777" w:rsidR="003F5418" w:rsidRDefault="002A6C25">
            <w:pPr>
              <w:pStyle w:val="P68B1DB1-Normal4"/>
              <w:spacing w:line="276" w:lineRule="auto"/>
              <w:rPr>
                <w:noProof/>
              </w:rPr>
            </w:pPr>
            <w:r>
              <w:rPr>
                <w:noProof/>
              </w:rPr>
              <w:t>2022</w:t>
            </w:r>
          </w:p>
        </w:tc>
        <w:tc>
          <w:tcPr>
            <w:tcW w:w="3174" w:type="dxa"/>
            <w:shd w:val="clear" w:color="auto" w:fill="C6EFCE"/>
            <w:noWrap/>
            <w:vAlign w:val="center"/>
          </w:tcPr>
          <w:p w14:paraId="4CA2048D" w14:textId="77777777" w:rsidR="003F5418" w:rsidRDefault="002A6C25">
            <w:pPr>
              <w:pStyle w:val="P68B1DB1-Normal4"/>
              <w:spacing w:before="120" w:after="120" w:line="276" w:lineRule="auto"/>
              <w:rPr>
                <w:noProof/>
              </w:rPr>
            </w:pPr>
            <w:r>
              <w:rPr>
                <w:noProof/>
              </w:rPr>
              <w:t>A Nemzeti Hulladékgazdálkodási Program miniszteri rendelete legalább a következő célokat tartalmazza:</w:t>
            </w:r>
          </w:p>
          <w:p w14:paraId="7E956099" w14:textId="77777777" w:rsidR="003F5418" w:rsidRDefault="002A6C25">
            <w:pPr>
              <w:pStyle w:val="P68B1DB1-Normal4"/>
              <w:spacing w:line="276" w:lineRule="auto"/>
              <w:rPr>
                <w:noProof/>
              </w:rPr>
            </w:pPr>
            <w:r>
              <w:rPr>
                <w:noProof/>
              </w:rPr>
              <w:t>a hulladék újrahasználatra való előkészítésének, újrafeldolgozásának és hasznosításának legmagasabb szintjé</w:t>
            </w:r>
            <w:r>
              <w:rPr>
                <w:noProof/>
              </w:rPr>
              <w:t>nek elérése, legalább a 152/06. sz. törvényerejű rendelet 181. cikkében meghatározott célkitűzések elérése, valamint a kiterjesztett gyártói felelősségi rendszerek figyelembevételével;</w:t>
            </w:r>
          </w:p>
          <w:p w14:paraId="43A7C372" w14:textId="77777777" w:rsidR="003F5418" w:rsidRDefault="002A6C25">
            <w:pPr>
              <w:pStyle w:val="P68B1DB1-Normal4"/>
              <w:numPr>
                <w:ilvl w:val="0"/>
                <w:numId w:val="59"/>
              </w:numPr>
              <w:spacing w:before="120" w:line="276" w:lineRule="auto"/>
              <w:ind w:left="244" w:hanging="244"/>
              <w:contextualSpacing/>
              <w:rPr>
                <w:noProof/>
              </w:rPr>
            </w:pPr>
            <w:r>
              <w:rPr>
                <w:noProof/>
              </w:rPr>
              <w:t>az integrált hulladékgazdálkodáshoz szükséges létesítmények hálózatának</w:t>
            </w:r>
            <w:r>
              <w:rPr>
                <w:noProof/>
              </w:rPr>
              <w:t xml:space="preserve"> kiigazítása a körforgásos gazdaság fejlesztése érdekében, biztosítva az a) pontban meghatározott célkitűzések eléréséhez szükséges kapacitásokat, és következésképpen végső és maradvány lehetőségként minimalizálni a végleges ártalmatlanítást, a közelség el</w:t>
            </w:r>
            <w:r>
              <w:rPr>
                <w:noProof/>
              </w:rPr>
              <w:t>vével összhangban és figyelembe véve a 152/06. sz. törvényerejű rendelet 180. cikkében előírt nemzeti hulladékmegelőzési terv keretében meghatározott megelőzési célkitűzéseket;</w:t>
            </w:r>
          </w:p>
          <w:p w14:paraId="1601BB9E" w14:textId="77777777" w:rsidR="003F5418" w:rsidRDefault="002A6C25">
            <w:pPr>
              <w:pStyle w:val="P68B1DB1-Normal4"/>
              <w:numPr>
                <w:ilvl w:val="0"/>
                <w:numId w:val="59"/>
              </w:numPr>
              <w:spacing w:before="120" w:line="276" w:lineRule="auto"/>
              <w:ind w:left="244" w:hanging="244"/>
              <w:contextualSpacing/>
              <w:rPr>
                <w:noProof/>
              </w:rPr>
            </w:pPr>
            <w:r>
              <w:rPr>
                <w:noProof/>
              </w:rPr>
              <w:t>a program végrehajtásának megfelelő nyomon követése annak érdekében, hogy folya</w:t>
            </w:r>
            <w:r>
              <w:rPr>
                <w:noProof/>
              </w:rPr>
              <w:t>matosan ellenőrizhető legyen a program célkitűzéseinek való megfelelés, és szükség van-e korrekciós eszközök elfogadására a tervezett intézkedések megvalósítása érdekében;</w:t>
            </w:r>
          </w:p>
          <w:p w14:paraId="5B874FA6" w14:textId="77777777" w:rsidR="003F5418" w:rsidRDefault="002A6C25">
            <w:pPr>
              <w:pStyle w:val="P68B1DB1-Normal4"/>
              <w:numPr>
                <w:ilvl w:val="0"/>
                <w:numId w:val="59"/>
              </w:numPr>
              <w:spacing w:before="120" w:line="276" w:lineRule="auto"/>
              <w:ind w:left="244" w:hanging="244"/>
              <w:contextualSpacing/>
              <w:rPr>
                <w:noProof/>
              </w:rPr>
            </w:pPr>
            <w:r>
              <w:rPr>
                <w:noProof/>
              </w:rPr>
              <w:t xml:space="preserve">az Olasz Köztársaság ellen a hulladékciklus-tervezésre vonatkozó európai rendeletek </w:t>
            </w:r>
            <w:r>
              <w:rPr>
                <w:noProof/>
              </w:rPr>
              <w:t>végrehajtásának elmulasztása miatt indított új kötelezettségszegési eljárások megelőzése;</w:t>
            </w:r>
          </w:p>
          <w:p w14:paraId="7107766F" w14:textId="77777777" w:rsidR="003F5418" w:rsidRDefault="002A6C25">
            <w:pPr>
              <w:pStyle w:val="P68B1DB1-Normal4"/>
              <w:numPr>
                <w:ilvl w:val="0"/>
                <w:numId w:val="59"/>
              </w:numPr>
              <w:spacing w:before="120" w:line="276" w:lineRule="auto"/>
              <w:ind w:left="244" w:hanging="244"/>
              <w:contextualSpacing/>
              <w:rPr>
                <w:noProof/>
              </w:rPr>
            </w:pPr>
            <w:r>
              <w:rPr>
                <w:noProof/>
              </w:rPr>
              <w:t>az alacsony szintű hulladékgyűjtés kezelése és a hulladéklerakás visszaszorítása (lásd még a körforgásos gazdaságra vonatkozó nemzeti stratégiát);</w:t>
            </w:r>
          </w:p>
          <w:p w14:paraId="46576614" w14:textId="77777777" w:rsidR="003F5418" w:rsidRDefault="002A6C25">
            <w:pPr>
              <w:pStyle w:val="P68B1DB1-Normal4"/>
              <w:numPr>
                <w:ilvl w:val="0"/>
                <w:numId w:val="59"/>
              </w:numPr>
              <w:spacing w:before="120" w:line="276" w:lineRule="auto"/>
              <w:ind w:left="244" w:hanging="244"/>
              <w:contextualSpacing/>
              <w:rPr>
                <w:noProof/>
              </w:rPr>
            </w:pPr>
            <w:r>
              <w:rPr>
                <w:noProof/>
              </w:rPr>
              <w:t>a regionális hullad</w:t>
            </w:r>
            <w:r>
              <w:rPr>
                <w:noProof/>
              </w:rPr>
              <w:t>ékkezelő üzem kiegészíti a nemzeti hulladékgazdálkodási programot;</w:t>
            </w:r>
          </w:p>
          <w:p w14:paraId="21F3DA85" w14:textId="77777777" w:rsidR="003F5418" w:rsidRDefault="002A6C25">
            <w:pPr>
              <w:pStyle w:val="P68B1DB1-Normal4"/>
              <w:numPr>
                <w:ilvl w:val="0"/>
                <w:numId w:val="59"/>
              </w:numPr>
              <w:spacing w:before="120" w:line="276" w:lineRule="auto"/>
              <w:ind w:left="244" w:hanging="244"/>
              <w:contextualSpacing/>
              <w:rPr>
                <w:noProof/>
              </w:rPr>
            </w:pPr>
            <w:r>
              <w:rPr>
                <w:noProof/>
              </w:rPr>
              <w:t>a hulladékgazdálkodási hiányosságok és a regionális szakadék áthidalása a létesítmények kapacitása és az ország területének különböző régiói és területei között meglévő minőségi előírások t</w:t>
            </w:r>
            <w:r>
              <w:rPr>
                <w:noProof/>
              </w:rPr>
              <w:t>ekintetében, a késedelmek helyreállítása céljából;</w:t>
            </w:r>
          </w:p>
          <w:p w14:paraId="2312DE36" w14:textId="14D055DB" w:rsidR="003F5418" w:rsidRDefault="002A6C25">
            <w:pPr>
              <w:pStyle w:val="P68B1DB1-Normal4"/>
              <w:numPr>
                <w:ilvl w:val="0"/>
                <w:numId w:val="59"/>
              </w:numPr>
              <w:spacing w:before="120" w:line="276" w:lineRule="auto"/>
              <w:ind w:left="244" w:hanging="244"/>
              <w:contextualSpacing/>
              <w:rPr>
                <w:noProof/>
              </w:rPr>
            </w:pPr>
            <w:r>
              <w:rPr>
                <w:noProof/>
              </w:rPr>
              <w:t>az európai és nemzeti jogszabályokban előírt jelenlegi és új célkitűzések elérése;</w:t>
            </w:r>
          </w:p>
          <w:p w14:paraId="25E37272" w14:textId="0F576E44" w:rsidR="003F5418" w:rsidRDefault="002A6C25">
            <w:pPr>
              <w:pStyle w:val="P68B1DB1-Normal4"/>
              <w:numPr>
                <w:ilvl w:val="0"/>
                <w:numId w:val="59"/>
              </w:numPr>
              <w:spacing w:before="120" w:line="276" w:lineRule="auto"/>
              <w:ind w:left="244" w:hanging="244"/>
              <w:contextualSpacing/>
              <w:rPr>
                <w:noProof/>
              </w:rPr>
            </w:pPr>
            <w:r>
              <w:rPr>
                <w:noProof/>
              </w:rPr>
              <w:t>az illegális hulladéklerakás és a szabadtéri égetés elleni küzdelem érdekében (pl. Terra dei Fuochi térségében), többek kö</w:t>
            </w:r>
            <w:r>
              <w:rPr>
                <w:noProof/>
              </w:rPr>
              <w:t>zött új hulladék-nyomonkövetési rendszer bevezetése révén, műholdak, drónok és mesterséges intelligencia (MI) technológiák felhasználásával támogatott globális nyomonkövetési rendszert kell kifejleszteni az illegális lerakás kezelésére.</w:t>
            </w:r>
          </w:p>
        </w:tc>
      </w:tr>
      <w:tr w:rsidR="003F5418" w14:paraId="25C4E8E1" w14:textId="77777777">
        <w:trPr>
          <w:trHeight w:val="313"/>
          <w:jc w:val="center"/>
        </w:trPr>
        <w:tc>
          <w:tcPr>
            <w:tcW w:w="1220" w:type="dxa"/>
            <w:shd w:val="clear" w:color="auto" w:fill="C6EFCE"/>
            <w:noWrap/>
            <w:vAlign w:val="center"/>
          </w:tcPr>
          <w:p w14:paraId="19C282C1" w14:textId="77777777" w:rsidR="003F5418" w:rsidRDefault="002A6C25">
            <w:pPr>
              <w:pStyle w:val="P68B1DB1-Normal4"/>
              <w:spacing w:line="276" w:lineRule="auto"/>
              <w:jc w:val="center"/>
              <w:rPr>
                <w:noProof/>
              </w:rPr>
            </w:pPr>
            <w:r>
              <w:rPr>
                <w:noProof/>
              </w:rPr>
              <w:t>M2C1–14</w:t>
            </w:r>
          </w:p>
        </w:tc>
        <w:tc>
          <w:tcPr>
            <w:tcW w:w="1598" w:type="dxa"/>
            <w:shd w:val="clear" w:color="auto" w:fill="C6EFCE"/>
            <w:noWrap/>
            <w:vAlign w:val="center"/>
          </w:tcPr>
          <w:p w14:paraId="561ED4B8" w14:textId="77777777" w:rsidR="003F5418" w:rsidRDefault="002A6C25">
            <w:pPr>
              <w:pStyle w:val="P68B1DB1-Normal4"/>
              <w:spacing w:line="276" w:lineRule="auto"/>
              <w:jc w:val="center"/>
              <w:rPr>
                <w:noProof/>
              </w:rPr>
            </w:pPr>
            <w:r>
              <w:rPr>
                <w:noProof/>
              </w:rPr>
              <w:t xml:space="preserve">Beruházás </w:t>
            </w:r>
            <w:r>
              <w:rPr>
                <w:noProof/>
              </w:rPr>
              <w:t>– Új hulladékkezelő üzemek megvalósítása és a meglévő üzemek korszerűsítése;</w:t>
            </w:r>
          </w:p>
          <w:p w14:paraId="77D36FEE"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0579FC8B"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33DA165F" w14:textId="77777777" w:rsidR="003F5418" w:rsidRDefault="002A6C25">
            <w:pPr>
              <w:pStyle w:val="P68B1DB1-Normal4"/>
              <w:spacing w:line="276" w:lineRule="auto"/>
              <w:jc w:val="center"/>
              <w:rPr>
                <w:noProof/>
              </w:rPr>
            </w:pPr>
            <w:r>
              <w:rPr>
                <w:noProof/>
              </w:rPr>
              <w:t>A miniszteri rendelet hatálybalépése.</w:t>
            </w:r>
          </w:p>
        </w:tc>
        <w:tc>
          <w:tcPr>
            <w:tcW w:w="1603" w:type="dxa"/>
            <w:shd w:val="clear" w:color="auto" w:fill="C6EFCE"/>
            <w:noWrap/>
            <w:vAlign w:val="center"/>
          </w:tcPr>
          <w:p w14:paraId="509904FD" w14:textId="77777777" w:rsidR="003F5418" w:rsidRDefault="002A6C25">
            <w:pPr>
              <w:pStyle w:val="P68B1DB1-Normal4"/>
              <w:spacing w:line="276" w:lineRule="auto"/>
              <w:jc w:val="center"/>
              <w:rPr>
                <w:noProof/>
              </w:rPr>
            </w:pPr>
            <w:r>
              <w:rPr>
                <w:noProof/>
              </w:rPr>
              <w:t xml:space="preserve">Az önkormányzatok által javasolt projektek kiválasztási kritériumainak </w:t>
            </w:r>
            <w:r>
              <w:rPr>
                <w:noProof/>
              </w:rPr>
              <w:t>jóváhagyásáról szóló miniszteri rendelet elfogadása.</w:t>
            </w:r>
          </w:p>
        </w:tc>
        <w:tc>
          <w:tcPr>
            <w:tcW w:w="1275" w:type="dxa"/>
            <w:shd w:val="clear" w:color="auto" w:fill="C6EFCE"/>
            <w:noWrap/>
            <w:vAlign w:val="center"/>
          </w:tcPr>
          <w:p w14:paraId="19614CE2" w14:textId="77777777" w:rsidR="003F5418" w:rsidRDefault="002A6C25">
            <w:pPr>
              <w:pStyle w:val="P68B1DB1-Normal4"/>
              <w:spacing w:line="276" w:lineRule="auto"/>
              <w:jc w:val="center"/>
              <w:rPr>
                <w:noProof/>
              </w:rPr>
            </w:pPr>
            <w:r>
              <w:rPr>
                <w:noProof/>
              </w:rPr>
              <w:t>Közzététel a Gazzetta Ufficiale-ben</w:t>
            </w:r>
          </w:p>
        </w:tc>
        <w:tc>
          <w:tcPr>
            <w:tcW w:w="993" w:type="dxa"/>
            <w:shd w:val="clear" w:color="auto" w:fill="C6EFCE"/>
            <w:noWrap/>
            <w:vAlign w:val="center"/>
          </w:tcPr>
          <w:p w14:paraId="44CF2DF4"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5B22B7CA"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5DF1AB87" w14:textId="77777777" w:rsidR="003F5418" w:rsidRDefault="002A6C25">
            <w:pPr>
              <w:pStyle w:val="P68B1DB1-Normal4"/>
              <w:spacing w:line="276" w:lineRule="auto"/>
              <w:jc w:val="center"/>
              <w:rPr>
                <w:noProof/>
              </w:rPr>
            </w:pPr>
            <w:r>
              <w:rPr>
                <w:noProof/>
              </w:rPr>
              <w:t>Q3</w:t>
            </w:r>
          </w:p>
        </w:tc>
        <w:tc>
          <w:tcPr>
            <w:tcW w:w="710" w:type="dxa"/>
            <w:shd w:val="clear" w:color="auto" w:fill="C6EFCE"/>
            <w:noWrap/>
            <w:vAlign w:val="center"/>
          </w:tcPr>
          <w:p w14:paraId="1B4E5082" w14:textId="77777777" w:rsidR="003F5418" w:rsidRDefault="002A6C25">
            <w:pPr>
              <w:pStyle w:val="P68B1DB1-Normal4"/>
              <w:spacing w:line="276" w:lineRule="auto"/>
              <w:rPr>
                <w:noProof/>
              </w:rPr>
            </w:pPr>
            <w:r>
              <w:rPr>
                <w:noProof/>
              </w:rPr>
              <w:t>2021</w:t>
            </w:r>
          </w:p>
        </w:tc>
        <w:tc>
          <w:tcPr>
            <w:tcW w:w="3174" w:type="dxa"/>
            <w:shd w:val="clear" w:color="auto" w:fill="C6EFCE"/>
            <w:noWrap/>
            <w:vAlign w:val="center"/>
          </w:tcPr>
          <w:p w14:paraId="2673455F" w14:textId="77777777" w:rsidR="003F5418" w:rsidRDefault="002A6C25">
            <w:pPr>
              <w:pStyle w:val="P68B1DB1-Normal4"/>
              <w:spacing w:before="60" w:after="120" w:line="276" w:lineRule="auto"/>
              <w:rPr>
                <w:noProof/>
              </w:rPr>
            </w:pPr>
            <w:r>
              <w:rPr>
                <w:noProof/>
              </w:rPr>
              <w:t>Az önkormányzatok által javasolt projektek kiválasztási kritériumainak jóváhagyásáról szóló miniszteri rendelet hatályba lép.</w:t>
            </w:r>
          </w:p>
          <w:p w14:paraId="2F39258E" w14:textId="77777777" w:rsidR="003F5418" w:rsidRDefault="002A6C25">
            <w:pPr>
              <w:pStyle w:val="P68B1DB1-Normal4"/>
              <w:spacing w:before="60" w:after="120" w:line="276" w:lineRule="auto"/>
              <w:rPr>
                <w:noProof/>
              </w:rPr>
            </w:pPr>
            <w:r>
              <w:rPr>
                <w:noProof/>
              </w:rPr>
              <w:t>A miniszteri rendelet</w:t>
            </w:r>
            <w:r>
              <w:rPr>
                <w:noProof/>
              </w:rPr>
              <w:t xml:space="preserve"> meghatározza, hogy a projekteket a következő kritériumok közül kell kiválasztani:</w:t>
            </w:r>
          </w:p>
          <w:p w14:paraId="3E627C79" w14:textId="77777777" w:rsidR="003F5418" w:rsidRDefault="002A6C25">
            <w:pPr>
              <w:pStyle w:val="P68B1DB1-Normal4"/>
              <w:numPr>
                <w:ilvl w:val="0"/>
                <w:numId w:val="58"/>
              </w:numPr>
              <w:spacing w:before="60" w:line="276" w:lineRule="auto"/>
              <w:ind w:left="244" w:hanging="187"/>
              <w:contextualSpacing/>
              <w:rPr>
                <w:noProof/>
              </w:rPr>
            </w:pPr>
            <w:r>
              <w:rPr>
                <w:noProof/>
              </w:rPr>
              <w:t>Összhang az uniós és nemzeti jogszabályokkal, valamint a körforgásos gazdaságra vonatkozó európai cselekvési tervvel,</w:t>
            </w:r>
          </w:p>
          <w:p w14:paraId="634DF729" w14:textId="77777777" w:rsidR="003F5418" w:rsidRDefault="002A6C25">
            <w:pPr>
              <w:pStyle w:val="P68B1DB1-Normal4"/>
              <w:numPr>
                <w:ilvl w:val="0"/>
                <w:numId w:val="58"/>
              </w:numPr>
              <w:spacing w:before="60" w:line="276" w:lineRule="auto"/>
              <w:ind w:left="244" w:hanging="187"/>
              <w:contextualSpacing/>
              <w:rPr>
                <w:noProof/>
              </w:rPr>
            </w:pPr>
            <w:r>
              <w:rPr>
                <w:noProof/>
              </w:rPr>
              <w:t>Az újrafeldolgozási célkitűzések várható javulása</w:t>
            </w:r>
          </w:p>
          <w:p w14:paraId="410FCB7E" w14:textId="77777777" w:rsidR="003F5418" w:rsidRDefault="002A6C25">
            <w:pPr>
              <w:pStyle w:val="P68B1DB1-Normal4"/>
              <w:numPr>
                <w:ilvl w:val="0"/>
                <w:numId w:val="58"/>
              </w:numPr>
              <w:spacing w:before="60" w:line="276" w:lineRule="auto"/>
              <w:ind w:left="244" w:hanging="187"/>
              <w:contextualSpacing/>
              <w:rPr>
                <w:noProof/>
              </w:rPr>
            </w:pPr>
            <w:r>
              <w:rPr>
                <w:noProof/>
              </w:rPr>
              <w:t>A reg</w:t>
            </w:r>
            <w:r>
              <w:rPr>
                <w:noProof/>
              </w:rPr>
              <w:t>ionális és nemzeti tervezési eszközökkel való összhang,</w:t>
            </w:r>
          </w:p>
          <w:p w14:paraId="15FE7452" w14:textId="77777777" w:rsidR="003F5418" w:rsidRDefault="002A6C25">
            <w:pPr>
              <w:pStyle w:val="P68B1DB1-Normal4"/>
              <w:numPr>
                <w:ilvl w:val="0"/>
                <w:numId w:val="58"/>
              </w:numPr>
              <w:spacing w:before="60" w:line="276" w:lineRule="auto"/>
              <w:ind w:left="244" w:hanging="187"/>
              <w:contextualSpacing/>
              <w:rPr>
                <w:noProof/>
              </w:rPr>
            </w:pPr>
            <w:r>
              <w:rPr>
                <w:noProof/>
              </w:rPr>
              <w:t>Hozzájárulás az uniós jogsértések megoldásához, szinergiák más ágazati tervezéssel (pl. PNIEC) és/vagy a terv más elemeivel, a teljes körű tapasztalatokra épülő innovatív technológiák,</w:t>
            </w:r>
          </w:p>
          <w:p w14:paraId="5DC13592" w14:textId="77777777" w:rsidR="003F5418" w:rsidRDefault="002A6C25">
            <w:pPr>
              <w:pStyle w:val="P68B1DB1-Normal4"/>
              <w:numPr>
                <w:ilvl w:val="0"/>
                <w:numId w:val="58"/>
              </w:numPr>
              <w:spacing w:before="60" w:line="276" w:lineRule="auto"/>
              <w:ind w:left="244" w:hanging="187"/>
              <w:contextualSpacing/>
              <w:rPr>
                <w:noProof/>
              </w:rPr>
            </w:pPr>
            <w:r>
              <w:rPr>
                <w:noProof/>
              </w:rPr>
              <w:t>A javaslat tech</w:t>
            </w:r>
            <w:r>
              <w:rPr>
                <w:noProof/>
              </w:rPr>
              <w:t>nikai minősége.</w:t>
            </w:r>
          </w:p>
          <w:p w14:paraId="5830FC54" w14:textId="77777777" w:rsidR="003F5418" w:rsidRDefault="002A6C25">
            <w:pPr>
              <w:pStyle w:val="P68B1DB1-Normal4"/>
              <w:numPr>
                <w:ilvl w:val="0"/>
                <w:numId w:val="58"/>
              </w:numPr>
              <w:spacing w:before="60" w:line="276" w:lineRule="auto"/>
              <w:ind w:left="244" w:hanging="187"/>
              <w:contextualSpacing/>
              <w:rPr>
                <w:noProof/>
              </w:rPr>
            </w:pPr>
            <w:r>
              <w:rPr>
                <w:noProof/>
              </w:rPr>
              <w:t>Az egyéb uniós és nemzeti eszközökből finanszírozott kohéziós politikai programokkal és hasonló projektekkel való összhang és kiegészítő jelleg</w:t>
            </w:r>
          </w:p>
          <w:p w14:paraId="6A4CF7A2" w14:textId="77777777" w:rsidR="003F5418" w:rsidRDefault="002A6C25">
            <w:pPr>
              <w:pStyle w:val="P68B1DB1-Normal4"/>
              <w:spacing w:before="120" w:after="120" w:line="276" w:lineRule="auto"/>
              <w:rPr>
                <w:noProof/>
              </w:rPr>
            </w:pPr>
            <w:r>
              <w:rPr>
                <w:noProof/>
              </w:rPr>
              <w:t>A beavatkozások nem foglalhatnak magukban hulladéklerakókba, ártalmatlanító létesítményekbe, mec</w:t>
            </w:r>
            <w:r>
              <w:rPr>
                <w:noProof/>
              </w:rPr>
              <w:t>hanikai biológiai kezelést végző/mechanikus kezelést végző üzemekbe vagy égetőművekbe történő beruházásokat, a DNSH-elvnek megfelelően.</w:t>
            </w:r>
          </w:p>
        </w:tc>
      </w:tr>
      <w:tr w:rsidR="003F5418" w14:paraId="75EE0EC6" w14:textId="77777777">
        <w:trPr>
          <w:trHeight w:val="313"/>
          <w:jc w:val="center"/>
        </w:trPr>
        <w:tc>
          <w:tcPr>
            <w:tcW w:w="1220" w:type="dxa"/>
            <w:shd w:val="clear" w:color="auto" w:fill="C6EFCE"/>
            <w:noWrap/>
            <w:vAlign w:val="center"/>
          </w:tcPr>
          <w:p w14:paraId="0E26D037" w14:textId="77777777" w:rsidR="003F5418" w:rsidRDefault="002A6C25">
            <w:pPr>
              <w:pStyle w:val="P68B1DB1-Normal4"/>
              <w:spacing w:line="276" w:lineRule="auto"/>
              <w:jc w:val="center"/>
              <w:rPr>
                <w:noProof/>
              </w:rPr>
            </w:pPr>
            <w:r>
              <w:rPr>
                <w:noProof/>
              </w:rPr>
              <w:t>M2C1–15</w:t>
            </w:r>
          </w:p>
        </w:tc>
        <w:tc>
          <w:tcPr>
            <w:tcW w:w="1598" w:type="dxa"/>
            <w:shd w:val="clear" w:color="auto" w:fill="C6EFCE"/>
            <w:noWrap/>
            <w:vAlign w:val="center"/>
          </w:tcPr>
          <w:p w14:paraId="020E849B" w14:textId="77777777" w:rsidR="003F5418" w:rsidRDefault="002A6C25">
            <w:pPr>
              <w:pStyle w:val="P68B1DB1-Normal4"/>
              <w:spacing w:line="276" w:lineRule="auto"/>
              <w:jc w:val="center"/>
              <w:rPr>
                <w:noProof/>
              </w:rPr>
            </w:pPr>
            <w:r>
              <w:rPr>
                <w:noProof/>
              </w:rPr>
              <w:t>Reform</w:t>
            </w:r>
          </w:p>
          <w:p w14:paraId="0201F1C0" w14:textId="77777777" w:rsidR="003F5418" w:rsidRDefault="002A6C25">
            <w:pPr>
              <w:pStyle w:val="P68B1DB1-Normal4"/>
              <w:spacing w:line="276" w:lineRule="auto"/>
              <w:jc w:val="center"/>
              <w:rPr>
                <w:noProof/>
              </w:rPr>
            </w:pPr>
            <w:r>
              <w:rPr>
                <w:noProof/>
              </w:rPr>
              <w:t>Nemzeti hulladékgazdálkodási program;</w:t>
            </w:r>
          </w:p>
          <w:p w14:paraId="1FA3F226" w14:textId="77777777" w:rsidR="003F5418" w:rsidRDefault="002A6C25">
            <w:pPr>
              <w:pStyle w:val="P68B1DB1-Normal4"/>
              <w:spacing w:line="276" w:lineRule="auto"/>
              <w:jc w:val="center"/>
              <w:rPr>
                <w:noProof/>
              </w:rPr>
            </w:pPr>
            <w:r>
              <w:rPr>
                <w:noProof/>
              </w:rPr>
              <w:t xml:space="preserve"> </w:t>
            </w:r>
          </w:p>
          <w:p w14:paraId="6F8D6A66" w14:textId="6D000AD0" w:rsidR="003F5418" w:rsidRDefault="003F5418">
            <w:pPr>
              <w:spacing w:line="276" w:lineRule="auto"/>
              <w:jc w:val="center"/>
              <w:rPr>
                <w:rFonts w:ascii="Arial Narrow" w:hAnsi="Arial Narrow"/>
                <w:noProof/>
                <w:sz w:val="20"/>
              </w:rPr>
            </w:pPr>
          </w:p>
        </w:tc>
        <w:tc>
          <w:tcPr>
            <w:tcW w:w="1185" w:type="dxa"/>
            <w:shd w:val="clear" w:color="auto" w:fill="C6EFCE"/>
            <w:noWrap/>
            <w:vAlign w:val="center"/>
          </w:tcPr>
          <w:p w14:paraId="1F37B202"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36B4C062" w14:textId="77777777" w:rsidR="003F5418" w:rsidRDefault="002A6C25">
            <w:pPr>
              <w:pStyle w:val="P68B1DB1-Normal4"/>
              <w:spacing w:line="276" w:lineRule="auto"/>
              <w:jc w:val="center"/>
              <w:rPr>
                <w:noProof/>
              </w:rPr>
            </w:pPr>
            <w:r>
              <w:rPr>
                <w:noProof/>
              </w:rPr>
              <w:t xml:space="preserve">Az illegális hulladéklerakók számának csökkentése (T1) </w:t>
            </w:r>
          </w:p>
        </w:tc>
        <w:tc>
          <w:tcPr>
            <w:tcW w:w="1603" w:type="dxa"/>
            <w:shd w:val="clear" w:color="auto" w:fill="C6EFCE"/>
            <w:noWrap/>
            <w:vAlign w:val="center"/>
          </w:tcPr>
          <w:p w14:paraId="4F453848"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2D8D0357" w14:textId="2645B98E" w:rsidR="003F5418" w:rsidRDefault="002A6C25">
            <w:pPr>
              <w:pStyle w:val="P68B1DB1-Normal4"/>
              <w:spacing w:line="276" w:lineRule="auto"/>
              <w:jc w:val="center"/>
              <w:rPr>
                <w:noProof/>
              </w:rPr>
            </w:pPr>
            <w:r>
              <w:rPr>
                <w:noProof/>
              </w:rPr>
              <w:t>Szám</w:t>
            </w:r>
          </w:p>
        </w:tc>
        <w:tc>
          <w:tcPr>
            <w:tcW w:w="993" w:type="dxa"/>
            <w:shd w:val="clear" w:color="auto" w:fill="C6EFCE"/>
            <w:noWrap/>
            <w:vAlign w:val="center"/>
          </w:tcPr>
          <w:p w14:paraId="15C5EAA3" w14:textId="77777777" w:rsidR="003F5418" w:rsidRDefault="002A6C25">
            <w:pPr>
              <w:pStyle w:val="P68B1DB1-Normal4"/>
              <w:spacing w:line="276" w:lineRule="auto"/>
              <w:jc w:val="center"/>
              <w:rPr>
                <w:noProof/>
              </w:rPr>
            </w:pPr>
            <w:r>
              <w:rPr>
                <w:noProof/>
              </w:rPr>
              <w:t>33</w:t>
            </w:r>
          </w:p>
        </w:tc>
        <w:tc>
          <w:tcPr>
            <w:tcW w:w="1162" w:type="dxa"/>
            <w:shd w:val="clear" w:color="auto" w:fill="C6EFCE"/>
            <w:noWrap/>
            <w:vAlign w:val="center"/>
          </w:tcPr>
          <w:p w14:paraId="64C7345F" w14:textId="77777777" w:rsidR="003F5418" w:rsidRDefault="002A6C25">
            <w:pPr>
              <w:pStyle w:val="P68B1DB1-Normal4"/>
              <w:spacing w:line="276" w:lineRule="auto"/>
              <w:jc w:val="center"/>
              <w:rPr>
                <w:noProof/>
              </w:rPr>
            </w:pPr>
            <w:r>
              <w:rPr>
                <w:noProof/>
              </w:rPr>
              <w:t>11</w:t>
            </w:r>
          </w:p>
        </w:tc>
        <w:tc>
          <w:tcPr>
            <w:tcW w:w="963" w:type="dxa"/>
            <w:shd w:val="clear" w:color="auto" w:fill="C6EFCE"/>
            <w:noWrap/>
            <w:vAlign w:val="center"/>
          </w:tcPr>
          <w:p w14:paraId="49311374"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7AC4150A" w14:textId="77777777" w:rsidR="003F5418" w:rsidRDefault="002A6C25">
            <w:pPr>
              <w:pStyle w:val="P68B1DB1-Normal4"/>
              <w:spacing w:line="276" w:lineRule="auto"/>
              <w:rPr>
                <w:noProof/>
              </w:rPr>
            </w:pPr>
            <w:r>
              <w:rPr>
                <w:noProof/>
              </w:rPr>
              <w:t>2024</w:t>
            </w:r>
          </w:p>
        </w:tc>
        <w:tc>
          <w:tcPr>
            <w:tcW w:w="3174" w:type="dxa"/>
            <w:shd w:val="clear" w:color="auto" w:fill="C6EFCE"/>
            <w:noWrap/>
            <w:vAlign w:val="center"/>
          </w:tcPr>
          <w:p w14:paraId="68C36348" w14:textId="5B5FC6F1" w:rsidR="003F5418" w:rsidRDefault="002A6C25">
            <w:pPr>
              <w:pStyle w:val="P68B1DB1-Normal4"/>
              <w:spacing w:after="120"/>
              <w:jc w:val="both"/>
              <w:rPr>
                <w:noProof/>
              </w:rPr>
            </w:pPr>
            <w:r>
              <w:rPr>
                <w:noProof/>
              </w:rPr>
              <w:t>A NIF 2003/2077. számú kötelezettségszegési eljárásban érintett szabálytalan hulladéklerakók számának 33-ról 11-re (legalább 66%-os) csökkentése.</w:t>
            </w:r>
          </w:p>
          <w:p w14:paraId="2AC4BCCA" w14:textId="77777777" w:rsidR="003F5418" w:rsidRDefault="002A6C25">
            <w:pPr>
              <w:pStyle w:val="P68B1DB1-Normal4"/>
              <w:spacing w:after="120"/>
              <w:jc w:val="both"/>
              <w:rPr>
                <w:noProof/>
              </w:rPr>
            </w:pPr>
            <w:r>
              <w:rPr>
                <w:noProof/>
              </w:rPr>
              <w:t>2023. december 31-ig (33-ból) legalább 27 törlési kérelmet kell küldeni az Európai Bi</w:t>
            </w:r>
            <w:r>
              <w:rPr>
                <w:noProof/>
              </w:rPr>
              <w:t>zottságnak. A kizárás iránti kérelemnek tartalmaznia kell a szennyeződés (talaj és víz) teljes körű elemzését, a szennyeződés helyreállításának egyértelmű magyarázatát, valamint a jövőbeli szennyeződés kockázatának kizárására vonatkozó garanciákat.</w:t>
            </w:r>
          </w:p>
          <w:p w14:paraId="588B5FFB" w14:textId="77777777" w:rsidR="003F5418" w:rsidRDefault="002A6C25">
            <w:pPr>
              <w:pStyle w:val="P68B1DB1-Normal4"/>
              <w:spacing w:after="120"/>
              <w:jc w:val="both"/>
              <w:rPr>
                <w:noProof/>
              </w:rPr>
            </w:pPr>
            <w:r>
              <w:rPr>
                <w:noProof/>
              </w:rPr>
              <w:t>2024. j</w:t>
            </w:r>
            <w:r>
              <w:rPr>
                <w:noProof/>
              </w:rPr>
              <w:t xml:space="preserve">únius 30-ig (33-ból) legalább 29 törlési kérelmet kell küldeni az Európai Bizottságnak. A kizárás iránti kérelemnek tartalmaznia kell a szennyeződés (talaj és víz) teljes körű elemzését, a szennyeződés helyreállításának egyértelmű magyarázatát, valamint a </w:t>
            </w:r>
            <w:r>
              <w:rPr>
                <w:noProof/>
              </w:rPr>
              <w:t>jövőbeli szennyeződés kockázatának kizárására vonatkozó garanciákat.</w:t>
            </w:r>
          </w:p>
        </w:tc>
      </w:tr>
      <w:tr w:rsidR="003F5418" w14:paraId="0584586A" w14:textId="77777777">
        <w:trPr>
          <w:trHeight w:val="313"/>
          <w:jc w:val="center"/>
        </w:trPr>
        <w:tc>
          <w:tcPr>
            <w:tcW w:w="1220" w:type="dxa"/>
            <w:shd w:val="clear" w:color="auto" w:fill="C6EFCE"/>
            <w:noWrap/>
            <w:vAlign w:val="center"/>
          </w:tcPr>
          <w:p w14:paraId="48B9C607" w14:textId="77777777" w:rsidR="003F5418" w:rsidRDefault="002A6C25">
            <w:pPr>
              <w:pStyle w:val="P68B1DB1-Normal4"/>
              <w:spacing w:line="276" w:lineRule="auto"/>
              <w:jc w:val="center"/>
              <w:rPr>
                <w:noProof/>
              </w:rPr>
            </w:pPr>
            <w:r>
              <w:rPr>
                <w:noProof/>
              </w:rPr>
              <w:t>M2C1–15a</w:t>
            </w:r>
          </w:p>
        </w:tc>
        <w:tc>
          <w:tcPr>
            <w:tcW w:w="1598" w:type="dxa"/>
            <w:shd w:val="clear" w:color="auto" w:fill="C6EFCE"/>
            <w:noWrap/>
            <w:vAlign w:val="center"/>
          </w:tcPr>
          <w:p w14:paraId="19EEDD60" w14:textId="77777777" w:rsidR="003F5418" w:rsidRDefault="002A6C25">
            <w:pPr>
              <w:pStyle w:val="P68B1DB1-Normal4"/>
              <w:spacing w:line="276" w:lineRule="auto"/>
              <w:jc w:val="center"/>
              <w:rPr>
                <w:noProof/>
              </w:rPr>
            </w:pPr>
            <w:r>
              <w:rPr>
                <w:noProof/>
              </w:rPr>
              <w:t>Reform</w:t>
            </w:r>
          </w:p>
          <w:p w14:paraId="7BAF75C0" w14:textId="77777777" w:rsidR="003F5418" w:rsidRDefault="002A6C25">
            <w:pPr>
              <w:pStyle w:val="P68B1DB1-Normal4"/>
              <w:spacing w:line="276" w:lineRule="auto"/>
              <w:jc w:val="center"/>
              <w:rPr>
                <w:noProof/>
              </w:rPr>
            </w:pPr>
            <w:r>
              <w:rPr>
                <w:noProof/>
              </w:rPr>
              <w:t>Nemzeti hulladékgazdálkodási program:</w:t>
            </w:r>
          </w:p>
          <w:p w14:paraId="15454AB4" w14:textId="77777777" w:rsidR="003F5418" w:rsidRDefault="003F5418">
            <w:pPr>
              <w:spacing w:line="276" w:lineRule="auto"/>
              <w:jc w:val="center"/>
              <w:rPr>
                <w:rFonts w:ascii="Arial Narrow" w:hAnsi="Arial Narrow"/>
                <w:noProof/>
                <w:color w:val="006100"/>
                <w:sz w:val="20"/>
              </w:rPr>
            </w:pPr>
          </w:p>
          <w:p w14:paraId="1E4F89EC" w14:textId="045FEDF0" w:rsidR="003F5418" w:rsidRDefault="003F5418">
            <w:pPr>
              <w:spacing w:line="276" w:lineRule="auto"/>
              <w:jc w:val="center"/>
              <w:rPr>
                <w:rFonts w:ascii="Arial Narrow" w:hAnsi="Arial Narrow"/>
                <w:noProof/>
                <w:color w:val="006100"/>
                <w:sz w:val="20"/>
              </w:rPr>
            </w:pPr>
          </w:p>
        </w:tc>
        <w:tc>
          <w:tcPr>
            <w:tcW w:w="1185" w:type="dxa"/>
            <w:shd w:val="clear" w:color="auto" w:fill="C6EFCE"/>
            <w:noWrap/>
            <w:vAlign w:val="center"/>
          </w:tcPr>
          <w:p w14:paraId="6C6AF4DA"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5E405265" w14:textId="77777777" w:rsidR="003F5418" w:rsidRDefault="002A6C25">
            <w:pPr>
              <w:pStyle w:val="P68B1DB1-Normal4"/>
              <w:spacing w:line="276" w:lineRule="auto"/>
              <w:jc w:val="center"/>
              <w:rPr>
                <w:noProof/>
              </w:rPr>
            </w:pPr>
            <w:r>
              <w:rPr>
                <w:noProof/>
              </w:rPr>
              <w:t>Az illegális hulladéklerakók számának csökkentése (T2)</w:t>
            </w:r>
          </w:p>
        </w:tc>
        <w:tc>
          <w:tcPr>
            <w:tcW w:w="1603" w:type="dxa"/>
            <w:shd w:val="clear" w:color="auto" w:fill="C6EFCE"/>
            <w:noWrap/>
            <w:vAlign w:val="center"/>
          </w:tcPr>
          <w:p w14:paraId="64A5C8A0"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470E9D75" w14:textId="5BEC37DA" w:rsidR="003F5418" w:rsidRDefault="002A6C25">
            <w:pPr>
              <w:pStyle w:val="P68B1DB1-Normal4"/>
              <w:spacing w:line="276" w:lineRule="auto"/>
              <w:jc w:val="center"/>
              <w:rPr>
                <w:noProof/>
              </w:rPr>
            </w:pPr>
            <w:r>
              <w:rPr>
                <w:noProof/>
              </w:rPr>
              <w:t xml:space="preserve">Szám </w:t>
            </w:r>
          </w:p>
        </w:tc>
        <w:tc>
          <w:tcPr>
            <w:tcW w:w="993" w:type="dxa"/>
            <w:shd w:val="clear" w:color="auto" w:fill="C6EFCE"/>
            <w:noWrap/>
            <w:vAlign w:val="center"/>
          </w:tcPr>
          <w:p w14:paraId="16BB6A99" w14:textId="77777777" w:rsidR="003F5418" w:rsidRDefault="002A6C25">
            <w:pPr>
              <w:pStyle w:val="P68B1DB1-Normal4"/>
              <w:spacing w:line="276" w:lineRule="auto"/>
              <w:jc w:val="center"/>
              <w:rPr>
                <w:noProof/>
              </w:rPr>
            </w:pPr>
            <w:r>
              <w:rPr>
                <w:noProof/>
              </w:rPr>
              <w:t>34</w:t>
            </w:r>
          </w:p>
        </w:tc>
        <w:tc>
          <w:tcPr>
            <w:tcW w:w="1162" w:type="dxa"/>
            <w:shd w:val="clear" w:color="auto" w:fill="C6EFCE"/>
            <w:noWrap/>
            <w:vAlign w:val="center"/>
          </w:tcPr>
          <w:p w14:paraId="2EF521EF" w14:textId="77777777" w:rsidR="003F5418" w:rsidRDefault="002A6C25">
            <w:pPr>
              <w:pStyle w:val="P68B1DB1-Normal4"/>
              <w:spacing w:line="276" w:lineRule="auto"/>
              <w:jc w:val="center"/>
              <w:rPr>
                <w:noProof/>
              </w:rPr>
            </w:pPr>
            <w:r>
              <w:rPr>
                <w:noProof/>
              </w:rPr>
              <w:t>14</w:t>
            </w:r>
          </w:p>
        </w:tc>
        <w:tc>
          <w:tcPr>
            <w:tcW w:w="963" w:type="dxa"/>
            <w:shd w:val="clear" w:color="auto" w:fill="C6EFCE"/>
            <w:noWrap/>
            <w:vAlign w:val="center"/>
          </w:tcPr>
          <w:p w14:paraId="0D23AA10"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2C3FF24B" w14:textId="77777777" w:rsidR="003F5418" w:rsidRDefault="002A6C25">
            <w:pPr>
              <w:pStyle w:val="P68B1DB1-Normal4"/>
              <w:spacing w:line="276" w:lineRule="auto"/>
              <w:rPr>
                <w:noProof/>
              </w:rPr>
            </w:pPr>
            <w:r>
              <w:rPr>
                <w:noProof/>
              </w:rPr>
              <w:t>2023</w:t>
            </w:r>
          </w:p>
        </w:tc>
        <w:tc>
          <w:tcPr>
            <w:tcW w:w="3174" w:type="dxa"/>
            <w:shd w:val="clear" w:color="auto" w:fill="C6EFCE"/>
            <w:noWrap/>
            <w:vAlign w:val="center"/>
          </w:tcPr>
          <w:p w14:paraId="2C3EEFDA" w14:textId="4671A3ED" w:rsidR="003F5418" w:rsidRDefault="002A6C25">
            <w:pPr>
              <w:pStyle w:val="P68B1DB1-Normal4"/>
              <w:rPr>
                <w:noProof/>
              </w:rPr>
            </w:pPr>
            <w:r>
              <w:rPr>
                <w:noProof/>
              </w:rPr>
              <w:t xml:space="preserve">A 2011/2215. számú kötelezettségszegési </w:t>
            </w:r>
            <w:r>
              <w:rPr>
                <w:noProof/>
              </w:rPr>
              <w:t>eljárásban érintett szabálytalan hulladéklerakók számának 34-ről 14-re (azaz legalább 60%-ra) csökkentése.</w:t>
            </w:r>
          </w:p>
        </w:tc>
      </w:tr>
      <w:tr w:rsidR="003F5418" w14:paraId="15B3D559" w14:textId="77777777">
        <w:trPr>
          <w:trHeight w:val="313"/>
          <w:jc w:val="center"/>
        </w:trPr>
        <w:tc>
          <w:tcPr>
            <w:tcW w:w="1220" w:type="dxa"/>
            <w:shd w:val="clear" w:color="auto" w:fill="C6EFCE"/>
            <w:noWrap/>
            <w:vAlign w:val="center"/>
          </w:tcPr>
          <w:p w14:paraId="4140824C" w14:textId="77777777" w:rsidR="003F5418" w:rsidRDefault="002A6C25">
            <w:pPr>
              <w:pStyle w:val="P68B1DB1-Normal4"/>
              <w:spacing w:line="276" w:lineRule="auto"/>
              <w:jc w:val="center"/>
              <w:rPr>
                <w:noProof/>
              </w:rPr>
            </w:pPr>
            <w:r>
              <w:rPr>
                <w:noProof/>
              </w:rPr>
              <w:t>M2C1–15ter</w:t>
            </w:r>
          </w:p>
        </w:tc>
        <w:tc>
          <w:tcPr>
            <w:tcW w:w="1598" w:type="dxa"/>
            <w:shd w:val="clear" w:color="auto" w:fill="C6EFCE"/>
            <w:noWrap/>
            <w:vAlign w:val="center"/>
          </w:tcPr>
          <w:p w14:paraId="5F9001E4" w14:textId="77777777" w:rsidR="003F5418" w:rsidRDefault="003F5418">
            <w:pPr>
              <w:spacing w:line="276" w:lineRule="auto"/>
              <w:jc w:val="center"/>
              <w:rPr>
                <w:rFonts w:ascii="Arial Narrow" w:hAnsi="Arial Narrow"/>
                <w:noProof/>
                <w:color w:val="006100"/>
                <w:sz w:val="20"/>
              </w:rPr>
            </w:pPr>
          </w:p>
          <w:p w14:paraId="32A55FDF" w14:textId="77777777" w:rsidR="003F5418" w:rsidRDefault="002A6C25">
            <w:pPr>
              <w:pStyle w:val="P68B1DB1-Normal4"/>
              <w:spacing w:line="276" w:lineRule="auto"/>
              <w:jc w:val="center"/>
              <w:rPr>
                <w:noProof/>
              </w:rPr>
            </w:pPr>
            <w:r>
              <w:rPr>
                <w:noProof/>
              </w:rPr>
              <w:t>Beruházás – Új hulladékkezelő üzemek megvalósítása és a meglévő üzemek korszerűsítése</w:t>
            </w:r>
          </w:p>
        </w:tc>
        <w:tc>
          <w:tcPr>
            <w:tcW w:w="1185" w:type="dxa"/>
            <w:shd w:val="clear" w:color="auto" w:fill="C6EFCE"/>
            <w:noWrap/>
            <w:vAlign w:val="center"/>
          </w:tcPr>
          <w:p w14:paraId="0D5BB1E6"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11C48DC3" w14:textId="10279A0A" w:rsidR="003F5418" w:rsidRDefault="002A6C25">
            <w:pPr>
              <w:pStyle w:val="P68B1DB1-Normal4"/>
              <w:spacing w:line="276" w:lineRule="auto"/>
              <w:jc w:val="center"/>
              <w:rPr>
                <w:noProof/>
              </w:rPr>
            </w:pPr>
            <w:r>
              <w:rPr>
                <w:noProof/>
              </w:rPr>
              <w:t xml:space="preserve">Az elkülönített gyűjtés regionális </w:t>
            </w:r>
            <w:r>
              <w:rPr>
                <w:noProof/>
              </w:rPr>
              <w:t>különbségeinek csökkentése</w:t>
            </w:r>
          </w:p>
        </w:tc>
        <w:tc>
          <w:tcPr>
            <w:tcW w:w="1603" w:type="dxa"/>
            <w:shd w:val="clear" w:color="auto" w:fill="C6EFCE"/>
            <w:noWrap/>
            <w:vAlign w:val="center"/>
          </w:tcPr>
          <w:p w14:paraId="3C7F3713"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7770A772" w14:textId="77777777" w:rsidR="003F5418" w:rsidRDefault="002A6C25">
            <w:pPr>
              <w:pStyle w:val="P68B1DB1-Normal4"/>
              <w:spacing w:line="276" w:lineRule="auto"/>
              <w:jc w:val="center"/>
              <w:rPr>
                <w:noProof/>
              </w:rPr>
            </w:pPr>
            <w:r>
              <w:rPr>
                <w:noProof/>
              </w:rPr>
              <w:t>Százalékpont</w:t>
            </w:r>
          </w:p>
        </w:tc>
        <w:tc>
          <w:tcPr>
            <w:tcW w:w="993" w:type="dxa"/>
            <w:shd w:val="clear" w:color="auto" w:fill="C6EFCE"/>
            <w:noWrap/>
            <w:vAlign w:val="center"/>
          </w:tcPr>
          <w:p w14:paraId="37D4AE8F" w14:textId="77777777" w:rsidR="003F5418" w:rsidRDefault="002A6C25">
            <w:pPr>
              <w:pStyle w:val="P68B1DB1-Normal4"/>
              <w:spacing w:line="276" w:lineRule="auto"/>
              <w:jc w:val="center"/>
              <w:rPr>
                <w:noProof/>
              </w:rPr>
            </w:pPr>
            <w:r>
              <w:rPr>
                <w:noProof/>
              </w:rPr>
              <w:t>22.8</w:t>
            </w:r>
          </w:p>
        </w:tc>
        <w:tc>
          <w:tcPr>
            <w:tcW w:w="1162" w:type="dxa"/>
            <w:shd w:val="clear" w:color="auto" w:fill="C6EFCE"/>
            <w:noWrap/>
            <w:vAlign w:val="center"/>
          </w:tcPr>
          <w:p w14:paraId="75397E62" w14:textId="77777777" w:rsidR="003F5418" w:rsidRDefault="002A6C25">
            <w:pPr>
              <w:pStyle w:val="P68B1DB1-Normal4"/>
              <w:spacing w:line="276" w:lineRule="auto"/>
              <w:jc w:val="center"/>
              <w:rPr>
                <w:noProof/>
              </w:rPr>
            </w:pPr>
            <w:r>
              <w:rPr>
                <w:noProof/>
              </w:rPr>
              <w:t>20</w:t>
            </w:r>
          </w:p>
        </w:tc>
        <w:tc>
          <w:tcPr>
            <w:tcW w:w="963" w:type="dxa"/>
            <w:shd w:val="clear" w:color="auto" w:fill="C6EFCE"/>
            <w:noWrap/>
            <w:vAlign w:val="center"/>
          </w:tcPr>
          <w:p w14:paraId="39B27F05"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0FBFC1C1" w14:textId="77777777" w:rsidR="003F5418" w:rsidRDefault="002A6C25">
            <w:pPr>
              <w:pStyle w:val="P68B1DB1-Normal4"/>
              <w:spacing w:line="276" w:lineRule="auto"/>
              <w:rPr>
                <w:noProof/>
              </w:rPr>
            </w:pPr>
            <w:r>
              <w:rPr>
                <w:noProof/>
              </w:rPr>
              <w:t>2023</w:t>
            </w:r>
          </w:p>
        </w:tc>
        <w:tc>
          <w:tcPr>
            <w:tcW w:w="3174" w:type="dxa"/>
            <w:shd w:val="clear" w:color="auto" w:fill="C6EFCE"/>
            <w:noWrap/>
            <w:vAlign w:val="center"/>
          </w:tcPr>
          <w:p w14:paraId="4A78C1E9" w14:textId="39988959" w:rsidR="003F5418" w:rsidRDefault="002A6C25">
            <w:pPr>
              <w:pStyle w:val="P68B1DB1-Normal4"/>
              <w:spacing w:line="276" w:lineRule="auto"/>
              <w:rPr>
                <w:noProof/>
              </w:rPr>
            </w:pPr>
            <w:r>
              <w:rPr>
                <w:noProof/>
              </w:rPr>
              <w:t>Az elkülönített gyűjtési arányok tekintetében az országos átlag és a legrosszabbul teljesítő régió közötti különbség 20 százalékpontra csökken.</w:t>
            </w:r>
          </w:p>
        </w:tc>
      </w:tr>
      <w:tr w:rsidR="003F5418" w14:paraId="13F8F6DF" w14:textId="77777777">
        <w:trPr>
          <w:trHeight w:val="313"/>
          <w:jc w:val="center"/>
        </w:trPr>
        <w:tc>
          <w:tcPr>
            <w:tcW w:w="1220" w:type="dxa"/>
            <w:shd w:val="clear" w:color="auto" w:fill="C6EFCE"/>
            <w:noWrap/>
            <w:vAlign w:val="center"/>
          </w:tcPr>
          <w:p w14:paraId="2F0C78AC" w14:textId="77777777" w:rsidR="003F5418" w:rsidRDefault="002A6C25">
            <w:pPr>
              <w:pStyle w:val="P68B1DB1-Normal4"/>
              <w:spacing w:line="276" w:lineRule="auto"/>
              <w:jc w:val="center"/>
              <w:rPr>
                <w:noProof/>
              </w:rPr>
            </w:pPr>
            <w:r>
              <w:rPr>
                <w:noProof/>
              </w:rPr>
              <w:t>M2C1–15 quater</w:t>
            </w:r>
          </w:p>
        </w:tc>
        <w:tc>
          <w:tcPr>
            <w:tcW w:w="1598" w:type="dxa"/>
            <w:shd w:val="clear" w:color="auto" w:fill="C6EFCE"/>
            <w:noWrap/>
            <w:vAlign w:val="center"/>
          </w:tcPr>
          <w:p w14:paraId="0C7E20F3" w14:textId="77777777" w:rsidR="003F5418" w:rsidRDefault="002A6C25">
            <w:pPr>
              <w:pStyle w:val="P68B1DB1-Normal4"/>
              <w:spacing w:line="276" w:lineRule="auto"/>
              <w:jc w:val="center"/>
              <w:rPr>
                <w:noProof/>
              </w:rPr>
            </w:pPr>
            <w:r>
              <w:rPr>
                <w:noProof/>
              </w:rPr>
              <w:t xml:space="preserve">Beruházás – Új hulladékkezelő </w:t>
            </w:r>
            <w:r>
              <w:rPr>
                <w:noProof/>
              </w:rPr>
              <w:t>üzemek megvalósítása és a meglévő üzemek korszerűsítése</w:t>
            </w:r>
          </w:p>
        </w:tc>
        <w:tc>
          <w:tcPr>
            <w:tcW w:w="1185" w:type="dxa"/>
            <w:shd w:val="clear" w:color="auto" w:fill="C6EFCE"/>
            <w:noWrap/>
            <w:vAlign w:val="center"/>
          </w:tcPr>
          <w:p w14:paraId="5DC2C22C"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139FFF28" w14:textId="77777777" w:rsidR="003F5418" w:rsidRDefault="002A6C25">
            <w:pPr>
              <w:pStyle w:val="P68B1DB1-Normal4"/>
              <w:spacing w:line="276" w:lineRule="auto"/>
              <w:jc w:val="center"/>
              <w:rPr>
                <w:noProof/>
              </w:rPr>
            </w:pPr>
            <w:r>
              <w:rPr>
                <w:noProof/>
              </w:rPr>
              <w:t>A biohulladék elkülönített gyűjtésére vonatkozó kötelezettség hatálybalépése</w:t>
            </w:r>
          </w:p>
        </w:tc>
        <w:tc>
          <w:tcPr>
            <w:tcW w:w="1603" w:type="dxa"/>
            <w:shd w:val="clear" w:color="auto" w:fill="C6EFCE"/>
            <w:noWrap/>
            <w:vAlign w:val="center"/>
          </w:tcPr>
          <w:p w14:paraId="7C0C6DF4" w14:textId="77777777" w:rsidR="003F5418" w:rsidRDefault="002A6C25">
            <w:pPr>
              <w:pStyle w:val="P68B1DB1-Normal4"/>
              <w:spacing w:line="276" w:lineRule="auto"/>
              <w:jc w:val="center"/>
              <w:rPr>
                <w:noProof/>
              </w:rPr>
            </w:pPr>
            <w:r>
              <w:rPr>
                <w:noProof/>
              </w:rPr>
              <w:t>A hatálybalépést feltüntető törvényi rendelkezés</w:t>
            </w:r>
          </w:p>
        </w:tc>
        <w:tc>
          <w:tcPr>
            <w:tcW w:w="1275" w:type="dxa"/>
            <w:shd w:val="clear" w:color="auto" w:fill="C6EFCE"/>
            <w:noWrap/>
            <w:vAlign w:val="center"/>
          </w:tcPr>
          <w:p w14:paraId="03E33456"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3E5B831C"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57C1A808"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3B581319"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CE177E7" w14:textId="77777777" w:rsidR="003F5418" w:rsidRDefault="002A6C25">
            <w:pPr>
              <w:pStyle w:val="P68B1DB1-Normal4"/>
              <w:spacing w:line="276" w:lineRule="auto"/>
              <w:rPr>
                <w:noProof/>
              </w:rPr>
            </w:pPr>
            <w:r>
              <w:rPr>
                <w:noProof/>
              </w:rPr>
              <w:t>2023</w:t>
            </w:r>
          </w:p>
        </w:tc>
        <w:tc>
          <w:tcPr>
            <w:tcW w:w="3174" w:type="dxa"/>
            <w:shd w:val="clear" w:color="auto" w:fill="C6EFCE"/>
            <w:noWrap/>
            <w:vAlign w:val="center"/>
          </w:tcPr>
          <w:p w14:paraId="30C1C03F" w14:textId="77777777" w:rsidR="003F5418" w:rsidRDefault="002A6C25">
            <w:pPr>
              <w:pStyle w:val="P68B1DB1-Normal4"/>
              <w:spacing w:line="276" w:lineRule="auto"/>
              <w:rPr>
                <w:noProof/>
              </w:rPr>
            </w:pPr>
            <w:r>
              <w:rPr>
                <w:noProof/>
              </w:rPr>
              <w:t xml:space="preserve">A biohulladék elkülönített gyűjtésére </w:t>
            </w:r>
            <w:r>
              <w:rPr>
                <w:noProof/>
              </w:rPr>
              <w:t>vonatkozó kötelezettség a körforgásos gazdaságra vonatkozó uniós cselekvési tervvel összhangban 2023. december 31-ig hatályba lép.</w:t>
            </w:r>
          </w:p>
        </w:tc>
      </w:tr>
      <w:tr w:rsidR="003F5418" w14:paraId="402E3A3B" w14:textId="77777777">
        <w:trPr>
          <w:trHeight w:val="313"/>
          <w:jc w:val="center"/>
        </w:trPr>
        <w:tc>
          <w:tcPr>
            <w:tcW w:w="1220" w:type="dxa"/>
            <w:shd w:val="clear" w:color="auto" w:fill="C6EFCE"/>
            <w:noWrap/>
            <w:vAlign w:val="center"/>
          </w:tcPr>
          <w:p w14:paraId="51239583" w14:textId="77777777" w:rsidR="003F5418" w:rsidRDefault="002A6C25">
            <w:pPr>
              <w:pStyle w:val="P68B1DB1-Normal4"/>
              <w:spacing w:line="276" w:lineRule="auto"/>
              <w:jc w:val="center"/>
              <w:rPr>
                <w:noProof/>
              </w:rPr>
            </w:pPr>
            <w:r>
              <w:rPr>
                <w:noProof/>
              </w:rPr>
              <w:t>M2C1–16</w:t>
            </w:r>
          </w:p>
        </w:tc>
        <w:tc>
          <w:tcPr>
            <w:tcW w:w="1598" w:type="dxa"/>
            <w:shd w:val="clear" w:color="auto" w:fill="C6EFCE"/>
            <w:noWrap/>
            <w:vAlign w:val="center"/>
          </w:tcPr>
          <w:p w14:paraId="3D8D2DE6" w14:textId="77369314" w:rsidR="003F5418" w:rsidRDefault="003F5418">
            <w:pPr>
              <w:spacing w:line="276" w:lineRule="auto"/>
              <w:jc w:val="center"/>
              <w:rPr>
                <w:rFonts w:ascii="Arial Narrow" w:hAnsi="Arial Narrow"/>
                <w:noProof/>
                <w:sz w:val="20"/>
              </w:rPr>
            </w:pPr>
          </w:p>
          <w:p w14:paraId="02D8F59C" w14:textId="381E0E48" w:rsidR="003F5418" w:rsidRDefault="003F5418">
            <w:pPr>
              <w:spacing w:line="276" w:lineRule="auto"/>
              <w:jc w:val="center"/>
              <w:rPr>
                <w:rFonts w:ascii="Arial Narrow" w:hAnsi="Arial Narrow"/>
                <w:noProof/>
                <w:color w:val="006100"/>
                <w:sz w:val="20"/>
              </w:rPr>
            </w:pPr>
          </w:p>
          <w:p w14:paraId="103E6D92" w14:textId="0E57919F" w:rsidR="003F5418" w:rsidRDefault="002A6C25">
            <w:pPr>
              <w:pStyle w:val="P68B1DB1-Normal4"/>
              <w:spacing w:line="276" w:lineRule="auto"/>
              <w:jc w:val="center"/>
              <w:rPr>
                <w:noProof/>
              </w:rPr>
            </w:pPr>
            <w:r>
              <w:rPr>
                <w:noProof/>
              </w:rPr>
              <w:t xml:space="preserve">Reform </w:t>
            </w:r>
          </w:p>
          <w:p w14:paraId="5D2BADE3" w14:textId="15B82967" w:rsidR="003F5418" w:rsidRDefault="002A6C25">
            <w:pPr>
              <w:pStyle w:val="P68B1DB1-Normal4"/>
              <w:spacing w:line="276" w:lineRule="auto"/>
              <w:jc w:val="center"/>
              <w:rPr>
                <w:noProof/>
              </w:rPr>
            </w:pPr>
            <w:r>
              <w:rPr>
                <w:noProof/>
              </w:rPr>
              <w:t>Nemzeti hulladékgazdálkodási program</w:t>
            </w:r>
          </w:p>
        </w:tc>
        <w:tc>
          <w:tcPr>
            <w:tcW w:w="1185" w:type="dxa"/>
            <w:shd w:val="clear" w:color="auto" w:fill="C6EFCE"/>
            <w:noWrap/>
            <w:vAlign w:val="center"/>
          </w:tcPr>
          <w:p w14:paraId="6FBABB7F"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69B7F5C3" w14:textId="77777777" w:rsidR="003F5418" w:rsidRDefault="002A6C25">
            <w:pPr>
              <w:pStyle w:val="P68B1DB1-Normal4"/>
              <w:spacing w:line="276" w:lineRule="auto"/>
              <w:jc w:val="center"/>
              <w:rPr>
                <w:noProof/>
              </w:rPr>
            </w:pPr>
            <w:r>
              <w:rPr>
                <w:noProof/>
              </w:rPr>
              <w:t>Szabálytalan hulladéklerakók</w:t>
            </w:r>
          </w:p>
        </w:tc>
        <w:tc>
          <w:tcPr>
            <w:tcW w:w="1603" w:type="dxa"/>
            <w:shd w:val="clear" w:color="auto" w:fill="C6EFCE"/>
            <w:noWrap/>
            <w:vAlign w:val="center"/>
          </w:tcPr>
          <w:p w14:paraId="515C3924"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5A090B38" w14:textId="5A4D1E10" w:rsidR="003F5418" w:rsidRDefault="002A6C25">
            <w:pPr>
              <w:pStyle w:val="P68B1DB1-Normal4"/>
              <w:spacing w:line="276" w:lineRule="auto"/>
              <w:jc w:val="center"/>
              <w:rPr>
                <w:noProof/>
              </w:rPr>
            </w:pPr>
            <w:r>
              <w:rPr>
                <w:noProof/>
              </w:rPr>
              <w:t>Szám</w:t>
            </w:r>
          </w:p>
        </w:tc>
        <w:tc>
          <w:tcPr>
            <w:tcW w:w="993" w:type="dxa"/>
            <w:shd w:val="clear" w:color="auto" w:fill="C6EFCE"/>
            <w:noWrap/>
            <w:vAlign w:val="center"/>
          </w:tcPr>
          <w:p w14:paraId="280047D3" w14:textId="77777777" w:rsidR="003F5418" w:rsidRDefault="002A6C25">
            <w:pPr>
              <w:pStyle w:val="P68B1DB1-Normal4"/>
              <w:spacing w:line="276" w:lineRule="auto"/>
              <w:jc w:val="center"/>
              <w:rPr>
                <w:noProof/>
              </w:rPr>
            </w:pPr>
            <w:r>
              <w:rPr>
                <w:noProof/>
              </w:rPr>
              <w:t>11</w:t>
            </w:r>
          </w:p>
        </w:tc>
        <w:tc>
          <w:tcPr>
            <w:tcW w:w="1162" w:type="dxa"/>
            <w:shd w:val="clear" w:color="auto" w:fill="C6EFCE"/>
            <w:noWrap/>
            <w:vAlign w:val="center"/>
          </w:tcPr>
          <w:p w14:paraId="2DD03362" w14:textId="77777777" w:rsidR="003F5418" w:rsidRDefault="002A6C25">
            <w:pPr>
              <w:pStyle w:val="P68B1DB1-Normal4"/>
              <w:spacing w:line="276" w:lineRule="auto"/>
              <w:jc w:val="center"/>
              <w:rPr>
                <w:noProof/>
              </w:rPr>
            </w:pPr>
            <w:r>
              <w:rPr>
                <w:noProof/>
              </w:rPr>
              <w:t>0</w:t>
            </w:r>
          </w:p>
        </w:tc>
        <w:tc>
          <w:tcPr>
            <w:tcW w:w="963" w:type="dxa"/>
            <w:shd w:val="clear" w:color="auto" w:fill="C6EFCE"/>
            <w:noWrap/>
            <w:vAlign w:val="center"/>
          </w:tcPr>
          <w:p w14:paraId="27500641"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440CA250" w14:textId="77777777" w:rsidR="003F5418" w:rsidRDefault="002A6C25">
            <w:pPr>
              <w:pStyle w:val="P68B1DB1-Normal4"/>
              <w:spacing w:line="276" w:lineRule="auto"/>
              <w:rPr>
                <w:noProof/>
              </w:rPr>
            </w:pPr>
            <w:r>
              <w:rPr>
                <w:noProof/>
              </w:rPr>
              <w:t>2026</w:t>
            </w:r>
          </w:p>
        </w:tc>
        <w:tc>
          <w:tcPr>
            <w:tcW w:w="3174" w:type="dxa"/>
            <w:shd w:val="clear" w:color="auto" w:fill="C6EFCE"/>
            <w:noWrap/>
            <w:vAlign w:val="center"/>
          </w:tcPr>
          <w:p w14:paraId="33BBA178" w14:textId="24A753B8" w:rsidR="003F5418" w:rsidRDefault="002A6C25">
            <w:pPr>
              <w:pStyle w:val="P68B1DB1-Normal4"/>
              <w:spacing w:line="276" w:lineRule="auto"/>
              <w:rPr>
                <w:noProof/>
              </w:rPr>
            </w:pPr>
            <w:r>
              <w:rPr>
                <w:noProof/>
              </w:rPr>
              <w:t xml:space="preserve"> A 2003/2077. sz. kötelezettségszegési eljárásban érintett szabálytalan hulladéklerakók számának csökkentése 11-ről 0-ra (azaz legalább 100%-ra)</w:t>
            </w:r>
          </w:p>
        </w:tc>
      </w:tr>
      <w:tr w:rsidR="003F5418" w14:paraId="625A9A97" w14:textId="77777777">
        <w:trPr>
          <w:trHeight w:val="313"/>
          <w:jc w:val="center"/>
        </w:trPr>
        <w:tc>
          <w:tcPr>
            <w:tcW w:w="1220" w:type="dxa"/>
            <w:shd w:val="clear" w:color="auto" w:fill="C6EFCE"/>
            <w:noWrap/>
            <w:vAlign w:val="center"/>
          </w:tcPr>
          <w:p w14:paraId="487CC7C5" w14:textId="77777777" w:rsidR="003F5418" w:rsidRDefault="002A6C25">
            <w:pPr>
              <w:pStyle w:val="P68B1DB1-Normal4"/>
              <w:spacing w:line="276" w:lineRule="auto"/>
              <w:jc w:val="center"/>
              <w:rPr>
                <w:noProof/>
              </w:rPr>
            </w:pPr>
            <w:r>
              <w:rPr>
                <w:noProof/>
              </w:rPr>
              <w:t>M2C1–16a</w:t>
            </w:r>
          </w:p>
        </w:tc>
        <w:tc>
          <w:tcPr>
            <w:tcW w:w="1598" w:type="dxa"/>
            <w:shd w:val="clear" w:color="auto" w:fill="C6EFCE"/>
            <w:noWrap/>
            <w:vAlign w:val="center"/>
          </w:tcPr>
          <w:p w14:paraId="76089E57" w14:textId="77777777" w:rsidR="003F5418" w:rsidRDefault="003F5418">
            <w:pPr>
              <w:spacing w:line="276" w:lineRule="auto"/>
              <w:jc w:val="center"/>
              <w:rPr>
                <w:rFonts w:ascii="Arial Narrow" w:hAnsi="Arial Narrow"/>
                <w:noProof/>
                <w:color w:val="006100"/>
                <w:sz w:val="20"/>
              </w:rPr>
            </w:pPr>
          </w:p>
          <w:p w14:paraId="684F2B80" w14:textId="42436F91" w:rsidR="003F5418" w:rsidRDefault="003F5418">
            <w:pPr>
              <w:spacing w:line="276" w:lineRule="auto"/>
              <w:jc w:val="center"/>
              <w:rPr>
                <w:rFonts w:ascii="Arial Narrow" w:hAnsi="Arial Narrow"/>
                <w:noProof/>
                <w:color w:val="006100"/>
                <w:sz w:val="20"/>
              </w:rPr>
            </w:pPr>
          </w:p>
          <w:p w14:paraId="509BB889" w14:textId="5C9C3079" w:rsidR="003F5418" w:rsidRDefault="003F5418">
            <w:pPr>
              <w:spacing w:line="276" w:lineRule="auto"/>
              <w:jc w:val="center"/>
              <w:rPr>
                <w:rFonts w:ascii="Arial Narrow" w:hAnsi="Arial Narrow"/>
                <w:noProof/>
                <w:color w:val="006100"/>
                <w:sz w:val="20"/>
              </w:rPr>
            </w:pPr>
          </w:p>
          <w:p w14:paraId="085D4F1C" w14:textId="42DFA581" w:rsidR="003F5418" w:rsidRDefault="002A6C25">
            <w:pPr>
              <w:pStyle w:val="P68B1DB1-Normal4"/>
              <w:spacing w:line="276" w:lineRule="auto"/>
              <w:jc w:val="center"/>
              <w:rPr>
                <w:noProof/>
              </w:rPr>
            </w:pPr>
            <w:r>
              <w:rPr>
                <w:noProof/>
              </w:rPr>
              <w:t xml:space="preserve">Reform </w:t>
            </w:r>
          </w:p>
          <w:p w14:paraId="43AF5E46" w14:textId="6492DA81" w:rsidR="003F5418" w:rsidRDefault="002A6C25">
            <w:pPr>
              <w:pStyle w:val="P68B1DB1-Normal4"/>
              <w:spacing w:line="276" w:lineRule="auto"/>
              <w:jc w:val="center"/>
              <w:rPr>
                <w:noProof/>
              </w:rPr>
            </w:pPr>
            <w:r>
              <w:rPr>
                <w:noProof/>
              </w:rPr>
              <w:t>Nemzeti hulladékgazdálkodási program</w:t>
            </w:r>
          </w:p>
        </w:tc>
        <w:tc>
          <w:tcPr>
            <w:tcW w:w="1185" w:type="dxa"/>
            <w:shd w:val="clear" w:color="auto" w:fill="C6EFCE"/>
            <w:noWrap/>
            <w:vAlign w:val="center"/>
          </w:tcPr>
          <w:p w14:paraId="39C08835"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2A363EDC" w14:textId="77777777" w:rsidR="003F5418" w:rsidRDefault="002A6C25">
            <w:pPr>
              <w:pStyle w:val="P68B1DB1-Normal4"/>
              <w:spacing w:line="276" w:lineRule="auto"/>
              <w:jc w:val="center"/>
              <w:rPr>
                <w:noProof/>
              </w:rPr>
            </w:pPr>
            <w:r>
              <w:rPr>
                <w:noProof/>
              </w:rPr>
              <w:t>Szabálytalan hulladéklerakók</w:t>
            </w:r>
          </w:p>
        </w:tc>
        <w:tc>
          <w:tcPr>
            <w:tcW w:w="1603" w:type="dxa"/>
            <w:shd w:val="clear" w:color="auto" w:fill="C6EFCE"/>
            <w:noWrap/>
            <w:vAlign w:val="center"/>
          </w:tcPr>
          <w:p w14:paraId="7E163D15"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3632538D" w14:textId="5B874100" w:rsidR="003F5418" w:rsidRDefault="002A6C25">
            <w:pPr>
              <w:pStyle w:val="P68B1DB1-Normal4"/>
              <w:spacing w:line="276" w:lineRule="auto"/>
              <w:jc w:val="center"/>
              <w:rPr>
                <w:noProof/>
              </w:rPr>
            </w:pPr>
            <w:r>
              <w:rPr>
                <w:noProof/>
              </w:rPr>
              <w:t>Szám</w:t>
            </w:r>
          </w:p>
        </w:tc>
        <w:tc>
          <w:tcPr>
            <w:tcW w:w="993" w:type="dxa"/>
            <w:shd w:val="clear" w:color="auto" w:fill="C6EFCE"/>
            <w:noWrap/>
            <w:vAlign w:val="center"/>
          </w:tcPr>
          <w:p w14:paraId="43BC2B0E" w14:textId="77777777" w:rsidR="003F5418" w:rsidRDefault="002A6C25">
            <w:pPr>
              <w:pStyle w:val="P68B1DB1-Normal4"/>
              <w:spacing w:line="276" w:lineRule="auto"/>
              <w:jc w:val="center"/>
              <w:rPr>
                <w:noProof/>
              </w:rPr>
            </w:pPr>
            <w:r>
              <w:rPr>
                <w:noProof/>
              </w:rPr>
              <w:t>14</w:t>
            </w:r>
          </w:p>
        </w:tc>
        <w:tc>
          <w:tcPr>
            <w:tcW w:w="1162" w:type="dxa"/>
            <w:shd w:val="clear" w:color="auto" w:fill="C6EFCE"/>
            <w:noWrap/>
            <w:vAlign w:val="center"/>
          </w:tcPr>
          <w:p w14:paraId="24CC81F8" w14:textId="77777777" w:rsidR="003F5418" w:rsidRDefault="002A6C25">
            <w:pPr>
              <w:pStyle w:val="P68B1DB1-Normal4"/>
              <w:spacing w:line="276" w:lineRule="auto"/>
              <w:jc w:val="center"/>
              <w:rPr>
                <w:noProof/>
              </w:rPr>
            </w:pPr>
            <w:r>
              <w:rPr>
                <w:noProof/>
              </w:rPr>
              <w:t>9</w:t>
            </w:r>
          </w:p>
        </w:tc>
        <w:tc>
          <w:tcPr>
            <w:tcW w:w="963" w:type="dxa"/>
            <w:shd w:val="clear" w:color="auto" w:fill="C6EFCE"/>
            <w:noWrap/>
            <w:vAlign w:val="center"/>
          </w:tcPr>
          <w:p w14:paraId="54A2BE51"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026BFE40" w14:textId="77777777" w:rsidR="003F5418" w:rsidRDefault="002A6C25">
            <w:pPr>
              <w:pStyle w:val="P68B1DB1-Normal4"/>
              <w:spacing w:line="276" w:lineRule="auto"/>
              <w:rPr>
                <w:noProof/>
              </w:rPr>
            </w:pPr>
            <w:r>
              <w:rPr>
                <w:noProof/>
              </w:rPr>
              <w:t>2024</w:t>
            </w:r>
          </w:p>
        </w:tc>
        <w:tc>
          <w:tcPr>
            <w:tcW w:w="3174" w:type="dxa"/>
            <w:shd w:val="clear" w:color="auto" w:fill="C6EFCE"/>
            <w:noWrap/>
            <w:vAlign w:val="center"/>
          </w:tcPr>
          <w:p w14:paraId="0405820B" w14:textId="3AE954FA" w:rsidR="003F5418" w:rsidRDefault="002A6C25">
            <w:pPr>
              <w:pStyle w:val="P68B1DB1-Normal4"/>
              <w:spacing w:line="276" w:lineRule="auto"/>
              <w:rPr>
                <w:noProof/>
              </w:rPr>
            </w:pPr>
            <w:r>
              <w:rPr>
                <w:noProof/>
              </w:rPr>
              <w:t>A 2011/2215. számú kötelezettségszegési eljárásban érintett szabálytalan hulladéklerakók számának csökkentése 14-ről 9-re (azaz legalább 75%-ra)</w:t>
            </w:r>
          </w:p>
        </w:tc>
      </w:tr>
      <w:tr w:rsidR="003F5418" w14:paraId="7BF66293" w14:textId="77777777">
        <w:trPr>
          <w:trHeight w:val="313"/>
          <w:jc w:val="center"/>
        </w:trPr>
        <w:tc>
          <w:tcPr>
            <w:tcW w:w="1220" w:type="dxa"/>
            <w:shd w:val="clear" w:color="auto" w:fill="C6EFCE"/>
            <w:noWrap/>
            <w:vAlign w:val="center"/>
          </w:tcPr>
          <w:p w14:paraId="48E98556" w14:textId="77777777" w:rsidR="003F5418" w:rsidRDefault="002A6C25">
            <w:pPr>
              <w:pStyle w:val="P68B1DB1-Normal4"/>
              <w:spacing w:line="276" w:lineRule="auto"/>
              <w:jc w:val="center"/>
              <w:rPr>
                <w:noProof/>
              </w:rPr>
            </w:pPr>
            <w:r>
              <w:rPr>
                <w:noProof/>
              </w:rPr>
              <w:t>M2C1–16ter</w:t>
            </w:r>
          </w:p>
        </w:tc>
        <w:tc>
          <w:tcPr>
            <w:tcW w:w="1598" w:type="dxa"/>
            <w:shd w:val="clear" w:color="auto" w:fill="C6EFCE"/>
            <w:noWrap/>
            <w:vAlign w:val="center"/>
          </w:tcPr>
          <w:p w14:paraId="51AC8C0D" w14:textId="77777777" w:rsidR="003F5418" w:rsidRDefault="003F5418">
            <w:pPr>
              <w:spacing w:line="276" w:lineRule="auto"/>
              <w:jc w:val="center"/>
              <w:rPr>
                <w:rFonts w:ascii="Arial Narrow" w:hAnsi="Arial Narrow"/>
                <w:noProof/>
                <w:color w:val="006100"/>
                <w:sz w:val="20"/>
              </w:rPr>
            </w:pPr>
          </w:p>
          <w:p w14:paraId="6385B96B" w14:textId="77777777" w:rsidR="003F5418" w:rsidRDefault="002A6C25">
            <w:pPr>
              <w:pStyle w:val="P68B1DB1-Normal4"/>
              <w:spacing w:line="276" w:lineRule="auto"/>
              <w:jc w:val="center"/>
              <w:rPr>
                <w:noProof/>
              </w:rPr>
            </w:pPr>
            <w:r>
              <w:rPr>
                <w:noProof/>
              </w:rPr>
              <w:t>Beruházás – Új hulladékkezelő üzemek megvalósítása és a meglévő üzemek korszerűsítése</w:t>
            </w:r>
          </w:p>
        </w:tc>
        <w:tc>
          <w:tcPr>
            <w:tcW w:w="1185" w:type="dxa"/>
            <w:shd w:val="clear" w:color="auto" w:fill="C6EFCE"/>
            <w:noWrap/>
            <w:vAlign w:val="center"/>
          </w:tcPr>
          <w:p w14:paraId="1C2730E3"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268B4756" w14:textId="77777777" w:rsidR="003F5418" w:rsidRDefault="002A6C25">
            <w:pPr>
              <w:pStyle w:val="P68B1DB1-Normal4"/>
              <w:spacing w:line="276" w:lineRule="auto"/>
              <w:jc w:val="center"/>
              <w:rPr>
                <w:noProof/>
              </w:rPr>
            </w:pPr>
            <w:r>
              <w:rPr>
                <w:noProof/>
              </w:rPr>
              <w:t>Regionális különbségek az elkülönített gyűjtési arányokban</w:t>
            </w:r>
          </w:p>
        </w:tc>
        <w:tc>
          <w:tcPr>
            <w:tcW w:w="1603" w:type="dxa"/>
            <w:shd w:val="clear" w:color="auto" w:fill="C6EFCE"/>
            <w:noWrap/>
            <w:vAlign w:val="center"/>
          </w:tcPr>
          <w:p w14:paraId="483C8409"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54A22649" w14:textId="77777777" w:rsidR="003F5418" w:rsidRDefault="002A6C25">
            <w:pPr>
              <w:pStyle w:val="P68B1DB1-Normal4"/>
              <w:spacing w:line="276" w:lineRule="auto"/>
              <w:jc w:val="center"/>
              <w:rPr>
                <w:noProof/>
              </w:rPr>
            </w:pPr>
            <w:r>
              <w:rPr>
                <w:noProof/>
              </w:rPr>
              <w:t>Százalékpont</w:t>
            </w:r>
          </w:p>
        </w:tc>
        <w:tc>
          <w:tcPr>
            <w:tcW w:w="993" w:type="dxa"/>
            <w:shd w:val="clear" w:color="auto" w:fill="C6EFCE"/>
            <w:noWrap/>
            <w:vAlign w:val="center"/>
          </w:tcPr>
          <w:p w14:paraId="6BA39044" w14:textId="77777777" w:rsidR="003F5418" w:rsidRDefault="002A6C25">
            <w:pPr>
              <w:pStyle w:val="P68B1DB1-Normal4"/>
              <w:spacing w:line="276" w:lineRule="auto"/>
              <w:jc w:val="center"/>
              <w:rPr>
                <w:noProof/>
              </w:rPr>
            </w:pPr>
            <w:r>
              <w:rPr>
                <w:noProof/>
              </w:rPr>
              <w:t>27,6</w:t>
            </w:r>
          </w:p>
        </w:tc>
        <w:tc>
          <w:tcPr>
            <w:tcW w:w="1162" w:type="dxa"/>
            <w:shd w:val="clear" w:color="auto" w:fill="C6EFCE"/>
            <w:noWrap/>
            <w:vAlign w:val="center"/>
          </w:tcPr>
          <w:p w14:paraId="7CE2610F" w14:textId="77777777" w:rsidR="003F5418" w:rsidRDefault="002A6C25">
            <w:pPr>
              <w:pStyle w:val="P68B1DB1-Normal4"/>
              <w:spacing w:line="276" w:lineRule="auto"/>
              <w:jc w:val="center"/>
              <w:rPr>
                <w:noProof/>
              </w:rPr>
            </w:pPr>
            <w:r>
              <w:rPr>
                <w:noProof/>
              </w:rPr>
              <w:t>20</w:t>
            </w:r>
          </w:p>
        </w:tc>
        <w:tc>
          <w:tcPr>
            <w:tcW w:w="963" w:type="dxa"/>
            <w:shd w:val="clear" w:color="auto" w:fill="C6EFCE"/>
            <w:noWrap/>
            <w:vAlign w:val="center"/>
          </w:tcPr>
          <w:p w14:paraId="13B26D12"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F0EFF51" w14:textId="77777777" w:rsidR="003F5418" w:rsidRDefault="002A6C25">
            <w:pPr>
              <w:pStyle w:val="P68B1DB1-Normal4"/>
              <w:spacing w:line="276" w:lineRule="auto"/>
              <w:rPr>
                <w:noProof/>
              </w:rPr>
            </w:pPr>
            <w:r>
              <w:rPr>
                <w:noProof/>
              </w:rPr>
              <w:t>2024</w:t>
            </w:r>
          </w:p>
        </w:tc>
        <w:tc>
          <w:tcPr>
            <w:tcW w:w="3174" w:type="dxa"/>
            <w:shd w:val="clear" w:color="auto" w:fill="C6EFCE"/>
            <w:noWrap/>
            <w:vAlign w:val="center"/>
          </w:tcPr>
          <w:p w14:paraId="3D658D9C" w14:textId="4914A314" w:rsidR="003F5418" w:rsidRDefault="002A6C25">
            <w:pPr>
              <w:pStyle w:val="P68B1DB1-Normal4"/>
              <w:spacing w:before="60" w:after="120" w:line="276" w:lineRule="auto"/>
              <w:rPr>
                <w:noProof/>
              </w:rPr>
            </w:pPr>
            <w:r>
              <w:rPr>
                <w:noProof/>
              </w:rPr>
              <w:t>Az elkülönített gyűjtési arányok tekintetében az átlagos három legjobban teljesítő régió és a három legrosszabbul teljesítő régió közötti különbség 20 százalékpon</w:t>
            </w:r>
            <w:r>
              <w:rPr>
                <w:noProof/>
              </w:rPr>
              <w:t>tos csökkentése.</w:t>
            </w:r>
          </w:p>
        </w:tc>
      </w:tr>
      <w:tr w:rsidR="003F5418" w14:paraId="704C578F" w14:textId="77777777">
        <w:trPr>
          <w:trHeight w:val="313"/>
          <w:jc w:val="center"/>
        </w:trPr>
        <w:tc>
          <w:tcPr>
            <w:tcW w:w="1220" w:type="dxa"/>
            <w:shd w:val="clear" w:color="auto" w:fill="C6EFCE"/>
            <w:noWrap/>
            <w:vAlign w:val="center"/>
          </w:tcPr>
          <w:p w14:paraId="3630977E" w14:textId="77777777" w:rsidR="003F5418" w:rsidRDefault="002A6C25">
            <w:pPr>
              <w:pStyle w:val="P68B1DB1-Normal4"/>
              <w:spacing w:line="276" w:lineRule="auto"/>
              <w:jc w:val="center"/>
              <w:rPr>
                <w:noProof/>
              </w:rPr>
            </w:pPr>
            <w:r>
              <w:rPr>
                <w:noProof/>
              </w:rPr>
              <w:t>M2C1–17</w:t>
            </w:r>
          </w:p>
        </w:tc>
        <w:tc>
          <w:tcPr>
            <w:tcW w:w="1598" w:type="dxa"/>
            <w:shd w:val="clear" w:color="auto" w:fill="C6EFCE"/>
            <w:noWrap/>
            <w:vAlign w:val="center"/>
          </w:tcPr>
          <w:p w14:paraId="01307A72"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3BD60756"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1CE43042" w14:textId="77777777" w:rsidR="003F5418" w:rsidRDefault="002A6C25">
            <w:pPr>
              <w:pStyle w:val="P68B1DB1-Normal4"/>
              <w:spacing w:line="276" w:lineRule="auto"/>
              <w:jc w:val="center"/>
              <w:rPr>
                <w:noProof/>
              </w:rPr>
            </w:pPr>
            <w:r>
              <w:rPr>
                <w:noProof/>
              </w:rPr>
              <w:t>A települési hulladék újrafeldolgozási aránya a körforgásos gazdaságra vonatkozó cselekvési tervben</w:t>
            </w:r>
          </w:p>
        </w:tc>
        <w:tc>
          <w:tcPr>
            <w:tcW w:w="1603" w:type="dxa"/>
            <w:shd w:val="clear" w:color="auto" w:fill="C6EFCE"/>
            <w:noWrap/>
            <w:vAlign w:val="center"/>
          </w:tcPr>
          <w:p w14:paraId="791C13E3"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4533E958"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738BB4CD"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51A40286" w14:textId="77777777" w:rsidR="003F5418" w:rsidRDefault="002A6C25">
            <w:pPr>
              <w:pStyle w:val="P68B1DB1-Normal4"/>
              <w:spacing w:line="276" w:lineRule="auto"/>
              <w:jc w:val="center"/>
              <w:rPr>
                <w:noProof/>
              </w:rPr>
            </w:pPr>
            <w:r>
              <w:rPr>
                <w:noProof/>
              </w:rPr>
              <w:t>55</w:t>
            </w:r>
          </w:p>
        </w:tc>
        <w:tc>
          <w:tcPr>
            <w:tcW w:w="963" w:type="dxa"/>
            <w:shd w:val="clear" w:color="auto" w:fill="C6EFCE"/>
            <w:noWrap/>
            <w:vAlign w:val="center"/>
          </w:tcPr>
          <w:p w14:paraId="1C01B7CE"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08F52D9C"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40E36FFF" w14:textId="77777777" w:rsidR="003F5418" w:rsidRDefault="002A6C25">
            <w:pPr>
              <w:pStyle w:val="P68B1DB1-Normal4"/>
              <w:spacing w:before="60" w:after="120" w:line="276" w:lineRule="auto"/>
              <w:rPr>
                <w:noProof/>
              </w:rPr>
            </w:pPr>
            <w:r>
              <w:rPr>
                <w:noProof/>
              </w:rPr>
              <w:t xml:space="preserve">A települési hulladék </w:t>
            </w:r>
            <w:r>
              <w:rPr>
                <w:noProof/>
              </w:rPr>
              <w:t>újrafeldolgozási arányának el kell érnie legalább az 55%-ot (az (EU) 2018/851 irányelvvel módosított, a hulladékokról szóló 2008/98/EK irányelv 11. cikke (2) bekezdésének C. pontjában meghatározottak szerint).</w:t>
            </w:r>
          </w:p>
        </w:tc>
      </w:tr>
      <w:tr w:rsidR="003F5418" w14:paraId="204894B6" w14:textId="77777777">
        <w:trPr>
          <w:trHeight w:val="313"/>
          <w:jc w:val="center"/>
        </w:trPr>
        <w:tc>
          <w:tcPr>
            <w:tcW w:w="1220" w:type="dxa"/>
            <w:shd w:val="clear" w:color="auto" w:fill="C6EFCE"/>
            <w:noWrap/>
            <w:vAlign w:val="center"/>
          </w:tcPr>
          <w:p w14:paraId="3BC8058E" w14:textId="77777777" w:rsidR="003F5418" w:rsidRDefault="002A6C25">
            <w:pPr>
              <w:pStyle w:val="P68B1DB1-Normal4"/>
              <w:spacing w:line="276" w:lineRule="auto"/>
              <w:jc w:val="center"/>
              <w:rPr>
                <w:noProof/>
              </w:rPr>
            </w:pPr>
            <w:r>
              <w:rPr>
                <w:noProof/>
              </w:rPr>
              <w:t>M2C1–17a</w:t>
            </w:r>
          </w:p>
        </w:tc>
        <w:tc>
          <w:tcPr>
            <w:tcW w:w="1598" w:type="dxa"/>
            <w:shd w:val="clear" w:color="auto" w:fill="C6EFCE"/>
            <w:noWrap/>
            <w:vAlign w:val="center"/>
          </w:tcPr>
          <w:p w14:paraId="0389F520" w14:textId="77777777" w:rsidR="003F5418" w:rsidRDefault="002A6C25">
            <w:pPr>
              <w:pStyle w:val="P68B1DB1-Normal4"/>
              <w:spacing w:line="276" w:lineRule="auto"/>
              <w:jc w:val="center"/>
              <w:rPr>
                <w:noProof/>
              </w:rPr>
            </w:pPr>
            <w:r>
              <w:rPr>
                <w:noProof/>
              </w:rPr>
              <w:t xml:space="preserve">Beruházás – A körforgásos gazdaság </w:t>
            </w:r>
            <w:r>
              <w:rPr>
                <w:noProof/>
              </w:rPr>
              <w:t>kiemelt projektjei</w:t>
            </w:r>
          </w:p>
        </w:tc>
        <w:tc>
          <w:tcPr>
            <w:tcW w:w="1185" w:type="dxa"/>
            <w:shd w:val="clear" w:color="auto" w:fill="C6EFCE"/>
            <w:noWrap/>
            <w:vAlign w:val="center"/>
          </w:tcPr>
          <w:p w14:paraId="5E8D8C9D"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77584184" w14:textId="77777777" w:rsidR="003F5418" w:rsidRDefault="002A6C25">
            <w:pPr>
              <w:pStyle w:val="P68B1DB1-Normal4"/>
              <w:spacing w:line="276" w:lineRule="auto"/>
              <w:jc w:val="center"/>
              <w:rPr>
                <w:noProof/>
              </w:rPr>
            </w:pPr>
            <w:r>
              <w:rPr>
                <w:noProof/>
              </w:rPr>
              <w:t>A csomagolási hulladék újrafeldolgozási aránya a körforgásos gazdaságra vonatkozó cselekvési tervben</w:t>
            </w:r>
          </w:p>
        </w:tc>
        <w:tc>
          <w:tcPr>
            <w:tcW w:w="1603" w:type="dxa"/>
            <w:shd w:val="clear" w:color="auto" w:fill="C6EFCE"/>
            <w:noWrap/>
            <w:vAlign w:val="center"/>
          </w:tcPr>
          <w:p w14:paraId="0FD66708"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2F3B5DF9"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1390D88D"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36D04A74" w14:textId="77777777" w:rsidR="003F5418" w:rsidRDefault="002A6C25">
            <w:pPr>
              <w:pStyle w:val="P68B1DB1-Normal4"/>
              <w:spacing w:line="276" w:lineRule="auto"/>
              <w:jc w:val="center"/>
              <w:rPr>
                <w:noProof/>
              </w:rPr>
            </w:pPr>
            <w:r>
              <w:rPr>
                <w:noProof/>
              </w:rPr>
              <w:t>65</w:t>
            </w:r>
          </w:p>
        </w:tc>
        <w:tc>
          <w:tcPr>
            <w:tcW w:w="963" w:type="dxa"/>
            <w:shd w:val="clear" w:color="auto" w:fill="C6EFCE"/>
            <w:noWrap/>
            <w:vAlign w:val="center"/>
          </w:tcPr>
          <w:p w14:paraId="6FC50494"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744D83B2"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5CC22D16" w14:textId="77777777" w:rsidR="003F5418" w:rsidRDefault="002A6C25">
            <w:pPr>
              <w:pStyle w:val="P68B1DB1-Normal4"/>
              <w:spacing w:before="60" w:after="120" w:line="276" w:lineRule="auto"/>
              <w:rPr>
                <w:noProof/>
              </w:rPr>
            </w:pPr>
            <w:r>
              <w:rPr>
                <w:noProof/>
              </w:rPr>
              <w:t>A csomagolási hulladék tömeg szerinti újrafeldolgozási arányának el kell érnie legalább</w:t>
            </w:r>
            <w:r>
              <w:rPr>
                <w:noProof/>
              </w:rPr>
              <w:t xml:space="preserve"> a 65%-ot (a (EU) 2018/852 irányelvvel módosított, a csomagolási hulladékról szóló 94/62/EK irányelv 6. cikke (1) bekezdésének g) pontjában meghatározottak szerint).</w:t>
            </w:r>
          </w:p>
        </w:tc>
      </w:tr>
      <w:tr w:rsidR="003F5418" w14:paraId="3DD49FD5" w14:textId="77777777">
        <w:trPr>
          <w:trHeight w:val="313"/>
          <w:jc w:val="center"/>
        </w:trPr>
        <w:tc>
          <w:tcPr>
            <w:tcW w:w="1220" w:type="dxa"/>
            <w:shd w:val="clear" w:color="auto" w:fill="C6EFCE"/>
            <w:noWrap/>
            <w:vAlign w:val="center"/>
          </w:tcPr>
          <w:p w14:paraId="1B7DDD4A" w14:textId="77777777" w:rsidR="003F5418" w:rsidRDefault="002A6C25">
            <w:pPr>
              <w:pStyle w:val="P68B1DB1-Normal4"/>
              <w:spacing w:line="276" w:lineRule="auto"/>
              <w:jc w:val="center"/>
              <w:rPr>
                <w:noProof/>
              </w:rPr>
            </w:pPr>
            <w:r>
              <w:rPr>
                <w:noProof/>
              </w:rPr>
              <w:t>M2C1–17ter</w:t>
            </w:r>
          </w:p>
        </w:tc>
        <w:tc>
          <w:tcPr>
            <w:tcW w:w="1598" w:type="dxa"/>
            <w:shd w:val="clear" w:color="auto" w:fill="C6EFCE"/>
            <w:noWrap/>
            <w:vAlign w:val="center"/>
          </w:tcPr>
          <w:p w14:paraId="469F2B30"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634898F7"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73213556" w14:textId="77777777" w:rsidR="003F5418" w:rsidRDefault="002A6C25">
            <w:pPr>
              <w:pStyle w:val="P68B1DB1-Normal4"/>
              <w:spacing w:line="276" w:lineRule="auto"/>
              <w:jc w:val="center"/>
              <w:rPr>
                <w:noProof/>
              </w:rPr>
            </w:pPr>
            <w:r>
              <w:rPr>
                <w:noProof/>
              </w:rPr>
              <w:t xml:space="preserve">A fa </w:t>
            </w:r>
            <w:r>
              <w:rPr>
                <w:noProof/>
              </w:rPr>
              <w:t>csomagolóanyagok újrafeldolgozási aránya a körforgásos gazdaságra vonatkozó cselekvési tervben</w:t>
            </w:r>
          </w:p>
        </w:tc>
        <w:tc>
          <w:tcPr>
            <w:tcW w:w="1603" w:type="dxa"/>
            <w:shd w:val="clear" w:color="auto" w:fill="C6EFCE"/>
            <w:noWrap/>
            <w:vAlign w:val="center"/>
          </w:tcPr>
          <w:p w14:paraId="5C081CE0"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3E48A84C"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046D4D2C"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70363120" w14:textId="77777777" w:rsidR="003F5418" w:rsidRDefault="002A6C25">
            <w:pPr>
              <w:pStyle w:val="P68B1DB1-Normal4"/>
              <w:spacing w:line="276" w:lineRule="auto"/>
              <w:jc w:val="center"/>
              <w:rPr>
                <w:noProof/>
              </w:rPr>
            </w:pPr>
            <w:r>
              <w:rPr>
                <w:noProof/>
              </w:rPr>
              <w:t>25</w:t>
            </w:r>
          </w:p>
        </w:tc>
        <w:tc>
          <w:tcPr>
            <w:tcW w:w="963" w:type="dxa"/>
            <w:shd w:val="clear" w:color="auto" w:fill="C6EFCE"/>
            <w:noWrap/>
            <w:vAlign w:val="center"/>
          </w:tcPr>
          <w:p w14:paraId="6A0795E7"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400EB3BB"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0F11ED98" w14:textId="77777777" w:rsidR="003F5418" w:rsidRDefault="002A6C25">
            <w:pPr>
              <w:pStyle w:val="P68B1DB1-Normal4"/>
              <w:spacing w:before="60" w:after="120" w:line="276" w:lineRule="auto"/>
              <w:rPr>
                <w:noProof/>
              </w:rPr>
            </w:pPr>
            <w:r>
              <w:rPr>
                <w:noProof/>
              </w:rPr>
              <w:t xml:space="preserve">A facsomagolás tömeg szerinti újrafeldolgozási arányának el kell érnie legalább a 25%-ot (a csomagolási hulladékról </w:t>
            </w:r>
            <w:r>
              <w:rPr>
                <w:noProof/>
              </w:rPr>
              <w:t>szóló 94/62/EK irányelv (az (EU) 2018/852 irányelvvel módosított) 6. cikke (1) bekezdése g) pontjának I-VI. alpontjában meghatározottak szerint) 25%</w:t>
            </w:r>
          </w:p>
        </w:tc>
      </w:tr>
      <w:tr w:rsidR="003F5418" w14:paraId="64020B06" w14:textId="77777777">
        <w:trPr>
          <w:trHeight w:val="313"/>
          <w:jc w:val="center"/>
        </w:trPr>
        <w:tc>
          <w:tcPr>
            <w:tcW w:w="1220" w:type="dxa"/>
            <w:shd w:val="clear" w:color="auto" w:fill="C6EFCE"/>
            <w:noWrap/>
            <w:vAlign w:val="center"/>
          </w:tcPr>
          <w:p w14:paraId="21049063" w14:textId="77777777" w:rsidR="003F5418" w:rsidRDefault="002A6C25">
            <w:pPr>
              <w:pStyle w:val="P68B1DB1-Normal4"/>
              <w:spacing w:line="276" w:lineRule="auto"/>
              <w:jc w:val="center"/>
              <w:rPr>
                <w:noProof/>
              </w:rPr>
            </w:pPr>
            <w:r>
              <w:rPr>
                <w:noProof/>
              </w:rPr>
              <w:t>M2C1–17quater</w:t>
            </w:r>
          </w:p>
        </w:tc>
        <w:tc>
          <w:tcPr>
            <w:tcW w:w="1598" w:type="dxa"/>
            <w:shd w:val="clear" w:color="auto" w:fill="C6EFCE"/>
            <w:noWrap/>
            <w:vAlign w:val="center"/>
          </w:tcPr>
          <w:p w14:paraId="4723EFEB"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48B7EEED"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5355CACB" w14:textId="77777777" w:rsidR="003F5418" w:rsidRDefault="002A6C25">
            <w:pPr>
              <w:pStyle w:val="P68B1DB1-Normal4"/>
              <w:spacing w:line="276" w:lineRule="auto"/>
              <w:jc w:val="center"/>
              <w:rPr>
                <w:noProof/>
              </w:rPr>
            </w:pPr>
            <w:r>
              <w:rPr>
                <w:noProof/>
              </w:rPr>
              <w:t xml:space="preserve">A vasfém csomagolóanyagok </w:t>
            </w:r>
            <w:r>
              <w:rPr>
                <w:noProof/>
              </w:rPr>
              <w:t>újrafeldolgozási aránya a körforgásos gazdaságra vonatkozó cselekvési tervben</w:t>
            </w:r>
          </w:p>
        </w:tc>
        <w:tc>
          <w:tcPr>
            <w:tcW w:w="1603" w:type="dxa"/>
            <w:shd w:val="clear" w:color="auto" w:fill="C6EFCE"/>
            <w:noWrap/>
            <w:vAlign w:val="center"/>
          </w:tcPr>
          <w:p w14:paraId="1D51BFA4"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6431ADA6"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60DFA68C"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7F05429D" w14:textId="77777777" w:rsidR="003F5418" w:rsidRDefault="002A6C25">
            <w:pPr>
              <w:pStyle w:val="P68B1DB1-Normal4"/>
              <w:spacing w:line="276" w:lineRule="auto"/>
              <w:jc w:val="center"/>
              <w:rPr>
                <w:noProof/>
              </w:rPr>
            </w:pPr>
            <w:r>
              <w:rPr>
                <w:noProof/>
              </w:rPr>
              <w:t>70</w:t>
            </w:r>
          </w:p>
        </w:tc>
        <w:tc>
          <w:tcPr>
            <w:tcW w:w="963" w:type="dxa"/>
            <w:shd w:val="clear" w:color="auto" w:fill="C6EFCE"/>
            <w:noWrap/>
            <w:vAlign w:val="center"/>
          </w:tcPr>
          <w:p w14:paraId="07D9879C"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F3427D7"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4EE93779" w14:textId="77777777" w:rsidR="003F5418" w:rsidRDefault="002A6C25">
            <w:pPr>
              <w:pStyle w:val="P68B1DB1-Normal4"/>
              <w:spacing w:before="60" w:after="120" w:line="276" w:lineRule="auto"/>
              <w:rPr>
                <w:noProof/>
              </w:rPr>
            </w:pPr>
            <w:r>
              <w:rPr>
                <w:noProof/>
              </w:rPr>
              <w:t>A vasfémből készült csomagolás tömeg szerinti újrafeldolgozási arányának el kell érnie legalább a 70%-ot (a (EU) 2018/852 irányelvvel</w:t>
            </w:r>
            <w:r>
              <w:rPr>
                <w:noProof/>
              </w:rPr>
              <w:t xml:space="preserve"> módosított, a csomagolási hulladékról szóló 94/62/EK irányelv 6. cikke (1) bekezdésének g) pontjában meghatározottak szerint).</w:t>
            </w:r>
          </w:p>
        </w:tc>
      </w:tr>
      <w:tr w:rsidR="003F5418" w14:paraId="24E4BE10" w14:textId="77777777">
        <w:trPr>
          <w:trHeight w:val="313"/>
          <w:jc w:val="center"/>
        </w:trPr>
        <w:tc>
          <w:tcPr>
            <w:tcW w:w="1220" w:type="dxa"/>
            <w:shd w:val="clear" w:color="auto" w:fill="C6EFCE"/>
            <w:noWrap/>
            <w:vAlign w:val="center"/>
          </w:tcPr>
          <w:p w14:paraId="3D6DDEDD" w14:textId="77777777" w:rsidR="003F5418" w:rsidRDefault="002A6C25">
            <w:pPr>
              <w:pStyle w:val="P68B1DB1-Normal4"/>
              <w:spacing w:line="276" w:lineRule="auto"/>
              <w:jc w:val="center"/>
              <w:rPr>
                <w:noProof/>
              </w:rPr>
            </w:pPr>
            <w:r>
              <w:rPr>
                <w:noProof/>
              </w:rPr>
              <w:t>M2C1–17 kvv</w:t>
            </w:r>
          </w:p>
        </w:tc>
        <w:tc>
          <w:tcPr>
            <w:tcW w:w="1598" w:type="dxa"/>
            <w:shd w:val="clear" w:color="auto" w:fill="C6EFCE"/>
            <w:noWrap/>
            <w:vAlign w:val="center"/>
          </w:tcPr>
          <w:p w14:paraId="3B0B9D86"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47A70455"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6D5E04DF" w14:textId="77777777" w:rsidR="003F5418" w:rsidRDefault="002A6C25">
            <w:pPr>
              <w:pStyle w:val="P68B1DB1-Normal4"/>
              <w:spacing w:line="276" w:lineRule="auto"/>
              <w:jc w:val="center"/>
              <w:rPr>
                <w:noProof/>
              </w:rPr>
            </w:pPr>
            <w:r>
              <w:rPr>
                <w:noProof/>
              </w:rPr>
              <w:t xml:space="preserve">Az alumíniumcsomagolás újrafeldolgozási aránya a </w:t>
            </w:r>
            <w:r>
              <w:rPr>
                <w:noProof/>
              </w:rPr>
              <w:t>körforgásos gazdaságra vonatkozó cselekvési tervben</w:t>
            </w:r>
          </w:p>
        </w:tc>
        <w:tc>
          <w:tcPr>
            <w:tcW w:w="1603" w:type="dxa"/>
            <w:shd w:val="clear" w:color="auto" w:fill="C6EFCE"/>
            <w:noWrap/>
            <w:vAlign w:val="center"/>
          </w:tcPr>
          <w:p w14:paraId="4AEDD09A"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20688BE0"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65CAC160"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2E697823" w14:textId="77777777" w:rsidR="003F5418" w:rsidRDefault="002A6C25">
            <w:pPr>
              <w:pStyle w:val="P68B1DB1-Normal4"/>
              <w:spacing w:line="276" w:lineRule="auto"/>
              <w:jc w:val="center"/>
              <w:rPr>
                <w:noProof/>
              </w:rPr>
            </w:pPr>
            <w:r>
              <w:rPr>
                <w:noProof/>
              </w:rPr>
              <w:t>50</w:t>
            </w:r>
          </w:p>
        </w:tc>
        <w:tc>
          <w:tcPr>
            <w:tcW w:w="963" w:type="dxa"/>
            <w:shd w:val="clear" w:color="auto" w:fill="C6EFCE"/>
            <w:noWrap/>
            <w:vAlign w:val="center"/>
          </w:tcPr>
          <w:p w14:paraId="1F329EA6"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73FD082A"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4D2F267F" w14:textId="77777777" w:rsidR="003F5418" w:rsidRDefault="002A6C25">
            <w:pPr>
              <w:pStyle w:val="P68B1DB1-Normal4"/>
              <w:spacing w:before="60" w:after="120" w:line="276" w:lineRule="auto"/>
              <w:rPr>
                <w:noProof/>
              </w:rPr>
            </w:pPr>
            <w:r>
              <w:rPr>
                <w:noProof/>
              </w:rPr>
              <w:t xml:space="preserve">Az alumíniumcsomagolás tömeg szerinti újrafeldolgozási arányának el kell érnie legalább az 50%-ot (a (EU) 2018/852 irányelvvel módosított, a csomagolási </w:t>
            </w:r>
            <w:r>
              <w:rPr>
                <w:noProof/>
              </w:rPr>
              <w:t>hulladékról szóló 94/62/EK irányelv 6. cikke (1) bekezdésének g) pontjában meghatározottak szerint).</w:t>
            </w:r>
          </w:p>
        </w:tc>
      </w:tr>
      <w:tr w:rsidR="003F5418" w14:paraId="530BF85B" w14:textId="77777777">
        <w:trPr>
          <w:trHeight w:val="313"/>
          <w:jc w:val="center"/>
        </w:trPr>
        <w:tc>
          <w:tcPr>
            <w:tcW w:w="1220" w:type="dxa"/>
            <w:shd w:val="clear" w:color="auto" w:fill="C6EFCE"/>
            <w:noWrap/>
            <w:vAlign w:val="center"/>
          </w:tcPr>
          <w:p w14:paraId="765C432D" w14:textId="77777777" w:rsidR="003F5418" w:rsidRDefault="002A6C25">
            <w:pPr>
              <w:pStyle w:val="P68B1DB1-Normal4"/>
              <w:spacing w:line="276" w:lineRule="auto"/>
              <w:jc w:val="center"/>
              <w:rPr>
                <w:noProof/>
              </w:rPr>
            </w:pPr>
            <w:r>
              <w:rPr>
                <w:noProof/>
              </w:rPr>
              <w:t>M2C1–17 nemek</w:t>
            </w:r>
          </w:p>
        </w:tc>
        <w:tc>
          <w:tcPr>
            <w:tcW w:w="1598" w:type="dxa"/>
            <w:shd w:val="clear" w:color="auto" w:fill="C6EFCE"/>
            <w:noWrap/>
            <w:vAlign w:val="center"/>
          </w:tcPr>
          <w:p w14:paraId="4C8A0D9B"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6738E1AD"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0C36990B" w14:textId="77777777" w:rsidR="003F5418" w:rsidRDefault="002A6C25">
            <w:pPr>
              <w:pStyle w:val="P68B1DB1-Normal4"/>
              <w:spacing w:line="276" w:lineRule="auto"/>
              <w:jc w:val="center"/>
              <w:rPr>
                <w:noProof/>
              </w:rPr>
            </w:pPr>
            <w:r>
              <w:rPr>
                <w:noProof/>
              </w:rPr>
              <w:t xml:space="preserve">Az üvegcsomagolás újrafeldolgozási aránya a körforgásos gazdaságra vonatkozó </w:t>
            </w:r>
            <w:r>
              <w:rPr>
                <w:noProof/>
              </w:rPr>
              <w:t>cselekvési tervben</w:t>
            </w:r>
          </w:p>
        </w:tc>
        <w:tc>
          <w:tcPr>
            <w:tcW w:w="1603" w:type="dxa"/>
            <w:shd w:val="clear" w:color="auto" w:fill="C6EFCE"/>
            <w:noWrap/>
            <w:vAlign w:val="center"/>
          </w:tcPr>
          <w:p w14:paraId="259A03C1"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208EC4E7"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202497D4"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36E1658D" w14:textId="77777777" w:rsidR="003F5418" w:rsidRDefault="002A6C25">
            <w:pPr>
              <w:pStyle w:val="P68B1DB1-Normal4"/>
              <w:spacing w:line="276" w:lineRule="auto"/>
              <w:jc w:val="center"/>
              <w:rPr>
                <w:noProof/>
              </w:rPr>
            </w:pPr>
            <w:r>
              <w:rPr>
                <w:noProof/>
              </w:rPr>
              <w:t>70</w:t>
            </w:r>
          </w:p>
        </w:tc>
        <w:tc>
          <w:tcPr>
            <w:tcW w:w="963" w:type="dxa"/>
            <w:shd w:val="clear" w:color="auto" w:fill="C6EFCE"/>
            <w:noWrap/>
            <w:vAlign w:val="center"/>
          </w:tcPr>
          <w:p w14:paraId="00019B48"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58AED074"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457FCDEE" w14:textId="77777777" w:rsidR="003F5418" w:rsidRDefault="002A6C25">
            <w:pPr>
              <w:pStyle w:val="P68B1DB1-Normal4"/>
              <w:spacing w:before="60" w:after="120" w:line="276" w:lineRule="auto"/>
              <w:rPr>
                <w:noProof/>
              </w:rPr>
            </w:pPr>
            <w:r>
              <w:rPr>
                <w:noProof/>
              </w:rPr>
              <w:t xml:space="preserve">Az üvegcsomagolás tömeg szerinti újrafeldolgozási arányának el kell érnie legalább a 70%-ot (a (EU) 2018/852 irányelvvel módosított, a csomagolási hulladékról szóló 94/62/EK irányelv 6. cikke </w:t>
            </w:r>
            <w:r>
              <w:rPr>
                <w:noProof/>
              </w:rPr>
              <w:t>(1) bekezdésének g) pontjában meghatározottak szerint).</w:t>
            </w:r>
          </w:p>
        </w:tc>
      </w:tr>
      <w:tr w:rsidR="003F5418" w14:paraId="110B324B" w14:textId="77777777">
        <w:trPr>
          <w:trHeight w:val="313"/>
          <w:jc w:val="center"/>
        </w:trPr>
        <w:tc>
          <w:tcPr>
            <w:tcW w:w="1220" w:type="dxa"/>
            <w:shd w:val="clear" w:color="auto" w:fill="C6EFCE"/>
            <w:noWrap/>
            <w:vAlign w:val="center"/>
          </w:tcPr>
          <w:p w14:paraId="0D438D2F" w14:textId="77777777" w:rsidR="003F5418" w:rsidRDefault="002A6C25">
            <w:pPr>
              <w:pStyle w:val="P68B1DB1-Normal4"/>
              <w:spacing w:line="276" w:lineRule="auto"/>
              <w:jc w:val="center"/>
              <w:rPr>
                <w:noProof/>
              </w:rPr>
            </w:pPr>
            <w:r>
              <w:rPr>
                <w:noProof/>
              </w:rPr>
              <w:t>M2C1–17 szepties</w:t>
            </w:r>
          </w:p>
        </w:tc>
        <w:tc>
          <w:tcPr>
            <w:tcW w:w="1598" w:type="dxa"/>
            <w:shd w:val="clear" w:color="auto" w:fill="C6EFCE"/>
            <w:noWrap/>
            <w:vAlign w:val="center"/>
          </w:tcPr>
          <w:p w14:paraId="738BFA8B"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5C17A8B8"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12B08F5C" w14:textId="77777777" w:rsidR="003F5418" w:rsidRDefault="002A6C25">
            <w:pPr>
              <w:pStyle w:val="P68B1DB1-Normal4"/>
              <w:spacing w:line="276" w:lineRule="auto"/>
              <w:jc w:val="center"/>
              <w:rPr>
                <w:noProof/>
              </w:rPr>
            </w:pPr>
            <w:r>
              <w:rPr>
                <w:noProof/>
              </w:rPr>
              <w:t>A papír és a karton újrafeldolgozási aránya a körforgásos gazdaságra vonatkozó cselekvési tervben</w:t>
            </w:r>
          </w:p>
        </w:tc>
        <w:tc>
          <w:tcPr>
            <w:tcW w:w="1603" w:type="dxa"/>
            <w:shd w:val="clear" w:color="auto" w:fill="C6EFCE"/>
            <w:noWrap/>
            <w:vAlign w:val="center"/>
          </w:tcPr>
          <w:p w14:paraId="1A788135"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1C019E5B" w14:textId="77777777" w:rsidR="003F5418" w:rsidRDefault="002A6C25">
            <w:pPr>
              <w:pStyle w:val="P68B1DB1-Normal4"/>
              <w:spacing w:line="276" w:lineRule="auto"/>
              <w:jc w:val="center"/>
              <w:rPr>
                <w:noProof/>
              </w:rPr>
            </w:pPr>
            <w:r>
              <w:rPr>
                <w:noProof/>
              </w:rPr>
              <w:t xml:space="preserve">Újrahasznosítási </w:t>
            </w:r>
            <w:r>
              <w:rPr>
                <w:noProof/>
              </w:rPr>
              <w:t>ráta</w:t>
            </w:r>
          </w:p>
        </w:tc>
        <w:tc>
          <w:tcPr>
            <w:tcW w:w="993" w:type="dxa"/>
            <w:shd w:val="clear" w:color="auto" w:fill="C6EFCE"/>
            <w:noWrap/>
            <w:vAlign w:val="center"/>
          </w:tcPr>
          <w:p w14:paraId="0524C335"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6E6179EE" w14:textId="77777777" w:rsidR="003F5418" w:rsidRDefault="002A6C25">
            <w:pPr>
              <w:pStyle w:val="P68B1DB1-Normal4"/>
              <w:spacing w:line="276" w:lineRule="auto"/>
              <w:jc w:val="center"/>
              <w:rPr>
                <w:noProof/>
              </w:rPr>
            </w:pPr>
            <w:r>
              <w:rPr>
                <w:noProof/>
              </w:rPr>
              <w:t>75</w:t>
            </w:r>
          </w:p>
        </w:tc>
        <w:tc>
          <w:tcPr>
            <w:tcW w:w="963" w:type="dxa"/>
            <w:shd w:val="clear" w:color="auto" w:fill="C6EFCE"/>
            <w:noWrap/>
            <w:vAlign w:val="center"/>
          </w:tcPr>
          <w:p w14:paraId="2C8F89B6"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19A2D47A"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16BDF921" w14:textId="77777777" w:rsidR="003F5418" w:rsidRDefault="002A6C25">
            <w:pPr>
              <w:pStyle w:val="P68B1DB1-Normal4"/>
              <w:spacing w:before="60" w:after="120" w:line="276" w:lineRule="auto"/>
              <w:rPr>
                <w:noProof/>
              </w:rPr>
            </w:pPr>
            <w:r>
              <w:rPr>
                <w:noProof/>
              </w:rPr>
              <w:t>A papír és a karton tömegszázalékban kifejezett újrafeldolgozási arányának el kell érnie legalább a 75%-ot (a (EU) 2018/852 irányelvvel módosított, a csomagolási hulladékról szóló 94/62/EK irányelv 6. cikke (1) bekezdésének g) pontjáb</w:t>
            </w:r>
            <w:r>
              <w:rPr>
                <w:noProof/>
              </w:rPr>
              <w:t>an meghatározottak szerint).</w:t>
            </w:r>
          </w:p>
        </w:tc>
      </w:tr>
      <w:tr w:rsidR="003F5418" w14:paraId="29908FD3" w14:textId="77777777">
        <w:trPr>
          <w:trHeight w:val="313"/>
          <w:jc w:val="center"/>
        </w:trPr>
        <w:tc>
          <w:tcPr>
            <w:tcW w:w="1220" w:type="dxa"/>
            <w:shd w:val="clear" w:color="auto" w:fill="C6EFCE"/>
            <w:noWrap/>
            <w:vAlign w:val="center"/>
          </w:tcPr>
          <w:p w14:paraId="75952FC6" w14:textId="77777777" w:rsidR="003F5418" w:rsidRDefault="002A6C25">
            <w:pPr>
              <w:pStyle w:val="P68B1DB1-Normal4"/>
              <w:spacing w:line="276" w:lineRule="auto"/>
              <w:jc w:val="center"/>
              <w:rPr>
                <w:noProof/>
              </w:rPr>
            </w:pPr>
            <w:r>
              <w:rPr>
                <w:noProof/>
              </w:rPr>
              <w:t>M2C1–17 okty</w:t>
            </w:r>
          </w:p>
        </w:tc>
        <w:tc>
          <w:tcPr>
            <w:tcW w:w="1598" w:type="dxa"/>
            <w:shd w:val="clear" w:color="auto" w:fill="C6EFCE"/>
            <w:noWrap/>
            <w:vAlign w:val="center"/>
          </w:tcPr>
          <w:p w14:paraId="7756B889"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54F2587A"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70393222" w14:textId="77777777" w:rsidR="003F5418" w:rsidRDefault="002A6C25">
            <w:pPr>
              <w:pStyle w:val="P68B1DB1-Normal4"/>
              <w:spacing w:line="276" w:lineRule="auto"/>
              <w:jc w:val="center"/>
              <w:rPr>
                <w:noProof/>
              </w:rPr>
            </w:pPr>
            <w:r>
              <w:rPr>
                <w:noProof/>
              </w:rPr>
              <w:t>A műanyag csomagolás újrafeldolgozási aránya a körforgásos gazdaságra vonatkozó cselekvési tervben</w:t>
            </w:r>
          </w:p>
        </w:tc>
        <w:tc>
          <w:tcPr>
            <w:tcW w:w="1603" w:type="dxa"/>
            <w:shd w:val="clear" w:color="auto" w:fill="C6EFCE"/>
            <w:noWrap/>
            <w:vAlign w:val="center"/>
          </w:tcPr>
          <w:p w14:paraId="5D453F2E"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4495B93A" w14:textId="77777777" w:rsidR="003F5418" w:rsidRDefault="002A6C25">
            <w:pPr>
              <w:pStyle w:val="P68B1DB1-Normal4"/>
              <w:spacing w:line="276" w:lineRule="auto"/>
              <w:jc w:val="center"/>
              <w:rPr>
                <w:noProof/>
              </w:rPr>
            </w:pPr>
            <w:r>
              <w:rPr>
                <w:noProof/>
              </w:rPr>
              <w:t>Újrahasznosítási ráta</w:t>
            </w:r>
          </w:p>
        </w:tc>
        <w:tc>
          <w:tcPr>
            <w:tcW w:w="993" w:type="dxa"/>
            <w:shd w:val="clear" w:color="auto" w:fill="C6EFCE"/>
            <w:noWrap/>
            <w:vAlign w:val="center"/>
          </w:tcPr>
          <w:p w14:paraId="3EEFC707"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0FB33309" w14:textId="77777777" w:rsidR="003F5418" w:rsidRDefault="002A6C25">
            <w:pPr>
              <w:pStyle w:val="P68B1DB1-Normal4"/>
              <w:spacing w:line="276" w:lineRule="auto"/>
              <w:jc w:val="center"/>
              <w:rPr>
                <w:noProof/>
              </w:rPr>
            </w:pPr>
            <w:r>
              <w:rPr>
                <w:noProof/>
              </w:rPr>
              <w:t>50</w:t>
            </w:r>
          </w:p>
        </w:tc>
        <w:tc>
          <w:tcPr>
            <w:tcW w:w="963" w:type="dxa"/>
            <w:shd w:val="clear" w:color="auto" w:fill="C6EFCE"/>
            <w:noWrap/>
            <w:vAlign w:val="center"/>
          </w:tcPr>
          <w:p w14:paraId="68B98B6D"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126C66A"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3796A6FA" w14:textId="77777777" w:rsidR="003F5418" w:rsidRDefault="002A6C25">
            <w:pPr>
              <w:pStyle w:val="P68B1DB1-Normal4"/>
              <w:spacing w:before="60" w:after="120" w:line="276" w:lineRule="auto"/>
              <w:rPr>
                <w:noProof/>
              </w:rPr>
            </w:pPr>
            <w:r>
              <w:rPr>
                <w:noProof/>
              </w:rPr>
              <w:t>A műanyag csomagolás tömeg szerinti újrafeldolgozási arányának el kell érnie legalább az 50%-ot (a (EU) 2018/852 irányelvvel módosított, a csomagolási hulladékról szóló 94/62/EK irányelv 6. cikke (1) bekezdésének g) pontjában meghatározottak szerint).</w:t>
            </w:r>
          </w:p>
        </w:tc>
      </w:tr>
      <w:tr w:rsidR="003F5418" w14:paraId="55292950" w14:textId="77777777">
        <w:trPr>
          <w:trHeight w:val="313"/>
          <w:jc w:val="center"/>
        </w:trPr>
        <w:tc>
          <w:tcPr>
            <w:tcW w:w="1220" w:type="dxa"/>
            <w:shd w:val="clear" w:color="auto" w:fill="C6EFCE"/>
            <w:noWrap/>
            <w:vAlign w:val="center"/>
          </w:tcPr>
          <w:p w14:paraId="29EA64AD" w14:textId="77777777" w:rsidR="003F5418" w:rsidRDefault="002A6C25">
            <w:pPr>
              <w:pStyle w:val="P68B1DB1-Normal4"/>
              <w:spacing w:line="276" w:lineRule="auto"/>
              <w:jc w:val="center"/>
              <w:rPr>
                <w:noProof/>
              </w:rPr>
            </w:pPr>
            <w:r>
              <w:rPr>
                <w:noProof/>
              </w:rPr>
              <w:t>M2C1–17 nemzetségek</w:t>
            </w:r>
          </w:p>
        </w:tc>
        <w:tc>
          <w:tcPr>
            <w:tcW w:w="1598" w:type="dxa"/>
            <w:shd w:val="clear" w:color="auto" w:fill="C6EFCE"/>
            <w:noWrap/>
            <w:vAlign w:val="center"/>
          </w:tcPr>
          <w:p w14:paraId="2024FE37" w14:textId="77777777" w:rsidR="003F5418" w:rsidRDefault="002A6C25">
            <w:pPr>
              <w:pStyle w:val="P68B1DB1-Normal4"/>
              <w:spacing w:line="276" w:lineRule="auto"/>
              <w:jc w:val="center"/>
              <w:rPr>
                <w:noProof/>
              </w:rPr>
            </w:pPr>
            <w:r>
              <w:rPr>
                <w:noProof/>
              </w:rPr>
              <w:t>Reform</w:t>
            </w:r>
          </w:p>
          <w:p w14:paraId="463954C1" w14:textId="77777777" w:rsidR="003F5418" w:rsidRDefault="002A6C25">
            <w:pPr>
              <w:pStyle w:val="P68B1DB1-Normal4"/>
              <w:spacing w:line="276" w:lineRule="auto"/>
              <w:jc w:val="center"/>
              <w:rPr>
                <w:noProof/>
              </w:rPr>
            </w:pPr>
            <w:r>
              <w:rPr>
                <w:noProof/>
              </w:rPr>
              <w:t>A körforgásos gazdaságra vonatkozó nemzeti program;</w:t>
            </w:r>
          </w:p>
          <w:p w14:paraId="2075429D" w14:textId="77777777" w:rsidR="003F5418" w:rsidRDefault="002A6C25">
            <w:pPr>
              <w:pStyle w:val="P68B1DB1-Normal4"/>
              <w:spacing w:line="276" w:lineRule="auto"/>
              <w:jc w:val="center"/>
              <w:rPr>
                <w:noProof/>
              </w:rPr>
            </w:pPr>
            <w:r>
              <w:rPr>
                <w:noProof/>
              </w:rPr>
              <w:t>Beruházás – A körforgásos gazdaság kiemelt projektjei</w:t>
            </w:r>
          </w:p>
        </w:tc>
        <w:tc>
          <w:tcPr>
            <w:tcW w:w="1185" w:type="dxa"/>
            <w:shd w:val="clear" w:color="auto" w:fill="C6EFCE"/>
            <w:noWrap/>
            <w:vAlign w:val="center"/>
          </w:tcPr>
          <w:p w14:paraId="4D8933FC"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239C382B" w14:textId="77777777" w:rsidR="003F5418" w:rsidRDefault="002A6C25">
            <w:pPr>
              <w:pStyle w:val="P68B1DB1-Normal4"/>
              <w:spacing w:line="276" w:lineRule="auto"/>
              <w:jc w:val="center"/>
              <w:rPr>
                <w:noProof/>
              </w:rPr>
            </w:pPr>
            <w:r>
              <w:rPr>
                <w:noProof/>
              </w:rPr>
              <w:t>A háztartások és textíliák által termelt veszélyes hulladékfrakciók elkülönített gyűjtésének hatálybalépése</w:t>
            </w:r>
          </w:p>
        </w:tc>
        <w:tc>
          <w:tcPr>
            <w:tcW w:w="1603" w:type="dxa"/>
            <w:shd w:val="clear" w:color="auto" w:fill="C6EFCE"/>
            <w:noWrap/>
            <w:vAlign w:val="center"/>
          </w:tcPr>
          <w:p w14:paraId="3B23997F" w14:textId="77777777" w:rsidR="003F5418" w:rsidRDefault="002A6C25">
            <w:pPr>
              <w:pStyle w:val="P68B1DB1-Normal4"/>
              <w:spacing w:line="276" w:lineRule="auto"/>
              <w:jc w:val="center"/>
              <w:rPr>
                <w:noProof/>
              </w:rPr>
            </w:pPr>
            <w:r>
              <w:rPr>
                <w:noProof/>
              </w:rPr>
              <w:t xml:space="preserve">A </w:t>
            </w:r>
            <w:r>
              <w:rPr>
                <w:noProof/>
              </w:rPr>
              <w:t>hatálybalépést feltüntető törvényi rendelkezés</w:t>
            </w:r>
          </w:p>
        </w:tc>
        <w:tc>
          <w:tcPr>
            <w:tcW w:w="1275" w:type="dxa"/>
            <w:shd w:val="clear" w:color="auto" w:fill="C6EFCE"/>
            <w:noWrap/>
            <w:vAlign w:val="center"/>
          </w:tcPr>
          <w:p w14:paraId="5FC468BD"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0CF2FF11"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612FF1EF"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076157F6"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C782EB1"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69A40A39" w14:textId="77777777" w:rsidR="003F5418" w:rsidRDefault="002A6C25">
            <w:pPr>
              <w:pStyle w:val="P68B1DB1-Normal4"/>
              <w:spacing w:before="60" w:after="120" w:line="276" w:lineRule="auto"/>
              <w:rPr>
                <w:noProof/>
              </w:rPr>
            </w:pPr>
            <w:r>
              <w:rPr>
                <w:noProof/>
              </w:rPr>
              <w:t>A háztartások és textíliák által termelt veszélyes hulladékfrakciók elkülönített gyűjtésének hatálybalépése a körforgásos gazdaságra vonatkozó cselekvési tervvel összhangban.</w:t>
            </w:r>
          </w:p>
        </w:tc>
      </w:tr>
      <w:tr w:rsidR="003F5418" w14:paraId="226D415F" w14:textId="77777777">
        <w:trPr>
          <w:trHeight w:val="313"/>
          <w:jc w:val="center"/>
        </w:trPr>
        <w:tc>
          <w:tcPr>
            <w:tcW w:w="1220" w:type="dxa"/>
            <w:shd w:val="clear" w:color="auto" w:fill="C6EFCE"/>
            <w:noWrap/>
            <w:vAlign w:val="center"/>
          </w:tcPr>
          <w:p w14:paraId="2722BE87" w14:textId="77777777" w:rsidR="003F5418" w:rsidRDefault="002A6C25">
            <w:pPr>
              <w:pStyle w:val="P68B1DB1-Normal4"/>
              <w:spacing w:line="276" w:lineRule="auto"/>
              <w:jc w:val="center"/>
              <w:rPr>
                <w:noProof/>
              </w:rPr>
            </w:pPr>
            <w:r>
              <w:rPr>
                <w:noProof/>
              </w:rPr>
              <w:t>M2C1–18</w:t>
            </w:r>
          </w:p>
        </w:tc>
        <w:tc>
          <w:tcPr>
            <w:tcW w:w="1598" w:type="dxa"/>
            <w:shd w:val="clear" w:color="auto" w:fill="C6EFCE"/>
            <w:noWrap/>
            <w:vAlign w:val="center"/>
          </w:tcPr>
          <w:p w14:paraId="7AF3FA0F" w14:textId="77777777" w:rsidR="003F5418" w:rsidRDefault="002A6C25">
            <w:pPr>
              <w:pStyle w:val="P68B1DB1-Normal4"/>
              <w:spacing w:line="276" w:lineRule="auto"/>
              <w:jc w:val="center"/>
              <w:rPr>
                <w:noProof/>
              </w:rPr>
            </w:pPr>
            <w:r>
              <w:rPr>
                <w:noProof/>
              </w:rPr>
              <w:t>Beruházás: Zöld szigetek</w:t>
            </w:r>
          </w:p>
        </w:tc>
        <w:tc>
          <w:tcPr>
            <w:tcW w:w="1185" w:type="dxa"/>
            <w:shd w:val="clear" w:color="auto" w:fill="C6EFCE"/>
            <w:noWrap/>
            <w:vAlign w:val="center"/>
          </w:tcPr>
          <w:p w14:paraId="7CCD1A6A"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637B5635" w14:textId="77777777" w:rsidR="003F5418" w:rsidRDefault="002A6C25">
            <w:pPr>
              <w:pStyle w:val="P68B1DB1-Normal4"/>
              <w:spacing w:line="276" w:lineRule="auto"/>
              <w:jc w:val="center"/>
              <w:rPr>
                <w:noProof/>
              </w:rPr>
            </w:pPr>
            <w:r>
              <w:rPr>
                <w:noProof/>
              </w:rPr>
              <w:t>Az igazgatói rendelet hatálybalépése</w:t>
            </w:r>
          </w:p>
        </w:tc>
        <w:tc>
          <w:tcPr>
            <w:tcW w:w="1603" w:type="dxa"/>
            <w:shd w:val="clear" w:color="auto" w:fill="C6EFCE"/>
            <w:noWrap/>
            <w:vAlign w:val="center"/>
          </w:tcPr>
          <w:p w14:paraId="0DA71948" w14:textId="77777777" w:rsidR="003F5418" w:rsidRDefault="002A6C25">
            <w:pPr>
              <w:pStyle w:val="P68B1DB1-Normal4"/>
              <w:spacing w:line="276" w:lineRule="auto"/>
              <w:jc w:val="center"/>
              <w:rPr>
                <w:noProof/>
              </w:rPr>
            </w:pPr>
            <w:r>
              <w:rPr>
                <w:noProof/>
              </w:rPr>
              <w:t>A rendelet hatályba lépését feltüntető rendelkezés</w:t>
            </w:r>
          </w:p>
        </w:tc>
        <w:tc>
          <w:tcPr>
            <w:tcW w:w="1275" w:type="dxa"/>
            <w:shd w:val="clear" w:color="auto" w:fill="C6EFCE"/>
            <w:noWrap/>
            <w:vAlign w:val="center"/>
          </w:tcPr>
          <w:p w14:paraId="5E819374"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2C02C11A"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00B6D4DF"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01111B00" w14:textId="77777777" w:rsidR="003F5418" w:rsidRDefault="002A6C25">
            <w:pPr>
              <w:pStyle w:val="P68B1DB1-Normal4"/>
              <w:spacing w:line="276" w:lineRule="auto"/>
              <w:jc w:val="center"/>
              <w:rPr>
                <w:noProof/>
              </w:rPr>
            </w:pPr>
            <w:r>
              <w:rPr>
                <w:noProof/>
              </w:rPr>
              <w:t>Q3</w:t>
            </w:r>
          </w:p>
        </w:tc>
        <w:tc>
          <w:tcPr>
            <w:tcW w:w="710" w:type="dxa"/>
            <w:shd w:val="clear" w:color="auto" w:fill="C6EFCE"/>
            <w:noWrap/>
            <w:vAlign w:val="center"/>
          </w:tcPr>
          <w:p w14:paraId="08457405" w14:textId="77777777" w:rsidR="003F5418" w:rsidRDefault="002A6C25">
            <w:pPr>
              <w:pStyle w:val="P68B1DB1-Normal4"/>
              <w:spacing w:line="276" w:lineRule="auto"/>
              <w:rPr>
                <w:noProof/>
              </w:rPr>
            </w:pPr>
            <w:r>
              <w:rPr>
                <w:noProof/>
              </w:rPr>
              <w:t>2022</w:t>
            </w:r>
          </w:p>
        </w:tc>
        <w:tc>
          <w:tcPr>
            <w:tcW w:w="3174" w:type="dxa"/>
            <w:shd w:val="clear" w:color="auto" w:fill="C6EFCE"/>
            <w:noWrap/>
            <w:vAlign w:val="center"/>
          </w:tcPr>
          <w:p w14:paraId="6B809873" w14:textId="77777777" w:rsidR="003F5418" w:rsidRDefault="002A6C25">
            <w:pPr>
              <w:pStyle w:val="P68B1DB1-Normal4"/>
              <w:spacing w:before="120" w:after="120" w:line="276" w:lineRule="auto"/>
              <w:rPr>
                <w:noProof/>
              </w:rPr>
            </w:pPr>
            <w:r>
              <w:rPr>
                <w:noProof/>
              </w:rPr>
              <w:t>A nyilvános hirdetmény eredményeihez kapcsolódó projektek rangsorolását az igazgatói rendelet hagyja jóvá.</w:t>
            </w:r>
            <w:r>
              <w:rPr>
                <w:noProof/>
              </w:rPr>
              <w:t xml:space="preserve"> A kiválasztási eljárás a következőket foglalja magában:</w:t>
            </w:r>
          </w:p>
          <w:p w14:paraId="3F6560EC" w14:textId="77777777" w:rsidR="003F5418" w:rsidRDefault="002A6C25">
            <w:pPr>
              <w:pStyle w:val="P68B1DB1-Normal4"/>
              <w:spacing w:before="120" w:after="120" w:line="276" w:lineRule="auto"/>
              <w:rPr>
                <w:noProof/>
              </w:rPr>
            </w:pPr>
            <w:r>
              <w:rPr>
                <w:noProof/>
              </w:rPr>
              <w:t xml:space="preserve">a) támogathatósági kritériumok, amelyek egy kizárási lista, valamint a vonatkozó uniós és nemzeti környezetvédelmi jogszabályoknak való megfelelés követelménye révén biztosítják, hogy a kiválasztott </w:t>
            </w:r>
            <w:r>
              <w:rPr>
                <w:noProof/>
              </w:rPr>
              <w:t>projektek megfeleljenek a jelentős károkozás elkerülését célzó technikai iránymutatásnak (2021/C58/01).</w:t>
            </w:r>
          </w:p>
          <w:p w14:paraId="2F4402E5" w14:textId="77777777" w:rsidR="003F5418" w:rsidRDefault="002A6C25">
            <w:pPr>
              <w:pStyle w:val="P68B1DB1-Normal4"/>
              <w:spacing w:line="276" w:lineRule="auto"/>
              <w:rPr>
                <w:noProof/>
              </w:rPr>
            </w:pPr>
            <w:r>
              <w:rPr>
                <w:noProof/>
              </w:rPr>
              <w:t>b) Kötelezettségvállalás arra, hogy a beruházás éghajlat-politikai hozzájárulása az (EU) 2021/241 rendelet VI. mellékletében szereplő módszertan szerint</w:t>
            </w:r>
            <w:r>
              <w:rPr>
                <w:noProof/>
              </w:rPr>
              <w:t xml:space="preserve"> a Helyreállítási és Rezilienciaépítési Eszközből támogatott beruházás összköltségének legalább 37%-át teszi ki.</w:t>
            </w:r>
          </w:p>
          <w:p w14:paraId="5F2FD7C4" w14:textId="77777777" w:rsidR="003F5418" w:rsidRDefault="002A6C25">
            <w:pPr>
              <w:pStyle w:val="P68B1DB1-Normal4"/>
              <w:spacing w:before="120" w:after="120" w:line="276" w:lineRule="auto"/>
              <w:rPr>
                <w:noProof/>
              </w:rPr>
            </w:pPr>
            <w:r>
              <w:rPr>
                <w:noProof/>
              </w:rPr>
              <w:t>C) Kötelezettségvállalás arra, hogy jelentést tesznek az intézkedés végrehajtásáról a program időtartamának félidejében és a program végén.</w:t>
            </w:r>
          </w:p>
          <w:p w14:paraId="49756C78" w14:textId="77777777" w:rsidR="003F5418" w:rsidRDefault="002A6C25">
            <w:pPr>
              <w:pStyle w:val="P68B1DB1-Normal4"/>
              <w:spacing w:before="120" w:after="120" w:line="276" w:lineRule="auto"/>
              <w:rPr>
                <w:noProof/>
              </w:rPr>
            </w:pPr>
            <w:r>
              <w:rPr>
                <w:noProof/>
              </w:rPr>
              <w:t>A l</w:t>
            </w:r>
            <w:r>
              <w:rPr>
                <w:noProof/>
              </w:rPr>
              <w:t>ehetséges beavatkozási területek a következők:</w:t>
            </w:r>
          </w:p>
          <w:p w14:paraId="38CF1182" w14:textId="77777777" w:rsidR="003F5418" w:rsidRDefault="002A6C25">
            <w:pPr>
              <w:pStyle w:val="P68B1DB1-Normal4"/>
              <w:numPr>
                <w:ilvl w:val="0"/>
                <w:numId w:val="60"/>
              </w:numPr>
              <w:spacing w:before="120" w:line="276" w:lineRule="auto"/>
              <w:ind w:left="341"/>
              <w:contextualSpacing/>
              <w:rPr>
                <w:noProof/>
              </w:rPr>
            </w:pPr>
            <w:r>
              <w:rPr>
                <w:noProof/>
              </w:rPr>
              <w:t>az agrárerdészeti örökség integrált és tanúsított kezelése („a szén-dioxid-leválasztásból származó kreditek cseréje, a biológiai sokféleség kezelése és a faellátási lánc tanúsítása révén is);</w:t>
            </w:r>
          </w:p>
          <w:p w14:paraId="7ADF80DD" w14:textId="77777777" w:rsidR="003F5418" w:rsidRDefault="002A6C25">
            <w:pPr>
              <w:pStyle w:val="P68B1DB1-Normal4"/>
              <w:numPr>
                <w:ilvl w:val="0"/>
                <w:numId w:val="60"/>
              </w:numPr>
              <w:spacing w:before="120" w:line="276" w:lineRule="auto"/>
              <w:ind w:left="341"/>
              <w:contextualSpacing/>
              <w:rPr>
                <w:noProof/>
              </w:rPr>
            </w:pPr>
            <w:r>
              <w:rPr>
                <w:noProof/>
              </w:rPr>
              <w:t>integrált és tanú</w:t>
            </w:r>
            <w:r>
              <w:rPr>
                <w:noProof/>
              </w:rPr>
              <w:t>sított vízkészlet-gazdálkodás;</w:t>
            </w:r>
          </w:p>
          <w:p w14:paraId="6B5F99EA" w14:textId="77777777" w:rsidR="003F5418" w:rsidRDefault="002A6C25">
            <w:pPr>
              <w:pStyle w:val="P68B1DB1-Normal4"/>
              <w:numPr>
                <w:ilvl w:val="0"/>
                <w:numId w:val="60"/>
              </w:numPr>
              <w:spacing w:before="120" w:line="276" w:lineRule="auto"/>
              <w:ind w:left="341"/>
              <w:contextualSpacing/>
              <w:rPr>
                <w:noProof/>
              </w:rPr>
            </w:pPr>
            <w:r>
              <w:rPr>
                <w:noProof/>
              </w:rPr>
              <w:t>helyi megújuló energiaforrásokból, például mikrovíz-erőművekből, biomasszából, biogázból, szélből, kapcsolt energiatermelésből és biometánból történő energiatermelés;</w:t>
            </w:r>
          </w:p>
          <w:p w14:paraId="4DA09B1F" w14:textId="77777777" w:rsidR="003F5418" w:rsidRDefault="002A6C25">
            <w:pPr>
              <w:pStyle w:val="P68B1DB1-Normal4"/>
              <w:numPr>
                <w:ilvl w:val="0"/>
                <w:numId w:val="60"/>
              </w:numPr>
              <w:spacing w:before="120" w:line="276" w:lineRule="auto"/>
              <w:ind w:left="341"/>
              <w:contextualSpacing/>
              <w:rPr>
                <w:noProof/>
              </w:rPr>
            </w:pPr>
            <w:r>
              <w:rPr>
                <w:noProof/>
              </w:rPr>
              <w:t>a fenntartható turizmus fejlesztése („a helyi termékek fej</w:t>
            </w:r>
            <w:r>
              <w:rPr>
                <w:noProof/>
              </w:rPr>
              <w:t>lesztésére képes”);</w:t>
            </w:r>
          </w:p>
          <w:p w14:paraId="256BCA82" w14:textId="77777777" w:rsidR="003F5418" w:rsidRDefault="002A6C25">
            <w:pPr>
              <w:pStyle w:val="P68B1DB1-Normal4"/>
              <w:numPr>
                <w:ilvl w:val="0"/>
                <w:numId w:val="60"/>
              </w:numPr>
              <w:spacing w:before="120" w:line="276" w:lineRule="auto"/>
              <w:ind w:left="341"/>
              <w:contextualSpacing/>
              <w:rPr>
                <w:noProof/>
              </w:rPr>
            </w:pPr>
            <w:r>
              <w:rPr>
                <w:noProof/>
              </w:rPr>
              <w:t>modern hegyek épületállományának és infrastruktúrájának építése és fenntartható kezelése;</w:t>
            </w:r>
          </w:p>
          <w:p w14:paraId="33449353" w14:textId="77777777" w:rsidR="003F5418" w:rsidRDefault="002A6C25">
            <w:pPr>
              <w:pStyle w:val="P68B1DB1-Normal4"/>
              <w:numPr>
                <w:ilvl w:val="0"/>
                <w:numId w:val="60"/>
              </w:numPr>
              <w:spacing w:before="120" w:line="276" w:lineRule="auto"/>
              <w:ind w:left="341"/>
              <w:contextualSpacing/>
              <w:rPr>
                <w:noProof/>
              </w:rPr>
            </w:pPr>
            <w:r>
              <w:rPr>
                <w:noProof/>
              </w:rPr>
              <w:t>energiahatékonyság, valamint az erőművek és hálózatok intelligens integrációja;</w:t>
            </w:r>
          </w:p>
          <w:p w14:paraId="68D4B689" w14:textId="77777777" w:rsidR="003F5418" w:rsidRDefault="002A6C25">
            <w:pPr>
              <w:pStyle w:val="P68B1DB1-Normal4"/>
              <w:numPr>
                <w:ilvl w:val="0"/>
                <w:numId w:val="60"/>
              </w:numPr>
              <w:spacing w:before="120" w:line="276" w:lineRule="auto"/>
              <w:ind w:left="341"/>
              <w:contextualSpacing/>
              <w:rPr>
                <w:noProof/>
              </w:rPr>
            </w:pPr>
            <w:r>
              <w:rPr>
                <w:noProof/>
              </w:rPr>
              <w:t>a termelési tevékenységek fenntartható fejlesztése (zéró hulladékt</w:t>
            </w:r>
            <w:r>
              <w:rPr>
                <w:noProof/>
              </w:rPr>
              <w:t>ermelés);</w:t>
            </w:r>
          </w:p>
          <w:p w14:paraId="436B8860" w14:textId="77777777" w:rsidR="003F5418" w:rsidRDefault="002A6C25">
            <w:pPr>
              <w:pStyle w:val="P68B1DB1-Normal4"/>
              <w:numPr>
                <w:ilvl w:val="0"/>
                <w:numId w:val="60"/>
              </w:numPr>
              <w:spacing w:before="120" w:line="276" w:lineRule="auto"/>
              <w:ind w:left="341"/>
              <w:contextualSpacing/>
              <w:rPr>
                <w:noProof/>
              </w:rPr>
            </w:pPr>
            <w:r>
              <w:rPr>
                <w:noProof/>
              </w:rPr>
              <w:t>a mobilitási szolgáltatások integrációja;</w:t>
            </w:r>
          </w:p>
          <w:p w14:paraId="0F5BA637" w14:textId="77777777" w:rsidR="003F5418" w:rsidRDefault="002A6C25">
            <w:pPr>
              <w:pStyle w:val="P68B1DB1-Normal4"/>
              <w:numPr>
                <w:ilvl w:val="0"/>
                <w:numId w:val="60"/>
              </w:numPr>
              <w:spacing w:before="120" w:line="276" w:lineRule="auto"/>
              <w:ind w:left="341"/>
              <w:contextualSpacing/>
              <w:rPr>
                <w:noProof/>
              </w:rPr>
            </w:pPr>
            <w:r>
              <w:rPr>
                <w:noProof/>
              </w:rPr>
              <w:t>– fenntartható mezőgazdasági modell kidolgozása („amely a megújuló energiaforrásokból származó energia termelése és felhasználása révén is független az energia a villamosenergia-, a hő- és a közlekedési á</w:t>
            </w:r>
            <w:r>
              <w:rPr>
                <w:noProof/>
              </w:rPr>
              <w:t>gazatban”).</w:t>
            </w:r>
          </w:p>
          <w:p w14:paraId="4A044F91" w14:textId="77777777" w:rsidR="003F5418" w:rsidRDefault="002A6C25">
            <w:pPr>
              <w:pStyle w:val="P68B1DB1-Normal4"/>
              <w:spacing w:before="120" w:after="120" w:line="276" w:lineRule="auto"/>
              <w:rPr>
                <w:noProof/>
              </w:rPr>
            </w:pPr>
            <w:r>
              <w:rPr>
                <w:noProof/>
              </w:rPr>
              <w:t>A biometánnak meg kell felelnie a 29–31. cikkben meghatározott fenntarthatósági és üvegházhatásúgázkibocsátás-megtakarítási kritériumoknak, valamint az (EU) 2018/2001 megújulóenergia-irányelv (REDII) 26. cikkében meghatározott, az élelmiszer- é</w:t>
            </w:r>
            <w:r>
              <w:rPr>
                <w:noProof/>
              </w:rPr>
              <w:t>s takarmányalapú bioüzemanyagokra vonatkozó szabályoknak, valamint a kapcsolódó végrehajtási és felhatalmazáson alapuló jogi aktusoknak annak érdekében, hogy az intézkedés megfeleljen a jelentős károkozás elkerülését célzó elvnek és az (EU) 2021/241 rendel</w:t>
            </w:r>
            <w:r>
              <w:rPr>
                <w:noProof/>
              </w:rPr>
              <w:t>et VI. mellékletének 8. lábjegyzetében foglalt vonatkozó követelményeknek.</w:t>
            </w:r>
          </w:p>
        </w:tc>
      </w:tr>
      <w:tr w:rsidR="003F5418" w14:paraId="0C2D9468" w14:textId="77777777">
        <w:trPr>
          <w:trHeight w:val="313"/>
          <w:jc w:val="center"/>
        </w:trPr>
        <w:tc>
          <w:tcPr>
            <w:tcW w:w="1220" w:type="dxa"/>
            <w:shd w:val="clear" w:color="auto" w:fill="C6EFCE"/>
            <w:noWrap/>
            <w:vAlign w:val="center"/>
          </w:tcPr>
          <w:p w14:paraId="5471AF3B" w14:textId="77777777" w:rsidR="003F5418" w:rsidRDefault="002A6C25">
            <w:pPr>
              <w:pStyle w:val="P68B1DB1-Normal4"/>
              <w:spacing w:line="276" w:lineRule="auto"/>
              <w:jc w:val="center"/>
              <w:rPr>
                <w:noProof/>
              </w:rPr>
            </w:pPr>
            <w:r>
              <w:rPr>
                <w:noProof/>
              </w:rPr>
              <w:t>M2C1–19</w:t>
            </w:r>
          </w:p>
        </w:tc>
        <w:tc>
          <w:tcPr>
            <w:tcW w:w="1598" w:type="dxa"/>
            <w:shd w:val="clear" w:color="auto" w:fill="C6EFCE"/>
            <w:noWrap/>
            <w:vAlign w:val="center"/>
          </w:tcPr>
          <w:p w14:paraId="285C3C7B" w14:textId="77777777" w:rsidR="003F5418" w:rsidRDefault="002A6C25">
            <w:pPr>
              <w:pStyle w:val="P68B1DB1-Normal4"/>
              <w:spacing w:line="276" w:lineRule="auto"/>
              <w:jc w:val="center"/>
              <w:rPr>
                <w:noProof/>
              </w:rPr>
            </w:pPr>
            <w:r>
              <w:rPr>
                <w:noProof/>
              </w:rPr>
              <w:t>Beruházás: Zöld szigetek</w:t>
            </w:r>
          </w:p>
        </w:tc>
        <w:tc>
          <w:tcPr>
            <w:tcW w:w="1185" w:type="dxa"/>
            <w:shd w:val="clear" w:color="auto" w:fill="C6EFCE"/>
            <w:noWrap/>
            <w:vAlign w:val="center"/>
          </w:tcPr>
          <w:p w14:paraId="7589108C"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264CD135" w14:textId="77777777" w:rsidR="003F5418" w:rsidRDefault="002A6C25">
            <w:pPr>
              <w:pStyle w:val="P68B1DB1-Normal4"/>
              <w:spacing w:line="276" w:lineRule="auto"/>
              <w:jc w:val="center"/>
              <w:rPr>
                <w:noProof/>
              </w:rPr>
            </w:pPr>
            <w:r>
              <w:rPr>
                <w:noProof/>
              </w:rPr>
              <w:t>Integrált projektek végrehajtása a kis szigeteken</w:t>
            </w:r>
          </w:p>
        </w:tc>
        <w:tc>
          <w:tcPr>
            <w:tcW w:w="1603" w:type="dxa"/>
            <w:shd w:val="clear" w:color="auto" w:fill="C6EFCE"/>
            <w:noWrap/>
            <w:vAlign w:val="center"/>
          </w:tcPr>
          <w:p w14:paraId="6C02ABF4"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3D8B9758" w14:textId="77777777" w:rsidR="003F5418" w:rsidRDefault="002A6C25">
            <w:pPr>
              <w:pStyle w:val="P68B1DB1-Normal4"/>
              <w:spacing w:line="276" w:lineRule="auto"/>
              <w:jc w:val="center"/>
              <w:rPr>
                <w:noProof/>
              </w:rPr>
            </w:pPr>
            <w:r>
              <w:rPr>
                <w:noProof/>
              </w:rPr>
              <w:t>Kis szigetek száma</w:t>
            </w:r>
          </w:p>
        </w:tc>
        <w:tc>
          <w:tcPr>
            <w:tcW w:w="993" w:type="dxa"/>
            <w:shd w:val="clear" w:color="auto" w:fill="C6EFCE"/>
            <w:noWrap/>
            <w:vAlign w:val="center"/>
          </w:tcPr>
          <w:p w14:paraId="2F39CD6E" w14:textId="77777777" w:rsidR="003F5418" w:rsidRDefault="002A6C25">
            <w:pPr>
              <w:pStyle w:val="P68B1DB1-Normal4"/>
              <w:spacing w:line="276" w:lineRule="auto"/>
              <w:jc w:val="center"/>
              <w:rPr>
                <w:noProof/>
              </w:rPr>
            </w:pPr>
            <w:r>
              <w:rPr>
                <w:noProof/>
              </w:rPr>
              <w:t>0</w:t>
            </w:r>
          </w:p>
        </w:tc>
        <w:tc>
          <w:tcPr>
            <w:tcW w:w="1162" w:type="dxa"/>
            <w:shd w:val="clear" w:color="auto" w:fill="C6EFCE"/>
            <w:noWrap/>
            <w:vAlign w:val="center"/>
          </w:tcPr>
          <w:p w14:paraId="578AD338" w14:textId="77777777" w:rsidR="003F5418" w:rsidRDefault="002A6C25">
            <w:pPr>
              <w:pStyle w:val="P68B1DB1-Normal4"/>
              <w:spacing w:line="276" w:lineRule="auto"/>
              <w:jc w:val="center"/>
              <w:rPr>
                <w:noProof/>
              </w:rPr>
            </w:pPr>
            <w:r>
              <w:rPr>
                <w:noProof/>
              </w:rPr>
              <w:t>19</w:t>
            </w:r>
          </w:p>
        </w:tc>
        <w:tc>
          <w:tcPr>
            <w:tcW w:w="963" w:type="dxa"/>
            <w:shd w:val="clear" w:color="auto" w:fill="C6EFCE"/>
            <w:noWrap/>
            <w:vAlign w:val="center"/>
          </w:tcPr>
          <w:p w14:paraId="03D5F885"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42ABAC61" w14:textId="77777777" w:rsidR="003F5418" w:rsidRDefault="002A6C25">
            <w:pPr>
              <w:pStyle w:val="P68B1DB1-Normal4"/>
              <w:spacing w:line="276" w:lineRule="auto"/>
              <w:rPr>
                <w:noProof/>
              </w:rPr>
            </w:pPr>
            <w:r>
              <w:rPr>
                <w:noProof/>
              </w:rPr>
              <w:t>2026</w:t>
            </w:r>
          </w:p>
        </w:tc>
        <w:tc>
          <w:tcPr>
            <w:tcW w:w="3174" w:type="dxa"/>
            <w:shd w:val="clear" w:color="auto" w:fill="C6EFCE"/>
            <w:noWrap/>
            <w:vAlign w:val="center"/>
          </w:tcPr>
          <w:p w14:paraId="4F00E991" w14:textId="77777777" w:rsidR="003F5418" w:rsidRDefault="002A6C25">
            <w:pPr>
              <w:pStyle w:val="P68B1DB1-Normal4"/>
              <w:spacing w:before="120" w:after="120" w:line="276" w:lineRule="auto"/>
              <w:rPr>
                <w:noProof/>
              </w:rPr>
            </w:pPr>
            <w:r>
              <w:rPr>
                <w:noProof/>
              </w:rPr>
              <w:t xml:space="preserve">Legalább 19 kis sziget hajtja végre a legalább három </w:t>
            </w:r>
            <w:r>
              <w:rPr>
                <w:noProof/>
              </w:rPr>
              <w:t>különböző típusú beavatkozást magukban foglaló, befejezett integrált projekteket.</w:t>
            </w:r>
          </w:p>
          <w:p w14:paraId="710D41D4" w14:textId="77777777" w:rsidR="003F5418" w:rsidRDefault="002A6C25">
            <w:pPr>
              <w:pStyle w:val="P68B1DB1-Normal4"/>
              <w:spacing w:before="120" w:after="120" w:line="276" w:lineRule="auto"/>
              <w:rPr>
                <w:noProof/>
              </w:rPr>
            </w:pPr>
            <w:r>
              <w:rPr>
                <w:noProof/>
              </w:rPr>
              <w:t xml:space="preserve">Összességében a beruházásnak az (EU) 2021/241 rendelet VI. mellékletében szereplő módszertan szerinti éghajlat-politikai hozzájárulása a Helyreállítási és Rezilienciaépítési </w:t>
            </w:r>
            <w:r>
              <w:rPr>
                <w:noProof/>
              </w:rPr>
              <w:t>Eszközből támogatott beruházás összköltségének legalább 37%-át teszi ki.</w:t>
            </w:r>
          </w:p>
          <w:p w14:paraId="24A36046" w14:textId="77777777" w:rsidR="003F5418" w:rsidRDefault="002A6C25">
            <w:pPr>
              <w:pStyle w:val="P68B1DB1-Normal4"/>
              <w:spacing w:before="120" w:after="120" w:line="276" w:lineRule="auto"/>
              <w:rPr>
                <w:noProof/>
              </w:rPr>
            </w:pPr>
            <w:r>
              <w:rPr>
                <w:noProof/>
              </w:rPr>
              <w:t>A támogatható beavatkozások a következők:</w:t>
            </w:r>
          </w:p>
          <w:p w14:paraId="2AB11374"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energiahatékonysági beavatkozások;</w:t>
            </w:r>
          </w:p>
          <w:p w14:paraId="6644218E"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a kollektív mobilitási szolgáltatások és infrastruktúrák fejlesztése és/vagy korszerűsítése; elektromos me</w:t>
            </w:r>
            <w:r>
              <w:rPr>
                <w:noProof/>
              </w:rPr>
              <w:t>ghajtású autóbuszok és csónakok; a tömegközlekedési szolgáltatásokat nyújtó menedékhelyek; autómegosztás, kerékpármegosztás, robogók megosztása;</w:t>
            </w:r>
          </w:p>
          <w:p w14:paraId="5EC82B50"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kerékpárútvonalak építése és/vagy átalakítása, menedékhelyek építése;</w:t>
            </w:r>
          </w:p>
          <w:p w14:paraId="40327707"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 xml:space="preserve">hatékony elkülönített gyűjtés a gyűjtési </w:t>
            </w:r>
            <w:r>
              <w:rPr>
                <w:noProof/>
              </w:rPr>
              <w:t>rendszerek megerősítésével;</w:t>
            </w:r>
          </w:p>
          <w:p w14:paraId="6B0D0EA6"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ökológiai szigetek építése/korszerűsítése a kapcsolódó újrafelhasználási központtal;</w:t>
            </w:r>
          </w:p>
          <w:p w14:paraId="6EF7DE9A"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sótalanító rendszerek;</w:t>
            </w:r>
          </w:p>
          <w:p w14:paraId="3623B427"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megújuló energiaforrásokat hasznosító erőművek villamosenergia-termelő erőművek, beleértve a fotovoltaikus energiát, a t</w:t>
            </w:r>
            <w:r>
              <w:rPr>
                <w:noProof/>
              </w:rPr>
              <w:t>engeri szélenergiát és a tengeri megújuló energiát, például a hullám- vagy árapályenergiát;</w:t>
            </w:r>
          </w:p>
          <w:p w14:paraId="12C31FE7"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a villamosenergia-kereslet csökkentését célzó energiahatékonysági intézkedések;</w:t>
            </w:r>
          </w:p>
          <w:p w14:paraId="62AB8B53" w14:textId="77777777" w:rsidR="003F5418" w:rsidRDefault="002A6C25">
            <w:pPr>
              <w:pStyle w:val="P68B1DB1-Normal4"/>
              <w:numPr>
                <w:ilvl w:val="0"/>
                <w:numId w:val="61"/>
              </w:numPr>
              <w:tabs>
                <w:tab w:val="left" w:pos="199"/>
              </w:tabs>
              <w:spacing w:before="120" w:line="276" w:lineRule="auto"/>
              <w:ind w:left="29" w:firstLine="28"/>
              <w:contextualSpacing/>
              <w:rPr>
                <w:noProof/>
              </w:rPr>
            </w:pPr>
            <w:r>
              <w:rPr>
                <w:noProof/>
              </w:rPr>
              <w:t>a villamosenergia-hálózatra és a kapcsolódó infrastruktúrákra vonatkozó beavatkozáso</w:t>
            </w:r>
            <w:r>
              <w:rPr>
                <w:noProof/>
              </w:rPr>
              <w:t>k: tárolóeszközök, a villamosenergia-rendszer integrálása a sziget vízrendszerébe, intelligens hálózatok, innovatív energiagazdálkodási és monitoringrendszerek.</w:t>
            </w:r>
          </w:p>
          <w:p w14:paraId="6A0CE802" w14:textId="77777777" w:rsidR="003F5418" w:rsidRDefault="003F5418">
            <w:pPr>
              <w:spacing w:line="276" w:lineRule="auto"/>
              <w:rPr>
                <w:rFonts w:ascii="Arial Narrow" w:hAnsi="Arial Narrow"/>
                <w:noProof/>
                <w:color w:val="006100"/>
                <w:sz w:val="20"/>
              </w:rPr>
            </w:pPr>
          </w:p>
        </w:tc>
      </w:tr>
      <w:tr w:rsidR="003F5418" w14:paraId="4B9FC61B" w14:textId="77777777">
        <w:trPr>
          <w:trHeight w:val="313"/>
          <w:jc w:val="center"/>
        </w:trPr>
        <w:tc>
          <w:tcPr>
            <w:tcW w:w="1220" w:type="dxa"/>
            <w:shd w:val="clear" w:color="auto" w:fill="C6EFCE"/>
            <w:noWrap/>
            <w:vAlign w:val="center"/>
          </w:tcPr>
          <w:p w14:paraId="4BA3210A" w14:textId="77777777" w:rsidR="003F5418" w:rsidRDefault="002A6C25">
            <w:pPr>
              <w:pStyle w:val="P68B1DB1-Normal4"/>
              <w:spacing w:line="276" w:lineRule="auto"/>
              <w:jc w:val="center"/>
              <w:rPr>
                <w:noProof/>
              </w:rPr>
            </w:pPr>
            <w:r>
              <w:rPr>
                <w:noProof/>
              </w:rPr>
              <w:t>M2C1–20</w:t>
            </w:r>
          </w:p>
        </w:tc>
        <w:tc>
          <w:tcPr>
            <w:tcW w:w="1598" w:type="dxa"/>
            <w:shd w:val="clear" w:color="auto" w:fill="C6EFCE"/>
            <w:noWrap/>
            <w:vAlign w:val="center"/>
          </w:tcPr>
          <w:p w14:paraId="4C374C82" w14:textId="77777777" w:rsidR="003F5418" w:rsidRDefault="002A6C25">
            <w:pPr>
              <w:pStyle w:val="P68B1DB1-Normal4"/>
              <w:spacing w:line="276" w:lineRule="auto"/>
              <w:jc w:val="center"/>
              <w:rPr>
                <w:noProof/>
              </w:rPr>
            </w:pPr>
            <w:r>
              <w:rPr>
                <w:noProof/>
              </w:rPr>
              <w:t>Beruházás: Zöld közösségek</w:t>
            </w:r>
          </w:p>
        </w:tc>
        <w:tc>
          <w:tcPr>
            <w:tcW w:w="1185" w:type="dxa"/>
            <w:shd w:val="clear" w:color="auto" w:fill="C6EFCE"/>
            <w:noWrap/>
            <w:vAlign w:val="center"/>
          </w:tcPr>
          <w:p w14:paraId="007EE2D5"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1ED0C36C" w14:textId="77777777" w:rsidR="003F5418" w:rsidRDefault="002A6C25">
            <w:pPr>
              <w:pStyle w:val="P68B1DB1-Normal4"/>
              <w:spacing w:line="276" w:lineRule="auto"/>
              <w:jc w:val="center"/>
              <w:rPr>
                <w:noProof/>
              </w:rPr>
            </w:pPr>
            <w:r>
              <w:rPr>
                <w:noProof/>
              </w:rPr>
              <w:t xml:space="preserve">A zöld közösségek kiválasztására irányuló </w:t>
            </w:r>
            <w:r>
              <w:rPr>
                <w:noProof/>
              </w:rPr>
              <w:t>(összes) közbeszerzési szerződés odaítélése</w:t>
            </w:r>
          </w:p>
        </w:tc>
        <w:tc>
          <w:tcPr>
            <w:tcW w:w="1603" w:type="dxa"/>
            <w:shd w:val="clear" w:color="auto" w:fill="C6EFCE"/>
            <w:noWrap/>
            <w:vAlign w:val="center"/>
          </w:tcPr>
          <w:p w14:paraId="49E5C8FF" w14:textId="77777777" w:rsidR="003F5418" w:rsidRDefault="002A6C25">
            <w:pPr>
              <w:pStyle w:val="P68B1DB1-Normal4"/>
              <w:spacing w:line="276" w:lineRule="auto"/>
              <w:jc w:val="center"/>
              <w:rPr>
                <w:noProof/>
              </w:rPr>
            </w:pPr>
            <w:r>
              <w:rPr>
                <w:noProof/>
              </w:rPr>
              <w:t>Értesítés a zöld közösségek kiválasztására irányuló (összes) közbeszerzési szerződés odaítéléséről</w:t>
            </w:r>
          </w:p>
        </w:tc>
        <w:tc>
          <w:tcPr>
            <w:tcW w:w="1275" w:type="dxa"/>
            <w:shd w:val="clear" w:color="auto" w:fill="C6EFCE"/>
            <w:noWrap/>
            <w:vAlign w:val="center"/>
          </w:tcPr>
          <w:p w14:paraId="0F5CBDE9"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73EE5893" w14:textId="77777777" w:rsidR="003F5418" w:rsidRDefault="002A6C25">
            <w:pPr>
              <w:pStyle w:val="P68B1DB1-Normal4"/>
              <w:spacing w:line="276" w:lineRule="auto"/>
              <w:jc w:val="center"/>
              <w:rPr>
                <w:noProof/>
              </w:rPr>
            </w:pPr>
            <w:r>
              <w:rPr>
                <w:noProof/>
              </w:rPr>
              <w:t>NINCS</w:t>
            </w:r>
          </w:p>
        </w:tc>
        <w:tc>
          <w:tcPr>
            <w:tcW w:w="1162" w:type="dxa"/>
            <w:shd w:val="clear" w:color="auto" w:fill="C6EFCE"/>
            <w:noWrap/>
            <w:vAlign w:val="center"/>
          </w:tcPr>
          <w:p w14:paraId="19C903CE" w14:textId="77777777" w:rsidR="003F5418" w:rsidRDefault="002A6C25">
            <w:pPr>
              <w:pStyle w:val="P68B1DB1-Normal4"/>
              <w:spacing w:line="276" w:lineRule="auto"/>
              <w:jc w:val="center"/>
              <w:rPr>
                <w:noProof/>
              </w:rPr>
            </w:pPr>
            <w:r>
              <w:rPr>
                <w:noProof/>
              </w:rPr>
              <w:t>NINCS</w:t>
            </w:r>
          </w:p>
        </w:tc>
        <w:tc>
          <w:tcPr>
            <w:tcW w:w="963" w:type="dxa"/>
            <w:shd w:val="clear" w:color="auto" w:fill="C6EFCE"/>
            <w:noWrap/>
            <w:vAlign w:val="center"/>
          </w:tcPr>
          <w:p w14:paraId="4FA3A7D0" w14:textId="77777777" w:rsidR="003F5418" w:rsidRDefault="002A6C25">
            <w:pPr>
              <w:pStyle w:val="P68B1DB1-Normal4"/>
              <w:spacing w:line="276" w:lineRule="auto"/>
              <w:jc w:val="center"/>
              <w:rPr>
                <w:noProof/>
              </w:rPr>
            </w:pPr>
            <w:r>
              <w:rPr>
                <w:noProof/>
              </w:rPr>
              <w:t>Q3</w:t>
            </w:r>
          </w:p>
        </w:tc>
        <w:tc>
          <w:tcPr>
            <w:tcW w:w="710" w:type="dxa"/>
            <w:shd w:val="clear" w:color="auto" w:fill="C6EFCE"/>
            <w:noWrap/>
            <w:vAlign w:val="center"/>
          </w:tcPr>
          <w:p w14:paraId="5469B652" w14:textId="77777777" w:rsidR="003F5418" w:rsidRDefault="002A6C25">
            <w:pPr>
              <w:pStyle w:val="P68B1DB1-Normal4"/>
              <w:spacing w:line="276" w:lineRule="auto"/>
              <w:rPr>
                <w:noProof/>
              </w:rPr>
            </w:pPr>
            <w:r>
              <w:rPr>
                <w:noProof/>
              </w:rPr>
              <w:t>2022</w:t>
            </w:r>
          </w:p>
        </w:tc>
        <w:tc>
          <w:tcPr>
            <w:tcW w:w="3174" w:type="dxa"/>
            <w:shd w:val="clear" w:color="auto" w:fill="C6EFCE"/>
            <w:noWrap/>
            <w:vAlign w:val="center"/>
          </w:tcPr>
          <w:p w14:paraId="768446DF" w14:textId="77777777" w:rsidR="003F5418" w:rsidRDefault="002A6C25">
            <w:pPr>
              <w:pStyle w:val="P68B1DB1-Normal4"/>
              <w:spacing w:line="276" w:lineRule="auto"/>
              <w:rPr>
                <w:noProof/>
              </w:rPr>
            </w:pPr>
            <w:r>
              <w:rPr>
                <w:noProof/>
              </w:rPr>
              <w:t>Értesítés a vissza nem térítendő támogatásokra vonatkozó odaítélési eljárásról, amelyne</w:t>
            </w:r>
            <w:r>
              <w:rPr>
                <w:noProof/>
              </w:rPr>
              <w:t>k olyan támogathatósági kritériumokat kell tartalmaznia, amelyek biztosítják, hogy a kiválasztott projektek megfeleljenek a jelentős károkozás elkerülését célzó technikai iránymutatásnak (2021/C58/01) a kizárási lista, valamint a vonatkozó uniós és nemzeti</w:t>
            </w:r>
            <w:r>
              <w:rPr>
                <w:noProof/>
              </w:rPr>
              <w:t xml:space="preserve"> környezetvédelmi jogszabályoknak való megfelelés követelménye révén.</w:t>
            </w:r>
          </w:p>
        </w:tc>
      </w:tr>
      <w:tr w:rsidR="003F5418" w14:paraId="728D3A09" w14:textId="77777777">
        <w:trPr>
          <w:trHeight w:val="313"/>
          <w:jc w:val="center"/>
        </w:trPr>
        <w:tc>
          <w:tcPr>
            <w:tcW w:w="1220" w:type="dxa"/>
            <w:shd w:val="clear" w:color="auto" w:fill="C6EFCE"/>
            <w:noWrap/>
            <w:vAlign w:val="center"/>
          </w:tcPr>
          <w:p w14:paraId="4B7FE5A1" w14:textId="77777777" w:rsidR="003F5418" w:rsidRDefault="002A6C25">
            <w:pPr>
              <w:pStyle w:val="P68B1DB1-Normal4"/>
              <w:spacing w:line="276" w:lineRule="auto"/>
              <w:jc w:val="center"/>
              <w:rPr>
                <w:noProof/>
              </w:rPr>
            </w:pPr>
            <w:r>
              <w:rPr>
                <w:noProof/>
              </w:rPr>
              <w:t>M2C1–21</w:t>
            </w:r>
          </w:p>
        </w:tc>
        <w:tc>
          <w:tcPr>
            <w:tcW w:w="1598" w:type="dxa"/>
            <w:shd w:val="clear" w:color="auto" w:fill="C6EFCE"/>
            <w:noWrap/>
            <w:vAlign w:val="center"/>
          </w:tcPr>
          <w:p w14:paraId="049939F1" w14:textId="77777777" w:rsidR="003F5418" w:rsidRDefault="002A6C25">
            <w:pPr>
              <w:pStyle w:val="P68B1DB1-Normal4"/>
              <w:spacing w:line="276" w:lineRule="auto"/>
              <w:jc w:val="center"/>
              <w:rPr>
                <w:noProof/>
              </w:rPr>
            </w:pPr>
            <w:r>
              <w:rPr>
                <w:noProof/>
              </w:rPr>
              <w:t>Beruházás: Zöld közösségek</w:t>
            </w:r>
          </w:p>
        </w:tc>
        <w:tc>
          <w:tcPr>
            <w:tcW w:w="1185" w:type="dxa"/>
            <w:shd w:val="clear" w:color="auto" w:fill="C6EFCE"/>
            <w:noWrap/>
            <w:vAlign w:val="center"/>
          </w:tcPr>
          <w:p w14:paraId="05508DF9"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7E633E81" w14:textId="77777777" w:rsidR="003F5418" w:rsidRDefault="002A6C25">
            <w:pPr>
              <w:pStyle w:val="P68B1DB1-Normal4"/>
              <w:spacing w:line="276" w:lineRule="auto"/>
              <w:jc w:val="center"/>
              <w:rPr>
                <w:noProof/>
              </w:rPr>
            </w:pPr>
            <w:r>
              <w:rPr>
                <w:noProof/>
              </w:rPr>
              <w:t>A zöld közösségek terveiben szereplő beavatkozások végrehajtása</w:t>
            </w:r>
          </w:p>
        </w:tc>
        <w:tc>
          <w:tcPr>
            <w:tcW w:w="1603" w:type="dxa"/>
            <w:shd w:val="clear" w:color="auto" w:fill="C6EFCE"/>
            <w:noWrap/>
            <w:vAlign w:val="center"/>
          </w:tcPr>
          <w:p w14:paraId="4061CBC8" w14:textId="77777777" w:rsidR="003F5418" w:rsidRDefault="002A6C25">
            <w:pPr>
              <w:pStyle w:val="P68B1DB1-Normal4"/>
              <w:spacing w:line="276" w:lineRule="auto"/>
              <w:jc w:val="center"/>
              <w:rPr>
                <w:noProof/>
              </w:rPr>
            </w:pPr>
            <w:r>
              <w:rPr>
                <w:noProof/>
              </w:rPr>
              <w:t>NINCS</w:t>
            </w:r>
          </w:p>
        </w:tc>
        <w:tc>
          <w:tcPr>
            <w:tcW w:w="1275" w:type="dxa"/>
            <w:shd w:val="clear" w:color="auto" w:fill="C6EFCE"/>
            <w:noWrap/>
            <w:vAlign w:val="center"/>
          </w:tcPr>
          <w:p w14:paraId="02D3874F" w14:textId="77777777" w:rsidR="003F5418" w:rsidRDefault="002A6C25">
            <w:pPr>
              <w:pStyle w:val="P68B1DB1-Normal4"/>
              <w:spacing w:line="276" w:lineRule="auto"/>
              <w:jc w:val="center"/>
              <w:rPr>
                <w:noProof/>
              </w:rPr>
            </w:pPr>
            <w:r>
              <w:rPr>
                <w:noProof/>
              </w:rPr>
              <w:t>A Zöld Közösségek által benyújtott beavatkozások százalékos aránya</w:t>
            </w:r>
          </w:p>
        </w:tc>
        <w:tc>
          <w:tcPr>
            <w:tcW w:w="993" w:type="dxa"/>
            <w:shd w:val="clear" w:color="auto" w:fill="C6EFCE"/>
            <w:noWrap/>
            <w:vAlign w:val="center"/>
          </w:tcPr>
          <w:p w14:paraId="07FA9867" w14:textId="77777777" w:rsidR="003F5418" w:rsidRDefault="002A6C25">
            <w:pPr>
              <w:pStyle w:val="P68B1DB1-Normal4"/>
              <w:spacing w:line="276" w:lineRule="auto"/>
              <w:jc w:val="center"/>
              <w:rPr>
                <w:noProof/>
              </w:rPr>
            </w:pPr>
            <w:r>
              <w:rPr>
                <w:noProof/>
              </w:rPr>
              <w:t>0</w:t>
            </w:r>
          </w:p>
        </w:tc>
        <w:tc>
          <w:tcPr>
            <w:tcW w:w="1162" w:type="dxa"/>
            <w:shd w:val="clear" w:color="auto" w:fill="C6EFCE"/>
            <w:noWrap/>
            <w:vAlign w:val="center"/>
          </w:tcPr>
          <w:p w14:paraId="33B54B76" w14:textId="77777777" w:rsidR="003F5418" w:rsidRDefault="002A6C25">
            <w:pPr>
              <w:pStyle w:val="P68B1DB1-Normal4"/>
              <w:spacing w:line="276" w:lineRule="auto"/>
              <w:jc w:val="center"/>
              <w:rPr>
                <w:noProof/>
              </w:rPr>
            </w:pPr>
            <w:r>
              <w:rPr>
                <w:noProof/>
              </w:rPr>
              <w:t>90</w:t>
            </w:r>
          </w:p>
        </w:tc>
        <w:tc>
          <w:tcPr>
            <w:tcW w:w="963" w:type="dxa"/>
            <w:shd w:val="clear" w:color="auto" w:fill="C6EFCE"/>
            <w:noWrap/>
            <w:vAlign w:val="center"/>
          </w:tcPr>
          <w:p w14:paraId="4D1CC67F"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63F7E285" w14:textId="77777777" w:rsidR="003F5418" w:rsidRDefault="002A6C25">
            <w:pPr>
              <w:pStyle w:val="P68B1DB1-Normal4"/>
              <w:spacing w:line="276" w:lineRule="auto"/>
              <w:rPr>
                <w:noProof/>
              </w:rPr>
            </w:pPr>
            <w:r>
              <w:rPr>
                <w:noProof/>
              </w:rPr>
              <w:t>2026</w:t>
            </w:r>
          </w:p>
        </w:tc>
        <w:tc>
          <w:tcPr>
            <w:tcW w:w="3174" w:type="dxa"/>
            <w:shd w:val="clear" w:color="auto" w:fill="C6EFCE"/>
            <w:noWrap/>
            <w:vAlign w:val="center"/>
          </w:tcPr>
          <w:p w14:paraId="37B9EB86" w14:textId="77777777" w:rsidR="003F5418" w:rsidRDefault="002A6C25">
            <w:pPr>
              <w:pStyle w:val="P68B1DB1-Normal4"/>
              <w:spacing w:line="276" w:lineRule="auto"/>
              <w:rPr>
                <w:noProof/>
              </w:rPr>
            </w:pPr>
            <w:r>
              <w:rPr>
                <w:noProof/>
              </w:rPr>
              <w:t>A zöld közösségek által benyújtott tervekben előirányzott beavatkozások legalább 90%-ának végrehajtása (a 221/2015. sz. törvény 72. cikkében meghatározottak szerint)</w:t>
            </w:r>
          </w:p>
        </w:tc>
      </w:tr>
      <w:tr w:rsidR="003F5418" w14:paraId="3C3F42FC" w14:textId="77777777">
        <w:trPr>
          <w:trHeight w:val="313"/>
          <w:jc w:val="center"/>
        </w:trPr>
        <w:tc>
          <w:tcPr>
            <w:tcW w:w="1220" w:type="dxa"/>
            <w:shd w:val="clear" w:color="auto" w:fill="C6EFCE"/>
            <w:noWrap/>
            <w:vAlign w:val="center"/>
          </w:tcPr>
          <w:p w14:paraId="2EF85A9D" w14:textId="77777777" w:rsidR="003F5418" w:rsidRDefault="002A6C25">
            <w:pPr>
              <w:pStyle w:val="P68B1DB1-Normal4"/>
              <w:spacing w:line="276" w:lineRule="auto"/>
              <w:jc w:val="center"/>
              <w:rPr>
                <w:noProof/>
              </w:rPr>
            </w:pPr>
            <w:r>
              <w:rPr>
                <w:noProof/>
              </w:rPr>
              <w:t>M2C1–22</w:t>
            </w:r>
          </w:p>
        </w:tc>
        <w:tc>
          <w:tcPr>
            <w:tcW w:w="1598" w:type="dxa"/>
            <w:shd w:val="clear" w:color="auto" w:fill="C6EFCE"/>
            <w:noWrap/>
            <w:vAlign w:val="center"/>
          </w:tcPr>
          <w:p w14:paraId="08B90FE1" w14:textId="77777777" w:rsidR="003F5418" w:rsidRDefault="002A6C25">
            <w:pPr>
              <w:pStyle w:val="P68B1DB1-Normal4"/>
              <w:spacing w:line="276" w:lineRule="auto"/>
              <w:jc w:val="center"/>
              <w:rPr>
                <w:noProof/>
              </w:rPr>
            </w:pPr>
            <w:r>
              <w:rPr>
                <w:noProof/>
              </w:rPr>
              <w:t>Beruházás: Fondo Contratti di Filiera (FCF) az agrár-élelmiszeripari, halászati és akvakultúra-ágazat, az erdészet, a virágkertészet és a növényiskolák ellátási láncaira vonatkozó szerződések támogatása céljából</w:t>
            </w:r>
          </w:p>
        </w:tc>
        <w:tc>
          <w:tcPr>
            <w:tcW w:w="1185" w:type="dxa"/>
            <w:shd w:val="clear" w:color="auto" w:fill="C6EFCE"/>
            <w:noWrap/>
            <w:vAlign w:val="center"/>
          </w:tcPr>
          <w:p w14:paraId="3EA2F238" w14:textId="77777777" w:rsidR="003F5418" w:rsidRDefault="002A6C25">
            <w:pPr>
              <w:pStyle w:val="P68B1DB1-Normal4"/>
              <w:spacing w:line="276" w:lineRule="auto"/>
              <w:jc w:val="center"/>
              <w:rPr>
                <w:noProof/>
                <w:color w:val="000000" w:themeColor="text1"/>
              </w:rPr>
            </w:pPr>
            <w:r>
              <w:rPr>
                <w:noProof/>
              </w:rPr>
              <w:t>Mérföldkő</w:t>
            </w:r>
          </w:p>
        </w:tc>
        <w:tc>
          <w:tcPr>
            <w:tcW w:w="1732" w:type="dxa"/>
            <w:shd w:val="clear" w:color="auto" w:fill="C6EFCE"/>
            <w:noWrap/>
            <w:vAlign w:val="center"/>
          </w:tcPr>
          <w:p w14:paraId="0C333320" w14:textId="77777777" w:rsidR="003F5418" w:rsidRDefault="002A6C25">
            <w:pPr>
              <w:pStyle w:val="P68B1DB1-Normal4"/>
              <w:spacing w:line="276" w:lineRule="auto"/>
              <w:jc w:val="center"/>
              <w:rPr>
                <w:noProof/>
                <w:color w:val="000000" w:themeColor="text1"/>
              </w:rPr>
            </w:pPr>
            <w:r>
              <w:rPr>
                <w:noProof/>
              </w:rPr>
              <w:t>Végrehajtási megállapodás</w:t>
            </w:r>
          </w:p>
        </w:tc>
        <w:tc>
          <w:tcPr>
            <w:tcW w:w="1603" w:type="dxa"/>
            <w:shd w:val="clear" w:color="auto" w:fill="C6EFCE"/>
            <w:noWrap/>
            <w:vAlign w:val="center"/>
          </w:tcPr>
          <w:p w14:paraId="233D11DE" w14:textId="77777777" w:rsidR="003F5418" w:rsidRDefault="002A6C25">
            <w:pPr>
              <w:pStyle w:val="P68B1DB1-Normal4"/>
              <w:spacing w:line="276" w:lineRule="auto"/>
              <w:jc w:val="center"/>
              <w:rPr>
                <w:noProof/>
                <w:color w:val="000000" w:themeColor="text1"/>
              </w:rPr>
            </w:pPr>
            <w:r>
              <w:rPr>
                <w:noProof/>
              </w:rPr>
              <w:t xml:space="preserve">A </w:t>
            </w:r>
            <w:r>
              <w:rPr>
                <w:noProof/>
              </w:rPr>
              <w:t>végrehajtási megállapodás hatálybalépése</w:t>
            </w:r>
          </w:p>
        </w:tc>
        <w:tc>
          <w:tcPr>
            <w:tcW w:w="1275" w:type="dxa"/>
            <w:shd w:val="clear" w:color="auto" w:fill="C6EFCE"/>
            <w:noWrap/>
            <w:vAlign w:val="center"/>
          </w:tcPr>
          <w:p w14:paraId="78E330CF" w14:textId="77777777" w:rsidR="003F5418" w:rsidRDefault="002A6C25">
            <w:pPr>
              <w:pStyle w:val="P68B1DB1-Normal4"/>
              <w:spacing w:line="276" w:lineRule="auto"/>
              <w:jc w:val="center"/>
              <w:rPr>
                <w:noProof/>
              </w:rPr>
            </w:pPr>
            <w:r>
              <w:rPr>
                <w:noProof/>
              </w:rPr>
              <w:t xml:space="preserve"> NINCS</w:t>
            </w:r>
          </w:p>
        </w:tc>
        <w:tc>
          <w:tcPr>
            <w:tcW w:w="993" w:type="dxa"/>
            <w:shd w:val="clear" w:color="auto" w:fill="C6EFCE"/>
            <w:noWrap/>
            <w:vAlign w:val="center"/>
          </w:tcPr>
          <w:p w14:paraId="3ED47A1F" w14:textId="37C11BB8" w:rsidR="003F5418" w:rsidRDefault="002A6C25">
            <w:pPr>
              <w:pStyle w:val="P68B1DB1-Normal4"/>
              <w:spacing w:line="276" w:lineRule="auto"/>
              <w:jc w:val="center"/>
              <w:rPr>
                <w:rFonts w:eastAsia="Arial Narrow" w:cs="Arial Narrow"/>
                <w:noProof/>
              </w:rPr>
            </w:pPr>
            <w:r>
              <w:rPr>
                <w:noProof/>
              </w:rPr>
              <w:t>NINCS</w:t>
            </w:r>
          </w:p>
        </w:tc>
        <w:tc>
          <w:tcPr>
            <w:tcW w:w="1162" w:type="dxa"/>
            <w:shd w:val="clear" w:color="auto" w:fill="C6EFCE"/>
            <w:noWrap/>
            <w:vAlign w:val="center"/>
          </w:tcPr>
          <w:p w14:paraId="785DDA17" w14:textId="06513970" w:rsidR="003F5418" w:rsidRDefault="002A6C25">
            <w:pPr>
              <w:pStyle w:val="P68B1DB1-Normal4"/>
              <w:spacing w:line="276" w:lineRule="auto"/>
              <w:jc w:val="center"/>
              <w:rPr>
                <w:rFonts w:eastAsia="Arial Narrow" w:cs="Arial Narrow"/>
                <w:noProof/>
              </w:rPr>
            </w:pPr>
            <w:r>
              <w:rPr>
                <w:noProof/>
              </w:rPr>
              <w:t>NINCS</w:t>
            </w:r>
          </w:p>
        </w:tc>
        <w:tc>
          <w:tcPr>
            <w:tcW w:w="963" w:type="dxa"/>
            <w:shd w:val="clear" w:color="auto" w:fill="C6EFCE"/>
            <w:noWrap/>
            <w:vAlign w:val="center"/>
          </w:tcPr>
          <w:p w14:paraId="43849499" w14:textId="77777777" w:rsidR="003F5418" w:rsidRDefault="002A6C25">
            <w:pPr>
              <w:pStyle w:val="P68B1DB1-Normal4"/>
              <w:spacing w:line="276" w:lineRule="auto"/>
              <w:jc w:val="center"/>
              <w:rPr>
                <w:noProof/>
                <w:color w:val="000000" w:themeColor="text1"/>
              </w:rPr>
            </w:pPr>
            <w:r>
              <w:rPr>
                <w:noProof/>
              </w:rPr>
              <w:t>Q2</w:t>
            </w:r>
          </w:p>
        </w:tc>
        <w:tc>
          <w:tcPr>
            <w:tcW w:w="710" w:type="dxa"/>
            <w:shd w:val="clear" w:color="auto" w:fill="C6EFCE"/>
            <w:noWrap/>
            <w:vAlign w:val="center"/>
          </w:tcPr>
          <w:p w14:paraId="50458F51" w14:textId="77777777" w:rsidR="003F5418" w:rsidRDefault="002A6C25">
            <w:pPr>
              <w:pStyle w:val="P68B1DB1-Normal4"/>
              <w:spacing w:line="276" w:lineRule="auto"/>
              <w:rPr>
                <w:noProof/>
                <w:color w:val="000000" w:themeColor="text1"/>
              </w:rPr>
            </w:pPr>
            <w:r>
              <w:rPr>
                <w:noProof/>
              </w:rPr>
              <w:t>2024</w:t>
            </w:r>
          </w:p>
        </w:tc>
        <w:tc>
          <w:tcPr>
            <w:tcW w:w="3174" w:type="dxa"/>
            <w:shd w:val="clear" w:color="auto" w:fill="C6EFCE"/>
            <w:noWrap/>
            <w:vAlign w:val="center"/>
          </w:tcPr>
          <w:p w14:paraId="1797F92F" w14:textId="77777777" w:rsidR="003F5418" w:rsidRDefault="002A6C25">
            <w:pPr>
              <w:pStyle w:val="P68B1DB1-Normal4"/>
              <w:spacing w:line="276" w:lineRule="auto"/>
              <w:rPr>
                <w:noProof/>
                <w:color w:val="000000" w:themeColor="text1"/>
              </w:rPr>
            </w:pPr>
            <w:r>
              <w:rPr>
                <w:noProof/>
              </w:rPr>
              <w:t>A végrehajtási megállapodás hatálybalépése.</w:t>
            </w:r>
          </w:p>
        </w:tc>
      </w:tr>
      <w:tr w:rsidR="003F5418" w14:paraId="33B27411" w14:textId="77777777">
        <w:trPr>
          <w:trHeight w:val="313"/>
          <w:jc w:val="center"/>
        </w:trPr>
        <w:tc>
          <w:tcPr>
            <w:tcW w:w="1220" w:type="dxa"/>
            <w:shd w:val="clear" w:color="auto" w:fill="C6EFCE"/>
            <w:noWrap/>
            <w:vAlign w:val="center"/>
          </w:tcPr>
          <w:p w14:paraId="61F99F40" w14:textId="77777777" w:rsidR="003F5418" w:rsidRDefault="002A6C25">
            <w:pPr>
              <w:pStyle w:val="P68B1DB1-Normal4"/>
              <w:spacing w:line="276" w:lineRule="auto"/>
              <w:jc w:val="center"/>
              <w:rPr>
                <w:noProof/>
              </w:rPr>
            </w:pPr>
            <w:r>
              <w:rPr>
                <w:noProof/>
              </w:rPr>
              <w:t>M2C1–23</w:t>
            </w:r>
          </w:p>
        </w:tc>
        <w:tc>
          <w:tcPr>
            <w:tcW w:w="1598" w:type="dxa"/>
            <w:shd w:val="clear" w:color="auto" w:fill="C6EFCE"/>
            <w:noWrap/>
            <w:vAlign w:val="center"/>
          </w:tcPr>
          <w:p w14:paraId="405F550F" w14:textId="77777777" w:rsidR="003F5418" w:rsidRDefault="002A6C25">
            <w:pPr>
              <w:pStyle w:val="P68B1DB1-Normal4"/>
              <w:spacing w:line="276" w:lineRule="auto"/>
              <w:jc w:val="center"/>
              <w:rPr>
                <w:noProof/>
              </w:rPr>
            </w:pPr>
            <w:r>
              <w:rPr>
                <w:noProof/>
              </w:rPr>
              <w:t>Beruházás: Fondo Contratti di Filiera</w:t>
            </w:r>
            <w:r>
              <w:rPr>
                <w:noProof/>
              </w:rPr>
              <w:t xml:space="preserve"> (FCF) az agrár-élelmiszeripari, halászati és akvakultúra-ágazat, az erdészet, a virágkertészet és a növényiskolák ellátási láncaira vonatkozó szerződések támogatása céljából</w:t>
            </w:r>
          </w:p>
        </w:tc>
        <w:tc>
          <w:tcPr>
            <w:tcW w:w="1185" w:type="dxa"/>
            <w:shd w:val="clear" w:color="auto" w:fill="C6EFCE"/>
            <w:noWrap/>
            <w:vAlign w:val="center"/>
          </w:tcPr>
          <w:p w14:paraId="244EEF20"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03386DD4" w14:textId="77777777" w:rsidR="003F5418" w:rsidRDefault="002A6C25">
            <w:pPr>
              <w:pStyle w:val="P68B1DB1-Normal4"/>
              <w:spacing w:line="276" w:lineRule="auto"/>
              <w:jc w:val="center"/>
              <w:rPr>
                <w:noProof/>
              </w:rPr>
            </w:pPr>
            <w:r>
              <w:rPr>
                <w:noProof/>
              </w:rPr>
              <w:t>A végső kedvezményezettekkel aláírt jogi megállapodások</w:t>
            </w:r>
          </w:p>
        </w:tc>
        <w:tc>
          <w:tcPr>
            <w:tcW w:w="1603" w:type="dxa"/>
            <w:shd w:val="clear" w:color="auto" w:fill="C6EFCE"/>
            <w:noWrap/>
            <w:vAlign w:val="center"/>
          </w:tcPr>
          <w:p w14:paraId="26DA1145" w14:textId="75153E1F" w:rsidR="003F5418" w:rsidRDefault="002A6C25">
            <w:pPr>
              <w:pStyle w:val="P68B1DB1-Normal4"/>
              <w:spacing w:line="276" w:lineRule="auto"/>
              <w:jc w:val="center"/>
              <w:rPr>
                <w:noProof/>
              </w:rPr>
            </w:pPr>
            <w:r>
              <w:rPr>
                <w:noProof/>
              </w:rPr>
              <w:t xml:space="preserve">NINCS </w:t>
            </w:r>
          </w:p>
        </w:tc>
        <w:tc>
          <w:tcPr>
            <w:tcW w:w="1275" w:type="dxa"/>
            <w:shd w:val="clear" w:color="auto" w:fill="C6EFCE"/>
            <w:noWrap/>
            <w:vAlign w:val="center"/>
          </w:tcPr>
          <w:p w14:paraId="16D540D7" w14:textId="77777777" w:rsidR="003F5418" w:rsidRDefault="002A6C25">
            <w:pPr>
              <w:pStyle w:val="P68B1DB1-Normal4"/>
              <w:spacing w:line="276" w:lineRule="auto"/>
              <w:jc w:val="center"/>
              <w:rPr>
                <w:noProof/>
              </w:rPr>
            </w:pPr>
            <w:r>
              <w:rPr>
                <w:noProof/>
              </w:rPr>
              <w:t xml:space="preserve"> Százalék</w:t>
            </w:r>
          </w:p>
        </w:tc>
        <w:tc>
          <w:tcPr>
            <w:tcW w:w="993" w:type="dxa"/>
            <w:shd w:val="clear" w:color="auto" w:fill="C6EFCE"/>
            <w:noWrap/>
            <w:vAlign w:val="center"/>
          </w:tcPr>
          <w:p w14:paraId="0E252823" w14:textId="77777777" w:rsidR="003F5418" w:rsidRDefault="002A6C25">
            <w:pPr>
              <w:pStyle w:val="P68B1DB1-Normal4"/>
              <w:spacing w:line="276" w:lineRule="auto"/>
              <w:jc w:val="center"/>
              <w:rPr>
                <w:noProof/>
              </w:rPr>
            </w:pPr>
            <w:r>
              <w:rPr>
                <w:noProof/>
              </w:rPr>
              <w:t>0</w:t>
            </w:r>
          </w:p>
        </w:tc>
        <w:tc>
          <w:tcPr>
            <w:tcW w:w="1162" w:type="dxa"/>
            <w:shd w:val="clear" w:color="auto" w:fill="C6EFCE"/>
            <w:noWrap/>
            <w:vAlign w:val="center"/>
          </w:tcPr>
          <w:p w14:paraId="42818AC0" w14:textId="4AFD338E" w:rsidR="003F5418" w:rsidRDefault="002A6C25">
            <w:pPr>
              <w:pStyle w:val="P68B1DB1-Normal4"/>
              <w:spacing w:line="276" w:lineRule="auto"/>
              <w:jc w:val="center"/>
              <w:rPr>
                <w:noProof/>
              </w:rPr>
            </w:pPr>
            <w:r>
              <w:rPr>
                <w:noProof/>
              </w:rPr>
              <w:t>50</w:t>
            </w:r>
          </w:p>
        </w:tc>
        <w:tc>
          <w:tcPr>
            <w:tcW w:w="963" w:type="dxa"/>
            <w:shd w:val="clear" w:color="auto" w:fill="C6EFCE"/>
            <w:noWrap/>
            <w:vAlign w:val="center"/>
          </w:tcPr>
          <w:p w14:paraId="7EB4BEE3"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770C142E" w14:textId="77777777" w:rsidR="003F5418" w:rsidRDefault="002A6C25">
            <w:pPr>
              <w:pStyle w:val="P68B1DB1-Normal4"/>
              <w:spacing w:line="276" w:lineRule="auto"/>
              <w:rPr>
                <w:noProof/>
              </w:rPr>
            </w:pPr>
            <w:r>
              <w:rPr>
                <w:noProof/>
              </w:rPr>
              <w:t>2025</w:t>
            </w:r>
          </w:p>
        </w:tc>
        <w:tc>
          <w:tcPr>
            <w:tcW w:w="3174" w:type="dxa"/>
            <w:shd w:val="clear" w:color="auto" w:fill="C6EFCE"/>
            <w:noWrap/>
            <w:vAlign w:val="center"/>
          </w:tcPr>
          <w:p w14:paraId="256F2385" w14:textId="0EBB6217" w:rsidR="003F5418" w:rsidRDefault="002A6C25">
            <w:pPr>
              <w:pStyle w:val="P68B1DB1-Normal4"/>
              <w:spacing w:line="276" w:lineRule="auto"/>
              <w:rPr>
                <w:noProof/>
              </w:rPr>
            </w:pPr>
            <w:r>
              <w:rPr>
                <w:noProof/>
              </w:rPr>
              <w:t>Az ISMEA-nak jogi finanszírozási megállapodásokat kell kötnie a végső kedvezményezettekkel az RRF-beruházás legalább 50%-ának az alapba történő felhasználásához szükséges összegről (figyelembe véve az irányítási díjakat). Az ISMEA a VI. mellékletb</w:t>
            </w:r>
            <w:r>
              <w:rPr>
                <w:noProof/>
              </w:rPr>
              <w:t>en szereplő módszertan alkalmazásával jelentést készít, amelyben részletezi e finanszírozás azon százalékos arányát, amely hozzájárul az éghajlat-politikai célkitűzésekhez.</w:t>
            </w:r>
          </w:p>
        </w:tc>
      </w:tr>
      <w:tr w:rsidR="003F5418" w14:paraId="7E730161" w14:textId="77777777">
        <w:trPr>
          <w:trHeight w:val="313"/>
          <w:jc w:val="center"/>
        </w:trPr>
        <w:tc>
          <w:tcPr>
            <w:tcW w:w="1220" w:type="dxa"/>
            <w:shd w:val="clear" w:color="auto" w:fill="C6EFCE"/>
            <w:noWrap/>
            <w:vAlign w:val="center"/>
          </w:tcPr>
          <w:p w14:paraId="601B8657" w14:textId="77777777" w:rsidR="003F5418" w:rsidRDefault="002A6C25">
            <w:pPr>
              <w:pStyle w:val="P68B1DB1-Normal4"/>
              <w:spacing w:line="276" w:lineRule="auto"/>
              <w:jc w:val="center"/>
              <w:rPr>
                <w:noProof/>
              </w:rPr>
            </w:pPr>
            <w:r>
              <w:rPr>
                <w:noProof/>
              </w:rPr>
              <w:t>M2C1–24</w:t>
            </w:r>
          </w:p>
        </w:tc>
        <w:tc>
          <w:tcPr>
            <w:tcW w:w="1598" w:type="dxa"/>
            <w:shd w:val="clear" w:color="auto" w:fill="C6EFCE"/>
            <w:noWrap/>
            <w:vAlign w:val="center"/>
          </w:tcPr>
          <w:p w14:paraId="1AFDB377" w14:textId="77777777" w:rsidR="003F5418" w:rsidRDefault="002A6C25">
            <w:pPr>
              <w:pStyle w:val="P68B1DB1-Normal4"/>
              <w:spacing w:line="276" w:lineRule="auto"/>
              <w:jc w:val="center"/>
              <w:rPr>
                <w:noProof/>
              </w:rPr>
            </w:pPr>
            <w:r>
              <w:rPr>
                <w:noProof/>
              </w:rPr>
              <w:t>Beruházás: Fondo Contratti di Filiera</w:t>
            </w:r>
            <w:r>
              <w:rPr>
                <w:noProof/>
              </w:rPr>
              <w:t xml:space="preserve"> (FCF) az agrár-élelmiszeripari, halászati és akvakultúra-ágazat, az erdészet, a virágkertészet és a növényiskolák ellátási láncaira vonatkozó szerződések támogatása céljából</w:t>
            </w:r>
          </w:p>
        </w:tc>
        <w:tc>
          <w:tcPr>
            <w:tcW w:w="1185" w:type="dxa"/>
            <w:shd w:val="clear" w:color="auto" w:fill="C6EFCE"/>
            <w:noWrap/>
            <w:vAlign w:val="center"/>
          </w:tcPr>
          <w:p w14:paraId="11DA9960" w14:textId="77777777" w:rsidR="003F5418" w:rsidRDefault="002A6C25">
            <w:pPr>
              <w:pStyle w:val="P68B1DB1-Normal4"/>
              <w:spacing w:line="276" w:lineRule="auto"/>
              <w:jc w:val="center"/>
              <w:rPr>
                <w:noProof/>
              </w:rPr>
            </w:pPr>
            <w:r>
              <w:rPr>
                <w:noProof/>
              </w:rPr>
              <w:t>Cél</w:t>
            </w:r>
          </w:p>
        </w:tc>
        <w:tc>
          <w:tcPr>
            <w:tcW w:w="1732" w:type="dxa"/>
            <w:shd w:val="clear" w:color="auto" w:fill="C6EFCE"/>
            <w:noWrap/>
            <w:vAlign w:val="center"/>
          </w:tcPr>
          <w:p w14:paraId="0A3AB3BF" w14:textId="77777777" w:rsidR="003F5418" w:rsidRDefault="002A6C25">
            <w:pPr>
              <w:pStyle w:val="P68B1DB1-Normal4"/>
              <w:spacing w:line="276" w:lineRule="auto"/>
              <w:jc w:val="center"/>
              <w:rPr>
                <w:noProof/>
              </w:rPr>
            </w:pPr>
            <w:r>
              <w:rPr>
                <w:noProof/>
              </w:rPr>
              <w:t>A végső kedvezményezettekkel aláírt jogi megállapodások</w:t>
            </w:r>
          </w:p>
        </w:tc>
        <w:tc>
          <w:tcPr>
            <w:tcW w:w="1603" w:type="dxa"/>
            <w:shd w:val="clear" w:color="auto" w:fill="C6EFCE"/>
            <w:noWrap/>
            <w:vAlign w:val="center"/>
          </w:tcPr>
          <w:p w14:paraId="090E5EE3" w14:textId="6EAFB802" w:rsidR="003F5418" w:rsidRDefault="002A6C25">
            <w:pPr>
              <w:pStyle w:val="P68B1DB1-Normal4"/>
              <w:spacing w:line="276" w:lineRule="auto"/>
              <w:jc w:val="center"/>
              <w:rPr>
                <w:noProof/>
              </w:rPr>
            </w:pPr>
            <w:r>
              <w:rPr>
                <w:noProof/>
              </w:rPr>
              <w:t xml:space="preserve">NINCS </w:t>
            </w:r>
          </w:p>
        </w:tc>
        <w:tc>
          <w:tcPr>
            <w:tcW w:w="1275" w:type="dxa"/>
            <w:shd w:val="clear" w:color="auto" w:fill="C6EFCE"/>
            <w:noWrap/>
            <w:vAlign w:val="center"/>
          </w:tcPr>
          <w:p w14:paraId="075ADC4C" w14:textId="77777777" w:rsidR="003F5418" w:rsidRDefault="002A6C25">
            <w:pPr>
              <w:pStyle w:val="P68B1DB1-Normal4"/>
              <w:spacing w:line="276" w:lineRule="auto"/>
              <w:jc w:val="center"/>
              <w:rPr>
                <w:noProof/>
              </w:rPr>
            </w:pPr>
            <w:r>
              <w:rPr>
                <w:noProof/>
              </w:rPr>
              <w:t xml:space="preserve">Százalék </w:t>
            </w:r>
          </w:p>
        </w:tc>
        <w:tc>
          <w:tcPr>
            <w:tcW w:w="993" w:type="dxa"/>
            <w:shd w:val="clear" w:color="auto" w:fill="C6EFCE"/>
            <w:noWrap/>
            <w:vAlign w:val="center"/>
          </w:tcPr>
          <w:p w14:paraId="43C1FB11" w14:textId="6633145E" w:rsidR="003F5418" w:rsidRDefault="002A6C25">
            <w:pPr>
              <w:pStyle w:val="P68B1DB1-Normal4"/>
              <w:spacing w:line="276" w:lineRule="auto"/>
              <w:jc w:val="center"/>
              <w:rPr>
                <w:noProof/>
              </w:rPr>
            </w:pPr>
            <w:r>
              <w:rPr>
                <w:noProof/>
              </w:rPr>
              <w:t>50</w:t>
            </w:r>
          </w:p>
        </w:tc>
        <w:tc>
          <w:tcPr>
            <w:tcW w:w="1162" w:type="dxa"/>
            <w:shd w:val="clear" w:color="auto" w:fill="C6EFCE"/>
            <w:noWrap/>
            <w:vAlign w:val="center"/>
          </w:tcPr>
          <w:p w14:paraId="03C9A282" w14:textId="50A14CDD" w:rsidR="003F5418" w:rsidRDefault="002A6C25">
            <w:pPr>
              <w:pStyle w:val="P68B1DB1-Normal4"/>
              <w:spacing w:line="276" w:lineRule="auto"/>
              <w:jc w:val="center"/>
              <w:rPr>
                <w:noProof/>
              </w:rPr>
            </w:pPr>
            <w:r>
              <w:rPr>
                <w:noProof/>
              </w:rPr>
              <w:t>100</w:t>
            </w:r>
          </w:p>
        </w:tc>
        <w:tc>
          <w:tcPr>
            <w:tcW w:w="963" w:type="dxa"/>
            <w:shd w:val="clear" w:color="auto" w:fill="C6EFCE"/>
            <w:noWrap/>
            <w:vAlign w:val="center"/>
          </w:tcPr>
          <w:p w14:paraId="696BF4D8" w14:textId="77777777" w:rsidR="003F5418" w:rsidRDefault="002A6C25">
            <w:pPr>
              <w:pStyle w:val="P68B1DB1-Normal4"/>
              <w:spacing w:line="276" w:lineRule="auto"/>
              <w:jc w:val="center"/>
              <w:rPr>
                <w:noProof/>
              </w:rPr>
            </w:pPr>
            <w:r>
              <w:rPr>
                <w:noProof/>
              </w:rPr>
              <w:t>Q2</w:t>
            </w:r>
          </w:p>
        </w:tc>
        <w:tc>
          <w:tcPr>
            <w:tcW w:w="710" w:type="dxa"/>
            <w:shd w:val="clear" w:color="auto" w:fill="C6EFCE"/>
            <w:noWrap/>
            <w:vAlign w:val="center"/>
          </w:tcPr>
          <w:p w14:paraId="6D9CF555" w14:textId="77777777" w:rsidR="003F5418" w:rsidRDefault="002A6C25">
            <w:pPr>
              <w:pStyle w:val="P68B1DB1-Normal4"/>
              <w:spacing w:line="276" w:lineRule="auto"/>
              <w:rPr>
                <w:noProof/>
              </w:rPr>
            </w:pPr>
            <w:r>
              <w:rPr>
                <w:noProof/>
              </w:rPr>
              <w:t>2026</w:t>
            </w:r>
          </w:p>
        </w:tc>
        <w:tc>
          <w:tcPr>
            <w:tcW w:w="3174" w:type="dxa"/>
            <w:shd w:val="clear" w:color="auto" w:fill="C6EFCE"/>
            <w:noWrap/>
            <w:vAlign w:val="center"/>
          </w:tcPr>
          <w:p w14:paraId="397CA92D" w14:textId="45AECA05" w:rsidR="003F5418" w:rsidRDefault="002A6C25">
            <w:pPr>
              <w:pStyle w:val="P68B1DB1-Normal4"/>
              <w:spacing w:line="276" w:lineRule="auto"/>
              <w:rPr>
                <w:noProof/>
              </w:rPr>
            </w:pPr>
            <w:r>
              <w:rPr>
                <w:noProof/>
              </w:rPr>
              <w:t>Az ISMEA-nak jogi finanszírozási megállapodásokat kell kötnie a végső kedvezményezettekkel az RRF-beruházás 100%-ának az alapba történő felhasználásához szükséges összegről (figyelembe véve az irányítási díjakat).</w:t>
            </w:r>
          </w:p>
        </w:tc>
      </w:tr>
      <w:tr w:rsidR="003F5418" w14:paraId="22CC71A3" w14:textId="77777777">
        <w:trPr>
          <w:trHeight w:val="313"/>
          <w:jc w:val="center"/>
        </w:trPr>
        <w:tc>
          <w:tcPr>
            <w:tcW w:w="1220" w:type="dxa"/>
            <w:shd w:val="clear" w:color="auto" w:fill="C6EFCE"/>
            <w:noWrap/>
            <w:vAlign w:val="center"/>
          </w:tcPr>
          <w:p w14:paraId="1D08E4DF" w14:textId="77777777" w:rsidR="003F5418" w:rsidRDefault="002A6C25">
            <w:pPr>
              <w:pStyle w:val="P68B1DB1-Normal4"/>
              <w:spacing w:line="276" w:lineRule="auto"/>
              <w:jc w:val="center"/>
              <w:rPr>
                <w:noProof/>
              </w:rPr>
            </w:pPr>
            <w:r>
              <w:rPr>
                <w:noProof/>
              </w:rPr>
              <w:t>M2C1–25</w:t>
            </w:r>
          </w:p>
        </w:tc>
        <w:tc>
          <w:tcPr>
            <w:tcW w:w="1598" w:type="dxa"/>
            <w:shd w:val="clear" w:color="auto" w:fill="C6EFCE"/>
            <w:noWrap/>
            <w:vAlign w:val="center"/>
          </w:tcPr>
          <w:p w14:paraId="7940F196" w14:textId="77777777" w:rsidR="003F5418" w:rsidRDefault="002A6C25">
            <w:pPr>
              <w:pStyle w:val="P68B1DB1-Normal4"/>
              <w:spacing w:line="276" w:lineRule="auto"/>
              <w:jc w:val="center"/>
              <w:rPr>
                <w:noProof/>
              </w:rPr>
            </w:pPr>
            <w:r>
              <w:rPr>
                <w:noProof/>
              </w:rPr>
              <w:t xml:space="preserve">Beruházás: Fondo </w:t>
            </w:r>
            <w:r>
              <w:rPr>
                <w:noProof/>
              </w:rPr>
              <w:t>Contratti di Filiera (FCF) az agrár-élelmiszeripari, halászati és akvakultúra-ágazat, az erdészet, a virágkertészet és a növényiskolák ellátási láncaira vonatkozó szerződések támogatása céljából</w:t>
            </w:r>
          </w:p>
        </w:tc>
        <w:tc>
          <w:tcPr>
            <w:tcW w:w="1185" w:type="dxa"/>
            <w:shd w:val="clear" w:color="auto" w:fill="C6EFCE"/>
            <w:noWrap/>
            <w:vAlign w:val="center"/>
          </w:tcPr>
          <w:p w14:paraId="4B80F8A2" w14:textId="77777777" w:rsidR="003F5418" w:rsidRDefault="002A6C25">
            <w:pPr>
              <w:pStyle w:val="P68B1DB1-Normal4"/>
              <w:spacing w:line="276" w:lineRule="auto"/>
              <w:jc w:val="center"/>
              <w:rPr>
                <w:noProof/>
              </w:rPr>
            </w:pPr>
            <w:r>
              <w:rPr>
                <w:noProof/>
              </w:rPr>
              <w:t>Mérföldkő</w:t>
            </w:r>
          </w:p>
        </w:tc>
        <w:tc>
          <w:tcPr>
            <w:tcW w:w="1732" w:type="dxa"/>
            <w:shd w:val="clear" w:color="auto" w:fill="C6EFCE"/>
            <w:noWrap/>
            <w:vAlign w:val="center"/>
          </w:tcPr>
          <w:p w14:paraId="2DCF437B" w14:textId="77777777" w:rsidR="003F5418" w:rsidRDefault="002A6C25">
            <w:pPr>
              <w:pStyle w:val="P68B1DB1-Normal4"/>
              <w:spacing w:line="276" w:lineRule="auto"/>
              <w:jc w:val="center"/>
              <w:rPr>
                <w:noProof/>
              </w:rPr>
            </w:pPr>
            <w:r>
              <w:rPr>
                <w:noProof/>
              </w:rPr>
              <w:t>A minisztérium átutalta a források teljes összegét</w:t>
            </w:r>
          </w:p>
        </w:tc>
        <w:tc>
          <w:tcPr>
            <w:tcW w:w="1603" w:type="dxa"/>
            <w:shd w:val="clear" w:color="auto" w:fill="C6EFCE"/>
            <w:noWrap/>
            <w:vAlign w:val="center"/>
          </w:tcPr>
          <w:p w14:paraId="035C9D5B" w14:textId="77777777" w:rsidR="003F5418" w:rsidRDefault="002A6C25">
            <w:pPr>
              <w:pStyle w:val="P68B1DB1-Normal4"/>
              <w:spacing w:line="276" w:lineRule="auto"/>
              <w:jc w:val="center"/>
              <w:rPr>
                <w:noProof/>
              </w:rPr>
            </w:pPr>
            <w:r>
              <w:rPr>
                <w:noProof/>
              </w:rPr>
              <w:t>Átutalási igazolás</w:t>
            </w:r>
          </w:p>
        </w:tc>
        <w:tc>
          <w:tcPr>
            <w:tcW w:w="1275" w:type="dxa"/>
            <w:shd w:val="clear" w:color="auto" w:fill="C6EFCE"/>
            <w:noWrap/>
            <w:vAlign w:val="center"/>
          </w:tcPr>
          <w:p w14:paraId="130D4D1B" w14:textId="77777777" w:rsidR="003F5418" w:rsidRDefault="002A6C25">
            <w:pPr>
              <w:pStyle w:val="P68B1DB1-Normal4"/>
              <w:spacing w:line="276" w:lineRule="auto"/>
              <w:jc w:val="center"/>
              <w:rPr>
                <w:noProof/>
              </w:rPr>
            </w:pPr>
            <w:r>
              <w:rPr>
                <w:noProof/>
              </w:rPr>
              <w:t xml:space="preserve"> NINCS</w:t>
            </w:r>
          </w:p>
        </w:tc>
        <w:tc>
          <w:tcPr>
            <w:tcW w:w="993" w:type="dxa"/>
            <w:shd w:val="clear" w:color="auto" w:fill="C6EFCE"/>
            <w:noWrap/>
            <w:vAlign w:val="center"/>
          </w:tcPr>
          <w:p w14:paraId="0053BC42" w14:textId="570E97A5" w:rsidR="003F5418" w:rsidRDefault="002A6C25">
            <w:pPr>
              <w:pStyle w:val="P68B1DB1-Normal4"/>
              <w:spacing w:line="276" w:lineRule="auto"/>
              <w:jc w:val="center"/>
              <w:rPr>
                <w:rFonts w:eastAsia="Arial Narrow" w:cs="Arial Narrow"/>
                <w:noProof/>
              </w:rPr>
            </w:pPr>
            <w:r>
              <w:rPr>
                <w:noProof/>
              </w:rPr>
              <w:t>NINCS</w:t>
            </w:r>
          </w:p>
        </w:tc>
        <w:tc>
          <w:tcPr>
            <w:tcW w:w="1162" w:type="dxa"/>
            <w:shd w:val="clear" w:color="auto" w:fill="C6EFCE"/>
            <w:noWrap/>
            <w:vAlign w:val="center"/>
          </w:tcPr>
          <w:p w14:paraId="2769F357" w14:textId="65DC7B37" w:rsidR="003F5418" w:rsidRDefault="002A6C25">
            <w:pPr>
              <w:pStyle w:val="P68B1DB1-Normal4"/>
              <w:spacing w:line="276" w:lineRule="auto"/>
              <w:jc w:val="center"/>
              <w:rPr>
                <w:rFonts w:eastAsia="Arial Narrow" w:cs="Arial Narrow"/>
                <w:noProof/>
              </w:rPr>
            </w:pPr>
            <w:r>
              <w:rPr>
                <w:noProof/>
              </w:rPr>
              <w:t>NINCS</w:t>
            </w:r>
          </w:p>
        </w:tc>
        <w:tc>
          <w:tcPr>
            <w:tcW w:w="963" w:type="dxa"/>
            <w:shd w:val="clear" w:color="auto" w:fill="C6EFCE"/>
            <w:noWrap/>
            <w:vAlign w:val="center"/>
          </w:tcPr>
          <w:p w14:paraId="26A90F66" w14:textId="77777777" w:rsidR="003F5418" w:rsidRDefault="002A6C25">
            <w:pPr>
              <w:pStyle w:val="P68B1DB1-Normal4"/>
              <w:spacing w:line="276" w:lineRule="auto"/>
              <w:jc w:val="center"/>
              <w:rPr>
                <w:noProof/>
              </w:rPr>
            </w:pPr>
            <w:r>
              <w:rPr>
                <w:noProof/>
              </w:rPr>
              <w:t>Q4</w:t>
            </w:r>
          </w:p>
        </w:tc>
        <w:tc>
          <w:tcPr>
            <w:tcW w:w="710" w:type="dxa"/>
            <w:shd w:val="clear" w:color="auto" w:fill="C6EFCE"/>
            <w:noWrap/>
            <w:vAlign w:val="center"/>
          </w:tcPr>
          <w:p w14:paraId="3EC08629" w14:textId="77777777" w:rsidR="003F5418" w:rsidRDefault="002A6C25">
            <w:pPr>
              <w:pStyle w:val="P68B1DB1-Normal4"/>
              <w:spacing w:line="276" w:lineRule="auto"/>
              <w:rPr>
                <w:noProof/>
              </w:rPr>
            </w:pPr>
            <w:r>
              <w:rPr>
                <w:noProof/>
              </w:rPr>
              <w:t>2024</w:t>
            </w:r>
          </w:p>
        </w:tc>
        <w:tc>
          <w:tcPr>
            <w:tcW w:w="3174" w:type="dxa"/>
            <w:shd w:val="clear" w:color="auto" w:fill="C6EFCE"/>
            <w:noWrap/>
            <w:vAlign w:val="center"/>
          </w:tcPr>
          <w:p w14:paraId="7AE79F05" w14:textId="25B22B51" w:rsidR="003F5418" w:rsidRDefault="002A6C25">
            <w:pPr>
              <w:pStyle w:val="P68B1DB1-Normal4"/>
              <w:spacing w:line="276" w:lineRule="auto"/>
              <w:rPr>
                <w:noProof/>
              </w:rPr>
            </w:pPr>
            <w:r>
              <w:rPr>
                <w:noProof/>
              </w:rPr>
              <w:t xml:space="preserve">Olaszország 1 960 000 000,00 EUR-t utal át az ISMEA-nak az eszköz céljára. </w:t>
            </w:r>
          </w:p>
        </w:tc>
      </w:tr>
    </w:tbl>
    <w:p w14:paraId="18304692" w14:textId="77777777" w:rsidR="003F5418" w:rsidRDefault="003F5418">
      <w:pPr>
        <w:tabs>
          <w:tab w:val="left" w:pos="4252"/>
        </w:tabs>
        <w:rPr>
          <w:i/>
          <w:noProof/>
        </w:rPr>
      </w:pPr>
    </w:p>
    <w:p w14:paraId="0F10060A" w14:textId="77777777" w:rsidR="003F5418" w:rsidRDefault="003F5418">
      <w:pPr>
        <w:tabs>
          <w:tab w:val="left" w:pos="4252"/>
        </w:tabs>
        <w:rPr>
          <w:i/>
          <w:noProof/>
        </w:rPr>
      </w:pPr>
    </w:p>
    <w:p w14:paraId="74C46D8B" w14:textId="77777777" w:rsidR="003F5418" w:rsidRDefault="003F5418">
      <w:pPr>
        <w:tabs>
          <w:tab w:val="left" w:pos="4252"/>
        </w:tabs>
        <w:rPr>
          <w:i/>
          <w:noProof/>
        </w:rPr>
        <w:sectPr w:rsidR="003F5418">
          <w:headerReference w:type="even" r:id="rId134"/>
          <w:headerReference w:type="default" r:id="rId135"/>
          <w:footerReference w:type="even" r:id="rId136"/>
          <w:footerReference w:type="default" r:id="rId137"/>
          <w:headerReference w:type="first" r:id="rId138"/>
          <w:footerReference w:type="first" r:id="rId139"/>
          <w:pgSz w:w="16839" w:h="11907" w:orient="landscape"/>
          <w:pgMar w:top="1134" w:right="1134" w:bottom="1134" w:left="1134" w:header="567" w:footer="567" w:gutter="0"/>
          <w:cols w:space="720"/>
          <w:docGrid w:linePitch="360"/>
        </w:sectPr>
      </w:pPr>
    </w:p>
    <w:p w14:paraId="2EAB6B61" w14:textId="77777777" w:rsidR="003F5418" w:rsidRDefault="002A6C25">
      <w:pPr>
        <w:pStyle w:val="Heading2"/>
        <w:numPr>
          <w:ilvl w:val="1"/>
          <w:numId w:val="0"/>
        </w:numPr>
        <w:ind w:left="850" w:hanging="850"/>
        <w:rPr>
          <w:noProof/>
        </w:rPr>
      </w:pPr>
      <w:r>
        <w:rPr>
          <w:noProof/>
        </w:rPr>
        <w:t xml:space="preserve">E. 2. ELLENŐRZŐ LÁTOGATÁS 2. KOMPONENSE: Energetikai átállás és </w:t>
      </w:r>
      <w:r>
        <w:rPr>
          <w:noProof/>
        </w:rPr>
        <w:t>fenntartható mobilitás</w:t>
      </w:r>
    </w:p>
    <w:p w14:paraId="014321B6" w14:textId="77777777" w:rsidR="003F5418" w:rsidRDefault="002A6C25">
      <w:pPr>
        <w:spacing w:before="120" w:after="120"/>
        <w:jc w:val="both"/>
        <w:rPr>
          <w:noProof/>
        </w:rPr>
      </w:pPr>
      <w:r>
        <w:rPr>
          <w:noProof/>
        </w:rPr>
        <w:t>Az olasz helyreállítási és rezilienciaépítési terv e komponense az energetikai átállással kapcsolatos beruházásokat és reformokat foglalja magában. Olyan reformokat tartalmaz, amelyek megkönnyítik a megújuló energiaforrásokkal kapcso</w:t>
      </w:r>
      <w:r>
        <w:rPr>
          <w:noProof/>
        </w:rPr>
        <w:t>latos projektek engedélyezését. A komponens a megújuló energiaforrások ellátási láncába, a hidrogénenergiába, a biometán-létesítményekbe és az intelligens hálózatokba történő beruházásokat tartalmaz. Ezeket a reformokat és beruházásokat az „üzleti környeze</w:t>
      </w:r>
      <w:r>
        <w:rPr>
          <w:noProof/>
        </w:rPr>
        <w:t xml:space="preserve">t” reformkomponens keretében a villamosenergia-piacon a verseny fokozására irányuló reformok egészítik ki. </w:t>
      </w:r>
    </w:p>
    <w:p w14:paraId="077102CF" w14:textId="77777777" w:rsidR="003F5418" w:rsidRDefault="002A6C25">
      <w:pPr>
        <w:spacing w:before="120" w:after="120"/>
        <w:jc w:val="both"/>
        <w:rPr>
          <w:noProof/>
        </w:rPr>
      </w:pPr>
      <w:r>
        <w:rPr>
          <w:noProof/>
        </w:rPr>
        <w:t>Ez a komponens a fenntartható mobilitással kapcsolatos beruházásokat és reformokat is magában foglalja. Olyan reformokat tartalmaz, amelyek megkönny</w:t>
      </w:r>
      <w:r>
        <w:rPr>
          <w:noProof/>
        </w:rPr>
        <w:t>ítik a fenntartható mobilitási projektek engedélyezését. A komponens kerékpárutak és metró/villamos/busz gyors tranzitinfrastruktúrák kiépítésére, valamint kibocsátásmentes buszok, gördülőállományok, tűzoltók és repülőtéri járművek beszerzésére irányuló be</w:t>
      </w:r>
      <w:r>
        <w:rPr>
          <w:noProof/>
        </w:rPr>
        <w:t>ruházásokat tartalmaz. Ezeket a reformokat és beruházásokat olyan reformok egészítik ki, amelyek célja az elektromos töltés szabályozott árának megszüntetése, valamint a töltőállomás-koncessziók, a regionális vasutak és a helyi tömegközlekedés terén a vers</w:t>
      </w:r>
      <w:r>
        <w:rPr>
          <w:noProof/>
        </w:rPr>
        <w:t xml:space="preserve">eny fokozása az „üzleti környezet” reformkomponensben. </w:t>
      </w:r>
    </w:p>
    <w:p w14:paraId="158581D1" w14:textId="77777777" w:rsidR="003F5418" w:rsidRDefault="002A6C25">
      <w:pPr>
        <w:spacing w:before="120" w:after="120"/>
        <w:jc w:val="both"/>
        <w:rPr>
          <w:noProof/>
        </w:rPr>
      </w:pPr>
      <w:r>
        <w:rPr>
          <w:noProof/>
        </w:rPr>
        <w:t>Az e komponens alá tartozó beruházásoknak és reformoknak hozzá kell járulniuk a 2020-ban és 2019-ben Olaszországnak címzett országspecifikus ajánlások megvalósításához, amelyek szerint a beruházásokat</w:t>
      </w:r>
      <w:r>
        <w:rPr>
          <w:noProof/>
        </w:rPr>
        <w:t xml:space="preserve"> „a zöld és digitális átállásra, különösen [...] a tiszta és hatékony energiatermelésre és -felhasználásra [...] fenntartható tömegközlekedésre” (3. országspecifikus ajánlás, 2020. évi 3. ajánlás) és „a beruházásokkal kapcsolatos gazdaságpolitikára és az i</w:t>
      </w:r>
      <w:r>
        <w:rPr>
          <w:noProof/>
        </w:rPr>
        <w:t>nfrastruktúra minőségére kell összpontosítani, figyelembe véve a regionális különbségeket is” (2019. évi 3. országspecifikus ajánlás).</w:t>
      </w:r>
    </w:p>
    <w:p w14:paraId="3DD1D9E6" w14:textId="77777777" w:rsidR="003F5418" w:rsidRDefault="002A6C25">
      <w:pPr>
        <w:spacing w:before="120" w:after="120" w:line="257" w:lineRule="auto"/>
        <w:jc w:val="both"/>
        <w:rPr>
          <w:rFonts w:eastAsiaTheme="minorHAnsi"/>
          <w:noProof/>
        </w:rPr>
      </w:pPr>
      <w:r>
        <w:rPr>
          <w:noProof/>
        </w:rPr>
        <w:t>A komponens támogatja az Olaszország számára kiadott, az ország nemzeti energia- és klímatervének végrehajtásáról szóló i</w:t>
      </w:r>
      <w:r>
        <w:rPr>
          <w:noProof/>
        </w:rPr>
        <w:t>ránymutatásokat (SWD(2020) 911 final), amelyek felkérték Olaszországot a megújuló energiaforrásokat hasznosító meglévő létesítmények, különösen a meglévő szélerőművek előmozdítására, átalakítására és átalakítására, valamint az innovatív tengeri energia fel</w:t>
      </w:r>
      <w:r>
        <w:rPr>
          <w:noProof/>
        </w:rPr>
        <w:t>tárására a Földközi-tengeren.</w:t>
      </w:r>
    </w:p>
    <w:p w14:paraId="36A119C5" w14:textId="77777777" w:rsidR="003F5418" w:rsidRDefault="002A6C25">
      <w:pPr>
        <w:spacing w:before="120" w:after="120"/>
        <w:jc w:val="both"/>
        <w:rPr>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w:t>
      </w:r>
      <w:r>
        <w:rPr>
          <w:noProof/>
        </w:rPr>
        <w:t xml:space="preserve">si tervben meghatározott enyhítő lépéseket figyelembe véve ebben a komponensben várhatóan egyetlen intézkedés sem sérti jelentős mértékben az (EU) 2020/852 rendelet 17. cikke szerinti környezeti célkitűzéseket.  </w:t>
      </w:r>
    </w:p>
    <w:p w14:paraId="5D666831"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E.1. </w:t>
      </w:r>
      <w:r>
        <w:rPr>
          <w:noProof/>
        </w:rPr>
        <w:t xml:space="preserve"> </w:t>
      </w:r>
      <w:r>
        <w:rPr>
          <w:b/>
          <w:i w:val="0"/>
          <w:noProof/>
          <w:u w:val="single"/>
        </w:rPr>
        <w:t>Vissza nem térítendő pénzügyi támogat</w:t>
      </w:r>
      <w:r>
        <w:rPr>
          <w:b/>
          <w:i w:val="0"/>
          <w:noProof/>
          <w:u w:val="single"/>
        </w:rPr>
        <w:t>ás – a reformok és beruházások ismertetése</w:t>
      </w:r>
    </w:p>
    <w:p w14:paraId="3CB80089" w14:textId="0F699B45" w:rsidR="003F5418" w:rsidRDefault="00B07E42">
      <w:pPr>
        <w:pStyle w:val="P68B1DB1-Normal2"/>
        <w:spacing w:before="120" w:after="120"/>
        <w:jc w:val="both"/>
        <w:rPr>
          <w:noProof/>
        </w:rPr>
      </w:pPr>
      <w:r>
        <w:rPr>
          <w:noProof/>
        </w:rPr>
        <w:t>1. Reform – A megújuló szárazföldi és tengeri erőművek engedélyezési eljárásainak egyszerűsítése, valamint a megújuló energiaforrásokból történő termelés fenntartását célzó új jogi keret, valamint a jelenlegi támogatási rendszerek időbeli és jogosultsági meghosszabbítása</w:t>
      </w:r>
    </w:p>
    <w:p w14:paraId="79F94E59" w14:textId="77777777" w:rsidR="003F5418" w:rsidRDefault="002A6C25">
      <w:pPr>
        <w:spacing w:before="120" w:after="120"/>
        <w:jc w:val="both"/>
        <w:rPr>
          <w:noProof/>
        </w:rPr>
      </w:pPr>
      <w:r>
        <w:rPr>
          <w:noProof/>
        </w:rPr>
        <w:t>Ez a reform a következőkből áll:</w:t>
      </w:r>
    </w:p>
    <w:p w14:paraId="6C3FB094" w14:textId="77777777" w:rsidR="003F5418" w:rsidRDefault="002A6C25">
      <w:pPr>
        <w:numPr>
          <w:ilvl w:val="0"/>
          <w:numId w:val="66"/>
        </w:numPr>
        <w:spacing w:before="120" w:after="120" w:line="259" w:lineRule="auto"/>
        <w:ind w:left="360"/>
        <w:contextualSpacing/>
        <w:jc w:val="both"/>
        <w:rPr>
          <w:noProof/>
        </w:rPr>
      </w:pPr>
      <w:r>
        <w:rPr>
          <w:noProof/>
        </w:rPr>
        <w:t>A megújuló energiaforrásokat hasznosító létesítményekre vonatkozó szabályozási keret hatálybalépése, valamint a meglévő erőművek átalakítása és átalakítása;</w:t>
      </w:r>
    </w:p>
    <w:p w14:paraId="62660E88" w14:textId="77777777" w:rsidR="003F5418" w:rsidRDefault="002A6C25">
      <w:pPr>
        <w:numPr>
          <w:ilvl w:val="0"/>
          <w:numId w:val="66"/>
        </w:numPr>
        <w:spacing w:before="120" w:after="120" w:line="259" w:lineRule="auto"/>
        <w:ind w:left="360"/>
        <w:contextualSpacing/>
        <w:jc w:val="both"/>
        <w:rPr>
          <w:noProof/>
        </w:rPr>
      </w:pPr>
      <w:r>
        <w:rPr>
          <w:noProof/>
        </w:rPr>
        <w:t>Az olas</w:t>
      </w:r>
      <w:r>
        <w:rPr>
          <w:noProof/>
        </w:rPr>
        <w:t>z nemzeti energia- és éghajlat-politikai tervvel és a zöld megállapodás célkitűzéseivel összhangban az 50 GW-nál nagyobb összteljesítményű, megújuló energiát hasznosító erőművek telepítésére alkalmas és nem megfelelő területek azonosítására szolgáló kritér</w:t>
      </w:r>
      <w:r>
        <w:rPr>
          <w:noProof/>
        </w:rPr>
        <w:t>iumokat meghatározó szabályozási keret hatálybalépése; a szabályozási keretről a régiók és a többi érintett állami hatóság állapodik meg</w:t>
      </w:r>
    </w:p>
    <w:p w14:paraId="00485F7C" w14:textId="77777777" w:rsidR="003F5418" w:rsidRDefault="002A6C25">
      <w:pPr>
        <w:numPr>
          <w:ilvl w:val="0"/>
          <w:numId w:val="66"/>
        </w:numPr>
        <w:spacing w:before="120" w:after="120" w:line="259" w:lineRule="auto"/>
        <w:ind w:left="360"/>
        <w:contextualSpacing/>
        <w:jc w:val="both"/>
        <w:rPr>
          <w:noProof/>
        </w:rPr>
      </w:pPr>
      <w:r>
        <w:rPr>
          <w:noProof/>
        </w:rPr>
        <w:t>A megújuló energiaforrásokat támogató mechanizmus kiteljesítése további, nem kiforrott technológiák vagy magas működési</w:t>
      </w:r>
      <w:r>
        <w:rPr>
          <w:noProof/>
        </w:rPr>
        <w:t xml:space="preserve"> költségekkel járó technológiák esetében is, valamint az úgynevezett RES1 mechanizmus aukciós futási időszakának meghosszabbítása (az egészségügyi vészhelyzet által okozott lassulás tükrözése érdekében is), a versenyképes hozzáférés elveinek fenntartása me</w:t>
      </w:r>
      <w:r>
        <w:rPr>
          <w:noProof/>
        </w:rPr>
        <w:t>llett;</w:t>
      </w:r>
    </w:p>
    <w:p w14:paraId="7383D6FC" w14:textId="77777777" w:rsidR="003F5418" w:rsidRDefault="002A6C25">
      <w:pPr>
        <w:numPr>
          <w:ilvl w:val="0"/>
          <w:numId w:val="66"/>
        </w:numPr>
        <w:spacing w:before="120" w:after="120" w:line="259" w:lineRule="auto"/>
        <w:ind w:left="360"/>
        <w:contextualSpacing/>
        <w:jc w:val="both"/>
        <w:rPr>
          <w:noProof/>
        </w:rPr>
      </w:pPr>
      <w:r>
        <w:rPr>
          <w:noProof/>
        </w:rPr>
        <w:t>A villamos energia belső piacára vonatkozó közös szabályokról szóló (EU) 2019/944 irányelvet átültető rendeletben foglalt, a tárolási rendszerekbe történő beruházásokat előmozdító rendelkezések hatálybalépése.</w:t>
      </w:r>
    </w:p>
    <w:p w14:paraId="23DB7191" w14:textId="53DCC152" w:rsidR="003F5418" w:rsidRDefault="00B07E42">
      <w:pPr>
        <w:pStyle w:val="P68B1DB1-Normal2"/>
        <w:spacing w:before="120" w:after="120"/>
        <w:jc w:val="both"/>
        <w:rPr>
          <w:noProof/>
        </w:rPr>
      </w:pPr>
      <w:r>
        <w:rPr>
          <w:noProof/>
        </w:rPr>
        <w:t>2. Reform – A megújuló gáztermelés és -fogyasztás előmozdítását célzó új jogszabályok</w:t>
      </w:r>
    </w:p>
    <w:p w14:paraId="34A09ED2" w14:textId="77777777" w:rsidR="003F5418" w:rsidRDefault="002A6C25">
      <w:pPr>
        <w:spacing w:before="120" w:after="120"/>
        <w:jc w:val="both"/>
        <w:rPr>
          <w:noProof/>
        </w:rPr>
      </w:pPr>
      <w:r>
        <w:rPr>
          <w:noProof/>
        </w:rPr>
        <w:t>Ez a reform a tiszta biometán támogatásának megerősítését foglalja magában olyan jogszabályok elfogadása révén, amelyek bővítik a támogatásra jogosult biometán-projektek körét, és meghosszabbítják a támogatás</w:t>
      </w:r>
      <w:r>
        <w:rPr>
          <w:noProof/>
        </w:rPr>
        <w:t>ok rendelkezésre állásának időtartamát. A biometánnak meg kell felelnie az (EU) 2018/2001 megújulóenergia-irányelvben (REDII) meghatározott kritériumoknak annak érdekében, hogy az intézkedés megfeleljen a jelentős károkozás elkerülését célzó elvnek és az (</w:t>
      </w:r>
      <w:r>
        <w:rPr>
          <w:noProof/>
        </w:rPr>
        <w:t>EU) 2021/241 rendelet VI. mellékletének 8. lábjegyzetében foglalt vonatkozó követelményeknek.</w:t>
      </w:r>
    </w:p>
    <w:p w14:paraId="10F99B49" w14:textId="02A8BC6C" w:rsidR="003F5418" w:rsidRDefault="00B07E42">
      <w:pPr>
        <w:pStyle w:val="P68B1DB1-Normal2"/>
        <w:spacing w:before="120" w:after="120"/>
        <w:jc w:val="both"/>
        <w:rPr>
          <w:noProof/>
        </w:rPr>
      </w:pPr>
      <w:r>
        <w:rPr>
          <w:noProof/>
        </w:rPr>
        <w:t>3. Reform – Az adminisztráció egyszerűsítése és a hidrogén bevezetése előtt álló szabályozási akadályok csökkentése</w:t>
      </w:r>
    </w:p>
    <w:p w14:paraId="52C6ED73" w14:textId="77777777" w:rsidR="003F5418" w:rsidRDefault="002A6C25">
      <w:pPr>
        <w:spacing w:before="120" w:after="120"/>
        <w:jc w:val="both"/>
        <w:rPr>
          <w:noProof/>
        </w:rPr>
      </w:pPr>
      <w:r>
        <w:rPr>
          <w:noProof/>
        </w:rPr>
        <w:t>Ez a reform a hidrogén mint megújuló energiafo</w:t>
      </w:r>
      <w:r>
        <w:rPr>
          <w:noProof/>
        </w:rPr>
        <w:t>rrás előmozdítását célzó jogszabályi keret hatálybalépéséből áll. Ez a jogi keret a következőket tartalmazza:</w:t>
      </w:r>
    </w:p>
    <w:p w14:paraId="34903BE1" w14:textId="77777777" w:rsidR="003F5418" w:rsidRDefault="002A6C25">
      <w:pPr>
        <w:numPr>
          <w:ilvl w:val="0"/>
          <w:numId w:val="66"/>
        </w:numPr>
        <w:spacing w:before="120" w:after="120" w:line="259" w:lineRule="auto"/>
        <w:ind w:left="360"/>
        <w:contextualSpacing/>
        <w:jc w:val="both"/>
        <w:rPr>
          <w:noProof/>
        </w:rPr>
      </w:pPr>
      <w:r>
        <w:rPr>
          <w:noProof/>
        </w:rPr>
        <w:t xml:space="preserve">A hidrogén előállítására, szállítására, tárolására és felhasználására vonatkozó műszaki biztonsági előírások (a hidrogén földgázhálózatba történő </w:t>
      </w:r>
      <w:r>
        <w:rPr>
          <w:noProof/>
        </w:rPr>
        <w:t>bevezetésének műszaki és szabályozási kritériumai);</w:t>
      </w:r>
    </w:p>
    <w:p w14:paraId="1C55FE2F" w14:textId="77777777" w:rsidR="003F5418" w:rsidRDefault="002A6C25">
      <w:pPr>
        <w:numPr>
          <w:ilvl w:val="0"/>
          <w:numId w:val="66"/>
        </w:numPr>
        <w:spacing w:before="120" w:after="120" w:line="259" w:lineRule="auto"/>
        <w:ind w:left="360"/>
        <w:contextualSpacing/>
        <w:jc w:val="both"/>
        <w:rPr>
          <w:noProof/>
        </w:rPr>
      </w:pPr>
      <w:r>
        <w:rPr>
          <w:noProof/>
        </w:rPr>
        <w:t>Gyorsított engedélyezési eljárás egyablakos eljárással egy kisléptékű hidrogéngyártó üzem építésére és üzemeltetésére vonatkozó engedély megszerzésére (1–5 MW-nál kisebb elektrolizátorlétesítmények esetéb</w:t>
      </w:r>
      <w:r>
        <w:rPr>
          <w:noProof/>
        </w:rPr>
        <w:t xml:space="preserve">en; a tárolási küszöbértéket a hidrogénre vonatkozó, fent említett műszaki biztonsági előírásokban kell meghatározni).  </w:t>
      </w:r>
    </w:p>
    <w:p w14:paraId="2A050394" w14:textId="77777777" w:rsidR="003F5418" w:rsidRDefault="002A6C25">
      <w:pPr>
        <w:numPr>
          <w:ilvl w:val="0"/>
          <w:numId w:val="66"/>
        </w:numPr>
        <w:spacing w:before="120" w:after="120" w:line="259" w:lineRule="auto"/>
        <w:ind w:left="360"/>
        <w:contextualSpacing/>
        <w:jc w:val="both"/>
        <w:rPr>
          <w:noProof/>
        </w:rPr>
      </w:pPr>
      <w:r>
        <w:rPr>
          <w:noProof/>
        </w:rPr>
        <w:t>A hidrogéntermelő üzemek hálózati szolgáltatásokban való részvételének szabályozása. Az energiaszabályozó (ARERA) feladata, hogy az érd</w:t>
      </w:r>
      <w:r>
        <w:rPr>
          <w:noProof/>
        </w:rPr>
        <w:t>ekelt felekkel folytatott konzultációt követően konkrét szabályozási intézkedést hozzon.</w:t>
      </w:r>
    </w:p>
    <w:p w14:paraId="1D670894" w14:textId="77777777" w:rsidR="003F5418" w:rsidRDefault="002A6C25">
      <w:pPr>
        <w:numPr>
          <w:ilvl w:val="0"/>
          <w:numId w:val="66"/>
        </w:numPr>
        <w:spacing w:before="120" w:after="120" w:line="259" w:lineRule="auto"/>
        <w:ind w:left="360"/>
        <w:contextualSpacing/>
        <w:jc w:val="both"/>
        <w:rPr>
          <w:noProof/>
        </w:rPr>
      </w:pPr>
      <w:r>
        <w:rPr>
          <w:noProof/>
        </w:rPr>
        <w:t>A megújuló hidrogénre vonatkozó származási garanciák rendszere annak érdekében, hogy árjelzést adjanak a fogyasztóknak.</w:t>
      </w:r>
    </w:p>
    <w:p w14:paraId="14C0D801" w14:textId="77777777" w:rsidR="003F5418" w:rsidRDefault="002A6C25">
      <w:pPr>
        <w:numPr>
          <w:ilvl w:val="0"/>
          <w:numId w:val="66"/>
        </w:numPr>
        <w:spacing w:before="120" w:after="120" w:line="259" w:lineRule="auto"/>
        <w:ind w:left="360"/>
        <w:contextualSpacing/>
        <w:jc w:val="both"/>
        <w:rPr>
          <w:noProof/>
        </w:rPr>
      </w:pPr>
      <w:r>
        <w:rPr>
          <w:noProof/>
        </w:rPr>
        <w:t>Az autópályák mentén kiválasztott üzemanyagtölt</w:t>
      </w:r>
      <w:r>
        <w:rPr>
          <w:noProof/>
        </w:rPr>
        <w:t>ő területek meghatározására szolgáló eljárások és/vagy kritériumok az üzemanyagtöltő állomások elhelyezkedésének optimalizálása érdekében, az észak-olasz régióktól kezdve egészen a Pó-völgyig, valamint a logisztikai csomópontokig és a félsziget mentén talá</w:t>
      </w:r>
      <w:r>
        <w:rPr>
          <w:noProof/>
        </w:rPr>
        <w:t xml:space="preserve">lható fő autópályákig. </w:t>
      </w:r>
    </w:p>
    <w:p w14:paraId="452B67B8" w14:textId="77777777" w:rsidR="003F5418" w:rsidRDefault="002A6C25">
      <w:pPr>
        <w:numPr>
          <w:ilvl w:val="0"/>
          <w:numId w:val="66"/>
        </w:numPr>
        <w:spacing w:before="120" w:after="120" w:line="259" w:lineRule="auto"/>
        <w:ind w:left="360"/>
        <w:contextualSpacing/>
        <w:jc w:val="both"/>
        <w:rPr>
          <w:noProof/>
        </w:rPr>
      </w:pPr>
      <w:r>
        <w:rPr>
          <w:noProof/>
        </w:rPr>
        <w:t>A nemzeti átvitelirendszer-üzemeltető (TSO) tízéves fejlesztési tervének összehangolása más európai átvitelirendszer-üzemeltetők terveivel, amelyek célja a meglévő gázvezetékek vagy célzott csővezetékek révén történő hidrogénszállít</w:t>
      </w:r>
      <w:r>
        <w:rPr>
          <w:noProof/>
        </w:rPr>
        <w:t>ásra vonatkozó közös szabványok kidolgozása.</w:t>
      </w:r>
    </w:p>
    <w:p w14:paraId="2D36D104" w14:textId="06E86B25" w:rsidR="003F5418" w:rsidRDefault="00B07E42">
      <w:pPr>
        <w:pStyle w:val="P68B1DB1-Normal2"/>
        <w:spacing w:before="120" w:after="120"/>
        <w:jc w:val="both"/>
        <w:rPr>
          <w:noProof/>
        </w:rPr>
      </w:pPr>
      <w:r>
        <w:rPr>
          <w:noProof/>
        </w:rPr>
        <w:t>4. Reform – A hidrogén versenyképességét elősegítő intézkedések</w:t>
      </w:r>
    </w:p>
    <w:p w14:paraId="2AFD51C2" w14:textId="77777777" w:rsidR="003F5418" w:rsidRDefault="002A6C25">
      <w:pPr>
        <w:spacing w:before="120" w:after="120"/>
        <w:jc w:val="both"/>
        <w:rPr>
          <w:noProof/>
        </w:rPr>
      </w:pPr>
      <w:r>
        <w:rPr>
          <w:noProof/>
        </w:rPr>
        <w:t>Ez a reform a hidrogén előállításának és/vagy felhasználásának ösztönzésére irányuló adóintézkedéseknek az adózásra vonatkozó uniós szabályokkal ös</w:t>
      </w:r>
      <w:r>
        <w:rPr>
          <w:noProof/>
        </w:rPr>
        <w:t>szhangban történő elfogadásából és a II. megújulóenergia-irányelv átültetéséből áll. Az intézkedés az (EU) 2018/2001 irányelvben (megújulóenergia-irányelv) meghatározott megújuló energiaforrások vagy hálózati villamos energia felhasználásával végzett elekt</w:t>
      </w:r>
      <w:r>
        <w:rPr>
          <w:noProof/>
        </w:rPr>
        <w:t>rolízisen alapuló hidrogéntermelést támogatja.</w:t>
      </w:r>
    </w:p>
    <w:p w14:paraId="53364802" w14:textId="360C2072" w:rsidR="003F5418" w:rsidRDefault="002A6C25">
      <w:pPr>
        <w:spacing w:after="200" w:line="276" w:lineRule="auto"/>
        <w:rPr>
          <w:b/>
          <w:noProof/>
        </w:rPr>
      </w:pPr>
      <w:r>
        <w:rPr>
          <w:noProof/>
        </w:rPr>
        <w:br w:type="page"/>
      </w:r>
      <w:r w:rsidR="00B07E42" w:rsidRPr="00B07E42">
        <w:rPr>
          <w:b/>
          <w:bCs/>
          <w:noProof/>
        </w:rPr>
        <w:t>5.</w:t>
      </w:r>
      <w:r w:rsidR="00B07E42">
        <w:rPr>
          <w:noProof/>
        </w:rPr>
        <w:t xml:space="preserve"> </w:t>
      </w:r>
      <w:r>
        <w:rPr>
          <w:b/>
          <w:noProof/>
        </w:rPr>
        <w:t>Reform – Intelligensebb projektértékelési eljárások a helyhez kötött létesítményekkel rendelkező helyi tömegközlekedési rendszerek ágazatában és a gyors személyszállítási ágazatban</w:t>
      </w:r>
    </w:p>
    <w:p w14:paraId="647547F8" w14:textId="77777777" w:rsidR="003F5418" w:rsidRDefault="002A6C25">
      <w:pPr>
        <w:spacing w:before="120" w:after="120"/>
        <w:jc w:val="both"/>
        <w:rPr>
          <w:noProof/>
        </w:rPr>
      </w:pPr>
      <w:r>
        <w:rPr>
          <w:noProof/>
        </w:rPr>
        <w:t xml:space="preserve">Ez a reform egy olyan jogszabály elfogadásából áll, amely egyértelműen meghatározza a helyi tömegközlekedési projektek jóváhagyására vonatkozó felelősségi köröket, és egyszerűsíti a kifizetési eljárást. </w:t>
      </w:r>
    </w:p>
    <w:p w14:paraId="0256EDBB" w14:textId="0B709B73" w:rsidR="003F5418" w:rsidRDefault="00B07E42">
      <w:pPr>
        <w:pStyle w:val="P68B1DB1-Normal2"/>
        <w:spacing w:before="120" w:after="120"/>
        <w:jc w:val="both"/>
        <w:rPr>
          <w:noProof/>
        </w:rPr>
      </w:pPr>
      <w:r w:rsidRPr="00B07E42">
        <w:rPr>
          <w:noProof/>
        </w:rPr>
        <w:t>4.1.</w:t>
      </w:r>
      <w:r>
        <w:rPr>
          <w:noProof/>
        </w:rPr>
        <w:t xml:space="preserve"> Beruházás – A puha mobilitásba történő beruházás (Nemzeti ciklusterv)</w:t>
      </w:r>
    </w:p>
    <w:p w14:paraId="5BEAE357" w14:textId="35C008C7" w:rsidR="003F5418" w:rsidRDefault="002A6C25">
      <w:pPr>
        <w:spacing w:before="120" w:after="120"/>
        <w:jc w:val="both"/>
        <w:rPr>
          <w:noProof/>
        </w:rPr>
      </w:pPr>
      <w:r>
        <w:rPr>
          <w:noProof/>
        </w:rPr>
        <w:t>Ez a beruházás legalább 565 km kerékpársáv építéséből áll a nagyvárosi területeken, és legalább 746 km turisztikai kerékpárút építéséből áll. A nagyvárosi kerékpárutakat legalább 40 nagyvárosi területen vagy egyetemnek otthont adó vá</w:t>
      </w:r>
      <w:r>
        <w:rPr>
          <w:noProof/>
        </w:rPr>
        <w:t>rosban kell kialakítani</w:t>
      </w:r>
      <w:r>
        <w:rPr>
          <w:rStyle w:val="FootnoteReference"/>
          <w:noProof/>
        </w:rPr>
        <w:footnoteReference w:id="48"/>
      </w:r>
      <w:r>
        <w:rPr>
          <w:noProof/>
        </w:rPr>
        <w:t>. A kerékpárutaknak elő kell segíteniük az első és az utolsó mérföldre történő ingázást – a nagyvárosi területeken vagy az egyetemeknek otthont adó városokban található helyszíneket a közeli intermodális csomópontokkal (például metr</w:t>
      </w:r>
      <w:r>
        <w:rPr>
          <w:noProof/>
        </w:rPr>
        <w:t>óállomásokkal vagy vasútállomásokkal) vagy egyetemekkel a közeli intermodális csomópontokkal (például metróállomásokkal vagy vasútállomásokkal) való összeköttetést. A támogatható turisztikai kerékpárutakat a 2015. december 28-i 208. sz. törvény határozza m</w:t>
      </w:r>
      <w:r>
        <w:rPr>
          <w:noProof/>
        </w:rPr>
        <w:t>eg.</w:t>
      </w:r>
    </w:p>
    <w:p w14:paraId="5D207A97" w14:textId="4DA53973" w:rsidR="003F5418" w:rsidRDefault="00B07E42">
      <w:pPr>
        <w:pStyle w:val="P68B1DB1-Normal2"/>
        <w:spacing w:before="120" w:after="120"/>
        <w:jc w:val="both"/>
        <w:rPr>
          <w:noProof/>
        </w:rPr>
      </w:pPr>
      <w:r w:rsidRPr="00B07E42">
        <w:rPr>
          <w:noProof/>
        </w:rPr>
        <w:t>4.</w:t>
      </w:r>
      <w:r>
        <w:rPr>
          <w:noProof/>
        </w:rPr>
        <w:t>3</w:t>
      </w:r>
      <w:r w:rsidRPr="00B07E42">
        <w:rPr>
          <w:noProof/>
        </w:rPr>
        <w:t>.</w:t>
      </w:r>
      <w:r>
        <w:rPr>
          <w:noProof/>
        </w:rPr>
        <w:t xml:space="preserve"> Beruházás – A töltőinfrastruktúrák telepítése</w:t>
      </w:r>
    </w:p>
    <w:p w14:paraId="420BD89C" w14:textId="77777777" w:rsidR="003F5418" w:rsidRDefault="002A6C25">
      <w:pPr>
        <w:spacing w:before="120" w:after="120"/>
        <w:jc w:val="both"/>
        <w:rPr>
          <w:noProof/>
        </w:rPr>
      </w:pPr>
      <w:r>
        <w:rPr>
          <w:noProof/>
        </w:rPr>
        <w:t>Ez a beruházás a következők fejlesztésének támogatását jelenti:</w:t>
      </w:r>
    </w:p>
    <w:p w14:paraId="5B81A5C6" w14:textId="5EC0A0DE" w:rsidR="003F5418" w:rsidRDefault="002A6C25">
      <w:pPr>
        <w:numPr>
          <w:ilvl w:val="0"/>
          <w:numId w:val="69"/>
        </w:numPr>
        <w:spacing w:before="120" w:after="120" w:line="259" w:lineRule="auto"/>
        <w:ind w:left="360"/>
        <w:contextualSpacing/>
        <w:jc w:val="both"/>
        <w:rPr>
          <w:noProof/>
        </w:rPr>
      </w:pPr>
      <w:r>
        <w:rPr>
          <w:noProof/>
        </w:rPr>
        <w:t>7500 nyilvános gyorstöltő infrastruktúra-pont szabadutakon;</w:t>
      </w:r>
    </w:p>
    <w:p w14:paraId="17C17340" w14:textId="50B49BEF" w:rsidR="003F5418" w:rsidRDefault="002A6C25">
      <w:pPr>
        <w:numPr>
          <w:ilvl w:val="0"/>
          <w:numId w:val="69"/>
        </w:numPr>
        <w:spacing w:before="120" w:after="120" w:line="259" w:lineRule="auto"/>
        <w:ind w:left="360"/>
        <w:contextualSpacing/>
        <w:jc w:val="both"/>
        <w:rPr>
          <w:noProof/>
        </w:rPr>
      </w:pPr>
      <w:r>
        <w:rPr>
          <w:noProof/>
        </w:rPr>
        <w:t>13755 gyors nyilvános töltőinfrastruktúra-pont a városi központokban;</w:t>
      </w:r>
    </w:p>
    <w:p w14:paraId="736F1B50" w14:textId="77777777" w:rsidR="003F5418" w:rsidRDefault="002A6C25">
      <w:pPr>
        <w:numPr>
          <w:ilvl w:val="0"/>
          <w:numId w:val="69"/>
        </w:numPr>
        <w:spacing w:before="120" w:after="120" w:line="259" w:lineRule="auto"/>
        <w:ind w:left="360"/>
        <w:contextualSpacing/>
        <w:jc w:val="both"/>
        <w:rPr>
          <w:noProof/>
        </w:rPr>
      </w:pPr>
      <w:r>
        <w:rPr>
          <w:noProof/>
        </w:rPr>
        <w:t>100, tá</w:t>
      </w:r>
      <w:r>
        <w:rPr>
          <w:noProof/>
        </w:rPr>
        <w:t>rolásra csatlakoztatott kísérleti töltőállomás.</w:t>
      </w:r>
    </w:p>
    <w:p w14:paraId="0877CDB1" w14:textId="77777777" w:rsidR="003F5418" w:rsidRDefault="002A6C25">
      <w:pPr>
        <w:spacing w:before="120" w:after="120"/>
        <w:jc w:val="both"/>
        <w:rPr>
          <w:noProof/>
        </w:rPr>
      </w:pPr>
      <w:r>
        <w:rPr>
          <w:noProof/>
        </w:rPr>
        <w:t>Ezt a beruházást az üzleti környezetvédelmi reform komponensben felsorolt, az elektromos töltési árakra és koncessziókra vonatkozó reformok egészítik ki.</w:t>
      </w:r>
    </w:p>
    <w:p w14:paraId="771ABC11" w14:textId="77777777" w:rsidR="003F5418" w:rsidRDefault="003F5418">
      <w:pPr>
        <w:rPr>
          <w:noProof/>
        </w:rPr>
      </w:pPr>
    </w:p>
    <w:p w14:paraId="57ADBDED" w14:textId="77777777" w:rsidR="003F5418" w:rsidRDefault="002A6C25">
      <w:pPr>
        <w:pStyle w:val="Heading3"/>
        <w:numPr>
          <w:ilvl w:val="0"/>
          <w:numId w:val="0"/>
        </w:numPr>
        <w:ind w:left="850" w:hanging="850"/>
        <w:rPr>
          <w:b/>
          <w:i w:val="0"/>
          <w:noProof/>
          <w:u w:val="single"/>
        </w:rPr>
      </w:pPr>
      <w:r>
        <w:rPr>
          <w:b/>
          <w:i w:val="0"/>
          <w:noProof/>
          <w:u w:val="single"/>
        </w:rPr>
        <w:t xml:space="preserve">E.2. </w:t>
      </w:r>
      <w:r>
        <w:rPr>
          <w:noProof/>
        </w:rPr>
        <w:t xml:space="preserve"> </w:t>
      </w:r>
      <w:r>
        <w:rPr>
          <w:b/>
          <w:i w:val="0"/>
          <w:noProof/>
          <w:u w:val="single"/>
        </w:rPr>
        <w:t>Vissza</w:t>
      </w:r>
      <w:r>
        <w:rPr>
          <w:b/>
          <w:i w:val="0"/>
          <w:noProof/>
          <w:u w:val="single"/>
        </w:rPr>
        <w:t xml:space="preserve"> nem térítendő pénzügyi támogatás – a végrehajtáshoz és a nyomon követéshez kapcsolódó mérföldkövek, célok, mutatók és ütemterv</w:t>
      </w:r>
    </w:p>
    <w:p w14:paraId="3F5C20B6" w14:textId="77777777" w:rsidR="003F5418" w:rsidRDefault="003F5418">
      <w:pPr>
        <w:spacing w:before="120" w:after="120"/>
        <w:ind w:left="709"/>
        <w:jc w:val="both"/>
        <w:rPr>
          <w:noProof/>
        </w:rPr>
        <w:sectPr w:rsidR="003F5418">
          <w:headerReference w:type="even" r:id="rId140"/>
          <w:headerReference w:type="default" r:id="rId141"/>
          <w:footerReference w:type="even" r:id="rId142"/>
          <w:footerReference w:type="default" r:id="rId143"/>
          <w:headerReference w:type="first" r:id="rId144"/>
          <w:footerReference w:type="first" r:id="rId145"/>
          <w:pgSz w:w="11907" w:h="16839"/>
          <w:pgMar w:top="1440" w:right="1440" w:bottom="1440" w:left="1440" w:header="567" w:footer="567" w:gutter="0"/>
          <w:cols w:space="720"/>
          <w:docGrid w:linePitch="360"/>
        </w:sectPr>
      </w:pPr>
    </w:p>
    <w:tbl>
      <w:tblPr>
        <w:tblW w:w="15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682"/>
        <w:gridCol w:w="1110"/>
        <w:gridCol w:w="1391"/>
        <w:gridCol w:w="1253"/>
        <w:gridCol w:w="1388"/>
        <w:gridCol w:w="1003"/>
        <w:gridCol w:w="1391"/>
        <w:gridCol w:w="975"/>
        <w:gridCol w:w="698"/>
        <w:gridCol w:w="3770"/>
      </w:tblGrid>
      <w:tr w:rsidR="003F5418" w14:paraId="61D6FB67" w14:textId="77777777">
        <w:trPr>
          <w:trHeight w:val="309"/>
          <w:tblHeader/>
          <w:jc w:val="center"/>
        </w:trPr>
        <w:tc>
          <w:tcPr>
            <w:tcW w:w="1122" w:type="dxa"/>
            <w:vMerge w:val="restart"/>
            <w:shd w:val="clear" w:color="auto" w:fill="BDD7EE"/>
            <w:noWrap/>
            <w:vAlign w:val="center"/>
          </w:tcPr>
          <w:p w14:paraId="4C5FCA5F" w14:textId="77777777" w:rsidR="003F5418" w:rsidRDefault="002A6C25">
            <w:pPr>
              <w:pStyle w:val="P68B1DB1-Normal3"/>
              <w:spacing w:line="276" w:lineRule="auto"/>
              <w:jc w:val="center"/>
              <w:rPr>
                <w:noProof/>
                <w:color w:val="006100"/>
              </w:rPr>
            </w:pPr>
            <w:r>
              <w:rPr>
                <w:noProof/>
              </w:rPr>
              <w:t>Sorszám</w:t>
            </w:r>
          </w:p>
        </w:tc>
        <w:tc>
          <w:tcPr>
            <w:tcW w:w="1716" w:type="dxa"/>
            <w:vMerge w:val="restart"/>
            <w:shd w:val="clear" w:color="auto" w:fill="BDD7EE"/>
            <w:noWrap/>
            <w:vAlign w:val="center"/>
          </w:tcPr>
          <w:p w14:paraId="11E379B4" w14:textId="77777777" w:rsidR="003F5418" w:rsidRDefault="002A6C25">
            <w:pPr>
              <w:pStyle w:val="P68B1DB1-Normal3"/>
              <w:spacing w:line="276" w:lineRule="auto"/>
              <w:jc w:val="center"/>
              <w:rPr>
                <w:noProof/>
                <w:color w:val="006100"/>
              </w:rPr>
            </w:pPr>
            <w:r>
              <w:rPr>
                <w:noProof/>
              </w:rPr>
              <w:t>Kapcsolódó intézkedés (reform vagy beruházás)</w:t>
            </w:r>
          </w:p>
        </w:tc>
        <w:tc>
          <w:tcPr>
            <w:tcW w:w="1131" w:type="dxa"/>
            <w:vMerge w:val="restart"/>
            <w:shd w:val="clear" w:color="auto" w:fill="BDD7EE"/>
            <w:noWrap/>
            <w:vAlign w:val="center"/>
          </w:tcPr>
          <w:p w14:paraId="5EC0A40A" w14:textId="77777777" w:rsidR="003F5418" w:rsidRDefault="002A6C25">
            <w:pPr>
              <w:pStyle w:val="P68B1DB1-Normal3"/>
              <w:spacing w:line="276" w:lineRule="auto"/>
              <w:jc w:val="center"/>
              <w:rPr>
                <w:noProof/>
                <w:color w:val="006100"/>
              </w:rPr>
            </w:pPr>
            <w:r>
              <w:rPr>
                <w:noProof/>
              </w:rPr>
              <w:t>Mérföldkő/cél</w:t>
            </w:r>
          </w:p>
        </w:tc>
        <w:tc>
          <w:tcPr>
            <w:tcW w:w="1418" w:type="dxa"/>
            <w:vMerge w:val="restart"/>
            <w:shd w:val="clear" w:color="auto" w:fill="BDD7EE"/>
            <w:noWrap/>
            <w:vAlign w:val="center"/>
          </w:tcPr>
          <w:p w14:paraId="1F61EF92" w14:textId="77777777" w:rsidR="003F5418" w:rsidRDefault="002A6C25">
            <w:pPr>
              <w:pStyle w:val="P68B1DB1-Normal3"/>
              <w:spacing w:line="276" w:lineRule="auto"/>
              <w:jc w:val="center"/>
              <w:rPr>
                <w:noProof/>
                <w:color w:val="006100"/>
              </w:rPr>
            </w:pPr>
            <w:r>
              <w:rPr>
                <w:noProof/>
              </w:rPr>
              <w:t>Név</w:t>
            </w:r>
          </w:p>
        </w:tc>
        <w:tc>
          <w:tcPr>
            <w:tcW w:w="1277" w:type="dxa"/>
            <w:vMerge w:val="restart"/>
            <w:shd w:val="clear" w:color="auto" w:fill="BDD7EE"/>
            <w:noWrap/>
            <w:vAlign w:val="center"/>
          </w:tcPr>
          <w:p w14:paraId="0B308903" w14:textId="77777777" w:rsidR="003F5418" w:rsidRDefault="002A6C25">
            <w:pPr>
              <w:spacing w:line="276" w:lineRule="auto"/>
              <w:jc w:val="center"/>
              <w:rPr>
                <w:rFonts w:ascii="Arial Narrow" w:hAnsi="Arial Narrow"/>
                <w:noProof/>
                <w:color w:val="006100"/>
                <w:sz w:val="20"/>
              </w:rPr>
            </w:pPr>
            <w:r>
              <w:rPr>
                <w:rFonts w:ascii="Arial Narrow" w:hAnsi="Arial Narrow"/>
                <w:b/>
                <w:noProof/>
                <w:sz w:val="20"/>
              </w:rPr>
              <w:t>Minőségi</w:t>
            </w:r>
            <w:r>
              <w:rPr>
                <w:rFonts w:ascii="Arial Narrow" w:hAnsi="Arial Narrow"/>
                <w:b/>
                <w:noProof/>
                <w:sz w:val="20"/>
              </w:rPr>
              <w:t xml:space="preserve">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542" w:type="dxa"/>
            <w:gridSpan w:val="3"/>
            <w:shd w:val="clear" w:color="auto" w:fill="BDD7EE"/>
            <w:noWrap/>
            <w:vAlign w:val="center"/>
          </w:tcPr>
          <w:p w14:paraId="6004EAD1" w14:textId="77777777" w:rsidR="003F5418" w:rsidRDefault="002A6C25">
            <w:pPr>
              <w:spacing w:line="276" w:lineRule="auto"/>
              <w:jc w:val="center"/>
              <w:rPr>
                <w:rFonts w:ascii="Arial Narrow" w:hAnsi="Arial Narrow"/>
                <w:noProof/>
                <w:color w:val="006100"/>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702" w:type="dxa"/>
            <w:gridSpan w:val="2"/>
            <w:shd w:val="clear" w:color="auto" w:fill="BDD7EE"/>
            <w:noWrap/>
            <w:vAlign w:val="center"/>
          </w:tcPr>
          <w:p w14:paraId="37B12CA4" w14:textId="77777777" w:rsidR="003F5418" w:rsidRDefault="002A6C25">
            <w:pPr>
              <w:pStyle w:val="P68B1DB1-Normal3"/>
              <w:spacing w:line="276" w:lineRule="auto"/>
              <w:jc w:val="center"/>
              <w:rPr>
                <w:noProof/>
                <w:color w:val="006100"/>
              </w:rPr>
            </w:pPr>
            <w:r>
              <w:rPr>
                <w:noProof/>
              </w:rPr>
              <w:t>A végrehajtás indikatív ütemterve</w:t>
            </w:r>
          </w:p>
        </w:tc>
        <w:tc>
          <w:tcPr>
            <w:tcW w:w="3854" w:type="dxa"/>
            <w:vMerge w:val="restart"/>
            <w:shd w:val="clear" w:color="auto" w:fill="BDD7EE"/>
            <w:noWrap/>
            <w:vAlign w:val="center"/>
          </w:tcPr>
          <w:p w14:paraId="230A6BD1" w14:textId="77777777" w:rsidR="003F5418" w:rsidRDefault="002A6C25">
            <w:pPr>
              <w:pStyle w:val="P68B1DB1-Normal3"/>
              <w:spacing w:after="120"/>
              <w:rPr>
                <w:noProof/>
                <w:color w:val="006100"/>
              </w:rPr>
            </w:pPr>
            <w:r>
              <w:rPr>
                <w:noProof/>
              </w:rPr>
              <w:t>Az egyes mérföldkövek és célértékek leírása</w:t>
            </w:r>
          </w:p>
        </w:tc>
      </w:tr>
      <w:tr w:rsidR="003F5418" w14:paraId="38E13711" w14:textId="77777777">
        <w:trPr>
          <w:trHeight w:val="309"/>
          <w:tblHeader/>
          <w:jc w:val="center"/>
        </w:trPr>
        <w:tc>
          <w:tcPr>
            <w:tcW w:w="1122" w:type="dxa"/>
            <w:vMerge/>
            <w:noWrap/>
            <w:vAlign w:val="center"/>
          </w:tcPr>
          <w:p w14:paraId="0F778D64" w14:textId="77777777" w:rsidR="003F5418" w:rsidRDefault="003F5418">
            <w:pPr>
              <w:spacing w:line="276" w:lineRule="auto"/>
              <w:jc w:val="center"/>
              <w:rPr>
                <w:rFonts w:ascii="Arial Narrow" w:hAnsi="Arial Narrow"/>
                <w:noProof/>
                <w:color w:val="006100"/>
                <w:sz w:val="20"/>
              </w:rPr>
            </w:pPr>
          </w:p>
        </w:tc>
        <w:tc>
          <w:tcPr>
            <w:tcW w:w="1716" w:type="dxa"/>
            <w:vMerge/>
            <w:noWrap/>
            <w:vAlign w:val="center"/>
          </w:tcPr>
          <w:p w14:paraId="7877E92D" w14:textId="77777777" w:rsidR="003F5418" w:rsidRDefault="003F5418">
            <w:pPr>
              <w:spacing w:line="276" w:lineRule="auto"/>
              <w:jc w:val="center"/>
              <w:rPr>
                <w:rFonts w:ascii="Arial Narrow" w:hAnsi="Arial Narrow"/>
                <w:noProof/>
                <w:color w:val="006100"/>
                <w:sz w:val="20"/>
              </w:rPr>
            </w:pPr>
          </w:p>
        </w:tc>
        <w:tc>
          <w:tcPr>
            <w:tcW w:w="1131" w:type="dxa"/>
            <w:vMerge/>
            <w:noWrap/>
            <w:vAlign w:val="center"/>
          </w:tcPr>
          <w:p w14:paraId="2B3957DD" w14:textId="77777777" w:rsidR="003F5418" w:rsidRDefault="003F5418">
            <w:pPr>
              <w:spacing w:line="276" w:lineRule="auto"/>
              <w:jc w:val="center"/>
              <w:rPr>
                <w:rFonts w:ascii="Arial Narrow" w:hAnsi="Arial Narrow"/>
                <w:noProof/>
                <w:color w:val="006100"/>
                <w:sz w:val="20"/>
              </w:rPr>
            </w:pPr>
          </w:p>
        </w:tc>
        <w:tc>
          <w:tcPr>
            <w:tcW w:w="1418" w:type="dxa"/>
            <w:vMerge/>
            <w:noWrap/>
            <w:vAlign w:val="center"/>
          </w:tcPr>
          <w:p w14:paraId="51EC7E25" w14:textId="77777777" w:rsidR="003F5418" w:rsidRDefault="003F5418">
            <w:pPr>
              <w:spacing w:line="276" w:lineRule="auto"/>
              <w:jc w:val="center"/>
              <w:rPr>
                <w:rFonts w:ascii="Arial Narrow" w:hAnsi="Arial Narrow"/>
                <w:noProof/>
                <w:color w:val="006100"/>
                <w:sz w:val="20"/>
              </w:rPr>
            </w:pPr>
          </w:p>
        </w:tc>
        <w:tc>
          <w:tcPr>
            <w:tcW w:w="1277" w:type="dxa"/>
            <w:vMerge/>
            <w:noWrap/>
            <w:vAlign w:val="center"/>
          </w:tcPr>
          <w:p w14:paraId="78B02881" w14:textId="77777777" w:rsidR="003F5418" w:rsidRDefault="003F5418">
            <w:pPr>
              <w:spacing w:line="276" w:lineRule="auto"/>
              <w:jc w:val="center"/>
              <w:rPr>
                <w:rFonts w:ascii="Arial Narrow" w:hAnsi="Arial Narrow"/>
                <w:noProof/>
                <w:color w:val="006100"/>
                <w:sz w:val="20"/>
              </w:rPr>
            </w:pPr>
          </w:p>
        </w:tc>
        <w:tc>
          <w:tcPr>
            <w:tcW w:w="1415" w:type="dxa"/>
            <w:shd w:val="clear" w:color="auto" w:fill="BDD7EE"/>
            <w:noWrap/>
            <w:vAlign w:val="center"/>
          </w:tcPr>
          <w:p w14:paraId="190EDF9E" w14:textId="77777777" w:rsidR="003F5418" w:rsidRDefault="002A6C25">
            <w:pPr>
              <w:pStyle w:val="P68B1DB1-Normal3"/>
              <w:spacing w:line="276" w:lineRule="auto"/>
              <w:jc w:val="center"/>
              <w:rPr>
                <w:noProof/>
                <w:color w:val="006100"/>
              </w:rPr>
            </w:pPr>
            <w:r>
              <w:rPr>
                <w:noProof/>
              </w:rPr>
              <w:t>Mértékegység</w:t>
            </w:r>
          </w:p>
        </w:tc>
        <w:tc>
          <w:tcPr>
            <w:tcW w:w="1021" w:type="dxa"/>
            <w:shd w:val="clear" w:color="auto" w:fill="BDD7EE"/>
            <w:noWrap/>
            <w:vAlign w:val="center"/>
          </w:tcPr>
          <w:p w14:paraId="6AA56286" w14:textId="5E9A9210" w:rsidR="003F5418" w:rsidRDefault="002A6C25">
            <w:pPr>
              <w:pStyle w:val="P68B1DB1-Normal3"/>
              <w:spacing w:line="276" w:lineRule="auto"/>
              <w:jc w:val="center"/>
              <w:rPr>
                <w:noProof/>
                <w:color w:val="006100"/>
              </w:rPr>
            </w:pPr>
            <w:r>
              <w:rPr>
                <w:noProof/>
              </w:rPr>
              <w:t>Kiindulási</w:t>
            </w:r>
          </w:p>
        </w:tc>
        <w:tc>
          <w:tcPr>
            <w:tcW w:w="1418" w:type="dxa"/>
            <w:shd w:val="clear" w:color="auto" w:fill="BDD7EE"/>
            <w:noWrap/>
            <w:vAlign w:val="center"/>
          </w:tcPr>
          <w:p w14:paraId="65C19C5F" w14:textId="77777777" w:rsidR="003F5418" w:rsidRDefault="002A6C25">
            <w:pPr>
              <w:pStyle w:val="P68B1DB1-Normal3"/>
              <w:spacing w:line="276" w:lineRule="auto"/>
              <w:jc w:val="center"/>
              <w:rPr>
                <w:noProof/>
                <w:color w:val="006100"/>
              </w:rPr>
            </w:pPr>
            <w:r>
              <w:rPr>
                <w:noProof/>
              </w:rPr>
              <w:t>Cél</w:t>
            </w:r>
          </w:p>
        </w:tc>
        <w:tc>
          <w:tcPr>
            <w:tcW w:w="993" w:type="dxa"/>
            <w:shd w:val="clear" w:color="auto" w:fill="BDD7EE"/>
            <w:noWrap/>
            <w:vAlign w:val="center"/>
          </w:tcPr>
          <w:p w14:paraId="4F98E5B7" w14:textId="77777777" w:rsidR="003F5418" w:rsidRDefault="002A6C25">
            <w:pPr>
              <w:pStyle w:val="P68B1DB1-Normal3"/>
              <w:spacing w:line="276" w:lineRule="auto"/>
              <w:jc w:val="center"/>
              <w:rPr>
                <w:noProof/>
                <w:color w:val="006100"/>
              </w:rPr>
            </w:pPr>
            <w:r>
              <w:rPr>
                <w:noProof/>
              </w:rPr>
              <w:t>Negyedév</w:t>
            </w:r>
          </w:p>
        </w:tc>
        <w:tc>
          <w:tcPr>
            <w:tcW w:w="709" w:type="dxa"/>
            <w:shd w:val="clear" w:color="auto" w:fill="BDD7EE"/>
            <w:noWrap/>
            <w:vAlign w:val="center"/>
          </w:tcPr>
          <w:p w14:paraId="37B18B54" w14:textId="77777777" w:rsidR="003F5418" w:rsidRDefault="002A6C25">
            <w:pPr>
              <w:pStyle w:val="P68B1DB1-Normal3"/>
              <w:spacing w:line="276" w:lineRule="auto"/>
              <w:jc w:val="center"/>
              <w:rPr>
                <w:noProof/>
                <w:color w:val="006100"/>
              </w:rPr>
            </w:pPr>
            <w:r>
              <w:rPr>
                <w:noProof/>
              </w:rPr>
              <w:t>Éve</w:t>
            </w:r>
          </w:p>
        </w:tc>
        <w:tc>
          <w:tcPr>
            <w:tcW w:w="3854" w:type="dxa"/>
            <w:vMerge/>
            <w:noWrap/>
            <w:vAlign w:val="center"/>
          </w:tcPr>
          <w:p w14:paraId="313AD3EF" w14:textId="77777777" w:rsidR="003F5418" w:rsidRDefault="003F5418">
            <w:pPr>
              <w:spacing w:after="120"/>
              <w:rPr>
                <w:rFonts w:ascii="Arial Narrow" w:hAnsi="Arial Narrow"/>
                <w:noProof/>
                <w:color w:val="006100"/>
                <w:sz w:val="20"/>
              </w:rPr>
            </w:pPr>
          </w:p>
        </w:tc>
      </w:tr>
      <w:tr w:rsidR="003F5418" w14:paraId="70DF078A" w14:textId="77777777">
        <w:trPr>
          <w:trHeight w:val="309"/>
          <w:jc w:val="center"/>
        </w:trPr>
        <w:tc>
          <w:tcPr>
            <w:tcW w:w="1122" w:type="dxa"/>
            <w:shd w:val="clear" w:color="auto" w:fill="C6EFCE"/>
            <w:noWrap/>
            <w:vAlign w:val="center"/>
          </w:tcPr>
          <w:p w14:paraId="330A4657" w14:textId="77777777" w:rsidR="003F5418" w:rsidRDefault="002A6C25">
            <w:pPr>
              <w:pStyle w:val="P68B1DB1-Normal4"/>
              <w:spacing w:line="276" w:lineRule="auto"/>
              <w:jc w:val="center"/>
              <w:rPr>
                <w:noProof/>
              </w:rPr>
            </w:pPr>
            <w:r>
              <w:rPr>
                <w:noProof/>
              </w:rPr>
              <w:t>M2C2–6</w:t>
            </w:r>
          </w:p>
        </w:tc>
        <w:tc>
          <w:tcPr>
            <w:tcW w:w="1716" w:type="dxa"/>
            <w:shd w:val="clear" w:color="auto" w:fill="C6EFCE"/>
            <w:noWrap/>
            <w:vAlign w:val="center"/>
          </w:tcPr>
          <w:p w14:paraId="2C39562B" w14:textId="77777777" w:rsidR="003F5418" w:rsidRDefault="002A6C25">
            <w:pPr>
              <w:pStyle w:val="P68B1DB1-Normal4"/>
              <w:spacing w:line="276" w:lineRule="auto"/>
              <w:jc w:val="center"/>
              <w:rPr>
                <w:noProof/>
              </w:rPr>
            </w:pPr>
            <w:r>
              <w:rPr>
                <w:noProof/>
              </w:rPr>
              <w:t xml:space="preserve">Reform A megújuló szárazföldi és tengeri </w:t>
            </w:r>
            <w:r>
              <w:rPr>
                <w:noProof/>
              </w:rPr>
              <w:t>erőművek engedélyezési eljárásainak egyszerűsítése és a megújuló energiaforrásokból történő termelés fenntartását célzó új jogi keret, valamint a jelenlegi támogatási rendszerek időbeli és jogosultsági meghosszabbítása</w:t>
            </w:r>
          </w:p>
        </w:tc>
        <w:tc>
          <w:tcPr>
            <w:tcW w:w="1131" w:type="dxa"/>
            <w:shd w:val="clear" w:color="auto" w:fill="C6EFCE"/>
            <w:noWrap/>
            <w:vAlign w:val="center"/>
          </w:tcPr>
          <w:p w14:paraId="2EAB6BF1"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0158B87F" w14:textId="77777777" w:rsidR="003F5418" w:rsidRDefault="002A6C25">
            <w:pPr>
              <w:pStyle w:val="P68B1DB1-Normal4"/>
              <w:spacing w:line="276" w:lineRule="auto"/>
              <w:jc w:val="center"/>
              <w:rPr>
                <w:noProof/>
              </w:rPr>
            </w:pPr>
            <w:r>
              <w:rPr>
                <w:noProof/>
              </w:rPr>
              <w:t xml:space="preserve">A szárazföldi és tengeri </w:t>
            </w:r>
            <w:r>
              <w:rPr>
                <w:noProof/>
              </w:rPr>
              <w:t>megújuló energiák építésére vonatkozó engedélyezési eljárások egyszerűsítését szolgáló jogi keret hatálybalépése</w:t>
            </w:r>
          </w:p>
        </w:tc>
        <w:tc>
          <w:tcPr>
            <w:tcW w:w="1277" w:type="dxa"/>
            <w:shd w:val="clear" w:color="auto" w:fill="C6EFCE"/>
            <w:noWrap/>
            <w:vAlign w:val="center"/>
          </w:tcPr>
          <w:p w14:paraId="43AA9F9A" w14:textId="77777777" w:rsidR="003F5418" w:rsidRDefault="002A6C25">
            <w:pPr>
              <w:pStyle w:val="P68B1DB1-Normal4"/>
              <w:spacing w:line="276" w:lineRule="auto"/>
              <w:jc w:val="center"/>
              <w:rPr>
                <w:noProof/>
              </w:rPr>
            </w:pPr>
            <w:r>
              <w:rPr>
                <w:noProof/>
              </w:rPr>
              <w:t>A jogszabály hatálybalépésére vonatkozó rendelkezés a jogszabályban</w:t>
            </w:r>
          </w:p>
        </w:tc>
        <w:tc>
          <w:tcPr>
            <w:tcW w:w="1415" w:type="dxa"/>
            <w:shd w:val="clear" w:color="auto" w:fill="C6EFCE"/>
            <w:noWrap/>
            <w:vAlign w:val="center"/>
          </w:tcPr>
          <w:p w14:paraId="03B9AB05"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04E2961E"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03A5B254"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06B6E130" w14:textId="77777777" w:rsidR="003F5418" w:rsidRDefault="002A6C25">
            <w:pPr>
              <w:pStyle w:val="P68B1DB1-Normal4"/>
              <w:spacing w:line="276" w:lineRule="auto"/>
              <w:jc w:val="center"/>
              <w:rPr>
                <w:noProof/>
              </w:rPr>
            </w:pPr>
            <w:r>
              <w:rPr>
                <w:noProof/>
              </w:rPr>
              <w:t>Q1</w:t>
            </w:r>
          </w:p>
        </w:tc>
        <w:tc>
          <w:tcPr>
            <w:tcW w:w="709" w:type="dxa"/>
            <w:shd w:val="clear" w:color="auto" w:fill="C6EFCE"/>
            <w:noWrap/>
            <w:vAlign w:val="center"/>
          </w:tcPr>
          <w:p w14:paraId="30E9A968" w14:textId="77777777" w:rsidR="003F5418" w:rsidRDefault="002A6C25">
            <w:pPr>
              <w:pStyle w:val="P68B1DB1-Normal4"/>
              <w:spacing w:line="276" w:lineRule="auto"/>
              <w:jc w:val="center"/>
              <w:rPr>
                <w:noProof/>
              </w:rPr>
            </w:pPr>
            <w:r>
              <w:rPr>
                <w:noProof/>
              </w:rPr>
              <w:t>2024</w:t>
            </w:r>
          </w:p>
        </w:tc>
        <w:tc>
          <w:tcPr>
            <w:tcW w:w="3854" w:type="dxa"/>
            <w:shd w:val="clear" w:color="auto" w:fill="C6EFCE"/>
            <w:noWrap/>
            <w:vAlign w:val="center"/>
          </w:tcPr>
          <w:p w14:paraId="0F14D2C0" w14:textId="77777777" w:rsidR="003F5418" w:rsidRDefault="002A6C25">
            <w:pPr>
              <w:pStyle w:val="P68B1DB1-Normal4"/>
              <w:spacing w:after="120"/>
              <w:rPr>
                <w:noProof/>
              </w:rPr>
            </w:pPr>
            <w:r>
              <w:rPr>
                <w:noProof/>
              </w:rPr>
              <w:t>A jogi keret a következő célkitűzéseket tartalmaz</w:t>
            </w:r>
            <w:r>
              <w:rPr>
                <w:noProof/>
              </w:rPr>
              <w:t>za:</w:t>
            </w:r>
          </w:p>
          <w:p w14:paraId="2CE5CCAB" w14:textId="77777777" w:rsidR="003F5418" w:rsidRDefault="002A6C25">
            <w:pPr>
              <w:pStyle w:val="P68B1DB1-Normal4"/>
              <w:numPr>
                <w:ilvl w:val="0"/>
                <w:numId w:val="65"/>
              </w:numPr>
              <w:pBdr>
                <w:top w:val="nil"/>
                <w:left w:val="nil"/>
                <w:bottom w:val="nil"/>
                <w:right w:val="nil"/>
                <w:between w:val="nil"/>
              </w:pBdr>
              <w:spacing w:after="120"/>
              <w:rPr>
                <w:noProof/>
              </w:rPr>
            </w:pPr>
            <w:r>
              <w:rPr>
                <w:noProof/>
              </w:rPr>
              <w:t>egyszerűsített és hozzáférhető szabályozási keret létrehozása a megújuló energiaforrásokat hasznosító létesítmények számára, valamint a meglévő erőművek átalakítása és átalakítása, az egyszerűsítésről szóló rendelet rendelkezéseivel összhangban;</w:t>
            </w:r>
          </w:p>
          <w:p w14:paraId="06E98973" w14:textId="77777777" w:rsidR="003F5418" w:rsidRDefault="002A6C25">
            <w:pPr>
              <w:pStyle w:val="P68B1DB1-Normal4"/>
              <w:numPr>
                <w:ilvl w:val="0"/>
                <w:numId w:val="65"/>
              </w:numPr>
              <w:pBdr>
                <w:top w:val="nil"/>
                <w:left w:val="nil"/>
                <w:bottom w:val="nil"/>
                <w:right w:val="nil"/>
                <w:between w:val="nil"/>
              </w:pBdr>
              <w:spacing w:after="120"/>
              <w:rPr>
                <w:noProof/>
              </w:rPr>
            </w:pPr>
            <w:r>
              <w:rPr>
                <w:noProof/>
              </w:rPr>
              <w:t>a régi</w:t>
            </w:r>
            <w:r>
              <w:rPr>
                <w:noProof/>
              </w:rPr>
              <w:t>ókkal és a többi érintett államigazgatási szervvel közös fegyelem bevezetése, amelynek célja a megújuló energiaforrások fejlesztésére vonatkozó célkitűzések elérése érdekében a PNIEC által meghatározott teljes teljesítményű, megújuló energiaforrást hasznos</w:t>
            </w:r>
            <w:r>
              <w:rPr>
                <w:noProof/>
              </w:rPr>
              <w:t>ító erőművek telepítésére alkalmas és nem megfelelő területek meghatározására vonatkozó kritériumok meghatározása;</w:t>
            </w:r>
          </w:p>
          <w:p w14:paraId="484AC5A3" w14:textId="77777777" w:rsidR="003F5418" w:rsidRDefault="002A6C25">
            <w:pPr>
              <w:pStyle w:val="P68B1DB1-Normal4"/>
              <w:numPr>
                <w:ilvl w:val="0"/>
                <w:numId w:val="65"/>
              </w:numPr>
              <w:pBdr>
                <w:top w:val="nil"/>
                <w:left w:val="nil"/>
                <w:bottom w:val="nil"/>
                <w:right w:val="nil"/>
                <w:between w:val="nil"/>
              </w:pBdr>
              <w:spacing w:after="120"/>
              <w:rPr>
                <w:noProof/>
              </w:rPr>
            </w:pPr>
            <w:r>
              <w:rPr>
                <w:noProof/>
              </w:rPr>
              <w:t>a megújuló energiaforrásokat támogató mechanizmus befejezése további, nem kiforrott vagy magas működési költségekkel járó technológiák esetéb</w:t>
            </w:r>
            <w:r>
              <w:rPr>
                <w:noProof/>
              </w:rPr>
              <w:t>en is, valamint az úgynevezett RES1 mechanizmus aukciós futási időszakának meghosszabbítása;</w:t>
            </w:r>
          </w:p>
          <w:p w14:paraId="778CD547" w14:textId="77777777" w:rsidR="003F5418" w:rsidRDefault="002A6C25">
            <w:pPr>
              <w:pStyle w:val="P68B1DB1-Normal4"/>
              <w:numPr>
                <w:ilvl w:val="0"/>
                <w:numId w:val="65"/>
              </w:numPr>
              <w:pBdr>
                <w:top w:val="nil"/>
                <w:left w:val="nil"/>
                <w:bottom w:val="nil"/>
                <w:right w:val="nil"/>
                <w:between w:val="nil"/>
              </w:pBdr>
              <w:spacing w:after="120"/>
              <w:rPr>
                <w:noProof/>
              </w:rPr>
            </w:pPr>
            <w:r>
              <w:rPr>
                <w:noProof/>
              </w:rPr>
              <w:t>a tárolási rendszerekbe történő beruházások előmozdítását célzó reform, amelyet a villamos energia belső piacára vonatkozó közös szabályokról szóló (EU) 2019/944 i</w:t>
            </w:r>
            <w:r>
              <w:rPr>
                <w:noProof/>
              </w:rPr>
              <w:t>rányelvet átültető törvényerejű rendelet tükröz.</w:t>
            </w:r>
          </w:p>
        </w:tc>
      </w:tr>
      <w:tr w:rsidR="003F5418" w14:paraId="15504DA8" w14:textId="77777777">
        <w:trPr>
          <w:trHeight w:val="309"/>
          <w:jc w:val="center"/>
        </w:trPr>
        <w:tc>
          <w:tcPr>
            <w:tcW w:w="1122" w:type="dxa"/>
            <w:shd w:val="clear" w:color="auto" w:fill="C6EFCE"/>
            <w:noWrap/>
            <w:vAlign w:val="center"/>
          </w:tcPr>
          <w:p w14:paraId="373137FD" w14:textId="77777777" w:rsidR="003F5418" w:rsidRDefault="002A6C25">
            <w:pPr>
              <w:pStyle w:val="P68B1DB1-Normal4"/>
              <w:spacing w:line="276" w:lineRule="auto"/>
              <w:jc w:val="center"/>
              <w:rPr>
                <w:noProof/>
              </w:rPr>
            </w:pPr>
            <w:r>
              <w:rPr>
                <w:noProof/>
              </w:rPr>
              <w:t>M2C2–7</w:t>
            </w:r>
          </w:p>
        </w:tc>
        <w:tc>
          <w:tcPr>
            <w:tcW w:w="1716" w:type="dxa"/>
            <w:shd w:val="clear" w:color="auto" w:fill="C6EFCE"/>
            <w:noWrap/>
            <w:vAlign w:val="center"/>
          </w:tcPr>
          <w:p w14:paraId="763DAC50" w14:textId="77777777" w:rsidR="003F5418" w:rsidRDefault="002A6C25">
            <w:pPr>
              <w:pStyle w:val="P68B1DB1-Normal4"/>
              <w:spacing w:line="276" w:lineRule="auto"/>
              <w:jc w:val="center"/>
              <w:rPr>
                <w:noProof/>
              </w:rPr>
            </w:pPr>
            <w:r>
              <w:rPr>
                <w:noProof/>
              </w:rPr>
              <w:t>Reform: A megújuló gáztermelés és -fogyasztás előmozdítását célzó új jogszabályok</w:t>
            </w:r>
          </w:p>
        </w:tc>
        <w:tc>
          <w:tcPr>
            <w:tcW w:w="1131" w:type="dxa"/>
            <w:shd w:val="clear" w:color="auto" w:fill="C6EFCE"/>
            <w:noWrap/>
            <w:vAlign w:val="center"/>
          </w:tcPr>
          <w:p w14:paraId="37087D3D"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5BB95085" w14:textId="77777777" w:rsidR="003F5418" w:rsidRDefault="002A6C25">
            <w:pPr>
              <w:pStyle w:val="P68B1DB1-Normal4"/>
              <w:spacing w:line="276" w:lineRule="auto"/>
              <w:jc w:val="center"/>
              <w:rPr>
                <w:noProof/>
              </w:rPr>
            </w:pPr>
            <w:r>
              <w:rPr>
                <w:noProof/>
              </w:rPr>
              <w:t>A megújuló gáznak a közlekedési, ipari és lakossági ágazatban a biometán</w:t>
            </w:r>
            <w:r>
              <w:rPr>
                <w:noProof/>
              </w:rPr>
              <w:t xml:space="preserve"> felhasználásához való felhasználásának előmozdításáról szóló törvényerejű rendelet, valamint az annak használatára vonatkozó feltételeket és kritériumokat meghatározó végrehajtási rendelet, valamint az új ösztönző rendszer hatálybalépése.</w:t>
            </w:r>
          </w:p>
        </w:tc>
        <w:tc>
          <w:tcPr>
            <w:tcW w:w="1277" w:type="dxa"/>
            <w:shd w:val="clear" w:color="auto" w:fill="C6EFCE"/>
            <w:noWrap/>
            <w:vAlign w:val="center"/>
          </w:tcPr>
          <w:p w14:paraId="6F52E378" w14:textId="77777777" w:rsidR="003F5418" w:rsidRDefault="002A6C25">
            <w:pPr>
              <w:pStyle w:val="P68B1DB1-Normal4"/>
              <w:spacing w:line="276" w:lineRule="auto"/>
              <w:jc w:val="center"/>
              <w:rPr>
                <w:noProof/>
              </w:rPr>
            </w:pPr>
            <w:r>
              <w:rPr>
                <w:noProof/>
              </w:rPr>
              <w:t xml:space="preserve">A jogszabály hatálybalépésére vonatkozó rendelkezés a jogszabályban </w:t>
            </w:r>
          </w:p>
        </w:tc>
        <w:tc>
          <w:tcPr>
            <w:tcW w:w="1415" w:type="dxa"/>
            <w:shd w:val="clear" w:color="auto" w:fill="C6EFCE"/>
            <w:noWrap/>
            <w:vAlign w:val="center"/>
          </w:tcPr>
          <w:p w14:paraId="59ED54AC" w14:textId="77777777" w:rsidR="003F5418" w:rsidRDefault="002A6C25">
            <w:pPr>
              <w:pStyle w:val="P68B1DB1-Normal4"/>
              <w:spacing w:line="276" w:lineRule="auto"/>
              <w:jc w:val="center"/>
              <w:rPr>
                <w:noProof/>
              </w:rPr>
            </w:pPr>
            <w:r>
              <w:rPr>
                <w:noProof/>
              </w:rPr>
              <w:t xml:space="preserve">NINCS </w:t>
            </w:r>
          </w:p>
        </w:tc>
        <w:tc>
          <w:tcPr>
            <w:tcW w:w="1021" w:type="dxa"/>
            <w:shd w:val="clear" w:color="auto" w:fill="C6EFCE"/>
            <w:noWrap/>
            <w:vAlign w:val="center"/>
          </w:tcPr>
          <w:p w14:paraId="00D641D9"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36A8E2DF"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081451F8"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0E994494" w14:textId="77777777" w:rsidR="003F5418" w:rsidRDefault="002A6C25">
            <w:pPr>
              <w:pStyle w:val="P68B1DB1-Normal4"/>
              <w:spacing w:line="276" w:lineRule="auto"/>
              <w:jc w:val="center"/>
              <w:rPr>
                <w:noProof/>
              </w:rPr>
            </w:pPr>
            <w:r>
              <w:rPr>
                <w:noProof/>
              </w:rPr>
              <w:t>2021</w:t>
            </w:r>
          </w:p>
        </w:tc>
        <w:tc>
          <w:tcPr>
            <w:tcW w:w="3854" w:type="dxa"/>
            <w:shd w:val="clear" w:color="auto" w:fill="C6EFCE"/>
            <w:noWrap/>
            <w:vAlign w:val="center"/>
          </w:tcPr>
          <w:p w14:paraId="28E89F0F" w14:textId="77777777" w:rsidR="003F5418" w:rsidRDefault="002A6C25">
            <w:pPr>
              <w:pStyle w:val="P68B1DB1-Normal4"/>
              <w:spacing w:after="120"/>
              <w:rPr>
                <w:noProof/>
              </w:rPr>
            </w:pPr>
            <w:r>
              <w:rPr>
                <w:noProof/>
              </w:rPr>
              <w:t>A törvényerejű rendelet különösen a következőket tartalmazza:</w:t>
            </w:r>
          </w:p>
          <w:p w14:paraId="7F2ACC40" w14:textId="77777777" w:rsidR="003F5418" w:rsidRDefault="002A6C25">
            <w:pPr>
              <w:pStyle w:val="P68B1DB1-Normal4"/>
              <w:spacing w:after="120"/>
              <w:rPr>
                <w:noProof/>
              </w:rPr>
            </w:pPr>
            <w:r>
              <w:rPr>
                <w:noProof/>
              </w:rPr>
              <w:t>1 jogalkotási módosítás az egyszerűsített engedélyezési eljárásra és a jelenlegi támogatási mechan</w:t>
            </w:r>
            <w:r>
              <w:rPr>
                <w:noProof/>
              </w:rPr>
              <w:t>izmus módosítására annak érdekében, hogy i. kiterjesszék a támogathatóságot, és ii. meghosszabbítsák a támogatások rendelkezésre állási időszakát, és iii. előirányozzák a megújuló gázra vonatkozó díjszabási mechanizmust és származási garanciát.</w:t>
            </w:r>
          </w:p>
          <w:p w14:paraId="27EAB03B" w14:textId="77777777" w:rsidR="003F5418" w:rsidRDefault="002A6C25">
            <w:pPr>
              <w:pStyle w:val="P68B1DB1-Normal4"/>
              <w:spacing w:after="120"/>
              <w:rPr>
                <w:noProof/>
              </w:rPr>
            </w:pPr>
            <w:r>
              <w:rPr>
                <w:noProof/>
              </w:rPr>
              <w:t>2 – A REDII</w:t>
            </w:r>
            <w:r>
              <w:rPr>
                <w:noProof/>
              </w:rPr>
              <w:t xml:space="preserve">-irányelv törvényerejű rendelettel történő átültetése </w:t>
            </w:r>
          </w:p>
          <w:p w14:paraId="7177A05F" w14:textId="77777777" w:rsidR="003F5418" w:rsidRDefault="002A6C25">
            <w:pPr>
              <w:pStyle w:val="P68B1DB1-Normal4"/>
              <w:spacing w:after="120"/>
              <w:rPr>
                <w:noProof/>
              </w:rPr>
            </w:pPr>
            <w:r>
              <w:rPr>
                <w:noProof/>
              </w:rPr>
              <w:t>3 – Az általános koordinációt a Ministero della Transizione Ecologica (MiTE) valósítaná meg a többi tanácsadói funkcióval rendelkező igazgatás támogatásával: Mezőgazdasági Minisztérium (MIPAAF), Gazdas</w:t>
            </w:r>
            <w:r>
              <w:rPr>
                <w:noProof/>
              </w:rPr>
              <w:t>ági és Pénzügyminisztérium (MEF) és Gestore Servizi Energetici.</w:t>
            </w:r>
          </w:p>
        </w:tc>
      </w:tr>
      <w:tr w:rsidR="003F5418" w14:paraId="7A685E31" w14:textId="77777777">
        <w:trPr>
          <w:trHeight w:val="309"/>
          <w:jc w:val="center"/>
        </w:trPr>
        <w:tc>
          <w:tcPr>
            <w:tcW w:w="1122" w:type="dxa"/>
            <w:shd w:val="clear" w:color="auto" w:fill="C6EFCE"/>
            <w:noWrap/>
            <w:vAlign w:val="center"/>
          </w:tcPr>
          <w:p w14:paraId="44BFE44C" w14:textId="77777777" w:rsidR="003F5418" w:rsidRDefault="002A6C25">
            <w:pPr>
              <w:pStyle w:val="P68B1DB1-Normal4"/>
              <w:spacing w:line="276" w:lineRule="auto"/>
              <w:jc w:val="center"/>
              <w:rPr>
                <w:noProof/>
              </w:rPr>
            </w:pPr>
            <w:r>
              <w:rPr>
                <w:noProof/>
              </w:rPr>
              <w:t>M2C2–8</w:t>
            </w:r>
          </w:p>
        </w:tc>
        <w:tc>
          <w:tcPr>
            <w:tcW w:w="1716" w:type="dxa"/>
            <w:shd w:val="clear" w:color="auto" w:fill="C6EFCE"/>
            <w:noWrap/>
            <w:vAlign w:val="center"/>
          </w:tcPr>
          <w:p w14:paraId="10A60F47" w14:textId="77777777" w:rsidR="003F5418" w:rsidRDefault="002A6C25">
            <w:pPr>
              <w:pStyle w:val="P68B1DB1-Normal4"/>
              <w:spacing w:line="276" w:lineRule="auto"/>
              <w:jc w:val="center"/>
              <w:rPr>
                <w:noProof/>
              </w:rPr>
            </w:pPr>
            <w:r>
              <w:rPr>
                <w:noProof/>
              </w:rPr>
              <w:t>Beruházás: Az intelligens hálózatok megerősítése</w:t>
            </w:r>
          </w:p>
        </w:tc>
        <w:tc>
          <w:tcPr>
            <w:tcW w:w="1131" w:type="dxa"/>
            <w:shd w:val="clear" w:color="auto" w:fill="C6EFCE"/>
            <w:noWrap/>
            <w:vAlign w:val="center"/>
          </w:tcPr>
          <w:p w14:paraId="4DA4DE33"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48ED2856" w14:textId="77777777" w:rsidR="003F5418" w:rsidRDefault="002A6C25">
            <w:pPr>
              <w:pStyle w:val="P68B1DB1-Normal4"/>
              <w:spacing w:line="276" w:lineRule="auto"/>
              <w:jc w:val="center"/>
              <w:rPr>
                <w:noProof/>
              </w:rPr>
            </w:pPr>
            <w:r>
              <w:rPr>
                <w:noProof/>
              </w:rPr>
              <w:t>A hálózati kapacitás növelésére irányuló (összes) közbeszerzési szerződés odaítélése</w:t>
            </w:r>
          </w:p>
        </w:tc>
        <w:tc>
          <w:tcPr>
            <w:tcW w:w="1277" w:type="dxa"/>
            <w:shd w:val="clear" w:color="auto" w:fill="C6EFCE"/>
            <w:noWrap/>
            <w:vAlign w:val="center"/>
          </w:tcPr>
          <w:p w14:paraId="4D3154F7" w14:textId="77777777" w:rsidR="003F5418" w:rsidRDefault="002A6C25">
            <w:pPr>
              <w:pStyle w:val="P68B1DB1-Normal4"/>
              <w:spacing w:line="276" w:lineRule="auto"/>
              <w:jc w:val="center"/>
              <w:rPr>
                <w:noProof/>
              </w:rPr>
            </w:pPr>
            <w:r>
              <w:rPr>
                <w:noProof/>
              </w:rPr>
              <w:t xml:space="preserve">Értesítés az (összes) közbeszerzési </w:t>
            </w:r>
            <w:r>
              <w:rPr>
                <w:noProof/>
              </w:rPr>
              <w:t>szerződés odaítéléséről</w:t>
            </w:r>
          </w:p>
        </w:tc>
        <w:tc>
          <w:tcPr>
            <w:tcW w:w="1415" w:type="dxa"/>
            <w:shd w:val="clear" w:color="auto" w:fill="C6EFCE"/>
            <w:noWrap/>
            <w:vAlign w:val="center"/>
          </w:tcPr>
          <w:p w14:paraId="78956CE1"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177EFC2F"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7D9D6811"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1AAE61F1"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2EF02781"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4E28483E" w14:textId="77777777" w:rsidR="003F5418" w:rsidRDefault="002A6C25">
            <w:pPr>
              <w:pStyle w:val="P68B1DB1-Normal4"/>
              <w:spacing w:after="120"/>
              <w:rPr>
                <w:noProof/>
              </w:rPr>
            </w:pPr>
            <w:r>
              <w:rPr>
                <w:noProof/>
              </w:rPr>
              <w:t>Értesítés a megújuló energia elosztására és az energiafogyasztás villamosítására szolgáló hálózati kapacitás növelésére irányuló (összes) közbeszerzési szerződés odaítéléséről</w:t>
            </w:r>
          </w:p>
        </w:tc>
      </w:tr>
      <w:tr w:rsidR="003F5418" w14:paraId="13C9788E" w14:textId="77777777">
        <w:trPr>
          <w:trHeight w:val="309"/>
          <w:jc w:val="center"/>
        </w:trPr>
        <w:tc>
          <w:tcPr>
            <w:tcW w:w="1122" w:type="dxa"/>
            <w:shd w:val="clear" w:color="auto" w:fill="C6EFCE"/>
            <w:noWrap/>
            <w:vAlign w:val="center"/>
          </w:tcPr>
          <w:p w14:paraId="10F27EAE" w14:textId="77777777" w:rsidR="003F5418" w:rsidRDefault="002A6C25">
            <w:pPr>
              <w:pStyle w:val="P68B1DB1-Normal4"/>
              <w:spacing w:line="276" w:lineRule="auto"/>
              <w:jc w:val="center"/>
              <w:rPr>
                <w:noProof/>
              </w:rPr>
            </w:pPr>
            <w:r>
              <w:rPr>
                <w:noProof/>
              </w:rPr>
              <w:t>M2C2–12</w:t>
            </w:r>
          </w:p>
        </w:tc>
        <w:tc>
          <w:tcPr>
            <w:tcW w:w="1716" w:type="dxa"/>
            <w:shd w:val="clear" w:color="auto" w:fill="C6EFCE"/>
            <w:noWrap/>
            <w:vAlign w:val="center"/>
          </w:tcPr>
          <w:p w14:paraId="41F29CDF" w14:textId="77777777" w:rsidR="003F5418" w:rsidRDefault="002A6C25">
            <w:pPr>
              <w:pStyle w:val="P68B1DB1-Normal4"/>
              <w:spacing w:line="276" w:lineRule="auto"/>
              <w:jc w:val="center"/>
              <w:rPr>
                <w:noProof/>
              </w:rPr>
            </w:pPr>
            <w:r>
              <w:rPr>
                <w:noProof/>
              </w:rPr>
              <w:t xml:space="preserve">Beruházás: </w:t>
            </w:r>
            <w:r>
              <w:rPr>
                <w:noProof/>
              </w:rPr>
              <w:t>Beavatkozás a villamosenergia-hálózat rezilienciájának növelésére</w:t>
            </w:r>
          </w:p>
        </w:tc>
        <w:tc>
          <w:tcPr>
            <w:tcW w:w="1131" w:type="dxa"/>
            <w:shd w:val="clear" w:color="auto" w:fill="C6EFCE"/>
            <w:noWrap/>
            <w:vAlign w:val="center"/>
          </w:tcPr>
          <w:p w14:paraId="1378F1AE"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21DC4B72" w14:textId="77777777" w:rsidR="003F5418" w:rsidRDefault="002A6C25">
            <w:pPr>
              <w:pStyle w:val="P68B1DB1-Normal4"/>
              <w:spacing w:line="276" w:lineRule="auto"/>
              <w:jc w:val="center"/>
              <w:rPr>
                <w:noProof/>
              </w:rPr>
            </w:pPr>
            <w:r>
              <w:rPr>
                <w:noProof/>
              </w:rPr>
              <w:t>A villamosenergia-rendszer rezilienciájának növelését célzó projektek odaítélése</w:t>
            </w:r>
          </w:p>
        </w:tc>
        <w:tc>
          <w:tcPr>
            <w:tcW w:w="1277" w:type="dxa"/>
            <w:shd w:val="clear" w:color="auto" w:fill="C6EFCE"/>
            <w:noWrap/>
            <w:vAlign w:val="center"/>
          </w:tcPr>
          <w:p w14:paraId="1B4726D6" w14:textId="77777777" w:rsidR="003F5418" w:rsidRDefault="002A6C25">
            <w:pPr>
              <w:pStyle w:val="P68B1DB1-Normal4"/>
              <w:spacing w:line="276" w:lineRule="auto"/>
              <w:jc w:val="center"/>
              <w:rPr>
                <w:noProof/>
              </w:rPr>
            </w:pPr>
            <w:r>
              <w:rPr>
                <w:noProof/>
              </w:rPr>
              <w:t>Értesítés a projektek odaítéléséről</w:t>
            </w:r>
          </w:p>
        </w:tc>
        <w:tc>
          <w:tcPr>
            <w:tcW w:w="1415" w:type="dxa"/>
            <w:shd w:val="clear" w:color="auto" w:fill="C6EFCE"/>
            <w:noWrap/>
            <w:vAlign w:val="center"/>
          </w:tcPr>
          <w:p w14:paraId="13A9B217"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7021E7BB"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5FC3E6CB"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7979EF4E"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55DE8350"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54607731" w14:textId="1D9BBF91" w:rsidR="003F5418" w:rsidRDefault="002A6C25">
            <w:pPr>
              <w:pStyle w:val="P68B1DB1-Normal4"/>
              <w:spacing w:after="120"/>
              <w:rPr>
                <w:noProof/>
              </w:rPr>
            </w:pPr>
            <w:r>
              <w:rPr>
                <w:noProof/>
              </w:rPr>
              <w:t xml:space="preserve">A villamosenergia-rendszer legalább </w:t>
            </w:r>
            <w:r>
              <w:rPr>
                <w:noProof/>
              </w:rPr>
              <w:t>4 000 km-es rezilienciájának növelésére irányuló projektek odaítélése a szélsőséges időjárási körülményekből eredő energiacsökkentések gyakoriságának és időtartamának csökkentése érdekében.</w:t>
            </w:r>
          </w:p>
        </w:tc>
      </w:tr>
      <w:tr w:rsidR="003F5418" w14:paraId="7C53672A" w14:textId="77777777">
        <w:trPr>
          <w:trHeight w:val="309"/>
          <w:jc w:val="center"/>
        </w:trPr>
        <w:tc>
          <w:tcPr>
            <w:tcW w:w="1122" w:type="dxa"/>
            <w:shd w:val="clear" w:color="auto" w:fill="C6EFCE"/>
            <w:noWrap/>
            <w:vAlign w:val="center"/>
          </w:tcPr>
          <w:p w14:paraId="3322ACB0" w14:textId="77777777" w:rsidR="003F5418" w:rsidRDefault="002A6C25">
            <w:pPr>
              <w:pStyle w:val="P68B1DB1-Normal4"/>
              <w:spacing w:line="276" w:lineRule="auto"/>
              <w:jc w:val="center"/>
              <w:rPr>
                <w:noProof/>
              </w:rPr>
            </w:pPr>
            <w:r>
              <w:rPr>
                <w:noProof/>
              </w:rPr>
              <w:t>M2C2–14</w:t>
            </w:r>
          </w:p>
        </w:tc>
        <w:tc>
          <w:tcPr>
            <w:tcW w:w="1716" w:type="dxa"/>
            <w:shd w:val="clear" w:color="auto" w:fill="C6EFCE"/>
            <w:noWrap/>
            <w:vAlign w:val="center"/>
          </w:tcPr>
          <w:p w14:paraId="5447B241" w14:textId="77777777" w:rsidR="003F5418" w:rsidRDefault="002A6C25">
            <w:pPr>
              <w:pStyle w:val="P68B1DB1-Normal4"/>
              <w:spacing w:line="276" w:lineRule="auto"/>
              <w:jc w:val="center"/>
              <w:rPr>
                <w:noProof/>
              </w:rPr>
            </w:pPr>
            <w:r>
              <w:rPr>
                <w:noProof/>
              </w:rPr>
              <w:t>Beruházás: Hidrogénteszt a közúti közlekedésben</w:t>
            </w:r>
          </w:p>
        </w:tc>
        <w:tc>
          <w:tcPr>
            <w:tcW w:w="1131" w:type="dxa"/>
            <w:shd w:val="clear" w:color="auto" w:fill="C6EFCE"/>
            <w:noWrap/>
            <w:vAlign w:val="center"/>
          </w:tcPr>
          <w:p w14:paraId="5D8E4B0B"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36E1C042" w14:textId="77777777" w:rsidR="003F5418" w:rsidRDefault="002A6C25">
            <w:pPr>
              <w:pStyle w:val="P68B1DB1-Normal4"/>
              <w:spacing w:line="276" w:lineRule="auto"/>
              <w:jc w:val="center"/>
              <w:rPr>
                <w:noProof/>
              </w:rPr>
            </w:pPr>
            <w:r>
              <w:rPr>
                <w:noProof/>
              </w:rPr>
              <w:t>Hidrogénalapú töltőállomások fejlesztésére irányuló (összes) közbeszerzési szerződés odaítélése</w:t>
            </w:r>
          </w:p>
        </w:tc>
        <w:tc>
          <w:tcPr>
            <w:tcW w:w="1277" w:type="dxa"/>
            <w:shd w:val="clear" w:color="auto" w:fill="C6EFCE"/>
            <w:noWrap/>
            <w:vAlign w:val="center"/>
          </w:tcPr>
          <w:p w14:paraId="0D9986F6" w14:textId="566FEADC" w:rsidR="003F5418" w:rsidRDefault="002A6C25">
            <w:pPr>
              <w:pStyle w:val="P68B1DB1-Normal4"/>
              <w:spacing w:line="276" w:lineRule="auto"/>
              <w:jc w:val="center"/>
              <w:rPr>
                <w:noProof/>
              </w:rPr>
            </w:pPr>
            <w:r>
              <w:rPr>
                <w:noProof/>
              </w:rPr>
              <w:t xml:space="preserve">Értesítés legalább 40 hidrogénalapú töltőállomás fejlesztésére irányuló (valamennyi) közbeszerzési szerződés odaítéléséről </w:t>
            </w:r>
          </w:p>
        </w:tc>
        <w:tc>
          <w:tcPr>
            <w:tcW w:w="1415" w:type="dxa"/>
            <w:shd w:val="clear" w:color="auto" w:fill="C6EFCE"/>
            <w:noWrap/>
            <w:vAlign w:val="center"/>
          </w:tcPr>
          <w:p w14:paraId="55DB3CD2"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56B919A2"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1619316C"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5F89C058" w14:textId="77777777" w:rsidR="003F5418" w:rsidRDefault="002A6C25">
            <w:pPr>
              <w:pStyle w:val="P68B1DB1-Normal4"/>
              <w:spacing w:line="276" w:lineRule="auto"/>
              <w:jc w:val="center"/>
              <w:rPr>
                <w:noProof/>
              </w:rPr>
            </w:pPr>
            <w:r>
              <w:rPr>
                <w:noProof/>
              </w:rPr>
              <w:t>Q1</w:t>
            </w:r>
          </w:p>
        </w:tc>
        <w:tc>
          <w:tcPr>
            <w:tcW w:w="709" w:type="dxa"/>
            <w:shd w:val="clear" w:color="auto" w:fill="C6EFCE"/>
            <w:noWrap/>
            <w:vAlign w:val="center"/>
          </w:tcPr>
          <w:p w14:paraId="42A4CE14"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4782B480" w14:textId="77777777" w:rsidR="003F5418" w:rsidRDefault="002A6C25">
            <w:pPr>
              <w:pStyle w:val="P68B1DB1-Normal4"/>
              <w:spacing w:after="120"/>
              <w:rPr>
                <w:noProof/>
              </w:rPr>
            </w:pPr>
            <w:r>
              <w:rPr>
                <w:noProof/>
              </w:rPr>
              <w:t>Értesítés</w:t>
            </w:r>
            <w:r>
              <w:rPr>
                <w:noProof/>
              </w:rPr>
              <w:t xml:space="preserve"> legalább 40 hidrogénalapú töltőállomás fejlesztésére irányuló (összes) közbeszerzési szerződés odaítéléséről az alternatív üzemanyagok infrastruktúrájáról szóló 2014/94/EU irányelvvel összhangban.</w:t>
            </w:r>
          </w:p>
        </w:tc>
      </w:tr>
      <w:tr w:rsidR="003F5418" w14:paraId="20C4EB65" w14:textId="77777777">
        <w:trPr>
          <w:trHeight w:val="309"/>
          <w:jc w:val="center"/>
        </w:trPr>
        <w:tc>
          <w:tcPr>
            <w:tcW w:w="1122" w:type="dxa"/>
            <w:shd w:val="clear" w:color="auto" w:fill="C6EFCE"/>
            <w:noWrap/>
            <w:vAlign w:val="center"/>
          </w:tcPr>
          <w:p w14:paraId="26A9C034" w14:textId="77777777" w:rsidR="003F5418" w:rsidRDefault="002A6C25">
            <w:pPr>
              <w:pStyle w:val="P68B1DB1-Normal4"/>
              <w:spacing w:line="276" w:lineRule="auto"/>
              <w:jc w:val="center"/>
              <w:rPr>
                <w:noProof/>
              </w:rPr>
            </w:pPr>
            <w:r>
              <w:rPr>
                <w:noProof/>
              </w:rPr>
              <w:t>M2C2–16</w:t>
            </w:r>
          </w:p>
        </w:tc>
        <w:tc>
          <w:tcPr>
            <w:tcW w:w="1716" w:type="dxa"/>
            <w:shd w:val="clear" w:color="auto" w:fill="C6EFCE"/>
            <w:noWrap/>
            <w:vAlign w:val="center"/>
          </w:tcPr>
          <w:p w14:paraId="593F4DCD" w14:textId="77777777" w:rsidR="003F5418" w:rsidRDefault="002A6C25">
            <w:pPr>
              <w:pStyle w:val="P68B1DB1-Normal4"/>
              <w:spacing w:line="276" w:lineRule="auto"/>
              <w:jc w:val="center"/>
              <w:rPr>
                <w:noProof/>
              </w:rPr>
            </w:pPr>
            <w:r>
              <w:rPr>
                <w:noProof/>
              </w:rPr>
              <w:t xml:space="preserve">Beruházás – A hidrogénhajtású vasúti mobilitás </w:t>
            </w:r>
            <w:r>
              <w:rPr>
                <w:noProof/>
              </w:rPr>
              <w:t>tesztelése</w:t>
            </w:r>
          </w:p>
        </w:tc>
        <w:tc>
          <w:tcPr>
            <w:tcW w:w="1131" w:type="dxa"/>
            <w:shd w:val="clear" w:color="auto" w:fill="C6EFCE"/>
            <w:noWrap/>
            <w:vAlign w:val="center"/>
          </w:tcPr>
          <w:p w14:paraId="6C98932D"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34532028" w14:textId="77777777" w:rsidR="003F5418" w:rsidRDefault="002A6C25">
            <w:pPr>
              <w:pStyle w:val="P68B1DB1-Normal4"/>
              <w:spacing w:line="276" w:lineRule="auto"/>
              <w:jc w:val="center"/>
              <w:rPr>
                <w:noProof/>
              </w:rPr>
            </w:pPr>
            <w:r>
              <w:rPr>
                <w:noProof/>
              </w:rPr>
              <w:t>Erőforrás-allokáció a hidrogénhajtású vasúti mobilitás teszteléséhez</w:t>
            </w:r>
          </w:p>
        </w:tc>
        <w:tc>
          <w:tcPr>
            <w:tcW w:w="1277" w:type="dxa"/>
            <w:shd w:val="clear" w:color="auto" w:fill="C6EFCE"/>
            <w:noWrap/>
            <w:vAlign w:val="center"/>
          </w:tcPr>
          <w:p w14:paraId="74056D47" w14:textId="77777777" w:rsidR="003F5418" w:rsidRDefault="002A6C25">
            <w:pPr>
              <w:pStyle w:val="P68B1DB1-Normal4"/>
              <w:spacing w:line="276" w:lineRule="auto"/>
              <w:jc w:val="center"/>
              <w:rPr>
                <w:noProof/>
              </w:rPr>
            </w:pPr>
            <w:r>
              <w:rPr>
                <w:noProof/>
              </w:rPr>
              <w:t>Értesítés az erőforrás-allokációról</w:t>
            </w:r>
          </w:p>
        </w:tc>
        <w:tc>
          <w:tcPr>
            <w:tcW w:w="1415" w:type="dxa"/>
            <w:shd w:val="clear" w:color="auto" w:fill="C6EFCE"/>
            <w:noWrap/>
            <w:vAlign w:val="center"/>
          </w:tcPr>
          <w:p w14:paraId="0F3E3954"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6129FACB"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22872F31"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372A1E6D" w14:textId="77777777" w:rsidR="003F5418" w:rsidRDefault="002A6C25">
            <w:pPr>
              <w:pStyle w:val="P68B1DB1-Normal4"/>
              <w:spacing w:line="276" w:lineRule="auto"/>
              <w:jc w:val="center"/>
              <w:rPr>
                <w:noProof/>
              </w:rPr>
            </w:pPr>
            <w:r>
              <w:rPr>
                <w:noProof/>
              </w:rPr>
              <w:t>Q1</w:t>
            </w:r>
          </w:p>
        </w:tc>
        <w:tc>
          <w:tcPr>
            <w:tcW w:w="709" w:type="dxa"/>
            <w:shd w:val="clear" w:color="auto" w:fill="C6EFCE"/>
            <w:noWrap/>
            <w:vAlign w:val="center"/>
          </w:tcPr>
          <w:p w14:paraId="65DE1B34"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14C69167" w14:textId="77777777" w:rsidR="003F5418" w:rsidRDefault="002A6C25">
            <w:pPr>
              <w:pStyle w:val="P68B1DB1-Normal4"/>
              <w:spacing w:after="120"/>
              <w:rPr>
                <w:noProof/>
              </w:rPr>
            </w:pPr>
            <w:r>
              <w:rPr>
                <w:noProof/>
              </w:rPr>
              <w:t xml:space="preserve">Erőforrás-allokáció hat vasútvonalon létesítendő tíz vasúti hidrogéntöltő állomás építéséhez a </w:t>
            </w:r>
            <w:r>
              <w:rPr>
                <w:noProof/>
              </w:rPr>
              <w:t>meghatározott eljárásoknak és kritériumoknak megfelelően”;</w:t>
            </w:r>
          </w:p>
        </w:tc>
      </w:tr>
      <w:tr w:rsidR="003F5418" w14:paraId="4A4E0D91" w14:textId="77777777">
        <w:trPr>
          <w:trHeight w:val="309"/>
          <w:jc w:val="center"/>
        </w:trPr>
        <w:tc>
          <w:tcPr>
            <w:tcW w:w="1122" w:type="dxa"/>
            <w:shd w:val="clear" w:color="auto" w:fill="C6EFCE"/>
            <w:noWrap/>
            <w:vAlign w:val="center"/>
          </w:tcPr>
          <w:p w14:paraId="3D874667" w14:textId="77777777" w:rsidR="003F5418" w:rsidRDefault="002A6C25">
            <w:pPr>
              <w:pStyle w:val="P68B1DB1-Normal4"/>
              <w:spacing w:line="276" w:lineRule="auto"/>
              <w:jc w:val="center"/>
              <w:rPr>
                <w:noProof/>
              </w:rPr>
            </w:pPr>
            <w:r>
              <w:rPr>
                <w:noProof/>
              </w:rPr>
              <w:t>M2C2–18</w:t>
            </w:r>
          </w:p>
        </w:tc>
        <w:tc>
          <w:tcPr>
            <w:tcW w:w="1716" w:type="dxa"/>
            <w:shd w:val="clear" w:color="auto" w:fill="C6EFCE"/>
            <w:noWrap/>
            <w:vAlign w:val="center"/>
          </w:tcPr>
          <w:p w14:paraId="09A4A68D" w14:textId="77777777" w:rsidR="003F5418" w:rsidRDefault="002A6C25">
            <w:pPr>
              <w:pStyle w:val="P68B1DB1-Normal4"/>
              <w:spacing w:line="276" w:lineRule="auto"/>
              <w:jc w:val="center"/>
              <w:rPr>
                <w:noProof/>
              </w:rPr>
            </w:pPr>
            <w:r>
              <w:rPr>
                <w:noProof/>
              </w:rPr>
              <w:t>Beruházás Hidrogénkutatás és -fejlesztés</w:t>
            </w:r>
          </w:p>
        </w:tc>
        <w:tc>
          <w:tcPr>
            <w:tcW w:w="1131" w:type="dxa"/>
            <w:shd w:val="clear" w:color="auto" w:fill="C6EFCE"/>
            <w:noWrap/>
            <w:vAlign w:val="center"/>
          </w:tcPr>
          <w:p w14:paraId="0C962D7E"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785BEC13" w14:textId="77777777" w:rsidR="003F5418" w:rsidRDefault="002A6C25">
            <w:pPr>
              <w:pStyle w:val="P68B1DB1-Normal4"/>
              <w:spacing w:line="276" w:lineRule="auto"/>
              <w:jc w:val="center"/>
              <w:rPr>
                <w:noProof/>
              </w:rPr>
            </w:pPr>
            <w:r>
              <w:rPr>
                <w:noProof/>
              </w:rPr>
              <w:t>Valamennyi állami K+F szerződés odaítélése hidrogénnel kapcsolatos kutatási projektek számára</w:t>
            </w:r>
          </w:p>
        </w:tc>
        <w:tc>
          <w:tcPr>
            <w:tcW w:w="1277" w:type="dxa"/>
            <w:shd w:val="clear" w:color="auto" w:fill="C6EFCE"/>
            <w:noWrap/>
            <w:vAlign w:val="center"/>
          </w:tcPr>
          <w:p w14:paraId="797C82AB" w14:textId="77777777" w:rsidR="003F5418" w:rsidRDefault="002A6C25">
            <w:pPr>
              <w:pStyle w:val="P68B1DB1-Normal4"/>
              <w:spacing w:line="276" w:lineRule="auto"/>
              <w:jc w:val="center"/>
              <w:rPr>
                <w:noProof/>
              </w:rPr>
            </w:pPr>
            <w:r>
              <w:rPr>
                <w:noProof/>
              </w:rPr>
              <w:t xml:space="preserve">Értesítés a hidrogénnel kapcsolatos </w:t>
            </w:r>
            <w:r>
              <w:rPr>
                <w:noProof/>
              </w:rPr>
              <w:t>kutatási és fejlesztési szerződések odaítéléséről</w:t>
            </w:r>
          </w:p>
        </w:tc>
        <w:tc>
          <w:tcPr>
            <w:tcW w:w="1415" w:type="dxa"/>
            <w:shd w:val="clear" w:color="auto" w:fill="C6EFCE"/>
            <w:noWrap/>
            <w:vAlign w:val="center"/>
          </w:tcPr>
          <w:p w14:paraId="38ADDE5F"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0138ACEB"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764E7501"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3AEBAC10"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7E34BB33"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47FE881E" w14:textId="77777777" w:rsidR="003F5418" w:rsidRDefault="002A6C25">
            <w:pPr>
              <w:pStyle w:val="P68B1DB1-Normal4"/>
              <w:spacing w:after="120"/>
              <w:rPr>
                <w:noProof/>
              </w:rPr>
            </w:pPr>
            <w:r>
              <w:rPr>
                <w:noProof/>
              </w:rPr>
              <w:t xml:space="preserve">Értesítés a K+F szerződések odaítéléséről, amelynek célja a hidrogénvektornak a gyártási, tárolási és elosztási szakaszban történő végrehajtásával kapcsolatos ismeretek bővítése.  </w:t>
            </w:r>
            <w:r>
              <w:rPr>
                <w:noProof/>
              </w:rPr>
              <w:t>A szerződéseknek legalább négy kutatási dimenziót kell kidolgozniuk:</w:t>
            </w:r>
          </w:p>
          <w:p w14:paraId="0AB8B2A8" w14:textId="77777777" w:rsidR="003F5418" w:rsidRDefault="002A6C25">
            <w:pPr>
              <w:pStyle w:val="P68B1DB1-Normal4"/>
              <w:spacing w:after="120"/>
              <w:rPr>
                <w:noProof/>
              </w:rPr>
            </w:pPr>
            <w:r>
              <w:rPr>
                <w:noProof/>
              </w:rPr>
              <w:t>zöld és tiszta hidrogén előállítása</w:t>
            </w:r>
          </w:p>
          <w:p w14:paraId="6AAA7CA5" w14:textId="77777777" w:rsidR="003F5418" w:rsidRDefault="002A6C25">
            <w:pPr>
              <w:pStyle w:val="P68B1DB1-Normal4"/>
              <w:spacing w:after="120"/>
              <w:rPr>
                <w:noProof/>
              </w:rPr>
            </w:pPr>
            <w:r>
              <w:rPr>
                <w:noProof/>
              </w:rPr>
              <w:t>a hidrogén tárolására, szállítására és származékaivá és e-üzemanyagokká való átalakítására szolgáló innovatív technológiák</w:t>
            </w:r>
          </w:p>
          <w:p w14:paraId="297CA6D3" w14:textId="77777777" w:rsidR="003F5418" w:rsidRDefault="002A6C25">
            <w:pPr>
              <w:pStyle w:val="P68B1DB1-Normal4"/>
              <w:spacing w:after="120"/>
              <w:rPr>
                <w:noProof/>
              </w:rPr>
            </w:pPr>
            <w:r>
              <w:rPr>
                <w:noProof/>
              </w:rPr>
              <w:t>C) Üzemanyagcellák helyhez k</w:t>
            </w:r>
            <w:r>
              <w:rPr>
                <w:noProof/>
              </w:rPr>
              <w:t>ötött és mobilitási alkalmazásokhoz</w:t>
            </w:r>
          </w:p>
          <w:p w14:paraId="2E18C12C" w14:textId="77777777" w:rsidR="003F5418" w:rsidRDefault="002A6C25">
            <w:pPr>
              <w:pStyle w:val="P68B1DB1-Normal4"/>
              <w:spacing w:after="120"/>
              <w:rPr>
                <w:noProof/>
              </w:rPr>
            </w:pPr>
            <w:r>
              <w:rPr>
                <w:noProof/>
              </w:rPr>
              <w:t>integrált intelligens irányítási rendszerek az intelligens hidrogénalapú infrastruktúrák ellenálló képességének és megbízhatóságának növelése érdekében</w:t>
            </w:r>
          </w:p>
          <w:p w14:paraId="06B78AA2" w14:textId="5C5BA72A" w:rsidR="003F5418" w:rsidRDefault="002A6C25">
            <w:pPr>
              <w:pStyle w:val="P68B1DB1-Normal4"/>
              <w:spacing w:after="120"/>
              <w:rPr>
                <w:noProof/>
              </w:rPr>
            </w:pPr>
            <w:r>
              <w:rPr>
                <w:noProof/>
              </w:rPr>
              <w:t>Ez az intézkedés támogatja az (EU) 2018/2001 irányelvben (megújulóen</w:t>
            </w:r>
            <w:r>
              <w:rPr>
                <w:noProof/>
              </w:rPr>
              <w:t>ergia-irányelv) meghatározott megújuló energiaforrásokat vagy hálózati villamos energiát felhasználó elektrolízisen alapuló hidrogéntermelést, vagy az olyan hidrogéntevékenységeket, amelyek megfelelnek a hidrogén esetében 73,4%-os teljes életciklus-alapú Ü</w:t>
            </w:r>
            <w:r>
              <w:rPr>
                <w:noProof/>
              </w:rPr>
              <w:t>HG-megtakarítási követelménynek, ami az (EU) 2018/2001 irányelv 25. cikkének (2) bekezdésében és V. mellékletében meghatározott megközelítés analógiájára a hidrogénalapú szintetikus üzemanyagok esetében pedig 70%-os ÜHG-kibocsátást eredményez a 94 g CO2e/M</w:t>
            </w:r>
            <w:r>
              <w:rPr>
                <w:noProof/>
              </w:rPr>
              <w:t>J fosszilisüzemanyag-komparátorhoz képest.</w:t>
            </w:r>
          </w:p>
        </w:tc>
      </w:tr>
      <w:tr w:rsidR="003F5418" w14:paraId="731D65E4" w14:textId="77777777">
        <w:trPr>
          <w:trHeight w:val="309"/>
          <w:jc w:val="center"/>
        </w:trPr>
        <w:tc>
          <w:tcPr>
            <w:tcW w:w="1122" w:type="dxa"/>
            <w:shd w:val="clear" w:color="auto" w:fill="C6EFCE"/>
            <w:noWrap/>
            <w:vAlign w:val="center"/>
          </w:tcPr>
          <w:p w14:paraId="2F6B4DAA" w14:textId="77777777" w:rsidR="003F5418" w:rsidRDefault="002A6C25">
            <w:pPr>
              <w:pStyle w:val="P68B1DB1-Normal4"/>
              <w:spacing w:line="276" w:lineRule="auto"/>
              <w:jc w:val="center"/>
              <w:rPr>
                <w:noProof/>
              </w:rPr>
            </w:pPr>
            <w:r>
              <w:rPr>
                <w:noProof/>
              </w:rPr>
              <w:t>M2C2–20</w:t>
            </w:r>
          </w:p>
        </w:tc>
        <w:tc>
          <w:tcPr>
            <w:tcW w:w="1716" w:type="dxa"/>
            <w:shd w:val="clear" w:color="auto" w:fill="C6EFCE"/>
            <w:noWrap/>
            <w:vAlign w:val="center"/>
          </w:tcPr>
          <w:p w14:paraId="428F525E" w14:textId="77777777" w:rsidR="003F5418" w:rsidRDefault="002A6C25">
            <w:pPr>
              <w:pStyle w:val="P68B1DB1-Normal4"/>
              <w:spacing w:line="276" w:lineRule="auto"/>
              <w:jc w:val="center"/>
              <w:rPr>
                <w:noProof/>
              </w:rPr>
            </w:pPr>
            <w:r>
              <w:rPr>
                <w:noProof/>
              </w:rPr>
              <w:t>Reform Az adminisztráció egyszerűsítése és a hidrogén bevezetése előtt álló szabályozási akadályok csökkentése</w:t>
            </w:r>
          </w:p>
        </w:tc>
        <w:tc>
          <w:tcPr>
            <w:tcW w:w="1131" w:type="dxa"/>
            <w:shd w:val="clear" w:color="auto" w:fill="C6EFCE"/>
            <w:noWrap/>
            <w:vAlign w:val="center"/>
          </w:tcPr>
          <w:p w14:paraId="0F57B14D"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32397F96" w14:textId="77777777" w:rsidR="003F5418" w:rsidRDefault="002A6C25">
            <w:pPr>
              <w:pStyle w:val="P68B1DB1-Normal4"/>
              <w:spacing w:line="276" w:lineRule="auto"/>
              <w:jc w:val="center"/>
              <w:rPr>
                <w:noProof/>
              </w:rPr>
            </w:pPr>
            <w:r>
              <w:rPr>
                <w:noProof/>
              </w:rPr>
              <w:t>A szükséges jogalkotási intézkedések hatálybalépése</w:t>
            </w:r>
          </w:p>
        </w:tc>
        <w:tc>
          <w:tcPr>
            <w:tcW w:w="1277" w:type="dxa"/>
            <w:shd w:val="clear" w:color="auto" w:fill="C6EFCE"/>
            <w:noWrap/>
            <w:vAlign w:val="center"/>
          </w:tcPr>
          <w:p w14:paraId="62E06233" w14:textId="77777777" w:rsidR="003F5418" w:rsidRDefault="002A6C25">
            <w:pPr>
              <w:pStyle w:val="P68B1DB1-Normal4"/>
              <w:spacing w:line="276" w:lineRule="auto"/>
              <w:jc w:val="center"/>
              <w:rPr>
                <w:noProof/>
              </w:rPr>
            </w:pPr>
            <w:r>
              <w:rPr>
                <w:noProof/>
              </w:rPr>
              <w:t xml:space="preserve">A jogszabály hatálybalépésére </w:t>
            </w:r>
            <w:r>
              <w:rPr>
                <w:noProof/>
              </w:rPr>
              <w:t>vonatkozó rendelkezés a jogszabályban</w:t>
            </w:r>
          </w:p>
        </w:tc>
        <w:tc>
          <w:tcPr>
            <w:tcW w:w="1415" w:type="dxa"/>
            <w:shd w:val="clear" w:color="auto" w:fill="C6EFCE"/>
            <w:noWrap/>
            <w:vAlign w:val="center"/>
          </w:tcPr>
          <w:p w14:paraId="55242E05"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68065A71"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56C89F14"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698BB009" w14:textId="77777777" w:rsidR="003F5418" w:rsidRDefault="002A6C25">
            <w:pPr>
              <w:pStyle w:val="P68B1DB1-Normal4"/>
              <w:spacing w:line="276" w:lineRule="auto"/>
              <w:jc w:val="center"/>
              <w:rPr>
                <w:noProof/>
              </w:rPr>
            </w:pPr>
            <w:r>
              <w:rPr>
                <w:noProof/>
              </w:rPr>
              <w:t>Q1</w:t>
            </w:r>
          </w:p>
        </w:tc>
        <w:tc>
          <w:tcPr>
            <w:tcW w:w="709" w:type="dxa"/>
            <w:shd w:val="clear" w:color="auto" w:fill="C6EFCE"/>
            <w:noWrap/>
            <w:vAlign w:val="center"/>
          </w:tcPr>
          <w:p w14:paraId="2EED2715"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5B0113FD" w14:textId="77777777" w:rsidR="003F5418" w:rsidRDefault="002A6C25">
            <w:pPr>
              <w:pStyle w:val="P68B1DB1-Normal4"/>
              <w:spacing w:after="120"/>
              <w:rPr>
                <w:noProof/>
              </w:rPr>
            </w:pPr>
            <w:r>
              <w:rPr>
                <w:noProof/>
              </w:rPr>
              <w:t>A szükséges jogalkotási intézkedések meghatározzák i. a hidrogén előállításával, szállításával és tárolásával kapcsolatos biztonsági rendelkezéseket, ii. a zöld hidrogén előállítására szolgáló</w:t>
            </w:r>
            <w:r>
              <w:rPr>
                <w:noProof/>
              </w:rPr>
              <w:t xml:space="preserve"> kis struktúrák kiépítésére vonatkozó eljárások egyszerűsítését, valamint iii. a hidrogénalapú töltőállomások kiépítésének feltételeire vonatkozó intézkedéseket.</w:t>
            </w:r>
          </w:p>
          <w:p w14:paraId="5368B610" w14:textId="1208C6A2" w:rsidR="003F5418" w:rsidRDefault="002A6C25">
            <w:pPr>
              <w:pStyle w:val="P68B1DB1-Normal4"/>
              <w:spacing w:after="120"/>
              <w:rPr>
                <w:noProof/>
              </w:rPr>
            </w:pPr>
            <w:r>
              <w:rPr>
                <w:noProof/>
              </w:rPr>
              <w:t>Ez az intézkedés csak olyan hidrogéntevékenységeket támogat, amelyek megfelelnek a teljes élet</w:t>
            </w:r>
            <w:r>
              <w:rPr>
                <w:noProof/>
              </w:rPr>
              <w:t>ciklusra számított 73,4%-os ÜHG-kibocsátásmegtakarítási követelménynek, ami 3 t CO2eq/tH2-t eredményez.</w:t>
            </w:r>
          </w:p>
        </w:tc>
      </w:tr>
      <w:tr w:rsidR="003F5418" w14:paraId="13B97DD2" w14:textId="77777777">
        <w:trPr>
          <w:trHeight w:val="309"/>
          <w:jc w:val="center"/>
        </w:trPr>
        <w:tc>
          <w:tcPr>
            <w:tcW w:w="1122" w:type="dxa"/>
            <w:shd w:val="clear" w:color="auto" w:fill="C6EFCE"/>
            <w:noWrap/>
            <w:vAlign w:val="center"/>
          </w:tcPr>
          <w:p w14:paraId="49DAD31D" w14:textId="77777777" w:rsidR="003F5418" w:rsidRDefault="002A6C25">
            <w:pPr>
              <w:pStyle w:val="P68B1DB1-Normal4"/>
              <w:spacing w:line="276" w:lineRule="auto"/>
              <w:jc w:val="center"/>
              <w:rPr>
                <w:noProof/>
              </w:rPr>
            </w:pPr>
            <w:r>
              <w:rPr>
                <w:noProof/>
              </w:rPr>
              <w:t>M2C2–21</w:t>
            </w:r>
          </w:p>
        </w:tc>
        <w:tc>
          <w:tcPr>
            <w:tcW w:w="1716" w:type="dxa"/>
            <w:shd w:val="clear" w:color="auto" w:fill="C6EFCE"/>
            <w:noWrap/>
            <w:vAlign w:val="center"/>
          </w:tcPr>
          <w:p w14:paraId="6AE1DFF7" w14:textId="77777777" w:rsidR="003F5418" w:rsidRDefault="002A6C25">
            <w:pPr>
              <w:pStyle w:val="P68B1DB1-Normal4"/>
              <w:spacing w:line="276" w:lineRule="auto"/>
              <w:jc w:val="center"/>
              <w:rPr>
                <w:noProof/>
              </w:rPr>
            </w:pPr>
            <w:r>
              <w:rPr>
                <w:noProof/>
              </w:rPr>
              <w:t>Reform – A hidrogén versenyképességét elősegítő intézkedések</w:t>
            </w:r>
          </w:p>
        </w:tc>
        <w:tc>
          <w:tcPr>
            <w:tcW w:w="1131" w:type="dxa"/>
            <w:shd w:val="clear" w:color="auto" w:fill="C6EFCE"/>
            <w:noWrap/>
            <w:vAlign w:val="center"/>
          </w:tcPr>
          <w:p w14:paraId="7659FE2A"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75787FC6" w14:textId="77777777" w:rsidR="003F5418" w:rsidRDefault="002A6C25">
            <w:pPr>
              <w:pStyle w:val="P68B1DB1-Normal4"/>
              <w:spacing w:line="276" w:lineRule="auto"/>
              <w:jc w:val="center"/>
              <w:rPr>
                <w:noProof/>
              </w:rPr>
            </w:pPr>
            <w:r>
              <w:rPr>
                <w:noProof/>
              </w:rPr>
              <w:t>A fiskális ösztönzők hatálybalépése</w:t>
            </w:r>
          </w:p>
        </w:tc>
        <w:tc>
          <w:tcPr>
            <w:tcW w:w="1277" w:type="dxa"/>
            <w:shd w:val="clear" w:color="auto" w:fill="C6EFCE"/>
            <w:noWrap/>
            <w:vAlign w:val="center"/>
          </w:tcPr>
          <w:p w14:paraId="2ACACC23" w14:textId="77777777" w:rsidR="003F5418" w:rsidRDefault="002A6C25">
            <w:pPr>
              <w:pStyle w:val="P68B1DB1-Normal4"/>
              <w:spacing w:line="276" w:lineRule="auto"/>
              <w:jc w:val="center"/>
              <w:rPr>
                <w:noProof/>
              </w:rPr>
            </w:pPr>
            <w:r>
              <w:rPr>
                <w:noProof/>
              </w:rPr>
              <w:t xml:space="preserve">A jogszabály hatálybalépésére </w:t>
            </w:r>
            <w:r>
              <w:rPr>
                <w:noProof/>
              </w:rPr>
              <w:t>vonatkozó rendelkezés a jogszabályban</w:t>
            </w:r>
          </w:p>
        </w:tc>
        <w:tc>
          <w:tcPr>
            <w:tcW w:w="1415" w:type="dxa"/>
            <w:shd w:val="clear" w:color="auto" w:fill="C6EFCE"/>
            <w:noWrap/>
            <w:vAlign w:val="center"/>
          </w:tcPr>
          <w:p w14:paraId="41062246" w14:textId="77777777" w:rsidR="003F5418" w:rsidRDefault="002A6C25">
            <w:pPr>
              <w:pStyle w:val="P68B1DB1-Normal4"/>
              <w:spacing w:line="276" w:lineRule="auto"/>
              <w:jc w:val="center"/>
              <w:rPr>
                <w:noProof/>
              </w:rPr>
            </w:pPr>
            <w:r>
              <w:rPr>
                <w:noProof/>
              </w:rPr>
              <w:t>N.A.</w:t>
            </w:r>
          </w:p>
        </w:tc>
        <w:tc>
          <w:tcPr>
            <w:tcW w:w="1021" w:type="dxa"/>
            <w:shd w:val="clear" w:color="auto" w:fill="C6EFCE"/>
            <w:noWrap/>
            <w:vAlign w:val="center"/>
          </w:tcPr>
          <w:p w14:paraId="235D9CD1"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5955B90B"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48A8C0E6"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0CFD1299"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63BF1F4B" w14:textId="77777777" w:rsidR="003F5418" w:rsidRDefault="002A6C25">
            <w:pPr>
              <w:pStyle w:val="P68B1DB1-Normal4"/>
              <w:spacing w:after="120"/>
              <w:rPr>
                <w:noProof/>
              </w:rPr>
            </w:pPr>
            <w:r>
              <w:rPr>
                <w:noProof/>
              </w:rPr>
              <w:t>A jogszabálynak adóügyi ösztönzőket kell meghatároznia a zöld hidrogén előállításának támogatása és a zöld hidrogén közlekedési ágazat általi fogyasztásának támogatása érdekében.</w:t>
            </w:r>
          </w:p>
          <w:p w14:paraId="3620646D" w14:textId="535F1D0C" w:rsidR="003F5418" w:rsidRDefault="002A6C25">
            <w:pPr>
              <w:pStyle w:val="P68B1DB1-Normal4"/>
              <w:spacing w:after="120"/>
              <w:rPr>
                <w:noProof/>
              </w:rPr>
            </w:pPr>
            <w:r>
              <w:rPr>
                <w:noProof/>
              </w:rPr>
              <w:t>Ez az intézked</w:t>
            </w:r>
            <w:r>
              <w:rPr>
                <w:noProof/>
              </w:rPr>
              <w:t>és csak olyan hidrogéntevékenységeket támogat, amelyek megfelelnek a teljes életciklusra számított 73,4%-os ÜHG-kibocsátásmegtakarítási követelménynek, ami 3 t CO2eq/tH2-t eredményez.</w:t>
            </w:r>
          </w:p>
        </w:tc>
      </w:tr>
      <w:tr w:rsidR="003F5418" w14:paraId="1F6C1DE8" w14:textId="77777777">
        <w:trPr>
          <w:trHeight w:val="309"/>
          <w:jc w:val="center"/>
        </w:trPr>
        <w:tc>
          <w:tcPr>
            <w:tcW w:w="1122" w:type="dxa"/>
            <w:shd w:val="clear" w:color="auto" w:fill="C6EFCE"/>
            <w:noWrap/>
            <w:vAlign w:val="center"/>
          </w:tcPr>
          <w:p w14:paraId="4E1C9B0F" w14:textId="77777777" w:rsidR="003F5418" w:rsidRDefault="002A6C25">
            <w:pPr>
              <w:pStyle w:val="P68B1DB1-Normal4"/>
              <w:spacing w:line="276" w:lineRule="auto"/>
              <w:jc w:val="center"/>
              <w:rPr>
                <w:noProof/>
              </w:rPr>
            </w:pPr>
            <w:r>
              <w:rPr>
                <w:noProof/>
              </w:rPr>
              <w:t>M2C2–22</w:t>
            </w:r>
          </w:p>
        </w:tc>
        <w:tc>
          <w:tcPr>
            <w:tcW w:w="1716" w:type="dxa"/>
            <w:shd w:val="clear" w:color="auto" w:fill="C6EFCE"/>
            <w:noWrap/>
            <w:vAlign w:val="center"/>
          </w:tcPr>
          <w:p w14:paraId="3A756A03" w14:textId="77777777" w:rsidR="003F5418" w:rsidRDefault="002A6C25">
            <w:pPr>
              <w:pStyle w:val="P68B1DB1-Normal4"/>
              <w:spacing w:line="276" w:lineRule="auto"/>
              <w:jc w:val="center"/>
              <w:rPr>
                <w:noProof/>
              </w:rPr>
            </w:pPr>
            <w:r>
              <w:rPr>
                <w:noProof/>
              </w:rPr>
              <w:t>Beruházás a puha mobilitásba (Nemzeti ciklusterv)</w:t>
            </w:r>
          </w:p>
        </w:tc>
        <w:tc>
          <w:tcPr>
            <w:tcW w:w="1131" w:type="dxa"/>
            <w:shd w:val="clear" w:color="auto" w:fill="C6EFCE"/>
            <w:noWrap/>
            <w:vAlign w:val="center"/>
          </w:tcPr>
          <w:p w14:paraId="4570CD95"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138B9477" w14:textId="77777777" w:rsidR="003F5418" w:rsidRDefault="002A6C25">
            <w:pPr>
              <w:pStyle w:val="P68B1DB1-Normal4"/>
              <w:spacing w:line="276" w:lineRule="auto"/>
              <w:jc w:val="center"/>
              <w:rPr>
                <w:noProof/>
              </w:rPr>
            </w:pPr>
            <w:r>
              <w:rPr>
                <w:noProof/>
              </w:rPr>
              <w:t xml:space="preserve">T1 </w:t>
            </w:r>
            <w:r>
              <w:rPr>
                <w:noProof/>
              </w:rPr>
              <w:t>kerékpársávok</w:t>
            </w:r>
          </w:p>
        </w:tc>
        <w:tc>
          <w:tcPr>
            <w:tcW w:w="1277" w:type="dxa"/>
            <w:shd w:val="clear" w:color="auto" w:fill="C6EFCE"/>
            <w:noWrap/>
            <w:vAlign w:val="center"/>
          </w:tcPr>
          <w:p w14:paraId="6CCB49B5" w14:textId="77777777" w:rsidR="003F5418" w:rsidRDefault="002A6C25">
            <w:pPr>
              <w:pStyle w:val="P68B1DB1-Normal4"/>
              <w:spacing w:line="276" w:lineRule="auto"/>
              <w:jc w:val="center"/>
              <w:rPr>
                <w:noProof/>
              </w:rPr>
            </w:pPr>
            <w:r>
              <w:rPr>
                <w:noProof/>
              </w:rPr>
              <w:t>NINCS</w:t>
            </w:r>
          </w:p>
        </w:tc>
        <w:tc>
          <w:tcPr>
            <w:tcW w:w="1415" w:type="dxa"/>
            <w:shd w:val="clear" w:color="auto" w:fill="C6EFCE"/>
            <w:noWrap/>
            <w:vAlign w:val="center"/>
          </w:tcPr>
          <w:p w14:paraId="4DD79299" w14:textId="77777777" w:rsidR="003F5418" w:rsidRDefault="002A6C25">
            <w:pPr>
              <w:pStyle w:val="P68B1DB1-Normal4"/>
              <w:spacing w:line="276" w:lineRule="auto"/>
              <w:jc w:val="center"/>
              <w:rPr>
                <w:noProof/>
              </w:rPr>
            </w:pPr>
            <w:r>
              <w:rPr>
                <w:noProof/>
              </w:rPr>
              <w:t>Kilométer</w:t>
            </w:r>
          </w:p>
        </w:tc>
        <w:tc>
          <w:tcPr>
            <w:tcW w:w="1021" w:type="dxa"/>
            <w:shd w:val="clear" w:color="auto" w:fill="C6EFCE"/>
            <w:noWrap/>
            <w:vAlign w:val="center"/>
          </w:tcPr>
          <w:p w14:paraId="621FDC82" w14:textId="77777777" w:rsidR="003F5418" w:rsidRDefault="002A6C25">
            <w:pPr>
              <w:pStyle w:val="P68B1DB1-Normal4"/>
              <w:spacing w:line="276" w:lineRule="auto"/>
              <w:jc w:val="center"/>
              <w:rPr>
                <w:noProof/>
              </w:rPr>
            </w:pPr>
            <w:r>
              <w:rPr>
                <w:noProof/>
              </w:rPr>
              <w:t>0</w:t>
            </w:r>
          </w:p>
        </w:tc>
        <w:tc>
          <w:tcPr>
            <w:tcW w:w="1418" w:type="dxa"/>
            <w:shd w:val="clear" w:color="auto" w:fill="C6EFCE"/>
            <w:noWrap/>
            <w:vAlign w:val="center"/>
          </w:tcPr>
          <w:p w14:paraId="7B5B5AC3" w14:textId="77777777" w:rsidR="003F5418" w:rsidRDefault="002A6C25">
            <w:pPr>
              <w:pStyle w:val="P68B1DB1-Normal4"/>
              <w:spacing w:line="276" w:lineRule="auto"/>
              <w:jc w:val="center"/>
              <w:rPr>
                <w:noProof/>
              </w:rPr>
            </w:pPr>
            <w:r>
              <w:rPr>
                <w:noProof/>
              </w:rPr>
              <w:t>200</w:t>
            </w:r>
          </w:p>
        </w:tc>
        <w:tc>
          <w:tcPr>
            <w:tcW w:w="993" w:type="dxa"/>
            <w:shd w:val="clear" w:color="auto" w:fill="C6EFCE"/>
            <w:noWrap/>
            <w:vAlign w:val="center"/>
          </w:tcPr>
          <w:p w14:paraId="7AB5EE7C"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308B10CC"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62101E6D" w14:textId="37407D25" w:rsidR="003F5418" w:rsidRDefault="002A6C25">
            <w:pPr>
              <w:pStyle w:val="P68B1DB1-Normal4"/>
              <w:spacing w:after="120"/>
              <w:rPr>
                <w:noProof/>
              </w:rPr>
            </w:pPr>
            <w:r>
              <w:rPr>
                <w:noProof/>
              </w:rPr>
              <w:t>Az intézkedés leírásában meghatározott nagyvárosi területeken vagy egyetemeknek otthont adó városokban legalább 200 km-es kerékpársáv létrehozása.</w:t>
            </w:r>
          </w:p>
        </w:tc>
      </w:tr>
      <w:tr w:rsidR="003F5418" w14:paraId="3A35C7F8" w14:textId="77777777">
        <w:trPr>
          <w:trHeight w:val="309"/>
          <w:jc w:val="center"/>
        </w:trPr>
        <w:tc>
          <w:tcPr>
            <w:tcW w:w="1122" w:type="dxa"/>
            <w:shd w:val="clear" w:color="auto" w:fill="C6EFCE"/>
            <w:noWrap/>
            <w:vAlign w:val="center"/>
          </w:tcPr>
          <w:p w14:paraId="11C40CC0" w14:textId="77777777" w:rsidR="003F5418" w:rsidRDefault="002A6C25">
            <w:pPr>
              <w:pStyle w:val="P68B1DB1-Normal4"/>
              <w:spacing w:line="276" w:lineRule="auto"/>
              <w:jc w:val="center"/>
              <w:rPr>
                <w:noProof/>
              </w:rPr>
            </w:pPr>
            <w:r>
              <w:rPr>
                <w:noProof/>
              </w:rPr>
              <w:t>M2C2–23</w:t>
            </w:r>
          </w:p>
        </w:tc>
        <w:tc>
          <w:tcPr>
            <w:tcW w:w="1716" w:type="dxa"/>
            <w:shd w:val="clear" w:color="auto" w:fill="C6EFCE"/>
            <w:noWrap/>
            <w:vAlign w:val="center"/>
          </w:tcPr>
          <w:p w14:paraId="2929CF75" w14:textId="77777777" w:rsidR="003F5418" w:rsidRDefault="002A6C25">
            <w:pPr>
              <w:pStyle w:val="P68B1DB1-Normal4"/>
              <w:spacing w:line="276" w:lineRule="auto"/>
              <w:jc w:val="center"/>
              <w:rPr>
                <w:noProof/>
              </w:rPr>
            </w:pPr>
            <w:r>
              <w:rPr>
                <w:noProof/>
              </w:rPr>
              <w:t>Beruházás a puha mobilitásba (Nemzeti ciklusterv)</w:t>
            </w:r>
          </w:p>
        </w:tc>
        <w:tc>
          <w:tcPr>
            <w:tcW w:w="1131" w:type="dxa"/>
            <w:shd w:val="clear" w:color="auto" w:fill="C6EFCE"/>
            <w:noWrap/>
            <w:vAlign w:val="center"/>
          </w:tcPr>
          <w:p w14:paraId="44088DB3"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1730EFD6" w14:textId="77777777" w:rsidR="003F5418" w:rsidRDefault="002A6C25">
            <w:pPr>
              <w:pStyle w:val="P68B1DB1-Normal4"/>
              <w:spacing w:line="276" w:lineRule="auto"/>
              <w:jc w:val="center"/>
              <w:rPr>
                <w:noProof/>
              </w:rPr>
            </w:pPr>
            <w:r>
              <w:rPr>
                <w:noProof/>
              </w:rPr>
              <w:t>T2</w:t>
            </w:r>
            <w:r>
              <w:rPr>
                <w:noProof/>
              </w:rPr>
              <w:t xml:space="preserve"> kerékpársávok</w:t>
            </w:r>
          </w:p>
        </w:tc>
        <w:tc>
          <w:tcPr>
            <w:tcW w:w="1277" w:type="dxa"/>
            <w:shd w:val="clear" w:color="auto" w:fill="C6EFCE"/>
            <w:noWrap/>
            <w:vAlign w:val="center"/>
          </w:tcPr>
          <w:p w14:paraId="4B6D961F" w14:textId="77777777" w:rsidR="003F5418" w:rsidRDefault="002A6C25">
            <w:pPr>
              <w:pStyle w:val="P68B1DB1-Normal4"/>
              <w:spacing w:line="276" w:lineRule="auto"/>
              <w:jc w:val="center"/>
              <w:rPr>
                <w:noProof/>
              </w:rPr>
            </w:pPr>
            <w:r>
              <w:rPr>
                <w:noProof/>
              </w:rPr>
              <w:t>NINCS</w:t>
            </w:r>
          </w:p>
        </w:tc>
        <w:tc>
          <w:tcPr>
            <w:tcW w:w="1415" w:type="dxa"/>
            <w:shd w:val="clear" w:color="auto" w:fill="C6EFCE"/>
            <w:noWrap/>
            <w:vAlign w:val="center"/>
          </w:tcPr>
          <w:p w14:paraId="4624F1A3" w14:textId="77777777" w:rsidR="003F5418" w:rsidRDefault="002A6C25">
            <w:pPr>
              <w:pStyle w:val="P68B1DB1-Normal4"/>
              <w:spacing w:line="276" w:lineRule="auto"/>
              <w:jc w:val="center"/>
              <w:rPr>
                <w:noProof/>
              </w:rPr>
            </w:pPr>
            <w:r>
              <w:rPr>
                <w:noProof/>
              </w:rPr>
              <w:t>Kilométer</w:t>
            </w:r>
          </w:p>
        </w:tc>
        <w:tc>
          <w:tcPr>
            <w:tcW w:w="1021" w:type="dxa"/>
            <w:shd w:val="clear" w:color="auto" w:fill="C6EFCE"/>
            <w:noWrap/>
            <w:vAlign w:val="center"/>
          </w:tcPr>
          <w:p w14:paraId="1256D3E8" w14:textId="77777777" w:rsidR="003F5418" w:rsidRDefault="002A6C25">
            <w:pPr>
              <w:pStyle w:val="P68B1DB1-Normal4"/>
              <w:spacing w:line="276" w:lineRule="auto"/>
              <w:jc w:val="center"/>
              <w:rPr>
                <w:noProof/>
              </w:rPr>
            </w:pPr>
            <w:r>
              <w:rPr>
                <w:noProof/>
              </w:rPr>
              <w:t>200</w:t>
            </w:r>
          </w:p>
        </w:tc>
        <w:tc>
          <w:tcPr>
            <w:tcW w:w="1418" w:type="dxa"/>
            <w:shd w:val="clear" w:color="auto" w:fill="C6EFCE"/>
            <w:noWrap/>
            <w:vAlign w:val="center"/>
          </w:tcPr>
          <w:p w14:paraId="280C2F05" w14:textId="510C01A1" w:rsidR="003F5418" w:rsidRDefault="002A6C25">
            <w:pPr>
              <w:pStyle w:val="P68B1DB1-Normal4"/>
              <w:spacing w:line="276" w:lineRule="auto"/>
              <w:jc w:val="center"/>
              <w:rPr>
                <w:noProof/>
              </w:rPr>
            </w:pPr>
            <w:r>
              <w:rPr>
                <w:noProof/>
              </w:rPr>
              <w:t>1 311</w:t>
            </w:r>
          </w:p>
        </w:tc>
        <w:tc>
          <w:tcPr>
            <w:tcW w:w="993" w:type="dxa"/>
            <w:shd w:val="clear" w:color="auto" w:fill="C6EFCE"/>
            <w:noWrap/>
            <w:vAlign w:val="center"/>
          </w:tcPr>
          <w:p w14:paraId="76748E15"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707BAF77" w14:textId="77777777" w:rsidR="003F5418" w:rsidRDefault="002A6C25">
            <w:pPr>
              <w:pStyle w:val="P68B1DB1-Normal4"/>
              <w:spacing w:line="276" w:lineRule="auto"/>
              <w:jc w:val="center"/>
              <w:rPr>
                <w:noProof/>
              </w:rPr>
            </w:pPr>
            <w:r>
              <w:rPr>
                <w:noProof/>
              </w:rPr>
              <w:t>2026</w:t>
            </w:r>
          </w:p>
        </w:tc>
        <w:tc>
          <w:tcPr>
            <w:tcW w:w="3854" w:type="dxa"/>
            <w:shd w:val="clear" w:color="auto" w:fill="C6EFCE"/>
            <w:noWrap/>
            <w:vAlign w:val="center"/>
          </w:tcPr>
          <w:p w14:paraId="5407618A" w14:textId="02EA32CD" w:rsidR="003F5418" w:rsidRDefault="002A6C25">
            <w:pPr>
              <w:pStyle w:val="P68B1DB1-Normal4"/>
              <w:spacing w:after="120"/>
              <w:rPr>
                <w:noProof/>
              </w:rPr>
            </w:pPr>
            <w:r>
              <w:rPr>
                <w:noProof/>
              </w:rPr>
              <w:t xml:space="preserve">A 2015. december 28-i 208. sz. törvényben meghatározott nagyvárosi területeken (az intézkedés leírásában meghatározottak szerint) vagy egyetemeknek otthont adó városokban legalább 365 km kerékpársáv és </w:t>
            </w:r>
            <w:r>
              <w:rPr>
                <w:noProof/>
              </w:rPr>
              <w:t>legalább 746 km turisztikai kerékpárút megvalósítása.</w:t>
            </w:r>
          </w:p>
        </w:tc>
      </w:tr>
      <w:tr w:rsidR="003F5418" w14:paraId="062A9327" w14:textId="77777777">
        <w:trPr>
          <w:trHeight w:val="309"/>
          <w:jc w:val="center"/>
        </w:trPr>
        <w:tc>
          <w:tcPr>
            <w:tcW w:w="1122" w:type="dxa"/>
            <w:shd w:val="clear" w:color="auto" w:fill="C6EFCE"/>
            <w:noWrap/>
            <w:vAlign w:val="center"/>
          </w:tcPr>
          <w:p w14:paraId="0EFFEA72" w14:textId="77777777" w:rsidR="003F5418" w:rsidRDefault="002A6C25">
            <w:pPr>
              <w:pStyle w:val="P68B1DB1-Normal4"/>
              <w:spacing w:line="276" w:lineRule="auto"/>
              <w:jc w:val="center"/>
              <w:rPr>
                <w:noProof/>
              </w:rPr>
            </w:pPr>
            <w:r>
              <w:rPr>
                <w:noProof/>
              </w:rPr>
              <w:t>M2C2–27</w:t>
            </w:r>
          </w:p>
        </w:tc>
        <w:tc>
          <w:tcPr>
            <w:tcW w:w="1716" w:type="dxa"/>
            <w:shd w:val="clear" w:color="auto" w:fill="C6EFCE"/>
            <w:noWrap/>
            <w:vAlign w:val="center"/>
          </w:tcPr>
          <w:p w14:paraId="0AD1C74C" w14:textId="77777777" w:rsidR="003F5418" w:rsidRDefault="002A6C25">
            <w:pPr>
              <w:pStyle w:val="P68B1DB1-Normal4"/>
              <w:spacing w:line="276" w:lineRule="auto"/>
              <w:jc w:val="center"/>
              <w:rPr>
                <w:noProof/>
              </w:rPr>
            </w:pPr>
            <w:r>
              <w:rPr>
                <w:noProof/>
              </w:rPr>
              <w:t>Beruházás: Töltő infrastruktúra létesítése</w:t>
            </w:r>
          </w:p>
        </w:tc>
        <w:tc>
          <w:tcPr>
            <w:tcW w:w="1131" w:type="dxa"/>
            <w:shd w:val="clear" w:color="auto" w:fill="C6EFCE"/>
            <w:noWrap/>
            <w:vAlign w:val="center"/>
          </w:tcPr>
          <w:p w14:paraId="2CD764B6"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5E3F5323" w14:textId="77777777" w:rsidR="003F5418" w:rsidRDefault="002A6C25">
            <w:pPr>
              <w:pStyle w:val="P68B1DB1-Normal4"/>
              <w:spacing w:line="276" w:lineRule="auto"/>
              <w:jc w:val="center"/>
              <w:rPr>
                <w:noProof/>
              </w:rPr>
            </w:pPr>
            <w:r>
              <w:rPr>
                <w:noProof/>
              </w:rPr>
              <w:t>Az M1 kategóriájú töltőállomás létesítésére irányuló valamennyi közbeszerzési szerződés odaítélése</w:t>
            </w:r>
          </w:p>
        </w:tc>
        <w:tc>
          <w:tcPr>
            <w:tcW w:w="1277" w:type="dxa"/>
            <w:shd w:val="clear" w:color="auto" w:fill="C6EFCE"/>
            <w:noWrap/>
            <w:vAlign w:val="center"/>
          </w:tcPr>
          <w:p w14:paraId="3E654852" w14:textId="77777777" w:rsidR="003F5418" w:rsidRDefault="002A6C25">
            <w:pPr>
              <w:pStyle w:val="P68B1DB1-Normal4"/>
              <w:spacing w:line="276" w:lineRule="auto"/>
              <w:jc w:val="center"/>
              <w:rPr>
                <w:noProof/>
              </w:rPr>
            </w:pPr>
            <w:r>
              <w:rPr>
                <w:noProof/>
              </w:rPr>
              <w:t xml:space="preserve">Értesítés a töltőállomás létesítésére </w:t>
            </w:r>
            <w:r>
              <w:rPr>
                <w:noProof/>
              </w:rPr>
              <w:t>irányuló valamennyi közbeszerzési szerződés odaítéléséről</w:t>
            </w:r>
          </w:p>
        </w:tc>
        <w:tc>
          <w:tcPr>
            <w:tcW w:w="1415" w:type="dxa"/>
            <w:shd w:val="clear" w:color="auto" w:fill="C6EFCE"/>
            <w:noWrap/>
            <w:vAlign w:val="center"/>
          </w:tcPr>
          <w:p w14:paraId="4E944D20"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2A5FAE93"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33B91119"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5DD1C1CC"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5304A785"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749B6F2E" w14:textId="34F5EA5C" w:rsidR="003F5418" w:rsidRDefault="002A6C25">
            <w:pPr>
              <w:pStyle w:val="P68B1DB1-Normal4"/>
              <w:spacing w:after="120"/>
              <w:rPr>
                <w:noProof/>
              </w:rPr>
            </w:pPr>
            <w:r>
              <w:rPr>
                <w:noProof/>
              </w:rPr>
              <w:t>Értesítés az összes olyan közbeszerzési szerződés odaítéléséről, amelynek célja, hogy legalább 4700 töltőállomást építsenek városi területeken (valamennyi település figyele</w:t>
            </w:r>
            <w:r>
              <w:rPr>
                <w:noProof/>
              </w:rPr>
              <w:t>mbevételével).</w:t>
            </w:r>
          </w:p>
          <w:p w14:paraId="0A053E10" w14:textId="77777777" w:rsidR="003F5418" w:rsidRDefault="002A6C25">
            <w:pPr>
              <w:pStyle w:val="P68B1DB1-Normal4"/>
              <w:spacing w:after="120"/>
              <w:rPr>
                <w:noProof/>
              </w:rPr>
            </w:pPr>
            <w:r>
              <w:rPr>
                <w:noProof/>
              </w:rPr>
              <w:t>A projekt magában foglalhat energiatárolási célú kísérleti töltőállomásokat is”;</w:t>
            </w:r>
          </w:p>
        </w:tc>
      </w:tr>
      <w:tr w:rsidR="003F5418" w14:paraId="1A29CB5C" w14:textId="77777777">
        <w:trPr>
          <w:trHeight w:val="309"/>
          <w:jc w:val="center"/>
        </w:trPr>
        <w:tc>
          <w:tcPr>
            <w:tcW w:w="1122" w:type="dxa"/>
            <w:shd w:val="clear" w:color="auto" w:fill="C6EFCE"/>
            <w:noWrap/>
            <w:vAlign w:val="center"/>
          </w:tcPr>
          <w:p w14:paraId="2A5C0082" w14:textId="77777777" w:rsidR="003F5418" w:rsidRDefault="002A6C25">
            <w:pPr>
              <w:pStyle w:val="P68B1DB1-Normal4"/>
              <w:spacing w:line="276" w:lineRule="auto"/>
              <w:jc w:val="center"/>
              <w:rPr>
                <w:noProof/>
              </w:rPr>
            </w:pPr>
            <w:r>
              <w:rPr>
                <w:noProof/>
              </w:rPr>
              <w:t>M2C2–28</w:t>
            </w:r>
          </w:p>
        </w:tc>
        <w:tc>
          <w:tcPr>
            <w:tcW w:w="1716" w:type="dxa"/>
            <w:shd w:val="clear" w:color="auto" w:fill="C6EFCE"/>
            <w:noWrap/>
            <w:vAlign w:val="center"/>
          </w:tcPr>
          <w:p w14:paraId="268C3DB1" w14:textId="77777777" w:rsidR="003F5418" w:rsidRDefault="002A6C25">
            <w:pPr>
              <w:pStyle w:val="P68B1DB1-Normal4"/>
              <w:spacing w:line="276" w:lineRule="auto"/>
              <w:jc w:val="center"/>
              <w:rPr>
                <w:noProof/>
              </w:rPr>
            </w:pPr>
            <w:r>
              <w:rPr>
                <w:noProof/>
              </w:rPr>
              <w:t>Beruházás: Töltő infrastruktúra létesítése</w:t>
            </w:r>
          </w:p>
        </w:tc>
        <w:tc>
          <w:tcPr>
            <w:tcW w:w="1131" w:type="dxa"/>
            <w:shd w:val="clear" w:color="auto" w:fill="C6EFCE"/>
            <w:noWrap/>
            <w:vAlign w:val="center"/>
          </w:tcPr>
          <w:p w14:paraId="6D276732"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1BAED656" w14:textId="77777777" w:rsidR="003F5418" w:rsidRDefault="002A6C25">
            <w:pPr>
              <w:pStyle w:val="P68B1DB1-Normal4"/>
              <w:spacing w:line="276" w:lineRule="auto"/>
              <w:jc w:val="center"/>
              <w:rPr>
                <w:noProof/>
              </w:rPr>
            </w:pPr>
            <w:r>
              <w:rPr>
                <w:noProof/>
              </w:rPr>
              <w:t>Az M2 töltőinfrastruktúra kiépítésére vonatkozó valamennyi közbeszerzési szerződés odaítélése</w:t>
            </w:r>
          </w:p>
        </w:tc>
        <w:tc>
          <w:tcPr>
            <w:tcW w:w="1277" w:type="dxa"/>
            <w:shd w:val="clear" w:color="auto" w:fill="C6EFCE"/>
            <w:noWrap/>
            <w:vAlign w:val="center"/>
          </w:tcPr>
          <w:p w14:paraId="1D616DBF" w14:textId="77777777" w:rsidR="003F5418" w:rsidRDefault="002A6C25">
            <w:pPr>
              <w:pStyle w:val="P68B1DB1-Normal4"/>
              <w:spacing w:line="276" w:lineRule="auto"/>
              <w:jc w:val="center"/>
              <w:rPr>
                <w:noProof/>
              </w:rPr>
            </w:pPr>
            <w:r>
              <w:rPr>
                <w:noProof/>
              </w:rPr>
              <w:t>Értesítés a töltőállomás létesítésére irányuló valamennyi közbeszerzési szerződés odaítéléséről</w:t>
            </w:r>
          </w:p>
        </w:tc>
        <w:tc>
          <w:tcPr>
            <w:tcW w:w="1415" w:type="dxa"/>
            <w:shd w:val="clear" w:color="auto" w:fill="C6EFCE"/>
            <w:noWrap/>
            <w:vAlign w:val="center"/>
          </w:tcPr>
          <w:p w14:paraId="3DBBFD52"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6FF210D2"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347C46EB"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1EB97E50"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4D2F8DD7" w14:textId="77777777" w:rsidR="003F5418" w:rsidRDefault="002A6C25">
            <w:pPr>
              <w:pStyle w:val="P68B1DB1-Normal4"/>
              <w:spacing w:line="276" w:lineRule="auto"/>
              <w:jc w:val="center"/>
              <w:rPr>
                <w:noProof/>
              </w:rPr>
            </w:pPr>
            <w:r>
              <w:rPr>
                <w:noProof/>
              </w:rPr>
              <w:t>2024</w:t>
            </w:r>
          </w:p>
        </w:tc>
        <w:tc>
          <w:tcPr>
            <w:tcW w:w="3854" w:type="dxa"/>
            <w:shd w:val="clear" w:color="auto" w:fill="C6EFCE"/>
            <w:noWrap/>
            <w:vAlign w:val="center"/>
          </w:tcPr>
          <w:p w14:paraId="34615596" w14:textId="46CF4835" w:rsidR="003F5418" w:rsidRDefault="002A6C25">
            <w:pPr>
              <w:pStyle w:val="P68B1DB1-Normal4"/>
              <w:spacing w:after="120"/>
              <w:rPr>
                <w:noProof/>
              </w:rPr>
            </w:pPr>
            <w:r>
              <w:rPr>
                <w:noProof/>
              </w:rPr>
              <w:t>7500 gyors nyilvános töltőinfrastruktúra-állomás megépítésére irányuló szerződések odaítélése szabadúton és legalább 9055 városi terül</w:t>
            </w:r>
            <w:r>
              <w:rPr>
                <w:noProof/>
              </w:rPr>
              <w:t>eten (valamennyi településen).</w:t>
            </w:r>
          </w:p>
          <w:p w14:paraId="151D2539" w14:textId="77777777" w:rsidR="003F5418" w:rsidRDefault="002A6C25">
            <w:pPr>
              <w:pStyle w:val="P68B1DB1-Normal4"/>
              <w:spacing w:after="120"/>
              <w:rPr>
                <w:noProof/>
              </w:rPr>
            </w:pPr>
            <w:r>
              <w:rPr>
                <w:noProof/>
              </w:rPr>
              <w:t>A projekt magában foglalhat energiatárolást célzó kísérleti töltőállomásokat is.</w:t>
            </w:r>
          </w:p>
        </w:tc>
      </w:tr>
      <w:tr w:rsidR="003F5418" w14:paraId="205E6A05" w14:textId="77777777">
        <w:trPr>
          <w:trHeight w:val="309"/>
          <w:jc w:val="center"/>
        </w:trPr>
        <w:tc>
          <w:tcPr>
            <w:tcW w:w="1122" w:type="dxa"/>
            <w:shd w:val="clear" w:color="auto" w:fill="C6EFCE"/>
            <w:noWrap/>
            <w:vAlign w:val="center"/>
          </w:tcPr>
          <w:p w14:paraId="506B3F1E" w14:textId="77777777" w:rsidR="003F5418" w:rsidRDefault="002A6C25">
            <w:pPr>
              <w:pStyle w:val="P68B1DB1-Normal4"/>
              <w:spacing w:line="276" w:lineRule="auto"/>
              <w:jc w:val="center"/>
              <w:rPr>
                <w:noProof/>
              </w:rPr>
            </w:pPr>
            <w:r>
              <w:rPr>
                <w:noProof/>
              </w:rPr>
              <w:t>M2C2–29</w:t>
            </w:r>
          </w:p>
        </w:tc>
        <w:tc>
          <w:tcPr>
            <w:tcW w:w="1716" w:type="dxa"/>
            <w:shd w:val="clear" w:color="auto" w:fill="C6EFCE"/>
            <w:noWrap/>
            <w:vAlign w:val="center"/>
          </w:tcPr>
          <w:p w14:paraId="3D6152AA" w14:textId="77777777" w:rsidR="003F5418" w:rsidRDefault="002A6C25">
            <w:pPr>
              <w:pStyle w:val="P68B1DB1-Normal4"/>
              <w:spacing w:line="276" w:lineRule="auto"/>
              <w:jc w:val="center"/>
              <w:rPr>
                <w:noProof/>
              </w:rPr>
            </w:pPr>
            <w:r>
              <w:rPr>
                <w:noProof/>
              </w:rPr>
              <w:t>Beruházás: Töltő infrastruktúra létesítése</w:t>
            </w:r>
          </w:p>
        </w:tc>
        <w:tc>
          <w:tcPr>
            <w:tcW w:w="1131" w:type="dxa"/>
            <w:shd w:val="clear" w:color="auto" w:fill="C6EFCE"/>
            <w:noWrap/>
            <w:vAlign w:val="center"/>
          </w:tcPr>
          <w:p w14:paraId="59AD2BC2"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63748FCF" w14:textId="77777777" w:rsidR="003F5418" w:rsidRDefault="002A6C25">
            <w:pPr>
              <w:pStyle w:val="P68B1DB1-Normal4"/>
              <w:spacing w:line="276" w:lineRule="auto"/>
              <w:jc w:val="center"/>
              <w:rPr>
                <w:noProof/>
              </w:rPr>
            </w:pPr>
            <w:r>
              <w:rPr>
                <w:noProof/>
              </w:rPr>
              <w:t>Gyorstöltő állomások száma a szabadutakon</w:t>
            </w:r>
          </w:p>
        </w:tc>
        <w:tc>
          <w:tcPr>
            <w:tcW w:w="1277" w:type="dxa"/>
            <w:shd w:val="clear" w:color="auto" w:fill="C6EFCE"/>
            <w:noWrap/>
            <w:vAlign w:val="center"/>
          </w:tcPr>
          <w:p w14:paraId="09BDEC57" w14:textId="77777777" w:rsidR="003F5418" w:rsidRDefault="002A6C25">
            <w:pPr>
              <w:pStyle w:val="P68B1DB1-Normal4"/>
              <w:spacing w:line="276" w:lineRule="auto"/>
              <w:jc w:val="center"/>
              <w:rPr>
                <w:noProof/>
              </w:rPr>
            </w:pPr>
            <w:r>
              <w:rPr>
                <w:noProof/>
              </w:rPr>
              <w:t>NINCS</w:t>
            </w:r>
          </w:p>
        </w:tc>
        <w:tc>
          <w:tcPr>
            <w:tcW w:w="1415" w:type="dxa"/>
            <w:shd w:val="clear" w:color="auto" w:fill="C6EFCE"/>
            <w:noWrap/>
            <w:vAlign w:val="center"/>
          </w:tcPr>
          <w:p w14:paraId="56208DE9" w14:textId="77777777" w:rsidR="003F5418" w:rsidRDefault="002A6C25">
            <w:pPr>
              <w:pStyle w:val="P68B1DB1-Normal4"/>
              <w:spacing w:line="276" w:lineRule="auto"/>
              <w:jc w:val="center"/>
              <w:rPr>
                <w:noProof/>
              </w:rPr>
            </w:pPr>
            <w:r>
              <w:rPr>
                <w:noProof/>
              </w:rPr>
              <w:t>Szám</w:t>
            </w:r>
          </w:p>
        </w:tc>
        <w:tc>
          <w:tcPr>
            <w:tcW w:w="1021" w:type="dxa"/>
            <w:shd w:val="clear" w:color="auto" w:fill="C6EFCE"/>
            <w:noWrap/>
            <w:vAlign w:val="center"/>
          </w:tcPr>
          <w:p w14:paraId="39F10859" w14:textId="77777777" w:rsidR="003F5418" w:rsidRDefault="002A6C25">
            <w:pPr>
              <w:pStyle w:val="P68B1DB1-Normal4"/>
              <w:spacing w:line="276" w:lineRule="auto"/>
              <w:jc w:val="center"/>
              <w:rPr>
                <w:noProof/>
              </w:rPr>
            </w:pPr>
            <w:r>
              <w:rPr>
                <w:noProof/>
              </w:rPr>
              <w:t>0</w:t>
            </w:r>
          </w:p>
        </w:tc>
        <w:tc>
          <w:tcPr>
            <w:tcW w:w="1418" w:type="dxa"/>
            <w:shd w:val="clear" w:color="auto" w:fill="C6EFCE"/>
            <w:noWrap/>
            <w:vAlign w:val="center"/>
          </w:tcPr>
          <w:p w14:paraId="6EDA1CF7" w14:textId="77777777" w:rsidR="003F5418" w:rsidRDefault="002A6C25">
            <w:pPr>
              <w:pStyle w:val="P68B1DB1-Normal4"/>
              <w:spacing w:line="276" w:lineRule="auto"/>
              <w:jc w:val="center"/>
              <w:rPr>
                <w:noProof/>
              </w:rPr>
            </w:pPr>
            <w:r>
              <w:rPr>
                <w:noProof/>
              </w:rPr>
              <w:t>2 500</w:t>
            </w:r>
          </w:p>
        </w:tc>
        <w:tc>
          <w:tcPr>
            <w:tcW w:w="993" w:type="dxa"/>
            <w:shd w:val="clear" w:color="auto" w:fill="C6EFCE"/>
            <w:noWrap/>
            <w:vAlign w:val="center"/>
          </w:tcPr>
          <w:p w14:paraId="40961961"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59587C92" w14:textId="77777777" w:rsidR="003F5418" w:rsidRDefault="002A6C25">
            <w:pPr>
              <w:pStyle w:val="P68B1DB1-Normal4"/>
              <w:spacing w:line="276" w:lineRule="auto"/>
              <w:jc w:val="center"/>
              <w:rPr>
                <w:noProof/>
              </w:rPr>
            </w:pPr>
            <w:r>
              <w:rPr>
                <w:noProof/>
              </w:rPr>
              <w:t>2025</w:t>
            </w:r>
          </w:p>
        </w:tc>
        <w:tc>
          <w:tcPr>
            <w:tcW w:w="3854" w:type="dxa"/>
            <w:shd w:val="clear" w:color="auto" w:fill="C6EFCE"/>
            <w:noWrap/>
            <w:vAlign w:val="center"/>
          </w:tcPr>
          <w:p w14:paraId="32AFE12E" w14:textId="605FD49F" w:rsidR="003F5418" w:rsidRDefault="002A6C25">
            <w:pPr>
              <w:pStyle w:val="P68B1DB1-Normal4"/>
              <w:spacing w:after="120"/>
              <w:rPr>
                <w:noProof/>
              </w:rPr>
            </w:pPr>
            <w:r>
              <w:rPr>
                <w:noProof/>
              </w:rPr>
              <w:t>Legalább 2500 gyors</w:t>
            </w:r>
            <w:r>
              <w:rPr>
                <w:noProof/>
              </w:rPr>
              <w:t xml:space="preserve"> nyilvános töltőinfrastruktúra-pont üzembe helyezése elektromos járművek számára a legalább 175 kW-os szabadutakon.</w:t>
            </w:r>
          </w:p>
        </w:tc>
      </w:tr>
      <w:tr w:rsidR="003F5418" w14:paraId="6BE58A75" w14:textId="77777777">
        <w:trPr>
          <w:trHeight w:val="309"/>
          <w:jc w:val="center"/>
        </w:trPr>
        <w:tc>
          <w:tcPr>
            <w:tcW w:w="1122" w:type="dxa"/>
            <w:shd w:val="clear" w:color="auto" w:fill="C6EFCE"/>
            <w:noWrap/>
            <w:vAlign w:val="center"/>
          </w:tcPr>
          <w:p w14:paraId="61160028" w14:textId="77777777" w:rsidR="003F5418" w:rsidRDefault="002A6C25">
            <w:pPr>
              <w:pStyle w:val="P68B1DB1-Normal4"/>
              <w:spacing w:line="276" w:lineRule="auto"/>
              <w:jc w:val="center"/>
              <w:rPr>
                <w:noProof/>
              </w:rPr>
            </w:pPr>
            <w:r>
              <w:rPr>
                <w:noProof/>
              </w:rPr>
              <w:t>M2C2–29a</w:t>
            </w:r>
          </w:p>
        </w:tc>
        <w:tc>
          <w:tcPr>
            <w:tcW w:w="1716" w:type="dxa"/>
            <w:shd w:val="clear" w:color="auto" w:fill="C6EFCE"/>
            <w:noWrap/>
            <w:vAlign w:val="center"/>
          </w:tcPr>
          <w:p w14:paraId="2410DD2B" w14:textId="77777777" w:rsidR="003F5418" w:rsidRDefault="002A6C25">
            <w:pPr>
              <w:pStyle w:val="P68B1DB1-Normal4"/>
              <w:spacing w:line="276" w:lineRule="auto"/>
              <w:jc w:val="center"/>
              <w:rPr>
                <w:noProof/>
              </w:rPr>
            </w:pPr>
            <w:r>
              <w:rPr>
                <w:noProof/>
              </w:rPr>
              <w:t>Beruházás: Töltő infrastruktúra létesítése</w:t>
            </w:r>
          </w:p>
        </w:tc>
        <w:tc>
          <w:tcPr>
            <w:tcW w:w="1131" w:type="dxa"/>
            <w:shd w:val="clear" w:color="auto" w:fill="C6EFCE"/>
            <w:noWrap/>
            <w:vAlign w:val="center"/>
          </w:tcPr>
          <w:p w14:paraId="36017DE8"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72480B77" w14:textId="77777777" w:rsidR="003F5418" w:rsidRDefault="002A6C25">
            <w:pPr>
              <w:pStyle w:val="P68B1DB1-Normal4"/>
              <w:spacing w:line="276" w:lineRule="auto"/>
              <w:jc w:val="center"/>
              <w:rPr>
                <w:noProof/>
              </w:rPr>
            </w:pPr>
            <w:r>
              <w:rPr>
                <w:noProof/>
              </w:rPr>
              <w:t>Gyorstöltő állomások száma városi területeken</w:t>
            </w:r>
          </w:p>
        </w:tc>
        <w:tc>
          <w:tcPr>
            <w:tcW w:w="1277" w:type="dxa"/>
            <w:shd w:val="clear" w:color="auto" w:fill="C6EFCE"/>
            <w:noWrap/>
            <w:vAlign w:val="center"/>
          </w:tcPr>
          <w:p w14:paraId="50ECBA6F" w14:textId="77777777" w:rsidR="003F5418" w:rsidRDefault="002A6C25">
            <w:pPr>
              <w:pStyle w:val="P68B1DB1-Normal4"/>
              <w:spacing w:line="276" w:lineRule="auto"/>
              <w:jc w:val="center"/>
              <w:rPr>
                <w:noProof/>
              </w:rPr>
            </w:pPr>
            <w:r>
              <w:rPr>
                <w:noProof/>
              </w:rPr>
              <w:t>NINCS</w:t>
            </w:r>
          </w:p>
        </w:tc>
        <w:tc>
          <w:tcPr>
            <w:tcW w:w="1415" w:type="dxa"/>
            <w:shd w:val="clear" w:color="auto" w:fill="C6EFCE"/>
            <w:noWrap/>
            <w:vAlign w:val="center"/>
          </w:tcPr>
          <w:p w14:paraId="24B904E0" w14:textId="77777777" w:rsidR="003F5418" w:rsidRDefault="002A6C25">
            <w:pPr>
              <w:pStyle w:val="P68B1DB1-Normal4"/>
              <w:spacing w:line="276" w:lineRule="auto"/>
              <w:jc w:val="center"/>
              <w:rPr>
                <w:noProof/>
              </w:rPr>
            </w:pPr>
            <w:r>
              <w:rPr>
                <w:noProof/>
              </w:rPr>
              <w:t>Szám</w:t>
            </w:r>
          </w:p>
        </w:tc>
        <w:tc>
          <w:tcPr>
            <w:tcW w:w="1021" w:type="dxa"/>
            <w:shd w:val="clear" w:color="auto" w:fill="C6EFCE"/>
            <w:noWrap/>
            <w:vAlign w:val="center"/>
          </w:tcPr>
          <w:p w14:paraId="68FCC2F7" w14:textId="77777777" w:rsidR="003F5418" w:rsidRDefault="002A6C25">
            <w:pPr>
              <w:pStyle w:val="P68B1DB1-Normal4"/>
              <w:spacing w:line="276" w:lineRule="auto"/>
              <w:jc w:val="center"/>
              <w:rPr>
                <w:noProof/>
              </w:rPr>
            </w:pPr>
            <w:r>
              <w:rPr>
                <w:noProof/>
              </w:rPr>
              <w:t>0</w:t>
            </w:r>
          </w:p>
        </w:tc>
        <w:tc>
          <w:tcPr>
            <w:tcW w:w="1418" w:type="dxa"/>
            <w:shd w:val="clear" w:color="auto" w:fill="C6EFCE"/>
            <w:noWrap/>
            <w:vAlign w:val="center"/>
          </w:tcPr>
          <w:p w14:paraId="43D06369" w14:textId="77777777" w:rsidR="003F5418" w:rsidRDefault="002A6C25">
            <w:pPr>
              <w:pStyle w:val="P68B1DB1-Normal4"/>
              <w:spacing w:line="276" w:lineRule="auto"/>
              <w:jc w:val="center"/>
              <w:rPr>
                <w:noProof/>
              </w:rPr>
            </w:pPr>
            <w:r>
              <w:rPr>
                <w:noProof/>
              </w:rPr>
              <w:t>4 700</w:t>
            </w:r>
          </w:p>
        </w:tc>
        <w:tc>
          <w:tcPr>
            <w:tcW w:w="993" w:type="dxa"/>
            <w:shd w:val="clear" w:color="auto" w:fill="C6EFCE"/>
            <w:noWrap/>
            <w:vAlign w:val="center"/>
          </w:tcPr>
          <w:p w14:paraId="2C827947"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2473733C" w14:textId="77777777" w:rsidR="003F5418" w:rsidRDefault="002A6C25">
            <w:pPr>
              <w:pStyle w:val="P68B1DB1-Normal4"/>
              <w:spacing w:line="276" w:lineRule="auto"/>
              <w:jc w:val="center"/>
              <w:rPr>
                <w:noProof/>
              </w:rPr>
            </w:pPr>
            <w:r>
              <w:rPr>
                <w:noProof/>
              </w:rPr>
              <w:t>2025</w:t>
            </w:r>
          </w:p>
        </w:tc>
        <w:tc>
          <w:tcPr>
            <w:tcW w:w="3854" w:type="dxa"/>
            <w:shd w:val="clear" w:color="auto" w:fill="C6EFCE"/>
            <w:noWrap/>
            <w:vAlign w:val="center"/>
          </w:tcPr>
          <w:p w14:paraId="7C18817C" w14:textId="03C5E601" w:rsidR="003F5418" w:rsidRDefault="002A6C25">
            <w:pPr>
              <w:pStyle w:val="P68B1DB1-Normal4"/>
              <w:spacing w:after="120"/>
              <w:rPr>
                <w:noProof/>
              </w:rPr>
            </w:pPr>
            <w:r>
              <w:rPr>
                <w:noProof/>
              </w:rPr>
              <w:t xml:space="preserve">Legalább </w:t>
            </w:r>
            <w:r>
              <w:rPr>
                <w:noProof/>
              </w:rPr>
              <w:t>4700, legalább 90 kW teljesítményű gyors nyilvános elektromos töltőinfrastruktúra-pont üzembe helyezése városi területeken (valamennyi településen).</w:t>
            </w:r>
          </w:p>
          <w:p w14:paraId="532C7732" w14:textId="77777777" w:rsidR="003F5418" w:rsidRDefault="002A6C25">
            <w:pPr>
              <w:pStyle w:val="P68B1DB1-Normal4"/>
              <w:spacing w:after="120"/>
              <w:rPr>
                <w:noProof/>
              </w:rPr>
            </w:pPr>
            <w:r>
              <w:rPr>
                <w:noProof/>
              </w:rPr>
              <w:t>A projekt magában foglalhat energiatárolási célú kísérleti töltőállomásokat is”;</w:t>
            </w:r>
          </w:p>
        </w:tc>
      </w:tr>
      <w:tr w:rsidR="003F5418" w14:paraId="7EE3FF39" w14:textId="77777777">
        <w:trPr>
          <w:trHeight w:val="309"/>
          <w:jc w:val="center"/>
        </w:trPr>
        <w:tc>
          <w:tcPr>
            <w:tcW w:w="1122" w:type="dxa"/>
            <w:shd w:val="clear" w:color="auto" w:fill="C6EFCE"/>
            <w:noWrap/>
            <w:vAlign w:val="center"/>
          </w:tcPr>
          <w:p w14:paraId="5FFDADC7" w14:textId="77777777" w:rsidR="003F5418" w:rsidRDefault="002A6C25">
            <w:pPr>
              <w:pStyle w:val="P68B1DB1-Normal4"/>
              <w:spacing w:line="276" w:lineRule="auto"/>
              <w:jc w:val="center"/>
              <w:rPr>
                <w:noProof/>
              </w:rPr>
            </w:pPr>
            <w:r>
              <w:rPr>
                <w:noProof/>
              </w:rPr>
              <w:t>M2C2–30</w:t>
            </w:r>
          </w:p>
        </w:tc>
        <w:tc>
          <w:tcPr>
            <w:tcW w:w="1716" w:type="dxa"/>
            <w:shd w:val="clear" w:color="auto" w:fill="C6EFCE"/>
            <w:noWrap/>
            <w:vAlign w:val="center"/>
          </w:tcPr>
          <w:p w14:paraId="22008E20" w14:textId="77777777" w:rsidR="003F5418" w:rsidRDefault="002A6C25">
            <w:pPr>
              <w:pStyle w:val="P68B1DB1-Normal4"/>
              <w:spacing w:line="276" w:lineRule="auto"/>
              <w:jc w:val="center"/>
              <w:rPr>
                <w:noProof/>
              </w:rPr>
            </w:pPr>
            <w:r>
              <w:rPr>
                <w:noProof/>
              </w:rPr>
              <w:t xml:space="preserve">Beruházás: </w:t>
            </w:r>
            <w:r>
              <w:rPr>
                <w:noProof/>
              </w:rPr>
              <w:t>Töltőinfrastruktúra kiépítése</w:t>
            </w:r>
          </w:p>
        </w:tc>
        <w:tc>
          <w:tcPr>
            <w:tcW w:w="1131" w:type="dxa"/>
            <w:shd w:val="clear" w:color="auto" w:fill="C6EFCE"/>
            <w:noWrap/>
            <w:vAlign w:val="center"/>
          </w:tcPr>
          <w:p w14:paraId="0A592B82"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19E6D174" w14:textId="77777777" w:rsidR="003F5418" w:rsidRDefault="002A6C25">
            <w:pPr>
              <w:pStyle w:val="P68B1DB1-Normal4"/>
              <w:spacing w:line="276" w:lineRule="auto"/>
              <w:jc w:val="center"/>
              <w:rPr>
                <w:noProof/>
              </w:rPr>
            </w:pPr>
            <w:r>
              <w:rPr>
                <w:noProof/>
              </w:rPr>
              <w:t>Gyorstöltő állomások száma a szabadutakon</w:t>
            </w:r>
          </w:p>
        </w:tc>
        <w:tc>
          <w:tcPr>
            <w:tcW w:w="1277" w:type="dxa"/>
            <w:shd w:val="clear" w:color="auto" w:fill="C6EFCE"/>
            <w:noWrap/>
            <w:vAlign w:val="center"/>
          </w:tcPr>
          <w:p w14:paraId="46FDFD99" w14:textId="77777777" w:rsidR="003F5418" w:rsidRDefault="003F5418">
            <w:pPr>
              <w:spacing w:line="276" w:lineRule="auto"/>
              <w:jc w:val="center"/>
              <w:rPr>
                <w:rFonts w:ascii="Arial Narrow" w:hAnsi="Arial Narrow"/>
                <w:noProof/>
                <w:color w:val="006100"/>
                <w:sz w:val="20"/>
              </w:rPr>
            </w:pPr>
          </w:p>
        </w:tc>
        <w:tc>
          <w:tcPr>
            <w:tcW w:w="1415" w:type="dxa"/>
            <w:shd w:val="clear" w:color="auto" w:fill="C6EFCE"/>
            <w:noWrap/>
            <w:vAlign w:val="center"/>
          </w:tcPr>
          <w:p w14:paraId="18F6A1BD" w14:textId="77777777" w:rsidR="003F5418" w:rsidRDefault="002A6C25">
            <w:pPr>
              <w:pStyle w:val="P68B1DB1-Normal4"/>
              <w:spacing w:line="276" w:lineRule="auto"/>
              <w:jc w:val="center"/>
              <w:rPr>
                <w:noProof/>
              </w:rPr>
            </w:pPr>
            <w:r>
              <w:rPr>
                <w:noProof/>
              </w:rPr>
              <w:t>Szám</w:t>
            </w:r>
          </w:p>
        </w:tc>
        <w:tc>
          <w:tcPr>
            <w:tcW w:w="1021" w:type="dxa"/>
            <w:shd w:val="clear" w:color="auto" w:fill="C6EFCE"/>
            <w:noWrap/>
            <w:vAlign w:val="center"/>
          </w:tcPr>
          <w:p w14:paraId="48A78A41" w14:textId="73C386D5" w:rsidR="003F5418" w:rsidRDefault="002A6C25">
            <w:pPr>
              <w:pStyle w:val="P68B1DB1-Normal4"/>
              <w:spacing w:line="276" w:lineRule="auto"/>
              <w:jc w:val="center"/>
              <w:rPr>
                <w:noProof/>
              </w:rPr>
            </w:pPr>
            <w:r>
              <w:rPr>
                <w:noProof/>
              </w:rPr>
              <w:t>2 500</w:t>
            </w:r>
          </w:p>
        </w:tc>
        <w:tc>
          <w:tcPr>
            <w:tcW w:w="1418" w:type="dxa"/>
            <w:shd w:val="clear" w:color="auto" w:fill="C6EFCE"/>
            <w:noWrap/>
            <w:vAlign w:val="center"/>
          </w:tcPr>
          <w:p w14:paraId="5E6FBB19" w14:textId="77777777" w:rsidR="003F5418" w:rsidRDefault="002A6C25">
            <w:pPr>
              <w:pStyle w:val="P68B1DB1-Normal4"/>
              <w:spacing w:line="276" w:lineRule="auto"/>
              <w:jc w:val="center"/>
              <w:rPr>
                <w:noProof/>
              </w:rPr>
            </w:pPr>
            <w:r>
              <w:rPr>
                <w:noProof/>
              </w:rPr>
              <w:t>7 500</w:t>
            </w:r>
          </w:p>
        </w:tc>
        <w:tc>
          <w:tcPr>
            <w:tcW w:w="993" w:type="dxa"/>
            <w:shd w:val="clear" w:color="auto" w:fill="C6EFCE"/>
            <w:noWrap/>
            <w:vAlign w:val="center"/>
          </w:tcPr>
          <w:p w14:paraId="7F69A5F7"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1310E68D" w14:textId="77777777" w:rsidR="003F5418" w:rsidRDefault="002A6C25">
            <w:pPr>
              <w:pStyle w:val="P68B1DB1-Normal4"/>
              <w:spacing w:line="276" w:lineRule="auto"/>
              <w:jc w:val="center"/>
              <w:rPr>
                <w:noProof/>
              </w:rPr>
            </w:pPr>
            <w:r>
              <w:rPr>
                <w:noProof/>
              </w:rPr>
              <w:t>2025</w:t>
            </w:r>
          </w:p>
        </w:tc>
        <w:tc>
          <w:tcPr>
            <w:tcW w:w="3854" w:type="dxa"/>
            <w:shd w:val="clear" w:color="auto" w:fill="C6EFCE"/>
            <w:noWrap/>
            <w:vAlign w:val="center"/>
          </w:tcPr>
          <w:p w14:paraId="0A695F68" w14:textId="6A07ECF5" w:rsidR="003F5418" w:rsidRDefault="002A6C25">
            <w:pPr>
              <w:pStyle w:val="P68B1DB1-Normal4"/>
              <w:spacing w:after="120"/>
              <w:rPr>
                <w:noProof/>
              </w:rPr>
            </w:pPr>
            <w:r>
              <w:rPr>
                <w:noProof/>
              </w:rPr>
              <w:t>Legalább 7500 gyors nyilvános töltőinfrastruktúra-pont üzembe helyezése elektromos járművek számára a legalább 175 kW-os szabadutakon.</w:t>
            </w:r>
          </w:p>
          <w:p w14:paraId="077DC465" w14:textId="77777777" w:rsidR="003F5418" w:rsidRDefault="002A6C25">
            <w:pPr>
              <w:pStyle w:val="P68B1DB1-Normal4"/>
              <w:spacing w:after="120"/>
              <w:rPr>
                <w:noProof/>
              </w:rPr>
            </w:pPr>
            <w:r>
              <w:rPr>
                <w:noProof/>
              </w:rPr>
              <w:t xml:space="preserve">A projekt magában </w:t>
            </w:r>
            <w:r>
              <w:rPr>
                <w:noProof/>
              </w:rPr>
              <w:t>foglalhat energiatárolást célzó kísérleti töltőállomásokat is.</w:t>
            </w:r>
          </w:p>
        </w:tc>
      </w:tr>
      <w:tr w:rsidR="003F5418" w14:paraId="1BD90DCB" w14:textId="77777777">
        <w:trPr>
          <w:trHeight w:val="309"/>
          <w:jc w:val="center"/>
        </w:trPr>
        <w:tc>
          <w:tcPr>
            <w:tcW w:w="1122" w:type="dxa"/>
            <w:shd w:val="clear" w:color="auto" w:fill="C6EFCE"/>
            <w:noWrap/>
            <w:vAlign w:val="center"/>
          </w:tcPr>
          <w:p w14:paraId="0BC3382E" w14:textId="77777777" w:rsidR="003F5418" w:rsidRDefault="002A6C25">
            <w:pPr>
              <w:pStyle w:val="P68B1DB1-Normal4"/>
              <w:spacing w:line="276" w:lineRule="auto"/>
              <w:jc w:val="center"/>
              <w:rPr>
                <w:noProof/>
              </w:rPr>
            </w:pPr>
            <w:r>
              <w:rPr>
                <w:noProof/>
              </w:rPr>
              <w:t>M2C2–30a</w:t>
            </w:r>
          </w:p>
        </w:tc>
        <w:tc>
          <w:tcPr>
            <w:tcW w:w="1716" w:type="dxa"/>
            <w:shd w:val="clear" w:color="auto" w:fill="C6EFCE"/>
            <w:noWrap/>
            <w:vAlign w:val="center"/>
          </w:tcPr>
          <w:p w14:paraId="5B4EE399" w14:textId="77777777" w:rsidR="003F5418" w:rsidRDefault="002A6C25">
            <w:pPr>
              <w:pStyle w:val="P68B1DB1-Normal4"/>
              <w:spacing w:line="276" w:lineRule="auto"/>
              <w:jc w:val="center"/>
              <w:rPr>
                <w:noProof/>
              </w:rPr>
            </w:pPr>
            <w:r>
              <w:rPr>
                <w:noProof/>
              </w:rPr>
              <w:t>Beruházás: Töltőinfrastruktúra kiépítése</w:t>
            </w:r>
          </w:p>
        </w:tc>
        <w:tc>
          <w:tcPr>
            <w:tcW w:w="1131" w:type="dxa"/>
            <w:shd w:val="clear" w:color="auto" w:fill="C6EFCE"/>
            <w:noWrap/>
            <w:vAlign w:val="center"/>
          </w:tcPr>
          <w:p w14:paraId="7C7E48D5"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13BD14EF" w14:textId="77777777" w:rsidR="003F5418" w:rsidRDefault="002A6C25">
            <w:pPr>
              <w:pStyle w:val="P68B1DB1-Normal4"/>
              <w:spacing w:line="276" w:lineRule="auto"/>
              <w:jc w:val="center"/>
              <w:rPr>
                <w:noProof/>
              </w:rPr>
            </w:pPr>
            <w:r>
              <w:rPr>
                <w:noProof/>
              </w:rPr>
              <w:t>Gyorstöltő állomások száma városi területeken</w:t>
            </w:r>
          </w:p>
        </w:tc>
        <w:tc>
          <w:tcPr>
            <w:tcW w:w="1277" w:type="dxa"/>
            <w:shd w:val="clear" w:color="auto" w:fill="C6EFCE"/>
            <w:noWrap/>
            <w:vAlign w:val="center"/>
          </w:tcPr>
          <w:p w14:paraId="57D8CA8C" w14:textId="77777777" w:rsidR="003F5418" w:rsidRDefault="003F5418">
            <w:pPr>
              <w:spacing w:line="276" w:lineRule="auto"/>
              <w:jc w:val="center"/>
              <w:rPr>
                <w:rFonts w:ascii="Arial Narrow" w:hAnsi="Arial Narrow"/>
                <w:noProof/>
                <w:color w:val="006100"/>
                <w:sz w:val="20"/>
              </w:rPr>
            </w:pPr>
          </w:p>
        </w:tc>
        <w:tc>
          <w:tcPr>
            <w:tcW w:w="1415" w:type="dxa"/>
            <w:shd w:val="clear" w:color="auto" w:fill="C6EFCE"/>
            <w:noWrap/>
            <w:vAlign w:val="center"/>
          </w:tcPr>
          <w:p w14:paraId="32DF3FC4" w14:textId="77777777" w:rsidR="003F5418" w:rsidRDefault="002A6C25">
            <w:pPr>
              <w:pStyle w:val="P68B1DB1-Normal4"/>
              <w:spacing w:line="276" w:lineRule="auto"/>
              <w:jc w:val="center"/>
              <w:rPr>
                <w:noProof/>
              </w:rPr>
            </w:pPr>
            <w:r>
              <w:rPr>
                <w:noProof/>
              </w:rPr>
              <w:t>Szám</w:t>
            </w:r>
          </w:p>
        </w:tc>
        <w:tc>
          <w:tcPr>
            <w:tcW w:w="1021" w:type="dxa"/>
            <w:shd w:val="clear" w:color="auto" w:fill="C6EFCE"/>
            <w:noWrap/>
            <w:vAlign w:val="center"/>
          </w:tcPr>
          <w:p w14:paraId="399E130D" w14:textId="77777777" w:rsidR="003F5418" w:rsidRDefault="002A6C25">
            <w:pPr>
              <w:pStyle w:val="P68B1DB1-Normal4"/>
              <w:spacing w:line="276" w:lineRule="auto"/>
              <w:jc w:val="center"/>
              <w:rPr>
                <w:noProof/>
              </w:rPr>
            </w:pPr>
            <w:r>
              <w:rPr>
                <w:noProof/>
              </w:rPr>
              <w:t>4 700</w:t>
            </w:r>
          </w:p>
        </w:tc>
        <w:tc>
          <w:tcPr>
            <w:tcW w:w="1418" w:type="dxa"/>
            <w:shd w:val="clear" w:color="auto" w:fill="C6EFCE"/>
            <w:noWrap/>
            <w:vAlign w:val="center"/>
          </w:tcPr>
          <w:p w14:paraId="004DB331" w14:textId="77777777" w:rsidR="003F5418" w:rsidRDefault="002A6C25">
            <w:pPr>
              <w:pStyle w:val="P68B1DB1-Normal4"/>
              <w:spacing w:line="276" w:lineRule="auto"/>
              <w:jc w:val="center"/>
              <w:rPr>
                <w:noProof/>
              </w:rPr>
            </w:pPr>
            <w:r>
              <w:rPr>
                <w:noProof/>
              </w:rPr>
              <w:t>13 755</w:t>
            </w:r>
          </w:p>
        </w:tc>
        <w:tc>
          <w:tcPr>
            <w:tcW w:w="993" w:type="dxa"/>
            <w:shd w:val="clear" w:color="auto" w:fill="C6EFCE"/>
            <w:noWrap/>
            <w:vAlign w:val="center"/>
          </w:tcPr>
          <w:p w14:paraId="3FE00DA2"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1177C77D" w14:textId="77777777" w:rsidR="003F5418" w:rsidRDefault="002A6C25">
            <w:pPr>
              <w:pStyle w:val="P68B1DB1-Normal4"/>
              <w:spacing w:line="276" w:lineRule="auto"/>
              <w:jc w:val="center"/>
              <w:rPr>
                <w:noProof/>
              </w:rPr>
            </w:pPr>
            <w:r>
              <w:rPr>
                <w:noProof/>
              </w:rPr>
              <w:t>2025</w:t>
            </w:r>
          </w:p>
        </w:tc>
        <w:tc>
          <w:tcPr>
            <w:tcW w:w="3854" w:type="dxa"/>
            <w:shd w:val="clear" w:color="auto" w:fill="C6EFCE"/>
            <w:noWrap/>
            <w:vAlign w:val="center"/>
          </w:tcPr>
          <w:p w14:paraId="3B2CBAC9" w14:textId="06E8964A" w:rsidR="003F5418" w:rsidRDefault="002A6C25">
            <w:pPr>
              <w:pStyle w:val="P68B1DB1-Normal6"/>
              <w:spacing w:after="120"/>
              <w:rPr>
                <w:noProof/>
                <w:color w:val="006100"/>
              </w:rPr>
            </w:pPr>
            <w:r>
              <w:rPr>
                <w:noProof/>
                <w:color w:val="006100"/>
              </w:rPr>
              <w:t xml:space="preserve">Legalább 13755 gyors nyilvános elektromos </w:t>
            </w:r>
            <w:r>
              <w:rPr>
                <w:noProof/>
                <w:color w:val="006100"/>
              </w:rPr>
              <w:t>töltőinfrastruktúra-pont üzembe</w:t>
            </w:r>
            <w:r w:rsidRPr="00B07E42">
              <w:rPr>
                <w:noProof/>
                <w:color w:val="006100"/>
              </w:rPr>
              <w:t xml:space="preserve"> helyezése városi területeken, legalább 90 kW teljesítményű elektromos járművek számára. </w:t>
            </w:r>
          </w:p>
          <w:p w14:paraId="3E068996" w14:textId="77777777" w:rsidR="003F5418" w:rsidRDefault="002A6C25">
            <w:pPr>
              <w:pStyle w:val="P68B1DB1-Normal4"/>
              <w:spacing w:after="120"/>
              <w:rPr>
                <w:noProof/>
              </w:rPr>
            </w:pPr>
            <w:r>
              <w:rPr>
                <w:noProof/>
              </w:rPr>
              <w:t>A projekt magában foglalhat energiatárolási célú kísérleti töltőállomásokat is”;</w:t>
            </w:r>
          </w:p>
        </w:tc>
      </w:tr>
      <w:tr w:rsidR="003F5418" w14:paraId="2184405E" w14:textId="77777777">
        <w:trPr>
          <w:trHeight w:val="309"/>
          <w:jc w:val="center"/>
        </w:trPr>
        <w:tc>
          <w:tcPr>
            <w:tcW w:w="1122" w:type="dxa"/>
            <w:shd w:val="clear" w:color="auto" w:fill="C6EFCE"/>
            <w:noWrap/>
            <w:vAlign w:val="center"/>
          </w:tcPr>
          <w:p w14:paraId="70F2F777" w14:textId="77777777" w:rsidR="003F5418" w:rsidRDefault="002A6C25">
            <w:pPr>
              <w:pStyle w:val="P68B1DB1-Normal4"/>
              <w:spacing w:line="276" w:lineRule="auto"/>
              <w:jc w:val="center"/>
              <w:rPr>
                <w:noProof/>
              </w:rPr>
            </w:pPr>
            <w:r>
              <w:rPr>
                <w:noProof/>
              </w:rPr>
              <w:t>M2C2–30ter</w:t>
            </w:r>
          </w:p>
        </w:tc>
        <w:tc>
          <w:tcPr>
            <w:tcW w:w="1716" w:type="dxa"/>
            <w:shd w:val="clear" w:color="auto" w:fill="C6EFCE"/>
            <w:noWrap/>
            <w:vAlign w:val="center"/>
          </w:tcPr>
          <w:p w14:paraId="340C7E73" w14:textId="77777777" w:rsidR="003F5418" w:rsidRDefault="002A6C25">
            <w:pPr>
              <w:pStyle w:val="P68B1DB1-Normal4"/>
              <w:spacing w:line="276" w:lineRule="auto"/>
              <w:jc w:val="center"/>
              <w:rPr>
                <w:noProof/>
              </w:rPr>
            </w:pPr>
            <w:r>
              <w:rPr>
                <w:noProof/>
              </w:rPr>
              <w:t>Beruházás: Töltőinfrastruktúra kiépítése</w:t>
            </w:r>
          </w:p>
        </w:tc>
        <w:tc>
          <w:tcPr>
            <w:tcW w:w="1131" w:type="dxa"/>
            <w:shd w:val="clear" w:color="auto" w:fill="C6EFCE"/>
            <w:noWrap/>
            <w:vAlign w:val="center"/>
          </w:tcPr>
          <w:p w14:paraId="5E5BE31C" w14:textId="77777777" w:rsidR="003F5418" w:rsidRDefault="002A6C25">
            <w:pPr>
              <w:pStyle w:val="P68B1DB1-Normal4"/>
              <w:spacing w:line="276" w:lineRule="auto"/>
              <w:jc w:val="center"/>
              <w:rPr>
                <w:noProof/>
              </w:rPr>
            </w:pPr>
            <w:r>
              <w:rPr>
                <w:noProof/>
              </w:rPr>
              <w:t>Cél</w:t>
            </w:r>
          </w:p>
        </w:tc>
        <w:tc>
          <w:tcPr>
            <w:tcW w:w="1418" w:type="dxa"/>
            <w:shd w:val="clear" w:color="auto" w:fill="C6EFCE"/>
            <w:noWrap/>
            <w:vAlign w:val="center"/>
          </w:tcPr>
          <w:p w14:paraId="06248124" w14:textId="77777777" w:rsidR="003F5418" w:rsidRDefault="002A6C25">
            <w:pPr>
              <w:pStyle w:val="P68B1DB1-Normal4"/>
              <w:spacing w:line="276" w:lineRule="auto"/>
              <w:jc w:val="center"/>
              <w:rPr>
                <w:noProof/>
              </w:rPr>
            </w:pPr>
            <w:r>
              <w:rPr>
                <w:noProof/>
              </w:rPr>
              <w:t>Gyorstöltő állomások száma</w:t>
            </w:r>
          </w:p>
        </w:tc>
        <w:tc>
          <w:tcPr>
            <w:tcW w:w="1277" w:type="dxa"/>
            <w:shd w:val="clear" w:color="auto" w:fill="C6EFCE"/>
            <w:noWrap/>
            <w:vAlign w:val="center"/>
          </w:tcPr>
          <w:p w14:paraId="417AFEFF" w14:textId="77777777" w:rsidR="003F5418" w:rsidRDefault="003F5418">
            <w:pPr>
              <w:spacing w:line="276" w:lineRule="auto"/>
              <w:jc w:val="center"/>
              <w:rPr>
                <w:rFonts w:ascii="Arial Narrow" w:hAnsi="Arial Narrow"/>
                <w:noProof/>
                <w:color w:val="006100"/>
                <w:sz w:val="20"/>
              </w:rPr>
            </w:pPr>
          </w:p>
        </w:tc>
        <w:tc>
          <w:tcPr>
            <w:tcW w:w="1415" w:type="dxa"/>
            <w:shd w:val="clear" w:color="auto" w:fill="C6EFCE"/>
            <w:noWrap/>
            <w:vAlign w:val="center"/>
          </w:tcPr>
          <w:p w14:paraId="269549F7" w14:textId="77777777" w:rsidR="003F5418" w:rsidRDefault="002A6C25">
            <w:pPr>
              <w:pStyle w:val="P68B1DB1-Normal4"/>
              <w:spacing w:line="276" w:lineRule="auto"/>
              <w:jc w:val="center"/>
              <w:rPr>
                <w:noProof/>
              </w:rPr>
            </w:pPr>
            <w:r>
              <w:rPr>
                <w:noProof/>
              </w:rPr>
              <w:t>Szám</w:t>
            </w:r>
          </w:p>
        </w:tc>
        <w:tc>
          <w:tcPr>
            <w:tcW w:w="1021" w:type="dxa"/>
            <w:shd w:val="clear" w:color="auto" w:fill="C6EFCE"/>
            <w:noWrap/>
            <w:vAlign w:val="center"/>
          </w:tcPr>
          <w:p w14:paraId="48434D97" w14:textId="77777777" w:rsidR="003F5418" w:rsidRDefault="002A6C25">
            <w:pPr>
              <w:pStyle w:val="P68B1DB1-Normal4"/>
              <w:spacing w:line="276" w:lineRule="auto"/>
              <w:jc w:val="center"/>
              <w:rPr>
                <w:noProof/>
              </w:rPr>
            </w:pPr>
            <w:r>
              <w:rPr>
                <w:noProof/>
              </w:rPr>
              <w:t>0</w:t>
            </w:r>
          </w:p>
        </w:tc>
        <w:tc>
          <w:tcPr>
            <w:tcW w:w="1418" w:type="dxa"/>
            <w:shd w:val="clear" w:color="auto" w:fill="C6EFCE"/>
            <w:noWrap/>
            <w:vAlign w:val="center"/>
          </w:tcPr>
          <w:p w14:paraId="590470EC" w14:textId="77777777" w:rsidR="003F5418" w:rsidRDefault="002A6C25">
            <w:pPr>
              <w:pStyle w:val="P68B1DB1-Normal4"/>
              <w:spacing w:line="276" w:lineRule="auto"/>
              <w:jc w:val="center"/>
              <w:rPr>
                <w:noProof/>
              </w:rPr>
            </w:pPr>
            <w:r>
              <w:rPr>
                <w:noProof/>
              </w:rPr>
              <w:t>100</w:t>
            </w:r>
          </w:p>
        </w:tc>
        <w:tc>
          <w:tcPr>
            <w:tcW w:w="993" w:type="dxa"/>
            <w:shd w:val="clear" w:color="auto" w:fill="C6EFCE"/>
            <w:noWrap/>
            <w:vAlign w:val="center"/>
          </w:tcPr>
          <w:p w14:paraId="1A6CEA20"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5F5E7FAD" w14:textId="77777777" w:rsidR="003F5418" w:rsidRDefault="002A6C25">
            <w:pPr>
              <w:pStyle w:val="P68B1DB1-Normal4"/>
              <w:spacing w:line="276" w:lineRule="auto"/>
              <w:jc w:val="center"/>
              <w:rPr>
                <w:noProof/>
              </w:rPr>
            </w:pPr>
            <w:r>
              <w:rPr>
                <w:noProof/>
              </w:rPr>
              <w:t>2025</w:t>
            </w:r>
          </w:p>
        </w:tc>
        <w:tc>
          <w:tcPr>
            <w:tcW w:w="3854" w:type="dxa"/>
            <w:shd w:val="clear" w:color="auto" w:fill="C6EFCE"/>
            <w:noWrap/>
            <w:vAlign w:val="center"/>
          </w:tcPr>
          <w:p w14:paraId="4754F693" w14:textId="77777777" w:rsidR="003F5418" w:rsidRDefault="002A6C25">
            <w:pPr>
              <w:pStyle w:val="P68B1DB1-Normal4"/>
              <w:spacing w:after="120"/>
              <w:rPr>
                <w:noProof/>
              </w:rPr>
            </w:pPr>
            <w:r>
              <w:rPr>
                <w:noProof/>
              </w:rPr>
              <w:t>Legalább 100, tárolásra kapcsolt kísérleti töltőállomás üzembe helyezése</w:t>
            </w:r>
          </w:p>
        </w:tc>
      </w:tr>
      <w:tr w:rsidR="003F5418" w14:paraId="645B3D8D" w14:textId="77777777">
        <w:trPr>
          <w:trHeight w:val="309"/>
          <w:jc w:val="center"/>
        </w:trPr>
        <w:tc>
          <w:tcPr>
            <w:tcW w:w="1122" w:type="dxa"/>
            <w:shd w:val="clear" w:color="auto" w:fill="C6EFCE"/>
            <w:noWrap/>
            <w:vAlign w:val="center"/>
          </w:tcPr>
          <w:p w14:paraId="69A61D41" w14:textId="77777777" w:rsidR="003F5418" w:rsidRDefault="002A6C25">
            <w:pPr>
              <w:pStyle w:val="P68B1DB1-Normal4"/>
              <w:spacing w:line="276" w:lineRule="auto"/>
              <w:jc w:val="center"/>
              <w:rPr>
                <w:noProof/>
              </w:rPr>
            </w:pPr>
            <w:r>
              <w:rPr>
                <w:noProof/>
              </w:rPr>
              <w:t>M2C2–33</w:t>
            </w:r>
          </w:p>
        </w:tc>
        <w:tc>
          <w:tcPr>
            <w:tcW w:w="1716" w:type="dxa"/>
            <w:shd w:val="clear" w:color="auto" w:fill="C6EFCE"/>
            <w:noWrap/>
            <w:vAlign w:val="center"/>
          </w:tcPr>
          <w:p w14:paraId="24BD2EEA" w14:textId="77777777" w:rsidR="003F5418" w:rsidRDefault="002A6C25">
            <w:pPr>
              <w:pStyle w:val="P68B1DB1-Normal6"/>
              <w:spacing w:line="276" w:lineRule="auto"/>
              <w:jc w:val="center"/>
              <w:rPr>
                <w:noProof/>
                <w:color w:val="006100"/>
              </w:rPr>
            </w:pPr>
            <w:r>
              <w:rPr>
                <w:noProof/>
                <w:color w:val="006100"/>
              </w:rPr>
              <w:t xml:space="preserve">Beruházás: A regionális tömegközlekedési vasúti flotta kibocsátásmentes vonatokkal és egyetemes szolgáltatással történő </w:t>
            </w:r>
            <w:r>
              <w:rPr>
                <w:noProof/>
                <w:color w:val="006100"/>
              </w:rPr>
              <w:t>megerősítése</w:t>
            </w:r>
          </w:p>
        </w:tc>
        <w:tc>
          <w:tcPr>
            <w:tcW w:w="1131" w:type="dxa"/>
            <w:shd w:val="clear" w:color="auto" w:fill="C6EFCE"/>
            <w:noWrap/>
            <w:vAlign w:val="center"/>
          </w:tcPr>
          <w:p w14:paraId="08BD9ADB"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6CEA80D9" w14:textId="77777777" w:rsidR="003F5418" w:rsidRDefault="002A6C25">
            <w:pPr>
              <w:pStyle w:val="P68B1DB1-Normal4"/>
              <w:spacing w:line="276" w:lineRule="auto"/>
              <w:jc w:val="center"/>
              <w:rPr>
                <w:noProof/>
              </w:rPr>
            </w:pPr>
            <w:r>
              <w:rPr>
                <w:noProof/>
              </w:rPr>
              <w:t>A regionális tömegközlekedési vasúti flotta kibocsátásmentes vonatokkal és egyetemes szolgáltatással való megerősítésére irányuló valamennyi közbeszerzési szerződés odaítélése</w:t>
            </w:r>
          </w:p>
        </w:tc>
        <w:tc>
          <w:tcPr>
            <w:tcW w:w="1277" w:type="dxa"/>
            <w:shd w:val="clear" w:color="auto" w:fill="C6EFCE"/>
            <w:noWrap/>
            <w:vAlign w:val="center"/>
          </w:tcPr>
          <w:p w14:paraId="7B5DF4FF" w14:textId="77777777" w:rsidR="003F5418" w:rsidRDefault="002A6C25">
            <w:pPr>
              <w:pStyle w:val="P68B1DB1-Normal4"/>
              <w:spacing w:line="276" w:lineRule="auto"/>
              <w:jc w:val="center"/>
              <w:rPr>
                <w:noProof/>
              </w:rPr>
            </w:pPr>
            <w:r>
              <w:rPr>
                <w:noProof/>
              </w:rPr>
              <w:t xml:space="preserve">Értesítés a regionális tömegközlekedési vasúti flotta </w:t>
            </w:r>
            <w:r>
              <w:rPr>
                <w:noProof/>
              </w:rPr>
              <w:t>kibocsátásmentes vonatokkal és egyetemes szolgáltatással történő megerősítésére irányuló valamennyi közbeszerzési szerződés odaítéléséről</w:t>
            </w:r>
          </w:p>
        </w:tc>
        <w:tc>
          <w:tcPr>
            <w:tcW w:w="1415" w:type="dxa"/>
            <w:shd w:val="clear" w:color="auto" w:fill="C6EFCE"/>
            <w:noWrap/>
            <w:vAlign w:val="center"/>
          </w:tcPr>
          <w:p w14:paraId="5E8CD7B1"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5C3B8148"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71DB9B24"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10DBBB2D"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58A87401" w14:textId="77777777" w:rsidR="003F5418" w:rsidRDefault="002A6C25">
            <w:pPr>
              <w:pStyle w:val="P68B1DB1-Normal4"/>
              <w:spacing w:line="276" w:lineRule="auto"/>
              <w:jc w:val="center"/>
              <w:rPr>
                <w:noProof/>
              </w:rPr>
            </w:pPr>
            <w:r>
              <w:rPr>
                <w:noProof/>
              </w:rPr>
              <w:t>2023</w:t>
            </w:r>
          </w:p>
        </w:tc>
        <w:tc>
          <w:tcPr>
            <w:tcW w:w="3854" w:type="dxa"/>
            <w:shd w:val="clear" w:color="auto" w:fill="C6EFCE"/>
            <w:noWrap/>
            <w:vAlign w:val="center"/>
          </w:tcPr>
          <w:p w14:paraId="51772F37" w14:textId="77777777" w:rsidR="003F5418" w:rsidRDefault="002A6C25">
            <w:pPr>
              <w:spacing w:after="120"/>
              <w:rPr>
                <w:rFonts w:ascii="Arial Narrow" w:hAnsi="Arial Narrow"/>
                <w:noProof/>
                <w:color w:val="006100"/>
                <w:sz w:val="20"/>
              </w:rPr>
            </w:pPr>
            <w:r>
              <w:rPr>
                <w:rFonts w:ascii="Arial Narrow" w:hAnsi="Arial Narrow"/>
                <w:noProof/>
                <w:color w:val="006100"/>
                <w:sz w:val="20"/>
              </w:rPr>
              <w:t>Értesítés a kibocsátásmentes vonatok beszerzésére irányuló valamennyi közbeszerzési szerződé</w:t>
            </w:r>
            <w:r>
              <w:rPr>
                <w:rFonts w:ascii="Arial Narrow" w:hAnsi="Arial Narrow"/>
                <w:noProof/>
                <w:color w:val="006100"/>
                <w:sz w:val="20"/>
              </w:rPr>
              <w:t>s odaítéléséről</w:t>
            </w:r>
            <w:r>
              <w:rPr>
                <w:rStyle w:val="FootnoteReference"/>
                <w:rFonts w:ascii="Arial Narrow" w:hAnsi="Arial Narrow"/>
                <w:noProof/>
                <w:color w:val="006100"/>
                <w:sz w:val="20"/>
              </w:rPr>
              <w:footnoteReference w:id="49"/>
            </w:r>
            <w:r>
              <w:rPr>
                <w:rFonts w:ascii="Arial Narrow" w:hAnsi="Arial Narrow"/>
                <w:noProof/>
              </w:rPr>
              <w:t>.</w:t>
            </w:r>
          </w:p>
        </w:tc>
      </w:tr>
      <w:tr w:rsidR="003F5418" w14:paraId="08BF8EB6" w14:textId="77777777">
        <w:trPr>
          <w:trHeight w:val="309"/>
          <w:jc w:val="center"/>
        </w:trPr>
        <w:tc>
          <w:tcPr>
            <w:tcW w:w="1122" w:type="dxa"/>
            <w:shd w:val="clear" w:color="auto" w:fill="C6EFCE"/>
            <w:noWrap/>
            <w:vAlign w:val="center"/>
          </w:tcPr>
          <w:p w14:paraId="1B552BA2" w14:textId="77777777" w:rsidR="003F5418" w:rsidRDefault="002A6C25">
            <w:pPr>
              <w:pStyle w:val="P68B1DB1-Normal4"/>
              <w:spacing w:line="276" w:lineRule="auto"/>
              <w:jc w:val="center"/>
              <w:rPr>
                <w:noProof/>
              </w:rPr>
            </w:pPr>
            <w:r>
              <w:rPr>
                <w:noProof/>
              </w:rPr>
              <w:t>M2C2–37</w:t>
            </w:r>
          </w:p>
        </w:tc>
        <w:tc>
          <w:tcPr>
            <w:tcW w:w="1716" w:type="dxa"/>
            <w:shd w:val="clear" w:color="auto" w:fill="C6EFCE"/>
            <w:noWrap/>
            <w:vAlign w:val="center"/>
          </w:tcPr>
          <w:p w14:paraId="2D779E6D" w14:textId="77777777" w:rsidR="003F5418" w:rsidRDefault="002A6C25">
            <w:pPr>
              <w:pStyle w:val="P68B1DB1-Normal4"/>
              <w:spacing w:line="276" w:lineRule="auto"/>
              <w:jc w:val="center"/>
              <w:rPr>
                <w:noProof/>
              </w:rPr>
            </w:pPr>
            <w:r>
              <w:rPr>
                <w:noProof/>
              </w:rPr>
              <w:t>Reform: Intelligensebb projektértékelési eljárások a helyhez kötött berendezésekkel rendelkező helyi tömegközlekedési rendszerek ágazatában és a gyors személyszállítási ágazatban</w:t>
            </w:r>
          </w:p>
        </w:tc>
        <w:tc>
          <w:tcPr>
            <w:tcW w:w="1131" w:type="dxa"/>
            <w:shd w:val="clear" w:color="auto" w:fill="C6EFCE"/>
            <w:noWrap/>
            <w:vAlign w:val="center"/>
          </w:tcPr>
          <w:p w14:paraId="61057464"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294F1465" w14:textId="77777777" w:rsidR="003F5418" w:rsidRDefault="002A6C25">
            <w:pPr>
              <w:pStyle w:val="P68B1DB1-Normal4"/>
              <w:spacing w:line="276" w:lineRule="auto"/>
              <w:jc w:val="center"/>
              <w:rPr>
                <w:noProof/>
              </w:rPr>
            </w:pPr>
            <w:r>
              <w:rPr>
                <w:noProof/>
              </w:rPr>
              <w:t>Törvényerejű rendelet hatálybalépése</w:t>
            </w:r>
          </w:p>
        </w:tc>
        <w:tc>
          <w:tcPr>
            <w:tcW w:w="1277" w:type="dxa"/>
            <w:shd w:val="clear" w:color="auto" w:fill="C6EFCE"/>
            <w:noWrap/>
            <w:vAlign w:val="center"/>
          </w:tcPr>
          <w:p w14:paraId="59CE2807" w14:textId="77777777" w:rsidR="003F5418" w:rsidRDefault="002A6C25">
            <w:pPr>
              <w:pStyle w:val="P68B1DB1-Normal4"/>
              <w:spacing w:line="276" w:lineRule="auto"/>
              <w:jc w:val="center"/>
              <w:rPr>
                <w:noProof/>
              </w:rPr>
            </w:pPr>
            <w:r>
              <w:rPr>
                <w:noProof/>
              </w:rPr>
              <w:t>A törvényerejű rendelet hatálybalépését feltüntető törvényi rendelkezés</w:t>
            </w:r>
          </w:p>
        </w:tc>
        <w:tc>
          <w:tcPr>
            <w:tcW w:w="1415" w:type="dxa"/>
            <w:shd w:val="clear" w:color="auto" w:fill="C6EFCE"/>
            <w:noWrap/>
            <w:vAlign w:val="center"/>
          </w:tcPr>
          <w:p w14:paraId="54E27D5E"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0FF05D69"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133C4BF4"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0B3A9C12"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62821C81" w14:textId="77777777" w:rsidR="003F5418" w:rsidRDefault="002A6C25">
            <w:pPr>
              <w:pStyle w:val="P68B1DB1-Normal4"/>
              <w:spacing w:line="276" w:lineRule="auto"/>
              <w:jc w:val="center"/>
              <w:rPr>
                <w:noProof/>
              </w:rPr>
            </w:pPr>
            <w:r>
              <w:rPr>
                <w:noProof/>
              </w:rPr>
              <w:t>2021</w:t>
            </w:r>
          </w:p>
        </w:tc>
        <w:tc>
          <w:tcPr>
            <w:tcW w:w="3854" w:type="dxa"/>
            <w:shd w:val="clear" w:color="auto" w:fill="C6EFCE"/>
            <w:noWrap/>
            <w:vAlign w:val="center"/>
          </w:tcPr>
          <w:p w14:paraId="348C6305" w14:textId="77777777" w:rsidR="003F5418" w:rsidRDefault="002A6C25">
            <w:pPr>
              <w:pStyle w:val="P68B1DB1-Normal4"/>
              <w:spacing w:after="120"/>
              <w:rPr>
                <w:noProof/>
              </w:rPr>
            </w:pPr>
            <w:r>
              <w:rPr>
                <w:noProof/>
              </w:rPr>
              <w:t>A törvényerejű rendelet egyszerűsíti a helyi tömegközlekedéssel kapcsolatos projektek értékelési kritériumait, és felgyorsítja a tervezési és engedélyezési el</w:t>
            </w:r>
            <w:r>
              <w:rPr>
                <w:noProof/>
              </w:rPr>
              <w:t>járást.</w:t>
            </w:r>
          </w:p>
        </w:tc>
      </w:tr>
      <w:tr w:rsidR="003F5418" w14:paraId="33E7C4B7" w14:textId="77777777">
        <w:trPr>
          <w:trHeight w:val="309"/>
          <w:jc w:val="center"/>
        </w:trPr>
        <w:tc>
          <w:tcPr>
            <w:tcW w:w="1122" w:type="dxa"/>
            <w:shd w:val="clear" w:color="auto" w:fill="C6EFCE"/>
            <w:noWrap/>
            <w:vAlign w:val="center"/>
          </w:tcPr>
          <w:p w14:paraId="37D29211" w14:textId="77777777" w:rsidR="003F5418" w:rsidRDefault="002A6C25">
            <w:pPr>
              <w:pStyle w:val="P68B1DB1-Normal4"/>
              <w:spacing w:line="276" w:lineRule="auto"/>
              <w:jc w:val="center"/>
              <w:rPr>
                <w:noProof/>
              </w:rPr>
            </w:pPr>
            <w:r>
              <w:rPr>
                <w:noProof/>
              </w:rPr>
              <w:t>M2C2–38</w:t>
            </w:r>
          </w:p>
        </w:tc>
        <w:tc>
          <w:tcPr>
            <w:tcW w:w="1716" w:type="dxa"/>
            <w:shd w:val="clear" w:color="auto" w:fill="C6EFCE"/>
            <w:noWrap/>
            <w:vAlign w:val="center"/>
          </w:tcPr>
          <w:p w14:paraId="243A67A0" w14:textId="77777777" w:rsidR="003F5418" w:rsidRDefault="002A6C25">
            <w:pPr>
              <w:pStyle w:val="P68B1DB1-Normal4"/>
              <w:spacing w:line="276" w:lineRule="auto"/>
              <w:jc w:val="center"/>
              <w:rPr>
                <w:noProof/>
              </w:rPr>
            </w:pPr>
            <w:r>
              <w:rPr>
                <w:noProof/>
              </w:rPr>
              <w:t>Beruházás: Megújuló energiaforrások és akkumulátorok</w:t>
            </w:r>
          </w:p>
        </w:tc>
        <w:tc>
          <w:tcPr>
            <w:tcW w:w="1131" w:type="dxa"/>
            <w:shd w:val="clear" w:color="auto" w:fill="C6EFCE"/>
            <w:noWrap/>
            <w:vAlign w:val="center"/>
          </w:tcPr>
          <w:p w14:paraId="6FA6299B"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54972042" w14:textId="77777777" w:rsidR="003F5418" w:rsidRDefault="002A6C25">
            <w:pPr>
              <w:pStyle w:val="P68B1DB1-Normal4"/>
              <w:spacing w:line="276" w:lineRule="auto"/>
              <w:jc w:val="center"/>
              <w:rPr>
                <w:noProof/>
              </w:rPr>
            </w:pPr>
            <w:r>
              <w:rPr>
                <w:noProof/>
              </w:rPr>
              <w:t>Miniszteri rendelet hatálybalépése</w:t>
            </w:r>
          </w:p>
        </w:tc>
        <w:tc>
          <w:tcPr>
            <w:tcW w:w="1277" w:type="dxa"/>
            <w:shd w:val="clear" w:color="auto" w:fill="C6EFCE"/>
            <w:noWrap/>
            <w:vAlign w:val="center"/>
          </w:tcPr>
          <w:p w14:paraId="44BD750B" w14:textId="77777777" w:rsidR="003F5418" w:rsidRDefault="002A6C25">
            <w:pPr>
              <w:pStyle w:val="P68B1DB1-Normal4"/>
              <w:spacing w:line="276" w:lineRule="auto"/>
              <w:jc w:val="center"/>
              <w:rPr>
                <w:noProof/>
              </w:rPr>
            </w:pPr>
            <w:r>
              <w:rPr>
                <w:noProof/>
              </w:rPr>
              <w:t>A miniszteri rendelet hatálybalépését feltüntető törvényi rendelkezés</w:t>
            </w:r>
          </w:p>
        </w:tc>
        <w:tc>
          <w:tcPr>
            <w:tcW w:w="1415" w:type="dxa"/>
            <w:shd w:val="clear" w:color="auto" w:fill="C6EFCE"/>
            <w:noWrap/>
            <w:vAlign w:val="center"/>
          </w:tcPr>
          <w:p w14:paraId="33400482"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39F9BD14"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3CD7778A"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3111C9B7"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1274507E"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1340B18A" w14:textId="77777777" w:rsidR="003F5418" w:rsidRDefault="002A6C25">
            <w:pPr>
              <w:pStyle w:val="P68B1DB1-Normal4"/>
              <w:spacing w:after="120"/>
              <w:rPr>
                <w:noProof/>
              </w:rPr>
            </w:pPr>
            <w:r>
              <w:rPr>
                <w:noProof/>
              </w:rPr>
              <w:t xml:space="preserve">A miniszteri rendelet meghatározza a </w:t>
            </w:r>
            <w:r>
              <w:rPr>
                <w:noProof/>
              </w:rPr>
              <w:t>rendelkezésre álló források összegét, a kedvezményezettek hozzáférési követelményeit, a programok és projektek támogathatósági feltételeit, a támogatható költségeket, valamint a nagy hatékonyságú fotovoltaikus panelek fejlesztéséhez és az akkumulátorok fej</w:t>
            </w:r>
            <w:r>
              <w:rPr>
                <w:noProof/>
              </w:rPr>
              <w:t>lesztéséhez nyújtott támogatás formáját és intenzitását.</w:t>
            </w:r>
          </w:p>
        </w:tc>
      </w:tr>
      <w:tr w:rsidR="003F5418" w14:paraId="42C8AF1E" w14:textId="77777777">
        <w:trPr>
          <w:trHeight w:val="309"/>
          <w:jc w:val="center"/>
        </w:trPr>
        <w:tc>
          <w:tcPr>
            <w:tcW w:w="1122" w:type="dxa"/>
            <w:shd w:val="clear" w:color="auto" w:fill="C6EFCE"/>
            <w:noWrap/>
            <w:vAlign w:val="center"/>
          </w:tcPr>
          <w:p w14:paraId="5D726231" w14:textId="77777777" w:rsidR="003F5418" w:rsidRDefault="002A6C25">
            <w:pPr>
              <w:pStyle w:val="P68B1DB1-Normal4"/>
              <w:spacing w:line="276" w:lineRule="auto"/>
              <w:jc w:val="center"/>
              <w:rPr>
                <w:noProof/>
              </w:rPr>
            </w:pPr>
            <w:r>
              <w:rPr>
                <w:noProof/>
              </w:rPr>
              <w:t>M2C2–41</w:t>
            </w:r>
          </w:p>
        </w:tc>
        <w:tc>
          <w:tcPr>
            <w:tcW w:w="1716" w:type="dxa"/>
            <w:shd w:val="clear" w:color="auto" w:fill="C6EFCE"/>
            <w:noWrap/>
            <w:vAlign w:val="center"/>
          </w:tcPr>
          <w:p w14:paraId="082DD71C" w14:textId="77777777" w:rsidR="003F5418" w:rsidRDefault="002A6C25">
            <w:pPr>
              <w:pStyle w:val="P68B1DB1-Normal4"/>
              <w:spacing w:line="276" w:lineRule="auto"/>
              <w:jc w:val="center"/>
              <w:rPr>
                <w:noProof/>
              </w:rPr>
            </w:pPr>
            <w:r>
              <w:rPr>
                <w:noProof/>
              </w:rPr>
              <w:t>Beruházás: Elektromos buszok</w:t>
            </w:r>
          </w:p>
        </w:tc>
        <w:tc>
          <w:tcPr>
            <w:tcW w:w="1131" w:type="dxa"/>
            <w:shd w:val="clear" w:color="auto" w:fill="C6EFCE"/>
            <w:noWrap/>
            <w:vAlign w:val="center"/>
          </w:tcPr>
          <w:p w14:paraId="61A1F076"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1C92CDEA" w14:textId="77777777" w:rsidR="003F5418" w:rsidRDefault="002A6C25">
            <w:pPr>
              <w:pStyle w:val="P68B1DB1-Normal4"/>
              <w:spacing w:line="276" w:lineRule="auto"/>
              <w:jc w:val="center"/>
              <w:rPr>
                <w:noProof/>
              </w:rPr>
            </w:pPr>
            <w:r>
              <w:rPr>
                <w:noProof/>
              </w:rPr>
              <w:t xml:space="preserve">Miniszteri rendelet hatálybalépése, amely meghatározza a beavatkozás céljának eléréséhez rendelkezésre álló források mennyiségét (buszok ellátási </w:t>
            </w:r>
            <w:r>
              <w:rPr>
                <w:noProof/>
              </w:rPr>
              <w:t>lánca)</w:t>
            </w:r>
          </w:p>
        </w:tc>
        <w:tc>
          <w:tcPr>
            <w:tcW w:w="1277" w:type="dxa"/>
            <w:shd w:val="clear" w:color="auto" w:fill="C6EFCE"/>
            <w:noWrap/>
            <w:vAlign w:val="center"/>
          </w:tcPr>
          <w:p w14:paraId="46F244D4" w14:textId="77777777" w:rsidR="003F5418" w:rsidRDefault="002A6C25">
            <w:pPr>
              <w:pStyle w:val="P68B1DB1-Normal4"/>
              <w:spacing w:line="276" w:lineRule="auto"/>
              <w:jc w:val="center"/>
              <w:rPr>
                <w:noProof/>
              </w:rPr>
            </w:pPr>
            <w:r>
              <w:rPr>
                <w:noProof/>
              </w:rPr>
              <w:t>A miniszteri rendeletben szereplő, a hatálybalépésre vonatkozó rendelkezés</w:t>
            </w:r>
          </w:p>
        </w:tc>
        <w:tc>
          <w:tcPr>
            <w:tcW w:w="1415" w:type="dxa"/>
            <w:shd w:val="clear" w:color="auto" w:fill="C6EFCE"/>
            <w:noWrap/>
            <w:vAlign w:val="center"/>
          </w:tcPr>
          <w:p w14:paraId="5747430B"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63E3E884"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395C02E5"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19E7D719" w14:textId="77777777" w:rsidR="003F5418" w:rsidRDefault="002A6C25">
            <w:pPr>
              <w:pStyle w:val="P68B1DB1-Normal4"/>
              <w:spacing w:line="276" w:lineRule="auto"/>
              <w:jc w:val="center"/>
              <w:rPr>
                <w:noProof/>
              </w:rPr>
            </w:pPr>
            <w:r>
              <w:rPr>
                <w:noProof/>
              </w:rPr>
              <w:t>Q4</w:t>
            </w:r>
          </w:p>
        </w:tc>
        <w:tc>
          <w:tcPr>
            <w:tcW w:w="709" w:type="dxa"/>
            <w:shd w:val="clear" w:color="auto" w:fill="C6EFCE"/>
            <w:noWrap/>
            <w:vAlign w:val="center"/>
          </w:tcPr>
          <w:p w14:paraId="6E338DA1" w14:textId="77777777" w:rsidR="003F5418" w:rsidRDefault="002A6C25">
            <w:pPr>
              <w:pStyle w:val="P68B1DB1-Normal4"/>
              <w:spacing w:line="276" w:lineRule="auto"/>
              <w:jc w:val="center"/>
              <w:rPr>
                <w:noProof/>
              </w:rPr>
            </w:pPr>
            <w:r>
              <w:rPr>
                <w:noProof/>
              </w:rPr>
              <w:t>2021</w:t>
            </w:r>
          </w:p>
        </w:tc>
        <w:tc>
          <w:tcPr>
            <w:tcW w:w="3854" w:type="dxa"/>
            <w:shd w:val="clear" w:color="auto" w:fill="C6EFCE"/>
            <w:noWrap/>
            <w:vAlign w:val="center"/>
          </w:tcPr>
          <w:p w14:paraId="4ACD587E" w14:textId="77777777" w:rsidR="003F5418" w:rsidRDefault="002A6C25">
            <w:pPr>
              <w:pStyle w:val="P68B1DB1-Normal4"/>
              <w:spacing w:after="120"/>
              <w:rPr>
                <w:noProof/>
              </w:rPr>
            </w:pPr>
            <w:r>
              <w:rPr>
                <w:noProof/>
              </w:rPr>
              <w:t xml:space="preserve">A miniszteri rendelet meghatározza a mintegy 45 ipari átalakítási projekt „fejlesztési szerződések” keretében történő végrehajtásához rendelkezésre </w:t>
            </w:r>
            <w:r>
              <w:rPr>
                <w:noProof/>
              </w:rPr>
              <w:t>álló források mennyiségét.</w:t>
            </w:r>
          </w:p>
        </w:tc>
      </w:tr>
      <w:tr w:rsidR="003F5418" w14:paraId="307E97C2" w14:textId="77777777">
        <w:trPr>
          <w:trHeight w:val="7425"/>
          <w:jc w:val="center"/>
        </w:trPr>
        <w:tc>
          <w:tcPr>
            <w:tcW w:w="1122" w:type="dxa"/>
            <w:shd w:val="clear" w:color="auto" w:fill="C6EFCE"/>
            <w:noWrap/>
            <w:vAlign w:val="center"/>
          </w:tcPr>
          <w:p w14:paraId="27F2E778" w14:textId="77777777" w:rsidR="003F5418" w:rsidRDefault="002A6C25">
            <w:pPr>
              <w:pStyle w:val="P68B1DB1-Normal4"/>
              <w:spacing w:line="276" w:lineRule="auto"/>
              <w:jc w:val="center"/>
              <w:rPr>
                <w:noProof/>
              </w:rPr>
            </w:pPr>
            <w:r>
              <w:rPr>
                <w:noProof/>
              </w:rPr>
              <w:t>M2C2–42</w:t>
            </w:r>
          </w:p>
        </w:tc>
        <w:tc>
          <w:tcPr>
            <w:tcW w:w="1716" w:type="dxa"/>
            <w:shd w:val="clear" w:color="auto" w:fill="C6EFCE"/>
            <w:noWrap/>
            <w:vAlign w:val="center"/>
          </w:tcPr>
          <w:p w14:paraId="2CA6AAB4" w14:textId="77777777" w:rsidR="003F5418" w:rsidRDefault="002A6C25">
            <w:pPr>
              <w:pStyle w:val="P68B1DB1-Normal4"/>
              <w:spacing w:line="276" w:lineRule="auto"/>
              <w:jc w:val="center"/>
              <w:rPr>
                <w:noProof/>
              </w:rPr>
            </w:pPr>
            <w:r>
              <w:rPr>
                <w:noProof/>
              </w:rPr>
              <w:t>Beruházás: Az ökológiai átállásban aktív induló vállalkozások és kockázati tőke támogatása</w:t>
            </w:r>
          </w:p>
        </w:tc>
        <w:tc>
          <w:tcPr>
            <w:tcW w:w="1131" w:type="dxa"/>
            <w:shd w:val="clear" w:color="auto" w:fill="C6EFCE"/>
            <w:noWrap/>
            <w:vAlign w:val="center"/>
          </w:tcPr>
          <w:p w14:paraId="10EF9981" w14:textId="77777777" w:rsidR="003F5418" w:rsidRDefault="002A6C25">
            <w:pPr>
              <w:pStyle w:val="P68B1DB1-Normal4"/>
              <w:spacing w:line="276" w:lineRule="auto"/>
              <w:jc w:val="center"/>
              <w:rPr>
                <w:noProof/>
              </w:rPr>
            </w:pPr>
            <w:r>
              <w:rPr>
                <w:noProof/>
              </w:rPr>
              <w:t>Mérföldkő</w:t>
            </w:r>
          </w:p>
        </w:tc>
        <w:tc>
          <w:tcPr>
            <w:tcW w:w="1418" w:type="dxa"/>
            <w:shd w:val="clear" w:color="auto" w:fill="C6EFCE"/>
            <w:noWrap/>
            <w:vAlign w:val="center"/>
          </w:tcPr>
          <w:p w14:paraId="52E0A2BC" w14:textId="77777777" w:rsidR="003F5418" w:rsidRDefault="002A6C25">
            <w:pPr>
              <w:pStyle w:val="P68B1DB1-Normal4"/>
              <w:spacing w:line="276" w:lineRule="auto"/>
              <w:jc w:val="center"/>
              <w:rPr>
                <w:noProof/>
              </w:rPr>
            </w:pPr>
            <w:r>
              <w:rPr>
                <w:noProof/>
              </w:rPr>
              <w:t>A pénzügyi megállapodás aláírása</w:t>
            </w:r>
          </w:p>
        </w:tc>
        <w:tc>
          <w:tcPr>
            <w:tcW w:w="1277" w:type="dxa"/>
            <w:shd w:val="clear" w:color="auto" w:fill="C6EFCE"/>
            <w:noWrap/>
            <w:vAlign w:val="center"/>
          </w:tcPr>
          <w:p w14:paraId="0ECFDAF8" w14:textId="77777777" w:rsidR="003F5418" w:rsidRDefault="002A6C25">
            <w:pPr>
              <w:pStyle w:val="P68B1DB1-Normal4"/>
              <w:spacing w:line="276" w:lineRule="auto"/>
              <w:jc w:val="center"/>
              <w:rPr>
                <w:noProof/>
              </w:rPr>
            </w:pPr>
            <w:r>
              <w:rPr>
                <w:noProof/>
              </w:rPr>
              <w:t>Értesítés a pénzügyi megállapodás aláírásáról</w:t>
            </w:r>
          </w:p>
        </w:tc>
        <w:tc>
          <w:tcPr>
            <w:tcW w:w="1415" w:type="dxa"/>
            <w:shd w:val="clear" w:color="auto" w:fill="C6EFCE"/>
            <w:noWrap/>
            <w:vAlign w:val="center"/>
          </w:tcPr>
          <w:p w14:paraId="5710194F" w14:textId="77777777" w:rsidR="003F5418" w:rsidRDefault="002A6C25">
            <w:pPr>
              <w:pStyle w:val="P68B1DB1-Normal4"/>
              <w:spacing w:line="276" w:lineRule="auto"/>
              <w:jc w:val="center"/>
              <w:rPr>
                <w:noProof/>
              </w:rPr>
            </w:pPr>
            <w:r>
              <w:rPr>
                <w:noProof/>
              </w:rPr>
              <w:t>NINCS</w:t>
            </w:r>
          </w:p>
        </w:tc>
        <w:tc>
          <w:tcPr>
            <w:tcW w:w="1021" w:type="dxa"/>
            <w:shd w:val="clear" w:color="auto" w:fill="C6EFCE"/>
            <w:noWrap/>
            <w:vAlign w:val="center"/>
          </w:tcPr>
          <w:p w14:paraId="1FA7D4E7" w14:textId="77777777" w:rsidR="003F5418" w:rsidRDefault="002A6C25">
            <w:pPr>
              <w:pStyle w:val="P68B1DB1-Normal4"/>
              <w:spacing w:line="276" w:lineRule="auto"/>
              <w:jc w:val="center"/>
              <w:rPr>
                <w:noProof/>
              </w:rPr>
            </w:pPr>
            <w:r>
              <w:rPr>
                <w:noProof/>
              </w:rPr>
              <w:t>NINCS</w:t>
            </w:r>
          </w:p>
        </w:tc>
        <w:tc>
          <w:tcPr>
            <w:tcW w:w="1418" w:type="dxa"/>
            <w:shd w:val="clear" w:color="auto" w:fill="C6EFCE"/>
            <w:noWrap/>
            <w:vAlign w:val="center"/>
          </w:tcPr>
          <w:p w14:paraId="049F564C" w14:textId="77777777" w:rsidR="003F5418" w:rsidRDefault="002A6C25">
            <w:pPr>
              <w:pStyle w:val="P68B1DB1-Normal4"/>
              <w:spacing w:line="276" w:lineRule="auto"/>
              <w:jc w:val="center"/>
              <w:rPr>
                <w:noProof/>
              </w:rPr>
            </w:pPr>
            <w:r>
              <w:rPr>
                <w:noProof/>
              </w:rPr>
              <w:t>NINCS</w:t>
            </w:r>
          </w:p>
        </w:tc>
        <w:tc>
          <w:tcPr>
            <w:tcW w:w="993" w:type="dxa"/>
            <w:shd w:val="clear" w:color="auto" w:fill="C6EFCE"/>
            <w:noWrap/>
            <w:vAlign w:val="center"/>
          </w:tcPr>
          <w:p w14:paraId="6FBE53CF" w14:textId="77777777" w:rsidR="003F5418" w:rsidRDefault="002A6C25">
            <w:pPr>
              <w:pStyle w:val="P68B1DB1-Normal4"/>
              <w:spacing w:line="276" w:lineRule="auto"/>
              <w:jc w:val="center"/>
              <w:rPr>
                <w:noProof/>
              </w:rPr>
            </w:pPr>
            <w:r>
              <w:rPr>
                <w:noProof/>
              </w:rPr>
              <w:t>Q2</w:t>
            </w:r>
          </w:p>
        </w:tc>
        <w:tc>
          <w:tcPr>
            <w:tcW w:w="709" w:type="dxa"/>
            <w:shd w:val="clear" w:color="auto" w:fill="C6EFCE"/>
            <w:noWrap/>
            <w:vAlign w:val="center"/>
          </w:tcPr>
          <w:p w14:paraId="73A220DC" w14:textId="77777777" w:rsidR="003F5418" w:rsidRDefault="002A6C25">
            <w:pPr>
              <w:pStyle w:val="P68B1DB1-Normal4"/>
              <w:spacing w:line="276" w:lineRule="auto"/>
              <w:jc w:val="center"/>
              <w:rPr>
                <w:noProof/>
              </w:rPr>
            </w:pPr>
            <w:r>
              <w:rPr>
                <w:noProof/>
              </w:rPr>
              <w:t>2022</w:t>
            </w:r>
          </w:p>
        </w:tc>
        <w:tc>
          <w:tcPr>
            <w:tcW w:w="3854" w:type="dxa"/>
            <w:shd w:val="clear" w:color="auto" w:fill="C6EFCE"/>
            <w:noWrap/>
            <w:vAlign w:val="center"/>
          </w:tcPr>
          <w:p w14:paraId="2DD39115" w14:textId="77777777" w:rsidR="003F5418" w:rsidRDefault="002A6C25">
            <w:pPr>
              <w:pStyle w:val="P68B1DB1-Normal4"/>
              <w:spacing w:after="120"/>
              <w:rPr>
                <w:noProof/>
              </w:rPr>
            </w:pPr>
            <w:r>
              <w:rPr>
                <w:noProof/>
              </w:rPr>
              <w:t xml:space="preserve">A pénzügyi </w:t>
            </w:r>
            <w:r>
              <w:rPr>
                <w:noProof/>
              </w:rPr>
              <w:t>megállapodásban meg kell határozni a kockázatitőkealap-kezelőknek a zöld átállás célkitűzéseivel összhangban történő befektetésbe és vállalkozásokba/indulásba történő közvetett befektetését, a kutatók és az induló innovatív vállalkozások rendelkezésére áll</w:t>
            </w:r>
            <w:r>
              <w:rPr>
                <w:noProof/>
              </w:rPr>
              <w:t>ó tőke bővítését, az aktív kockázatitőke-alapok tevékenységének megerősítését, valamint új és innovatív vállalkozások vállalkozásokkal partnerségben történő fejlesztését.</w:t>
            </w:r>
          </w:p>
          <w:p w14:paraId="2871A188" w14:textId="77777777" w:rsidR="003F5418" w:rsidRDefault="003F5418">
            <w:pPr>
              <w:spacing w:after="120"/>
              <w:rPr>
                <w:rFonts w:ascii="Arial Narrow" w:hAnsi="Arial Narrow"/>
                <w:noProof/>
                <w:color w:val="006100"/>
                <w:sz w:val="20"/>
              </w:rPr>
            </w:pPr>
          </w:p>
          <w:p w14:paraId="2A4E9C26" w14:textId="77777777" w:rsidR="003F5418" w:rsidRDefault="002A6C25">
            <w:pPr>
              <w:pStyle w:val="P68B1DB1-Normal4"/>
              <w:spacing w:after="120"/>
              <w:rPr>
                <w:noProof/>
              </w:rPr>
            </w:pPr>
            <w:r>
              <w:rPr>
                <w:noProof/>
              </w:rPr>
              <w:t>A pénzügyi megállapodás a következőket tartalmazza:</w:t>
            </w:r>
          </w:p>
          <w:p w14:paraId="24C92B0F" w14:textId="77777777" w:rsidR="003F5418" w:rsidRDefault="002A6C25">
            <w:pPr>
              <w:pStyle w:val="P68B1DB1-ListParagraph5"/>
              <w:numPr>
                <w:ilvl w:val="0"/>
                <w:numId w:val="69"/>
              </w:numPr>
              <w:spacing w:before="0"/>
              <w:ind w:left="296"/>
              <w:contextualSpacing w:val="0"/>
              <w:jc w:val="left"/>
              <w:rPr>
                <w:noProof/>
              </w:rPr>
            </w:pPr>
            <w:r>
              <w:rPr>
                <w:noProof/>
              </w:rPr>
              <w:t>befektetési politika,</w:t>
            </w:r>
          </w:p>
          <w:p w14:paraId="54859C57" w14:textId="77777777" w:rsidR="003F5418" w:rsidRDefault="002A6C25">
            <w:pPr>
              <w:pStyle w:val="P68B1DB1-ListParagraph5"/>
              <w:numPr>
                <w:ilvl w:val="0"/>
                <w:numId w:val="69"/>
              </w:numPr>
              <w:spacing w:before="0"/>
              <w:ind w:left="296"/>
              <w:contextualSpacing w:val="0"/>
              <w:jc w:val="left"/>
              <w:rPr>
                <w:noProof/>
              </w:rPr>
            </w:pPr>
            <w:r>
              <w:rPr>
                <w:noProof/>
              </w:rPr>
              <w:t>jogosultsá</w:t>
            </w:r>
            <w:r>
              <w:rPr>
                <w:noProof/>
              </w:rPr>
              <w:t>gi feltételek,</w:t>
            </w:r>
          </w:p>
          <w:p w14:paraId="24CB90CC" w14:textId="77777777" w:rsidR="003F5418" w:rsidRDefault="002A6C25">
            <w:pPr>
              <w:pStyle w:val="P68B1DB1-Normal4"/>
              <w:spacing w:after="120"/>
              <w:rPr>
                <w:noProof/>
              </w:rPr>
            </w:pPr>
            <w:r>
              <w:rPr>
                <w:noProof/>
              </w:rPr>
              <w:t>az ezen intézkedés keretében támogatott ügyleteknek a jelentős károkozás elkerülését célzó technikai iránymutatásnak (2021/C58/01) való megfelelése fenntarthatósági vizsgálat, kizárási lista, valamint a vonatkozó uniós és nemzeti környezetvé</w:t>
            </w:r>
            <w:r>
              <w:rPr>
                <w:noProof/>
              </w:rPr>
              <w:t>delmi jogszabályoknak való megfelelés követelménye révén.</w:t>
            </w:r>
          </w:p>
        </w:tc>
      </w:tr>
    </w:tbl>
    <w:p w14:paraId="0390C96B" w14:textId="77777777" w:rsidR="003F5418" w:rsidRDefault="003F5418">
      <w:pPr>
        <w:spacing w:before="120" w:after="120"/>
        <w:ind w:left="709"/>
        <w:jc w:val="both"/>
        <w:rPr>
          <w:noProof/>
        </w:rPr>
      </w:pPr>
    </w:p>
    <w:p w14:paraId="648BBC79" w14:textId="77777777" w:rsidR="003F5418" w:rsidRDefault="003F5418">
      <w:pPr>
        <w:spacing w:before="120" w:after="120"/>
        <w:ind w:left="709"/>
        <w:jc w:val="both"/>
        <w:rPr>
          <w:noProof/>
        </w:rPr>
        <w:sectPr w:rsidR="003F5418">
          <w:headerReference w:type="even" r:id="rId146"/>
          <w:headerReference w:type="default" r:id="rId147"/>
          <w:footerReference w:type="even" r:id="rId148"/>
          <w:footerReference w:type="default" r:id="rId149"/>
          <w:headerReference w:type="first" r:id="rId150"/>
          <w:footerReference w:type="first" r:id="rId151"/>
          <w:pgSz w:w="16839" w:h="11907" w:orient="landscape"/>
          <w:pgMar w:top="1134" w:right="1134" w:bottom="1134" w:left="1134" w:header="567" w:footer="567" w:gutter="0"/>
          <w:cols w:space="720"/>
          <w:docGrid w:linePitch="360"/>
        </w:sectPr>
      </w:pPr>
    </w:p>
    <w:p w14:paraId="5FCA6D69"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E.3. </w:t>
      </w:r>
      <w:r>
        <w:rPr>
          <w:noProof/>
        </w:rPr>
        <w:t xml:space="preserve"> </w:t>
      </w:r>
      <w:r>
        <w:rPr>
          <w:b/>
          <w:i w:val="0"/>
          <w:noProof/>
          <w:u w:val="single"/>
        </w:rPr>
        <w:t xml:space="preserve">A hitelhez kapcsolódó reformok és beruházások ismertetése </w:t>
      </w:r>
    </w:p>
    <w:p w14:paraId="73D42DDB" w14:textId="42E2AB07" w:rsidR="003F5418" w:rsidRDefault="00B07E42">
      <w:pPr>
        <w:pStyle w:val="P68B1DB1-Normal2"/>
        <w:spacing w:before="120" w:after="120"/>
        <w:jc w:val="both"/>
        <w:rPr>
          <w:noProof/>
        </w:rPr>
      </w:pPr>
      <w:r>
        <w:rPr>
          <w:noProof/>
        </w:rPr>
        <w:t>1</w:t>
      </w:r>
      <w:r w:rsidRPr="00B07E42">
        <w:rPr>
          <w:noProof/>
        </w:rPr>
        <w:t>.</w:t>
      </w:r>
      <w:r>
        <w:rPr>
          <w:noProof/>
        </w:rPr>
        <w:t>1</w:t>
      </w:r>
      <w:r w:rsidRPr="00B07E42">
        <w:rPr>
          <w:noProof/>
        </w:rPr>
        <w:t>.</w:t>
      </w:r>
      <w:r>
        <w:rPr>
          <w:noProof/>
        </w:rPr>
        <w:t xml:space="preserve"> Beruházás – Akutikai rendszerek fejlesztése</w:t>
      </w:r>
    </w:p>
    <w:p w14:paraId="2DF02D29" w14:textId="77777777" w:rsidR="003F5418" w:rsidRDefault="002A6C25">
      <w:pPr>
        <w:spacing w:before="120" w:after="120"/>
        <w:jc w:val="both"/>
        <w:rPr>
          <w:noProof/>
        </w:rPr>
      </w:pPr>
      <w:r>
        <w:rPr>
          <w:noProof/>
        </w:rPr>
        <w:t xml:space="preserve">Ez a beruházás olyan </w:t>
      </w:r>
      <w:r>
        <w:rPr>
          <w:noProof/>
        </w:rPr>
        <w:t>vissza nem térítendő támogatásokból és hitelekből áll, amelyek a különböző növényfajták esetében a mikroklíma, a vízmegtakarítás, a talaj termőképességének helyreállítása, az éghajlatváltozással szembeni ellenálló képesség és a mezőgazdasági termelékenység</w:t>
      </w:r>
      <w:r>
        <w:rPr>
          <w:noProof/>
        </w:rPr>
        <w:t xml:space="preserve"> értékelésére szolgáló, az alapul szolgáló mezőgazdasági tevékenység nyomon követésére szolgáló mérőeszközök telepítését támogatják.</w:t>
      </w:r>
    </w:p>
    <w:p w14:paraId="72014872" w14:textId="14C90986" w:rsidR="003F5418" w:rsidRDefault="00B07E42">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Beruházás – A megújuló energiaforrások támogatása az energiaközösségek és a közösen fellépő termelő-fogyasztók számára</w:t>
      </w:r>
    </w:p>
    <w:p w14:paraId="3645335A" w14:textId="5C284B47" w:rsidR="003F5418" w:rsidRDefault="002A6C25">
      <w:pPr>
        <w:spacing w:before="120" w:after="120"/>
        <w:jc w:val="both"/>
        <w:rPr>
          <w:noProof/>
        </w:rPr>
      </w:pPr>
      <w:r>
        <w:rPr>
          <w:noProof/>
        </w:rPr>
        <w:t>Ez a beruházás 1 730 MW új villamosenergia-termelési kapacitás telepítésének támogatását jelenti a kollektív saját fogyasztású konfigurációk és a megújulóenergia-közösségek számára, különösen az 5000 főnél kevesebb lakosú településeken. A támogatás a megú</w:t>
      </w:r>
      <w:r>
        <w:rPr>
          <w:noProof/>
        </w:rPr>
        <w:t>juló energiaforrások és az energiatároló rendszerekkel összekapcsolt termelőüzemek építéséhez nyújtott támogatásokon alapul.</w:t>
      </w:r>
    </w:p>
    <w:p w14:paraId="17CFD9F1" w14:textId="4ACC0AD0" w:rsidR="003F5418" w:rsidRDefault="00B07E42">
      <w:pPr>
        <w:pStyle w:val="P68B1DB1-Normal2"/>
        <w:spacing w:before="120" w:after="120"/>
        <w:jc w:val="both"/>
        <w:rPr>
          <w:noProof/>
        </w:rPr>
      </w:pPr>
      <w:r>
        <w:rPr>
          <w:noProof/>
        </w:rPr>
        <w:t>1</w:t>
      </w:r>
      <w:r w:rsidRPr="00B07E42">
        <w:rPr>
          <w:noProof/>
        </w:rPr>
        <w:t>.</w:t>
      </w:r>
      <w:r>
        <w:rPr>
          <w:noProof/>
        </w:rPr>
        <w:t>4</w:t>
      </w:r>
      <w:r w:rsidRPr="00B07E42">
        <w:rPr>
          <w:noProof/>
        </w:rPr>
        <w:t>.</w:t>
      </w:r>
      <w:r>
        <w:rPr>
          <w:noProof/>
        </w:rPr>
        <w:t xml:space="preserve"> Beruházás – A biometán fejlesztése a körforgásos gazdaság előmozdításának kritériumai szerint</w:t>
      </w:r>
    </w:p>
    <w:p w14:paraId="1BE8A8A7" w14:textId="77777777" w:rsidR="003F5418" w:rsidRDefault="002A6C25">
      <w:pPr>
        <w:spacing w:before="120" w:after="120"/>
        <w:jc w:val="both"/>
        <w:rPr>
          <w:noProof/>
        </w:rPr>
      </w:pPr>
      <w:r>
        <w:rPr>
          <w:noProof/>
        </w:rPr>
        <w:t xml:space="preserve">Ez a beruházás a következőkből </w:t>
      </w:r>
      <w:r>
        <w:rPr>
          <w:noProof/>
        </w:rPr>
        <w:t>áll:</w:t>
      </w:r>
    </w:p>
    <w:p w14:paraId="479AC7B0" w14:textId="77777777" w:rsidR="003F5418" w:rsidRDefault="002A6C25">
      <w:pPr>
        <w:numPr>
          <w:ilvl w:val="0"/>
          <w:numId w:val="67"/>
        </w:numPr>
        <w:spacing w:before="120" w:after="120" w:line="259" w:lineRule="auto"/>
        <w:ind w:left="360"/>
        <w:contextualSpacing/>
        <w:jc w:val="both"/>
        <w:rPr>
          <w:noProof/>
        </w:rPr>
      </w:pPr>
      <w:r>
        <w:rPr>
          <w:noProof/>
        </w:rPr>
        <w:t>A biometánt előállító új üzemek építésének támogatása</w:t>
      </w:r>
    </w:p>
    <w:p w14:paraId="17EB8D8C" w14:textId="77777777" w:rsidR="003F5418" w:rsidRDefault="002A6C25">
      <w:pPr>
        <w:numPr>
          <w:ilvl w:val="0"/>
          <w:numId w:val="67"/>
        </w:numPr>
        <w:spacing w:before="120" w:after="120" w:line="259" w:lineRule="auto"/>
        <w:ind w:left="360"/>
        <w:contextualSpacing/>
        <w:jc w:val="both"/>
        <w:rPr>
          <w:noProof/>
        </w:rPr>
      </w:pPr>
      <w:r>
        <w:rPr>
          <w:noProof/>
        </w:rPr>
        <w:t>A meglévő mezőgazdasági biogázüzemek (köztük a települési szilárd hulladék szerves frakcionálása) hatékonyságának átalakítása és hatékonyságának javítása a közlekedési, ipari és fűtési célú biometá</w:t>
      </w:r>
      <w:r>
        <w:rPr>
          <w:noProof/>
        </w:rPr>
        <w:t>n előállítására. A biometánnak meg kell felelnie az (EU) 2018/2001 irányelvben (RED II. irányelv) meghatározott kritériumoknak annak érdekében, hogy az intézkedés megfeleljen a jelentős károkozás elkerülését célzó elvnek és az (EU) 2021/241 rendelet VI. me</w:t>
      </w:r>
      <w:r>
        <w:rPr>
          <w:noProof/>
        </w:rPr>
        <w:t>llékletének 8. lábjegyzetében foglalt vonatkozó követelményeknek.</w:t>
      </w:r>
    </w:p>
    <w:p w14:paraId="42A1E8D5" w14:textId="77777777" w:rsidR="003F5418" w:rsidRDefault="002A6C25">
      <w:pPr>
        <w:numPr>
          <w:ilvl w:val="0"/>
          <w:numId w:val="67"/>
        </w:numPr>
        <w:spacing w:before="120" w:after="120" w:line="259" w:lineRule="auto"/>
        <w:ind w:left="360"/>
        <w:contextualSpacing/>
        <w:jc w:val="both"/>
        <w:rPr>
          <w:noProof/>
        </w:rPr>
      </w:pPr>
      <w:r>
        <w:rPr>
          <w:noProof/>
        </w:rPr>
        <w:t>Az elavult és alacsony hatásfokú mechanikus járművek helyettesítése olyan járművekre, amelyek kizárólag az (EU) 2018/2001 irányelvben (RED II. irányelv) meghatározott kritériumoknak megfelel</w:t>
      </w:r>
      <w:r>
        <w:rPr>
          <w:noProof/>
        </w:rPr>
        <w:t>ő biometánnal működnek. A bioüzemanyag- és biometángáz- és bioüzemanyag-gyártóknak független értékelők által kiállított tanúsítványokat (fenntarthatósági igazolást) kell benyújtaniuk az (EU) 2018/2001 irányelvben előírtak szerint. Az üzemeltető a várható t</w:t>
      </w:r>
      <w:r>
        <w:rPr>
          <w:noProof/>
        </w:rPr>
        <w:t>üzelőanyag-felhasználással arányos származási bizonyítványt vásárol.</w:t>
      </w:r>
    </w:p>
    <w:p w14:paraId="586E1D54" w14:textId="77777777" w:rsidR="003F5418" w:rsidRDefault="002A6C25">
      <w:pPr>
        <w:numPr>
          <w:ilvl w:val="0"/>
          <w:numId w:val="67"/>
        </w:numPr>
        <w:spacing w:before="120" w:after="120" w:line="259" w:lineRule="auto"/>
        <w:ind w:left="360"/>
        <w:contextualSpacing/>
        <w:jc w:val="both"/>
        <w:rPr>
          <w:noProof/>
        </w:rPr>
      </w:pPr>
      <w:r>
        <w:rPr>
          <w:noProof/>
        </w:rPr>
        <w:t>Az ökológiai gyakorlatok terjesztése a biogáz-előállítás szakaszában (minimális talajfeldolgozás helyszínei, innovatív, alacsony hasadóképességű rendszerek a fermentációs maradék elosztás</w:t>
      </w:r>
      <w:r>
        <w:rPr>
          <w:noProof/>
        </w:rPr>
        <w:t>ára).</w:t>
      </w:r>
    </w:p>
    <w:p w14:paraId="1367F337" w14:textId="524541F5" w:rsidR="003F5418" w:rsidRDefault="00B07E42">
      <w:pPr>
        <w:pStyle w:val="P68B1DB1-Normal2"/>
        <w:spacing w:before="120" w:after="120"/>
        <w:jc w:val="both"/>
        <w:rPr>
          <w:noProof/>
        </w:rPr>
      </w:pPr>
      <w:r>
        <w:rPr>
          <w:noProof/>
        </w:rPr>
        <w:t>2</w:t>
      </w:r>
      <w:r w:rsidRPr="00B07E42">
        <w:rPr>
          <w:noProof/>
        </w:rPr>
        <w:t>.1.</w:t>
      </w:r>
      <w:r>
        <w:rPr>
          <w:noProof/>
        </w:rPr>
        <w:t xml:space="preserve"> Beruházás – Az intelligens hálózatok megerősítése</w:t>
      </w:r>
    </w:p>
    <w:p w14:paraId="15EA3457" w14:textId="77777777" w:rsidR="003F5418" w:rsidRDefault="002A6C25">
      <w:pPr>
        <w:spacing w:before="120" w:after="120"/>
        <w:jc w:val="both"/>
        <w:rPr>
          <w:noProof/>
        </w:rPr>
      </w:pPr>
      <w:r>
        <w:rPr>
          <w:noProof/>
        </w:rPr>
        <w:t>Ez a beruházás az elosztóhálózatok átalakításából és irányításából áll, a villamosenergia-hálózatra és annak szoftverkomponenseire irányuló beavatkozásokkal, hogy olyan új energetikai forgatóköny</w:t>
      </w:r>
      <w:r>
        <w:rPr>
          <w:noProof/>
        </w:rPr>
        <w:t>veket tegyenek lehetővé, amelyekben a fogyasztók és a termelő-fogyasztók is szerepet játszhatnak.</w:t>
      </w:r>
    </w:p>
    <w:p w14:paraId="54E6994A" w14:textId="6B83E1D9" w:rsidR="003F5418" w:rsidRDefault="00B07E42">
      <w:pPr>
        <w:pStyle w:val="P68B1DB1-Normal2"/>
        <w:spacing w:before="120" w:after="120"/>
        <w:jc w:val="both"/>
        <w:rPr>
          <w:noProof/>
        </w:rPr>
      </w:pPr>
      <w:r>
        <w:rPr>
          <w:noProof/>
        </w:rPr>
        <w:t>2</w:t>
      </w:r>
      <w:r w:rsidRPr="00B07E42">
        <w:rPr>
          <w:noProof/>
        </w:rPr>
        <w:t>.</w:t>
      </w:r>
      <w:r>
        <w:rPr>
          <w:noProof/>
        </w:rPr>
        <w:t>2</w:t>
      </w:r>
      <w:r w:rsidRPr="00B07E42">
        <w:rPr>
          <w:noProof/>
        </w:rPr>
        <w:t>.</w:t>
      </w:r>
      <w:r>
        <w:rPr>
          <w:noProof/>
        </w:rPr>
        <w:t xml:space="preserve"> Beruházás – A villamosenergia-hálózat rezilienciájának növelését célzó beavatkozások</w:t>
      </w:r>
    </w:p>
    <w:p w14:paraId="2D9381C1" w14:textId="77777777" w:rsidR="003F5418" w:rsidRDefault="002A6C25">
      <w:pPr>
        <w:spacing w:before="120" w:after="120"/>
        <w:jc w:val="both"/>
        <w:rPr>
          <w:noProof/>
        </w:rPr>
      </w:pPr>
      <w:r>
        <w:rPr>
          <w:noProof/>
        </w:rPr>
        <w:t>Ez a beruházás olyan beavatkozásokból áll, amelyek célja, hogy javít</w:t>
      </w:r>
      <w:r>
        <w:rPr>
          <w:noProof/>
        </w:rPr>
        <w:t>sák a villamosenergia-hálózat ellenálló képességét a szélsőséges időjárási eseményekkel (szél-/eleső fák, jég, hőhullámok, árvíz- és hidrogeológiai kockázatok) szemben, különösen az elosztóhálózatban, valamint hogy csökkentsék a villamosenergia-ellátás hos</w:t>
      </w:r>
      <w:r>
        <w:rPr>
          <w:noProof/>
        </w:rPr>
        <w:t>szan tartó megszakadásának valószínűségét, valamint az érintett területekre gyakorolt negatív társadalmi és gazdasági következményeket.</w:t>
      </w:r>
    </w:p>
    <w:p w14:paraId="0EE582BD" w14:textId="60856627" w:rsidR="003F5418" w:rsidRDefault="00B07E42">
      <w:pPr>
        <w:pStyle w:val="P68B1DB1-Normal2"/>
        <w:spacing w:before="120" w:after="120"/>
        <w:jc w:val="both"/>
        <w:rPr>
          <w:noProof/>
        </w:rPr>
      </w:pPr>
      <w:r>
        <w:rPr>
          <w:noProof/>
        </w:rPr>
        <w:t>3</w:t>
      </w:r>
      <w:r w:rsidRPr="00B07E42">
        <w:rPr>
          <w:noProof/>
        </w:rPr>
        <w:t>.1.</w:t>
      </w:r>
      <w:r>
        <w:rPr>
          <w:noProof/>
        </w:rPr>
        <w:t xml:space="preserve"> Beruházás – Hidrogéngyártás barnamezős területeken (hidrogénvölgyek)</w:t>
      </w:r>
    </w:p>
    <w:p w14:paraId="15D533ED" w14:textId="77777777" w:rsidR="003F5418" w:rsidRDefault="002A6C25">
      <w:pPr>
        <w:spacing w:before="120" w:after="120"/>
        <w:jc w:val="both"/>
        <w:rPr>
          <w:noProof/>
        </w:rPr>
      </w:pPr>
      <w:r>
        <w:rPr>
          <w:noProof/>
        </w:rPr>
        <w:t xml:space="preserve">Ez a beruházás a zöld hidrogén helyi </w:t>
      </w:r>
      <w:r>
        <w:rPr>
          <w:noProof/>
        </w:rPr>
        <w:t>előállításának és felhasználásának támogatására irányul az iparban, a kkv-kban és a helyi közlekedésben, ezáltal új, főként Dél-Olaszországban található hidrogénvölgyeket hozva létre, amelyek helyi termelése megújuló energiaforrásokból és helyi felhasználá</w:t>
      </w:r>
      <w:r>
        <w:rPr>
          <w:noProof/>
        </w:rPr>
        <w:t xml:space="preserve">sból történik. A projekt célja, hogy az elhagyott ipari területeket újra felhasználják az ugyanazon ipari területen és létesítményekben vagy a szomszédos területeken található helyi megújulóenergia-üzemekből származó hidrogéntermelő egységek tesztelésére. </w:t>
      </w:r>
      <w:r>
        <w:rPr>
          <w:noProof/>
        </w:rPr>
        <w:t>Az intézkedés az (EU) 2018/2001 irányelvben (megújulóenergia-irányelv) meghatározott megújuló energiaforrások vagy hálózati villamos energia felhasználásával végzett elektrolízisen alapuló hidrogéntermelést támogatja.</w:t>
      </w:r>
    </w:p>
    <w:p w14:paraId="2F35C578" w14:textId="4D0200C5" w:rsidR="003F5418" w:rsidRDefault="00B07E42">
      <w:pPr>
        <w:pStyle w:val="P68B1DB1-Normal2"/>
        <w:spacing w:before="120" w:after="120"/>
        <w:jc w:val="both"/>
        <w:rPr>
          <w:noProof/>
        </w:rPr>
      </w:pPr>
      <w:r>
        <w:rPr>
          <w:noProof/>
        </w:rPr>
        <w:t>3</w:t>
      </w:r>
      <w:r w:rsidRPr="00B07E42">
        <w:rPr>
          <w:noProof/>
        </w:rPr>
        <w:t>.</w:t>
      </w:r>
      <w:r>
        <w:rPr>
          <w:noProof/>
        </w:rPr>
        <w:t>2</w:t>
      </w:r>
      <w:r w:rsidRPr="00B07E42">
        <w:rPr>
          <w:noProof/>
        </w:rPr>
        <w:t>.</w:t>
      </w:r>
      <w:r>
        <w:rPr>
          <w:noProof/>
        </w:rPr>
        <w:t xml:space="preserve"> Beruházás – Hidrogénfelhasználás a kibocsátáscsökkentési nehézségekkel szembenéző iparágakban</w:t>
      </w:r>
    </w:p>
    <w:p w14:paraId="3CE5532D" w14:textId="77777777" w:rsidR="003F5418" w:rsidRDefault="002A6C25">
      <w:pPr>
        <w:spacing w:before="120" w:after="120"/>
        <w:jc w:val="both"/>
        <w:rPr>
          <w:b/>
          <w:noProof/>
        </w:rPr>
      </w:pPr>
      <w:r>
        <w:rPr>
          <w:noProof/>
        </w:rPr>
        <w:t>Ez a beruházás az ipari folyamatokkal kapcsolatos K+F+I támogatásából áll, amely kezdeményezéseket dolgoz ki a metánt hőenergia-forrásként használó ipari ágazatokban (cement, papírgyárak, kerámia</w:t>
      </w:r>
      <w:r>
        <w:rPr>
          <w:noProof/>
        </w:rPr>
        <w:t>ipar, üvegipar stb.). A fosszilis tüzelőanyagok ágazata, például az olajfinomítók nem támogathatók. Az intézkedés az (EU) 2018/2001 irányelvben (megújulóenergia-irányelv) meghatározott megújuló energiaforrások vagy hálózati villamos energia felhasználásáva</w:t>
      </w:r>
      <w:r>
        <w:rPr>
          <w:noProof/>
        </w:rPr>
        <w:t>l végzett elektrolízisen alapuló hidrogéntermelést támogatja.</w:t>
      </w:r>
      <w:r>
        <w:rPr>
          <w:b/>
          <w:noProof/>
        </w:rPr>
        <w:t xml:space="preserve"> </w:t>
      </w:r>
    </w:p>
    <w:p w14:paraId="44B4C33C" w14:textId="77777777" w:rsidR="003F5418" w:rsidRDefault="002A6C25">
      <w:pPr>
        <w:spacing w:before="120" w:after="120"/>
        <w:jc w:val="both"/>
        <w:rPr>
          <w:noProof/>
        </w:rPr>
      </w:pPr>
      <w:r>
        <w:rPr>
          <w:noProof/>
        </w:rPr>
        <w:t>Annak biztosítása érdekében, hogy az intézkedés megfeleljen a jelentős károkozás elkerülését célzó elvnek a Helyreállítási és Rezilienciaépítési Eszköz keretében a DNSH technikai iránymutatásba</w:t>
      </w:r>
      <w:r>
        <w:rPr>
          <w:noProof/>
        </w:rPr>
        <w:t>n (2021/C58/01) meghatározottak szerint, a támogathatósági kritériumoknak ki kell zárniuk az uniós kibocsátáskereskedelmi rendszer (ETS) keretébe tartozó olyan tevékenységeket, amelyek az előre jelzett üvegházhatásúgáz-kibocsátás nem alacsonyabb a vonatkoz</w:t>
      </w:r>
      <w:r>
        <w:rPr>
          <w:noProof/>
        </w:rPr>
        <w:t>ó referenciaértékeknél. Amennyiben a tevékenység a vonatkozó referenciaértékeknél nem lényegesen alacsonyabb, de még mindig alacsonyabb várható üvegházhatásúgáz-kibocsátást ér el, magyarázatot kell adni arra, hogy ez miért nem lehetséges. A kibocsátáskeres</w:t>
      </w:r>
      <w:r>
        <w:rPr>
          <w:noProof/>
        </w:rPr>
        <w:t>kedelmi rendszer hatálya alá tartozó tevékenységekre vonatkozó ingyenes kiosztásra vonatkozóan az (EU) 2021/447 bizottsági végrehajtási rendeletben meghatározott referenciaértékek.</w:t>
      </w:r>
    </w:p>
    <w:p w14:paraId="65B29F20" w14:textId="08085327" w:rsidR="003F5418" w:rsidRDefault="00B07E42">
      <w:pPr>
        <w:pStyle w:val="P68B1DB1-Normal2"/>
        <w:spacing w:before="120" w:after="120"/>
        <w:jc w:val="both"/>
        <w:rPr>
          <w:noProof/>
        </w:rPr>
      </w:pPr>
      <w:r>
        <w:rPr>
          <w:noProof/>
        </w:rPr>
        <w:t>3</w:t>
      </w:r>
      <w:r w:rsidRPr="00B07E42">
        <w:rPr>
          <w:noProof/>
        </w:rPr>
        <w:t>.</w:t>
      </w:r>
      <w:r>
        <w:rPr>
          <w:noProof/>
        </w:rPr>
        <w:t>3</w:t>
      </w:r>
      <w:r w:rsidRPr="00B07E42">
        <w:rPr>
          <w:noProof/>
        </w:rPr>
        <w:t>.</w:t>
      </w:r>
      <w:r>
        <w:rPr>
          <w:noProof/>
        </w:rPr>
        <w:t xml:space="preserve"> Beruházás – Hidrogénteszt a közúti közlekedésben</w:t>
      </w:r>
    </w:p>
    <w:p w14:paraId="108F6FA9" w14:textId="77777777" w:rsidR="003F5418" w:rsidRDefault="002A6C25">
      <w:pPr>
        <w:spacing w:before="120" w:after="120"/>
        <w:jc w:val="both"/>
        <w:rPr>
          <w:noProof/>
        </w:rPr>
      </w:pPr>
      <w:r>
        <w:rPr>
          <w:noProof/>
        </w:rPr>
        <w:t>Ez a beruházás az alt</w:t>
      </w:r>
      <w:r>
        <w:rPr>
          <w:noProof/>
        </w:rPr>
        <w:t>ernatív üzemanyagok infrastruktúrájáról szóló 2014/94 irányelv követelményeivel összhangban legalább 40 hidrogénalapú üzemanyagtöltő állomás létrehozására irányul, amelyek az autópálya-szolgáltatási területeken, logisztikai raktárakban és kikötőkben helyez</w:t>
      </w:r>
      <w:r>
        <w:rPr>
          <w:noProof/>
        </w:rPr>
        <w:t xml:space="preserve">kednek el. </w:t>
      </w:r>
    </w:p>
    <w:p w14:paraId="69BB627C" w14:textId="776175B7" w:rsidR="003F5418" w:rsidRDefault="00B07E42">
      <w:pPr>
        <w:pStyle w:val="P68B1DB1-Normal2"/>
        <w:spacing w:before="120" w:after="120"/>
        <w:jc w:val="both"/>
        <w:rPr>
          <w:noProof/>
        </w:rPr>
      </w:pPr>
      <w:r>
        <w:rPr>
          <w:noProof/>
        </w:rPr>
        <w:t>3</w:t>
      </w:r>
      <w:r w:rsidRPr="00B07E42">
        <w:rPr>
          <w:noProof/>
        </w:rPr>
        <w:t>.</w:t>
      </w:r>
      <w:r>
        <w:rPr>
          <w:noProof/>
        </w:rPr>
        <w:t>4</w:t>
      </w:r>
      <w:r w:rsidRPr="00B07E42">
        <w:rPr>
          <w:noProof/>
        </w:rPr>
        <w:t>.</w:t>
      </w:r>
      <w:r>
        <w:rPr>
          <w:noProof/>
        </w:rPr>
        <w:t xml:space="preserve"> Beruházás – Hidrogénteszt a vasúti mobilitáshoz</w:t>
      </w:r>
    </w:p>
    <w:p w14:paraId="54BE22CF" w14:textId="77777777" w:rsidR="003F5418" w:rsidRDefault="002A6C25">
      <w:pPr>
        <w:spacing w:before="120" w:after="120"/>
        <w:jc w:val="both"/>
        <w:rPr>
          <w:noProof/>
        </w:rPr>
      </w:pPr>
      <w:r>
        <w:rPr>
          <w:noProof/>
        </w:rPr>
        <w:t>Ez a beruházás legalább tíz hidrogénalapú vasúti töltőállomás építéséből áll legalább hat vasútvonal mentén. A vasúti mozdonyok hidrogénnel való feltöltését szolgáló állomásokat lehetőleg hel</w:t>
      </w:r>
      <w:r>
        <w:rPr>
          <w:noProof/>
        </w:rPr>
        <w:t xml:space="preserve">yi megújulóhidrogén-termelő üzemek és/vagy autópálya menti hidrogéntöltő állomások közelében kell létesíteni.  </w:t>
      </w:r>
    </w:p>
    <w:p w14:paraId="1D4A5164" w14:textId="1FB4BC51" w:rsidR="003F5418" w:rsidRDefault="00B07E42">
      <w:pPr>
        <w:pStyle w:val="P68B1DB1-Normal2"/>
        <w:spacing w:before="120" w:after="120"/>
        <w:jc w:val="both"/>
        <w:rPr>
          <w:noProof/>
        </w:rPr>
      </w:pPr>
      <w:r>
        <w:rPr>
          <w:noProof/>
        </w:rPr>
        <w:t>3</w:t>
      </w:r>
      <w:r w:rsidRPr="00B07E42">
        <w:rPr>
          <w:noProof/>
        </w:rPr>
        <w:t>.</w:t>
      </w:r>
      <w:r>
        <w:rPr>
          <w:noProof/>
        </w:rPr>
        <w:t>5</w:t>
      </w:r>
      <w:r w:rsidRPr="00B07E42">
        <w:rPr>
          <w:noProof/>
        </w:rPr>
        <w:t>.</w:t>
      </w:r>
      <w:r>
        <w:rPr>
          <w:noProof/>
        </w:rPr>
        <w:t xml:space="preserve"> Beruházás – Hidrogénkutatás és -fejlesztés</w:t>
      </w:r>
    </w:p>
    <w:p w14:paraId="47213C46" w14:textId="77777777" w:rsidR="003F5418" w:rsidRDefault="002A6C25">
      <w:pPr>
        <w:spacing w:before="120" w:after="120" w:line="246" w:lineRule="auto"/>
        <w:jc w:val="both"/>
        <w:rPr>
          <w:noProof/>
        </w:rPr>
      </w:pPr>
      <w:r>
        <w:rPr>
          <w:noProof/>
        </w:rPr>
        <w:t>Ez a beruházás a hidrogénnel kapcsolatos K+F tevékenységek támogatására irányul a következő terü</w:t>
      </w:r>
      <w:r>
        <w:rPr>
          <w:noProof/>
        </w:rPr>
        <w:t>leteken:</w:t>
      </w:r>
    </w:p>
    <w:p w14:paraId="61122630" w14:textId="77777777" w:rsidR="003F5418" w:rsidRDefault="002A6C25">
      <w:pPr>
        <w:numPr>
          <w:ilvl w:val="0"/>
          <w:numId w:val="68"/>
        </w:numPr>
        <w:spacing w:before="120" w:after="120" w:line="246" w:lineRule="auto"/>
        <w:ind w:left="360"/>
        <w:contextualSpacing/>
        <w:jc w:val="both"/>
        <w:rPr>
          <w:noProof/>
        </w:rPr>
      </w:pPr>
      <w:r>
        <w:rPr>
          <w:noProof/>
        </w:rPr>
        <w:t>Zöld és tiszta hidrogén előállítása</w:t>
      </w:r>
    </w:p>
    <w:p w14:paraId="104FFAB3" w14:textId="77777777" w:rsidR="003F5418" w:rsidRDefault="002A6C25">
      <w:pPr>
        <w:numPr>
          <w:ilvl w:val="0"/>
          <w:numId w:val="68"/>
        </w:numPr>
        <w:spacing w:before="120" w:after="120" w:line="246" w:lineRule="auto"/>
        <w:ind w:left="360"/>
        <w:contextualSpacing/>
        <w:jc w:val="both"/>
        <w:rPr>
          <w:noProof/>
        </w:rPr>
      </w:pPr>
      <w:r>
        <w:rPr>
          <w:noProof/>
        </w:rPr>
        <w:t>Innovatív technológiák a hidrogén tárolására, szállítására, valamint származékokká és e-üzemanyagokká való átalakítására</w:t>
      </w:r>
    </w:p>
    <w:p w14:paraId="675150C9" w14:textId="77777777" w:rsidR="003F5418" w:rsidRDefault="002A6C25">
      <w:pPr>
        <w:numPr>
          <w:ilvl w:val="0"/>
          <w:numId w:val="68"/>
        </w:numPr>
        <w:spacing w:before="120" w:after="120" w:line="246" w:lineRule="auto"/>
        <w:ind w:left="360"/>
        <w:contextualSpacing/>
        <w:jc w:val="both"/>
        <w:rPr>
          <w:noProof/>
        </w:rPr>
      </w:pPr>
      <w:r>
        <w:rPr>
          <w:noProof/>
        </w:rPr>
        <w:t>Álló és mobilitási alkalmazásokhoz használt üzemanyagcellák</w:t>
      </w:r>
    </w:p>
    <w:p w14:paraId="35950BDB" w14:textId="77777777" w:rsidR="003F5418" w:rsidRDefault="002A6C25">
      <w:pPr>
        <w:numPr>
          <w:ilvl w:val="0"/>
          <w:numId w:val="68"/>
        </w:numPr>
        <w:spacing w:before="120" w:after="120" w:line="246" w:lineRule="auto"/>
        <w:ind w:left="360"/>
        <w:contextualSpacing/>
        <w:jc w:val="both"/>
        <w:rPr>
          <w:noProof/>
        </w:rPr>
      </w:pPr>
      <w:r>
        <w:rPr>
          <w:noProof/>
        </w:rPr>
        <w:t>Integrált intelligens irányítá</w:t>
      </w:r>
      <w:r>
        <w:rPr>
          <w:noProof/>
        </w:rPr>
        <w:t xml:space="preserve">si rendszerek az intelligens hidrogénalapú infrastruktúrák ellenálló képességének és megbízhatóságának növelése érdekében </w:t>
      </w:r>
    </w:p>
    <w:p w14:paraId="31F4AC6C" w14:textId="67CD1DAB" w:rsidR="003F5418" w:rsidRDefault="002A6C25">
      <w:pPr>
        <w:spacing w:before="120" w:after="120"/>
        <w:jc w:val="both"/>
        <w:rPr>
          <w:noProof/>
        </w:rPr>
      </w:pPr>
      <w:r>
        <w:rPr>
          <w:noProof/>
        </w:rPr>
        <w:t>Ez az intézkedés támogatja az (EU) 2018/2001 irányelvben (megújulóenergia-irányelv) meghatározott megújuló energiaforrásokat vagy hál</w:t>
      </w:r>
      <w:r>
        <w:rPr>
          <w:noProof/>
        </w:rPr>
        <w:t>ózati villamos energiát felhasználó elektrolízisen alapuló hidrogéntermelést, vagy az olyan hidrogéntevékenységeket, amelyek megfelelnek a hidrogén esetében 73,4%-os teljes életciklus-alapú ÜHG-megtakarítási követelménynek, ami az (EU) 2018/2001 irányelv 2</w:t>
      </w:r>
      <w:r>
        <w:rPr>
          <w:noProof/>
        </w:rPr>
        <w:t>5. cikkének (2) bekezdésében és V. mellékletében meghatározott megközelítés analógiájára a hidrogénalapú szintetikus üzemanyagok esetében pedig 70%-os ÜHG-kibocsátást eredményez a 94 g CO2e/MJ fosszilisüzemanyag-komparátorhoz képest.</w:t>
      </w:r>
    </w:p>
    <w:p w14:paraId="1287793D" w14:textId="464FB00A" w:rsidR="003F5418" w:rsidRDefault="00B07E42">
      <w:pPr>
        <w:pStyle w:val="P68B1DB1-Normal2"/>
        <w:spacing w:after="120"/>
        <w:jc w:val="both"/>
        <w:rPr>
          <w:noProof/>
        </w:rPr>
      </w:pPr>
      <w:r w:rsidRPr="00B07E42">
        <w:rPr>
          <w:noProof/>
        </w:rPr>
        <w:t>4.</w:t>
      </w:r>
      <w:r>
        <w:rPr>
          <w:noProof/>
        </w:rPr>
        <w:t>2</w:t>
      </w:r>
      <w:r w:rsidRPr="00B07E42">
        <w:rPr>
          <w:noProof/>
        </w:rPr>
        <w:t>.</w:t>
      </w:r>
      <w:r>
        <w:rPr>
          <w:noProof/>
        </w:rPr>
        <w:t xml:space="preserve"> Beruházás – Gyors tömegszállítási rendszerek fejlesztése</w:t>
      </w:r>
    </w:p>
    <w:p w14:paraId="7242D001" w14:textId="77777777" w:rsidR="003F5418" w:rsidRDefault="002A6C25">
      <w:pPr>
        <w:spacing w:after="120"/>
        <w:jc w:val="both"/>
        <w:rPr>
          <w:noProof/>
        </w:rPr>
      </w:pPr>
      <w:r>
        <w:rPr>
          <w:noProof/>
        </w:rPr>
        <w:t xml:space="preserve">Az intézkedés célja a gyors tömegközlekedési rendszerek közlekedésének fokozása, előnyben részesítve a személygépkocsiról a tömegközlekedésre történő modális váltást. </w:t>
      </w:r>
    </w:p>
    <w:p w14:paraId="0832B512" w14:textId="77777777" w:rsidR="003F5418" w:rsidRDefault="002A6C25">
      <w:pPr>
        <w:spacing w:after="120"/>
        <w:jc w:val="both"/>
        <w:rPr>
          <w:noProof/>
        </w:rPr>
      </w:pPr>
      <w:r>
        <w:rPr>
          <w:noProof/>
        </w:rPr>
        <w:t>Ez a beruházás a következőkből áll:</w:t>
      </w:r>
    </w:p>
    <w:p w14:paraId="1C592D03" w14:textId="231D8479" w:rsidR="003F5418" w:rsidRDefault="002A6C25">
      <w:pPr>
        <w:numPr>
          <w:ilvl w:val="0"/>
          <w:numId w:val="98"/>
        </w:numPr>
        <w:spacing w:after="120"/>
        <w:ind w:right="4"/>
        <w:jc w:val="both"/>
        <w:rPr>
          <w:noProof/>
        </w:rPr>
      </w:pPr>
      <w:r>
        <w:rPr>
          <w:noProof/>
        </w:rPr>
        <w:t xml:space="preserve">Új vonalak </w:t>
      </w:r>
      <w:r>
        <w:rPr>
          <w:noProof/>
        </w:rPr>
        <w:t>építése és a gyors személyszállítási rendszerek meglévő vonalainak bővítése legalább 231 km-re. A projektek listájának tartalmaznia kell legalább 96 km metrósávot vagy villamost, valamint legalább 135 km trolibuszt, gyorsjáratú autóbuszt vagy kötélpályát.</w:t>
      </w:r>
    </w:p>
    <w:p w14:paraId="24208BC8" w14:textId="2A429120" w:rsidR="003F5418" w:rsidRDefault="002A6C25">
      <w:pPr>
        <w:numPr>
          <w:ilvl w:val="0"/>
          <w:numId w:val="98"/>
        </w:numPr>
        <w:spacing w:after="120"/>
        <w:ind w:right="4"/>
        <w:jc w:val="both"/>
        <w:rPr>
          <w:noProof/>
        </w:rPr>
      </w:pPr>
      <w:r>
        <w:rPr>
          <w:noProof/>
        </w:rPr>
        <w:t>A gyors tömegközlekedési rendszerek infrastruktúrájának korszerűsítése, amely magában foglalhatja azok digitalizálását is. Ezek a beavatkozások magukban foglalják a metróállomások és a metrópálya-infrastruktúra, a vasúti vagy villamos jelzőrendszerek, vala</w:t>
      </w:r>
      <w:r>
        <w:rPr>
          <w:noProof/>
        </w:rPr>
        <w:t>mint a közforgalmú tranzitraktárak korszerűsítését.</w:t>
      </w:r>
    </w:p>
    <w:p w14:paraId="0F9F3A45" w14:textId="77777777" w:rsidR="003F5418" w:rsidRDefault="002A6C25">
      <w:pPr>
        <w:numPr>
          <w:ilvl w:val="0"/>
          <w:numId w:val="98"/>
        </w:numPr>
        <w:spacing w:after="120"/>
        <w:ind w:right="4"/>
        <w:jc w:val="both"/>
        <w:rPr>
          <w:noProof/>
        </w:rPr>
      </w:pPr>
      <w:r>
        <w:rPr>
          <w:noProof/>
        </w:rPr>
        <w:t>Kibocsátásmentes járművek beszerzése a gyors tömegközlekedési rendszerekhez.</w:t>
      </w:r>
    </w:p>
    <w:p w14:paraId="3D38EC39" w14:textId="50F0EEDA" w:rsidR="003F5418" w:rsidRDefault="002A6C25">
      <w:pPr>
        <w:pStyle w:val="ListParagraph"/>
        <w:numPr>
          <w:ilvl w:val="0"/>
          <w:numId w:val="98"/>
        </w:numPr>
        <w:spacing w:before="0"/>
        <w:rPr>
          <w:noProof/>
        </w:rPr>
      </w:pPr>
      <w:r>
        <w:rPr>
          <w:noProof/>
        </w:rPr>
        <w:t>Az intézkedés legalább 28 beavatkozást tartalmaz, és</w:t>
      </w:r>
      <w:r>
        <w:rPr>
          <w:rStyle w:val="FootnoteReference"/>
          <w:noProof/>
        </w:rPr>
        <w:footnoteReference w:id="50"/>
      </w:r>
      <w:r>
        <w:rPr>
          <w:noProof/>
        </w:rPr>
        <w:t xml:space="preserve"> legalább Bari, Bergamo, Bologna, Catania, Firenze, Genova, Milano, Napoli</w:t>
      </w:r>
      <w:r>
        <w:rPr>
          <w:noProof/>
        </w:rPr>
        <w:t xml:space="preserve">, Padova, Perugia, Rimini, Roma és Taranto nagyvárosi területeire irányul. </w:t>
      </w:r>
    </w:p>
    <w:p w14:paraId="4BCB2424" w14:textId="664C826B" w:rsidR="003F5418" w:rsidRDefault="002A6C25">
      <w:pPr>
        <w:spacing w:after="120"/>
        <w:ind w:right="4"/>
        <w:jc w:val="both"/>
        <w:rPr>
          <w:noProof/>
        </w:rPr>
      </w:pPr>
      <w:r>
        <w:rPr>
          <w:noProof/>
        </w:rPr>
        <w:t>Az építésre és korszerűsítésre egyaránt alkalmas infrastruktúra (nevezetesen metrósávok, villamosvonalak, trolibuszsávok, gyorsforgalmi utak vagy kötélpálya) lehetővé teszi a kiboc</w:t>
      </w:r>
      <w:r>
        <w:rPr>
          <w:noProof/>
        </w:rPr>
        <w:t>sátásmentes járművek üzemeltetését. A beruházás nem foglalhat magában a beavatkozás hatályán kívül eső utak építését vagy korszerűsítését, kivéve, ha ezek a kibocsátásmentes járművek üzemeltetését lehetővé tevő infrastruktúra szerves részét képezik.</w:t>
      </w:r>
    </w:p>
    <w:p w14:paraId="4B366653" w14:textId="173510D0" w:rsidR="003F5418" w:rsidRDefault="00B07E42">
      <w:pPr>
        <w:pStyle w:val="P68B1DB1-Normal2"/>
        <w:spacing w:after="120"/>
        <w:jc w:val="both"/>
        <w:rPr>
          <w:noProof/>
        </w:rPr>
      </w:pPr>
      <w:bookmarkStart w:id="9" w:name="_Hlk151064119"/>
      <w:r w:rsidRPr="00B07E42">
        <w:rPr>
          <w:noProof/>
        </w:rPr>
        <w:t>4.</w:t>
      </w:r>
      <w:r>
        <w:rPr>
          <w:noProof/>
        </w:rPr>
        <w:t>4.</w:t>
      </w:r>
      <w:r w:rsidRPr="00B07E42">
        <w:rPr>
          <w:noProof/>
        </w:rPr>
        <w:t>1.</w:t>
      </w:r>
      <w:r>
        <w:rPr>
          <w:noProof/>
        </w:rPr>
        <w:t xml:space="preserve"> Beruházás – A regionális tömegközlekedés megerősítése, kibocsátásmentes autóbuszflotta</w:t>
      </w:r>
    </w:p>
    <w:p w14:paraId="0100518D" w14:textId="5B8AFBF1" w:rsidR="003F5418" w:rsidRDefault="002A6C25">
      <w:pPr>
        <w:spacing w:after="120"/>
        <w:jc w:val="both"/>
        <w:rPr>
          <w:noProof/>
        </w:rPr>
      </w:pPr>
      <w:r>
        <w:rPr>
          <w:noProof/>
        </w:rPr>
        <w:t>Ez a beruházás legalább 3000 kibocsátásmentes alacsonypadlós autóbusz és legalább 1000 töltőállomás beszerzéséből áll a kibocsátásmentes és alacsony padlós buszok számá</w:t>
      </w:r>
      <w:r>
        <w:rPr>
          <w:noProof/>
        </w:rPr>
        <w:t xml:space="preserve">ra. Az autóbuszokat digitális funkciókkal kell felszerelni. A támogatható autóbuszok alacsony padlósak (azaz az ENSZ EGB-szabványok szerinti M2 és M3 kategóriájú járművekhez tartoznak), és elektromos vagy hidrogén üzemanyagcella. </w:t>
      </w:r>
    </w:p>
    <w:bookmarkEnd w:id="9"/>
    <w:p w14:paraId="04454812" w14:textId="4A481777" w:rsidR="003F5418" w:rsidRDefault="00B07E42">
      <w:pPr>
        <w:pStyle w:val="P68B1DB1-Normal2"/>
        <w:spacing w:before="120" w:after="120"/>
        <w:jc w:val="both"/>
        <w:rPr>
          <w:noProof/>
        </w:rPr>
      </w:pPr>
      <w:r w:rsidRPr="00B07E42">
        <w:rPr>
          <w:noProof/>
        </w:rPr>
        <w:t>4.</w:t>
      </w:r>
      <w:r>
        <w:rPr>
          <w:noProof/>
        </w:rPr>
        <w:t>4.3</w:t>
      </w:r>
      <w:r w:rsidRPr="00B07E42">
        <w:rPr>
          <w:noProof/>
        </w:rPr>
        <w:t>.</w:t>
      </w:r>
      <w:r>
        <w:rPr>
          <w:noProof/>
        </w:rPr>
        <w:t xml:space="preserve"> Beruházás – A regionális tömegközlekedési vasúti flotta megerősítése kibocsátásmentes vonatokkal és egyetemes szolgáltatással</w:t>
      </w:r>
    </w:p>
    <w:p w14:paraId="70EA96B4" w14:textId="77777777" w:rsidR="003F5418" w:rsidRDefault="002A6C25">
      <w:pPr>
        <w:spacing w:before="120" w:after="120"/>
        <w:jc w:val="both"/>
        <w:rPr>
          <w:noProof/>
        </w:rPr>
      </w:pPr>
      <w:r>
        <w:rPr>
          <w:noProof/>
        </w:rPr>
        <w:t>Ez a beruházás legalább 66 kibocsátásmentes személyszállító vonat beszerzéséből és üzembe helyezéséből áll</w:t>
      </w:r>
      <w:r>
        <w:rPr>
          <w:rStyle w:val="FootnoteReference"/>
          <w:noProof/>
        </w:rPr>
        <w:footnoteReference w:id="51"/>
      </w:r>
      <w:r>
        <w:rPr>
          <w:noProof/>
        </w:rPr>
        <w:t xml:space="preserve"> (ahol a vonat legalább egy mozdonyból ál</w:t>
      </w:r>
      <w:r>
        <w:rPr>
          <w:noProof/>
        </w:rPr>
        <w:t>l, beleértve az utasszállító kocsikat is), valamint további 100 kocsi egyetemes szolgáltatás céljából. Összességében a beruházásnak összesen legalább 523 darabot kell biztosítania, amelyek közül legalább 66 mozdony.</w:t>
      </w:r>
    </w:p>
    <w:p w14:paraId="72A47D9E" w14:textId="77777777" w:rsidR="003F5418" w:rsidRDefault="002A6C25">
      <w:pPr>
        <w:pStyle w:val="P68B1DB1-Normal2"/>
        <w:spacing w:before="120" w:after="120"/>
        <w:jc w:val="both"/>
        <w:rPr>
          <w:noProof/>
        </w:rPr>
      </w:pPr>
      <w:r>
        <w:rPr>
          <w:noProof/>
        </w:rPr>
        <w:t>Beruházás – A nemzeti tűzoltóság parancs</w:t>
      </w:r>
      <w:r>
        <w:rPr>
          <w:noProof/>
        </w:rPr>
        <w:t xml:space="preserve">noklásának megújítása </w:t>
      </w:r>
    </w:p>
    <w:p w14:paraId="44314BCA" w14:textId="3D3E232A" w:rsidR="003F5418" w:rsidRDefault="002A6C25">
      <w:pPr>
        <w:spacing w:after="120"/>
        <w:jc w:val="both"/>
        <w:rPr>
          <w:noProof/>
        </w:rPr>
      </w:pPr>
      <w:r>
        <w:rPr>
          <w:noProof/>
        </w:rPr>
        <w:t>Ez a beruházás a nemzeti tűzoltóság 200 repülőtéri járművének és 3600 tűzoltó járműjének beszerzéséből, valamint 875 töltőállomás és legalább 3000 mobil elektromos töltőpont megvalósításából áll. 3500 járműnek kibocsátásmentesnek kel</w:t>
      </w:r>
      <w:r>
        <w:rPr>
          <w:noProof/>
        </w:rPr>
        <w:t>l lennie, míg a többi járműnek vagy kizárólag biometánnal vagy bioüzemanyaggal kell működnie, összhangban a 29–31. cikkben meghatározott fenntarthatósági és üvegházhatásúgázkibocsátás-megtakarítási kritériumokkal, valamint az (EU) 2018/2001 megújulóenergia</w:t>
      </w:r>
      <w:r>
        <w:rPr>
          <w:noProof/>
        </w:rPr>
        <w:t>-irányelv (REDII) 26. cikkében meghatározott, az élelmiszer- és takarmányalapú bioüzemanyagokra vonatkozó szabályokkal, valamint a kapcsolódó végrehajtási és felhatalmazáson alapuló jogi aktusokkal. Az üzemeltetőknek a várható tüzelőanyag-felhasználással a</w:t>
      </w:r>
      <w:r>
        <w:rPr>
          <w:noProof/>
        </w:rPr>
        <w:t>rányos származási garanciát kell beszerezniük. A bioüzemanyaggal működő járműveknek B100-ra vonatkozó típusjóváhagyással kell rendelkezniük.</w:t>
      </w:r>
    </w:p>
    <w:p w14:paraId="1DEA76D6" w14:textId="5CFE04C4" w:rsidR="003F5418" w:rsidRDefault="00B07E42">
      <w:pPr>
        <w:pStyle w:val="P68B1DB1-Normal2"/>
        <w:spacing w:after="120"/>
        <w:jc w:val="both"/>
        <w:rPr>
          <w:noProof/>
        </w:rPr>
      </w:pPr>
      <w:r>
        <w:rPr>
          <w:noProof/>
        </w:rPr>
        <w:t>5</w:t>
      </w:r>
      <w:r w:rsidRPr="00B07E42">
        <w:rPr>
          <w:noProof/>
        </w:rPr>
        <w:t>.1.</w:t>
      </w:r>
      <w:r>
        <w:rPr>
          <w:noProof/>
        </w:rPr>
        <w:t xml:space="preserve"> Beruházás – Nemzetközi, ipari és K+F vezető szerep kialakítása a megújuló energiaforrások és az akkumulátorok terén</w:t>
      </w:r>
    </w:p>
    <w:p w14:paraId="46DDA5D7" w14:textId="5C3ED0E4" w:rsidR="003F5418" w:rsidRDefault="002A6C25">
      <w:pPr>
        <w:spacing w:after="120"/>
        <w:jc w:val="both"/>
        <w:rPr>
          <w:noProof/>
        </w:rPr>
      </w:pPr>
      <w:r>
        <w:rPr>
          <w:noProof/>
        </w:rPr>
        <w:t>Ez az intézkedés az eszközbe, a „megújulók és akkumulátorokkal foglalkozó létesítménybe” történő állami beruházásból áll, amelynek célja a magánberuházások ösztönzése és a finanszírozáshoz való hozzáférés javítása a megújuló energiaforrások és az akk</w:t>
      </w:r>
      <w:r>
        <w:rPr>
          <w:noProof/>
        </w:rPr>
        <w:t>umulátorok értéklánca fejlesztésének támogatása érdekében. Az eszköz úgy működik, hogy közvetlenül a magánszektornak nyújt vissza nem térítendő támogatásokat, támogatott kölcsönöket és kamattámogatásokat. A Helyreállítási és Rezilienciaépítési Eszköz beruh</w:t>
      </w:r>
      <w:r>
        <w:rPr>
          <w:noProof/>
        </w:rPr>
        <w:t>ázásai alapján az eszköz célja kezdetben legalább 1 400 000 000 EUR összegű finanszírozás biztosítása.</w:t>
      </w:r>
    </w:p>
    <w:p w14:paraId="4030087D" w14:textId="77777777" w:rsidR="003F5418" w:rsidRDefault="002A6C25">
      <w:pPr>
        <w:spacing w:after="120"/>
        <w:jc w:val="both"/>
        <w:rPr>
          <w:noProof/>
        </w:rPr>
      </w:pPr>
      <w:r>
        <w:rPr>
          <w:noProof/>
        </w:rPr>
        <w:t>Az eszközt végrehajtó partnerként az Invitalia S.p.A. kezeli. A beruházási keret a következő terméksorokat foglalja magában:</w:t>
      </w:r>
    </w:p>
    <w:p w14:paraId="0DC28605" w14:textId="599A9500" w:rsidR="003F5418" w:rsidRDefault="002A6C25">
      <w:pPr>
        <w:pStyle w:val="ListParagraph"/>
        <w:numPr>
          <w:ilvl w:val="0"/>
          <w:numId w:val="101"/>
        </w:numPr>
        <w:spacing w:before="0"/>
        <w:rPr>
          <w:noProof/>
        </w:rPr>
      </w:pPr>
      <w:r>
        <w:rPr>
          <w:noProof/>
        </w:rPr>
        <w:t>Az első a fotovoltaikus vagy</w:t>
      </w:r>
      <w:r>
        <w:rPr>
          <w:noProof/>
        </w:rPr>
        <w:t xml:space="preserve"> szélenergia-technológiák gyártására összpontosít, és évente legalább 2,4 GW-tal növeli a fotovoltaikus vagy szélenergia-technológiák gyártási kapacitását.  </w:t>
      </w:r>
    </w:p>
    <w:p w14:paraId="7A9C22CA" w14:textId="1A5305A2" w:rsidR="003F5418" w:rsidRDefault="002A6C25">
      <w:pPr>
        <w:pStyle w:val="ListParagraph"/>
        <w:numPr>
          <w:ilvl w:val="0"/>
          <w:numId w:val="101"/>
        </w:numPr>
        <w:spacing w:before="0"/>
        <w:rPr>
          <w:noProof/>
        </w:rPr>
      </w:pPr>
      <w:r>
        <w:rPr>
          <w:noProof/>
        </w:rPr>
        <w:t xml:space="preserve">A második az elemek gyártására összpontosít, és évente legalább 13 GW-tal növeli az akkumulátorok </w:t>
      </w:r>
      <w:r>
        <w:rPr>
          <w:noProof/>
        </w:rPr>
        <w:t>gyártási kapacitását.</w:t>
      </w:r>
    </w:p>
    <w:p w14:paraId="52EF8955" w14:textId="77777777" w:rsidR="003F5418" w:rsidRDefault="002A6C25">
      <w:pPr>
        <w:spacing w:after="120"/>
        <w:jc w:val="both"/>
        <w:rPr>
          <w:noProof/>
        </w:rPr>
      </w:pPr>
      <w:r>
        <w:rPr>
          <w:noProof/>
        </w:rPr>
        <w:t>Az eszközbe történő beruházás végrehajtása érdekében Olaszország és Invitalia végrehajtási megállapodást ír alá, amely a következő tartalmat tartalmazza:</w:t>
      </w:r>
    </w:p>
    <w:p w14:paraId="4A7455B9" w14:textId="77777777" w:rsidR="003F5418" w:rsidRDefault="002A6C25">
      <w:pPr>
        <w:pStyle w:val="ListParagraph"/>
        <w:numPr>
          <w:ilvl w:val="0"/>
          <w:numId w:val="139"/>
        </w:numPr>
        <w:spacing w:before="0"/>
        <w:contextualSpacing w:val="0"/>
        <w:rPr>
          <w:noProof/>
        </w:rPr>
      </w:pPr>
      <w:r>
        <w:rPr>
          <w:noProof/>
        </w:rPr>
        <w:t>Az eszköz döntéshozatali folyamatának leírása: Az eszköz végleges beruházási dön</w:t>
      </w:r>
      <w:r>
        <w:rPr>
          <w:noProof/>
        </w:rPr>
        <w:t>tését beruházási bizottság vagy más, azzal egyenértékű irányító testület hozza meg, és a kormánytól független tagok szavazatainak többségével hagyja jóvá.</w:t>
      </w:r>
    </w:p>
    <w:p w14:paraId="6C097DDC" w14:textId="77777777" w:rsidR="003F5418" w:rsidRDefault="002A6C25">
      <w:pPr>
        <w:pStyle w:val="ListParagraph"/>
        <w:numPr>
          <w:ilvl w:val="0"/>
          <w:numId w:val="139"/>
        </w:numPr>
        <w:spacing w:before="0"/>
        <w:contextualSpacing w:val="0"/>
        <w:rPr>
          <w:noProof/>
        </w:rPr>
      </w:pPr>
      <w:r>
        <w:rPr>
          <w:noProof/>
        </w:rPr>
        <w:t>A kapcsolódó beruházási politika fő követelményei, amelyek a következőket foglalják magukban:</w:t>
      </w:r>
    </w:p>
    <w:p w14:paraId="432E5117" w14:textId="77777777" w:rsidR="003F5418" w:rsidRDefault="002A6C25">
      <w:pPr>
        <w:pStyle w:val="ListParagraph"/>
        <w:numPr>
          <w:ilvl w:val="4"/>
          <w:numId w:val="27"/>
        </w:numPr>
        <w:spacing w:before="0"/>
        <w:ind w:left="1276"/>
        <w:contextualSpacing w:val="0"/>
        <w:rPr>
          <w:noProof/>
        </w:rPr>
      </w:pPr>
      <w:r>
        <w:rPr>
          <w:noProof/>
        </w:rPr>
        <w:t xml:space="preserve">A pénzügyi termékek és a támogatható végső kedvezményezettek leírása. </w:t>
      </w:r>
    </w:p>
    <w:p w14:paraId="62E9B60C" w14:textId="77777777" w:rsidR="003F5418" w:rsidRDefault="002A6C25">
      <w:pPr>
        <w:pStyle w:val="ListParagraph"/>
        <w:numPr>
          <w:ilvl w:val="4"/>
          <w:numId w:val="27"/>
        </w:numPr>
        <w:spacing w:before="0"/>
        <w:ind w:left="1276"/>
        <w:contextualSpacing w:val="0"/>
        <w:rPr>
          <w:noProof/>
        </w:rPr>
      </w:pPr>
      <w:r>
        <w:rPr>
          <w:noProof/>
        </w:rPr>
        <w:t xml:space="preserve">Az a követelmény, hogy minden támogatott beruházás gazdaságilag életképes legyen. </w:t>
      </w:r>
    </w:p>
    <w:p w14:paraId="3AF9CA45" w14:textId="77777777" w:rsidR="003F5418" w:rsidRDefault="002A6C25">
      <w:pPr>
        <w:pStyle w:val="ListParagraph"/>
        <w:numPr>
          <w:ilvl w:val="4"/>
          <w:numId w:val="27"/>
        </w:numPr>
        <w:spacing w:before="0"/>
        <w:ind w:left="1276"/>
        <w:contextualSpacing w:val="0"/>
        <w:rPr>
          <w:noProof/>
        </w:rPr>
      </w:pPr>
      <w:r>
        <w:rPr>
          <w:noProof/>
        </w:rPr>
        <w:t>A jelentős károkozás elkerülését célzó elvnek való megfelelés követelménye a DNSH technikai iránymutat</w:t>
      </w:r>
      <w:r>
        <w:rPr>
          <w:noProof/>
        </w:rPr>
        <w:t>ásban (2021/C58/01) meghatározottak szerint. A beruházási politikának különösen a tevékenységek és eszközök alábbi listáját kell kizárnia a támogathatóság köréből: a támogathatóságból származó tevékenységek és eszközök: i. a fosszilis tüzelőanyagokhoz kapc</w:t>
      </w:r>
      <w:r>
        <w:rPr>
          <w:noProof/>
        </w:rPr>
        <w:t>solódó tevékenységek és eszközök, beleértve a downstream felhasználást is, ii. az uniós kibocsátáskereskedelmi rendszer</w:t>
      </w:r>
      <w:r>
        <w:rPr>
          <w:rStyle w:val="FootnoteReference"/>
          <w:noProof/>
        </w:rPr>
        <w:footnoteReference w:id="52"/>
      </w:r>
      <w:r>
        <w:rPr>
          <w:noProof/>
        </w:rPr>
        <w:t>(ETS) keretébe tartozó tevékenységek és eszközök, amelyek elérik a vonatkozó referenciaértékeket meg nem haladó, előre jelzett üvegházha</w:t>
      </w:r>
      <w:r>
        <w:rPr>
          <w:noProof/>
        </w:rPr>
        <w:t>tásúgáz-kibocsátást, iii. a hulladéklerakókhoz, égetőművekhez és mechanikai-biológiai hulladékkezelő létesítményekhez kapcsolódó</w:t>
      </w:r>
      <w:r>
        <w:rPr>
          <w:rStyle w:val="FootnoteReference"/>
          <w:noProof/>
        </w:rPr>
        <w:footnoteReference w:id="53"/>
      </w:r>
      <w:r>
        <w:rPr>
          <w:noProof/>
        </w:rPr>
        <w:t>tevékenységek</w:t>
      </w:r>
      <w:r>
        <w:rPr>
          <w:rStyle w:val="FootnoteReference"/>
          <w:noProof/>
        </w:rPr>
        <w:footnoteReference w:id="54"/>
      </w:r>
      <w:r>
        <w:rPr>
          <w:noProof/>
        </w:rPr>
        <w:t xml:space="preserve"> és eszközök</w:t>
      </w:r>
      <w:r>
        <w:rPr>
          <w:rStyle w:val="FootnoteReference"/>
          <w:noProof/>
        </w:rPr>
        <w:footnoteReference w:id="55"/>
      </w:r>
      <w:r>
        <w:rPr>
          <w:noProof/>
        </w:rPr>
        <w:t xml:space="preserve">. </w:t>
      </w:r>
    </w:p>
    <w:p w14:paraId="1BD17FBA" w14:textId="77777777" w:rsidR="003F5418" w:rsidRDefault="002A6C25">
      <w:pPr>
        <w:pStyle w:val="ListParagraph"/>
        <w:numPr>
          <w:ilvl w:val="4"/>
          <w:numId w:val="27"/>
        </w:numPr>
        <w:spacing w:before="0"/>
        <w:ind w:left="1276"/>
        <w:contextualSpacing w:val="0"/>
        <w:rPr>
          <w:noProof/>
        </w:rPr>
      </w:pPr>
      <w:r>
        <w:rPr>
          <w:noProof/>
        </w:rPr>
        <w:t>Az a követelmény, hogy az eszköz végső kedvezményezettjei nem részesülhetnek támogatásban más uni</w:t>
      </w:r>
      <w:r>
        <w:rPr>
          <w:noProof/>
        </w:rPr>
        <w:t>ós eszközökből ugyanazon költségek fedezésére.</w:t>
      </w:r>
    </w:p>
    <w:p w14:paraId="4F1DC10F" w14:textId="77777777" w:rsidR="003F5418" w:rsidRDefault="002A6C25">
      <w:pPr>
        <w:pStyle w:val="ListParagraph"/>
        <w:numPr>
          <w:ilvl w:val="0"/>
          <w:numId w:val="139"/>
        </w:numPr>
        <w:spacing w:before="0"/>
        <w:contextualSpacing w:val="0"/>
        <w:rPr>
          <w:noProof/>
        </w:rPr>
      </w:pPr>
      <w:r>
        <w:rPr>
          <w:noProof/>
        </w:rPr>
        <w:t>A végrehajtási megállapodás hatálya alá tartozó összeg, a végrehajtó partner díjstruktúrája, valamint az eszköz beruházási politikájának megfelelően a visszafolyó bevételek újbóli befektetésére vonatkozó követ</w:t>
      </w:r>
      <w:r>
        <w:rPr>
          <w:noProof/>
        </w:rPr>
        <w:t>elmény.</w:t>
      </w:r>
    </w:p>
    <w:p w14:paraId="43844905" w14:textId="77777777" w:rsidR="003F5418" w:rsidRDefault="002A6C25">
      <w:pPr>
        <w:pStyle w:val="ListParagraph"/>
        <w:numPr>
          <w:ilvl w:val="0"/>
          <w:numId w:val="139"/>
        </w:numPr>
        <w:spacing w:before="0"/>
        <w:contextualSpacing w:val="0"/>
        <w:rPr>
          <w:noProof/>
        </w:rPr>
      </w:pPr>
      <w:r>
        <w:rPr>
          <w:noProof/>
        </w:rPr>
        <w:t>Nyomonkövetési, ellenőrzési és kontrollkövetelmények, beleértve a következőket:</w:t>
      </w:r>
    </w:p>
    <w:p w14:paraId="44F22639" w14:textId="77777777" w:rsidR="003F5418" w:rsidRDefault="002A6C25">
      <w:pPr>
        <w:pStyle w:val="ListParagraph"/>
        <w:numPr>
          <w:ilvl w:val="4"/>
          <w:numId w:val="27"/>
        </w:numPr>
        <w:spacing w:before="0"/>
        <w:ind w:left="1276"/>
        <w:contextualSpacing w:val="0"/>
        <w:rPr>
          <w:noProof/>
        </w:rPr>
      </w:pPr>
      <w:r>
        <w:rPr>
          <w:noProof/>
        </w:rPr>
        <w:t>A végrehajtó partner által a mozgósított beruházásról való jelentéstételhez használt monitoringrendszer leírása.</w:t>
      </w:r>
    </w:p>
    <w:p w14:paraId="18B137A5" w14:textId="77777777" w:rsidR="003F5418" w:rsidRDefault="002A6C25">
      <w:pPr>
        <w:pStyle w:val="ListParagraph"/>
        <w:numPr>
          <w:ilvl w:val="4"/>
          <w:numId w:val="27"/>
        </w:numPr>
        <w:spacing w:before="0"/>
        <w:ind w:left="1276"/>
        <w:contextualSpacing w:val="0"/>
        <w:rPr>
          <w:noProof/>
        </w:rPr>
      </w:pPr>
      <w:r>
        <w:rPr>
          <w:noProof/>
        </w:rPr>
        <w:t>A végrehajtó partner azon eljárásainak leírása, amelyek</w:t>
      </w:r>
      <w:r>
        <w:rPr>
          <w:noProof/>
        </w:rPr>
        <w:t xml:space="preserve"> biztosítják a csalás, a korrupció és az összeférhetetlenség megelőzését, felderítését és korrekcióját. </w:t>
      </w:r>
    </w:p>
    <w:p w14:paraId="61B06DBC" w14:textId="77777777" w:rsidR="003F5418" w:rsidRDefault="002A6C25">
      <w:pPr>
        <w:pStyle w:val="ListParagraph"/>
        <w:numPr>
          <w:ilvl w:val="4"/>
          <w:numId w:val="27"/>
        </w:numPr>
        <w:spacing w:before="0"/>
        <w:ind w:left="1276"/>
        <w:contextualSpacing w:val="0"/>
        <w:rPr>
          <w:noProof/>
        </w:rPr>
      </w:pPr>
      <w:r>
        <w:rPr>
          <w:noProof/>
        </w:rPr>
        <w:t>Az egyes műveletek támogathatóságának a végrehajtási megállapodásban meghatározott követelményekkel összhangban történő, az egyes műveletek finanszíroz</w:t>
      </w:r>
      <w:r>
        <w:rPr>
          <w:noProof/>
        </w:rPr>
        <w:t>ására való kötelezettségvállalást megelőző ellenőrzésére vonatkozó kötelezettség.</w:t>
      </w:r>
    </w:p>
    <w:p w14:paraId="486EB95C" w14:textId="77777777" w:rsidR="003F5418" w:rsidRDefault="002A6C25">
      <w:pPr>
        <w:pStyle w:val="ListParagraph"/>
        <w:numPr>
          <w:ilvl w:val="4"/>
          <w:numId w:val="27"/>
        </w:numPr>
        <w:spacing w:before="0"/>
        <w:ind w:left="1276"/>
        <w:contextualSpacing w:val="0"/>
        <w:rPr>
          <w:noProof/>
        </w:rPr>
      </w:pPr>
      <w:r>
        <w:rPr>
          <w:noProof/>
        </w:rPr>
        <w:t>A kockázatalapú utólagos ellenőrzések elvégzésére vonatkozó kötelezettség az Invitalia SPA ellenőrzési tervével összhangban. Ezek az ellenőrzések a következőket ellenőrzik:</w:t>
      </w:r>
    </w:p>
    <w:p w14:paraId="5AC9E61F" w14:textId="77777777" w:rsidR="003F5418" w:rsidRDefault="002A6C25">
      <w:pPr>
        <w:pStyle w:val="ListParagraph"/>
        <w:numPr>
          <w:ilvl w:val="5"/>
          <w:numId w:val="27"/>
        </w:numPr>
        <w:spacing w:before="0"/>
        <w:ind w:left="1985"/>
        <w:contextualSpacing w:val="0"/>
        <w:rPr>
          <w:noProof/>
        </w:rPr>
      </w:pPr>
      <w:r>
        <w:rPr>
          <w:noProof/>
        </w:rPr>
        <w:t>a</w:t>
      </w:r>
      <w:r>
        <w:rPr>
          <w:noProof/>
        </w:rPr>
        <w:t>z ellenőrzési rendszerek hatékonyak-e, beleértve a csalás, a korrupció és az összeférhetetlenség felderítését;</w:t>
      </w:r>
    </w:p>
    <w:p w14:paraId="0E8E1C17" w14:textId="77777777" w:rsidR="003F5418" w:rsidRDefault="002A6C25">
      <w:pPr>
        <w:pStyle w:val="ListParagraph"/>
        <w:numPr>
          <w:ilvl w:val="5"/>
          <w:numId w:val="27"/>
        </w:numPr>
        <w:spacing w:before="0"/>
        <w:ind w:left="1985"/>
        <w:contextualSpacing w:val="0"/>
        <w:rPr>
          <w:noProof/>
        </w:rPr>
      </w:pPr>
      <w:r>
        <w:rPr>
          <w:noProof/>
        </w:rPr>
        <w:t xml:space="preserve">a DNSH-elvnek, az állami támogatásokra vonatkozó szabályoknak és az éghajlat-politikai célok követelményeinek való megfelelés;  </w:t>
      </w:r>
    </w:p>
    <w:p w14:paraId="7CD85640" w14:textId="77777777" w:rsidR="003F5418" w:rsidRDefault="002A6C25">
      <w:pPr>
        <w:pStyle w:val="ListParagraph"/>
        <w:numPr>
          <w:ilvl w:val="5"/>
          <w:numId w:val="27"/>
        </w:numPr>
        <w:spacing w:before="0"/>
        <w:ind w:left="1985"/>
        <w:contextualSpacing w:val="0"/>
        <w:rPr>
          <w:noProof/>
        </w:rPr>
      </w:pPr>
      <w:r>
        <w:rPr>
          <w:noProof/>
        </w:rPr>
        <w:t xml:space="preserve">tiszteletben </w:t>
      </w:r>
      <w:r>
        <w:rPr>
          <w:noProof/>
        </w:rPr>
        <w:t>tartják azt a követelményt, hogy az eszköz végső kedvezményezettjei nem részesültek támogatásban más uniós eszközökből ugyanazon költségek fedezésére. Az ellenőrzések azt is ellenőrzik, hogy az ügyletek jogszerűek-e, és hogy betartják-e az alkalmazandó vég</w:t>
      </w:r>
      <w:r>
        <w:rPr>
          <w:noProof/>
        </w:rPr>
        <w:t xml:space="preserve">rehajtási megállapodás feltételeit. </w:t>
      </w:r>
    </w:p>
    <w:p w14:paraId="1271C26C" w14:textId="4F2F7B01" w:rsidR="003F5418" w:rsidRDefault="002A6C25">
      <w:pPr>
        <w:pStyle w:val="ListParagraph"/>
        <w:numPr>
          <w:ilvl w:val="0"/>
          <w:numId w:val="139"/>
        </w:numPr>
        <w:spacing w:before="0"/>
        <w:contextualSpacing w:val="0"/>
        <w:rPr>
          <w:noProof/>
        </w:rPr>
      </w:pPr>
      <w:r>
        <w:rPr>
          <w:noProof/>
        </w:rPr>
        <w:t>A végrehajtó partner által végrehajtott éghajlat-politikai beruházásokra vonatkozó követelmények: a Helyreállítási és Rezilienciaépítési Eszközbe történő beruházásból legalább 1 000 000 000 EUR-nak a Helyreállítási és R</w:t>
      </w:r>
      <w:r>
        <w:rPr>
          <w:noProof/>
        </w:rPr>
        <w:t>ezilienciaépítési Eszközről szóló rendelet VI. mellékletével összhangban hozzá kell járulnia az éghajlatváltozással kapcsolatos célkitűzésekhez.</w:t>
      </w:r>
      <w:r>
        <w:rPr>
          <w:rStyle w:val="FootnoteReference"/>
          <w:noProof/>
        </w:rPr>
        <w:footnoteReference w:id="56"/>
      </w:r>
    </w:p>
    <w:p w14:paraId="313C75BD" w14:textId="77777777" w:rsidR="003F5418" w:rsidRDefault="002A6C25">
      <w:pPr>
        <w:spacing w:after="120"/>
        <w:jc w:val="both"/>
        <w:rPr>
          <w:noProof/>
        </w:rPr>
      </w:pPr>
      <w:r>
        <w:rPr>
          <w:noProof/>
        </w:rPr>
        <w:t>Az intézkedés végrehajtását 2026. augusztus 31-ig be kell fejezni.</w:t>
      </w:r>
    </w:p>
    <w:p w14:paraId="777D9897" w14:textId="5EEBAC6D" w:rsidR="003F5418" w:rsidRDefault="00B07E42">
      <w:pPr>
        <w:pStyle w:val="P68B1DB1-Normal2"/>
        <w:spacing w:before="120" w:after="120"/>
        <w:jc w:val="both"/>
        <w:rPr>
          <w:noProof/>
        </w:rPr>
      </w:pPr>
      <w:r>
        <w:rPr>
          <w:noProof/>
        </w:rPr>
        <w:t>5</w:t>
      </w:r>
      <w:r w:rsidRPr="00B07E42">
        <w:rPr>
          <w:noProof/>
        </w:rPr>
        <w:t>.</w:t>
      </w:r>
      <w:r>
        <w:rPr>
          <w:noProof/>
        </w:rPr>
        <w:t>2</w:t>
      </w:r>
      <w:r w:rsidRPr="00B07E42">
        <w:rPr>
          <w:noProof/>
        </w:rPr>
        <w:t>.</w:t>
      </w:r>
      <w:r>
        <w:rPr>
          <w:noProof/>
        </w:rPr>
        <w:t xml:space="preserve"> Beruházás – Nemzetközi, ipari és K+F vezető szerep kialakítása a hidrogén területén</w:t>
      </w:r>
    </w:p>
    <w:p w14:paraId="2853DD41" w14:textId="77777777" w:rsidR="003F5418" w:rsidRDefault="002A6C25">
      <w:pPr>
        <w:spacing w:before="120" w:after="120"/>
        <w:jc w:val="both"/>
        <w:rPr>
          <w:noProof/>
        </w:rPr>
      </w:pPr>
      <w:r>
        <w:rPr>
          <w:noProof/>
        </w:rPr>
        <w:t>Ez a beruházás egy olyan olaszországi hidrogén-értéklánc fejlesztésére irányuló projektek támogatását jelenti, amely alkalmas a hidrogénnel kapcsolatos közös európai érdeket szolgáló potenciális fontos projekte</w:t>
      </w:r>
      <w:r>
        <w:rPr>
          <w:noProof/>
        </w:rPr>
        <w:t>kben való részvételre is.</w:t>
      </w:r>
    </w:p>
    <w:p w14:paraId="345BDEF4" w14:textId="45572108" w:rsidR="003F5418" w:rsidRDefault="00B07E42">
      <w:pPr>
        <w:pStyle w:val="P68B1DB1-Normal2"/>
        <w:spacing w:before="120" w:after="120"/>
        <w:jc w:val="both"/>
        <w:rPr>
          <w:noProof/>
        </w:rPr>
      </w:pPr>
      <w:r>
        <w:rPr>
          <w:noProof/>
        </w:rPr>
        <w:t>5</w:t>
      </w:r>
      <w:r w:rsidRPr="00B07E42">
        <w:rPr>
          <w:noProof/>
        </w:rPr>
        <w:t>.</w:t>
      </w:r>
      <w:r>
        <w:rPr>
          <w:noProof/>
        </w:rPr>
        <w:t>3</w:t>
      </w:r>
      <w:r w:rsidRPr="00B07E42">
        <w:rPr>
          <w:noProof/>
        </w:rPr>
        <w:t>.</w:t>
      </w:r>
      <w:r>
        <w:rPr>
          <w:noProof/>
        </w:rPr>
        <w:t xml:space="preserve"> Beruházás – Nemzetközi, ipari és K+F vezető szerep kialakítása az elektromos buszok terén</w:t>
      </w:r>
    </w:p>
    <w:p w14:paraId="43851666" w14:textId="77777777" w:rsidR="003F5418" w:rsidRDefault="002A6C25">
      <w:pPr>
        <w:spacing w:before="120" w:after="120"/>
        <w:jc w:val="both"/>
        <w:rPr>
          <w:noProof/>
        </w:rPr>
      </w:pPr>
      <w:r>
        <w:rPr>
          <w:noProof/>
        </w:rPr>
        <w:t>Ez a beruházás mintegy 45 olyan projekt támogatását jelenti, amelyek előmozdíthatják az autóbusz-ágazat elektromos és összekapcsolt bus</w:t>
      </w:r>
      <w:r>
        <w:rPr>
          <w:noProof/>
        </w:rPr>
        <w:t>zok gyártására való digitális és zöld átalakítását.  Ez a beruházás várhatóan támogatni fogja az elektromos buszflotta megújítására irányuló beruházásokat is (a hibrid buszok bevonása nélkül).</w:t>
      </w:r>
    </w:p>
    <w:p w14:paraId="63B92623" w14:textId="564181D6" w:rsidR="003F5418" w:rsidRDefault="00B07E42">
      <w:pPr>
        <w:pStyle w:val="P68B1DB1-Normal2"/>
        <w:spacing w:before="120" w:after="120"/>
        <w:jc w:val="both"/>
        <w:rPr>
          <w:noProof/>
        </w:rPr>
      </w:pPr>
      <w:r>
        <w:rPr>
          <w:noProof/>
        </w:rPr>
        <w:t>5</w:t>
      </w:r>
      <w:r w:rsidRPr="00B07E42">
        <w:rPr>
          <w:noProof/>
        </w:rPr>
        <w:t>.</w:t>
      </w:r>
      <w:r>
        <w:rPr>
          <w:noProof/>
        </w:rPr>
        <w:t>4</w:t>
      </w:r>
      <w:r w:rsidRPr="00B07E42">
        <w:rPr>
          <w:noProof/>
        </w:rPr>
        <w:t>.</w:t>
      </w:r>
      <w:r>
        <w:rPr>
          <w:noProof/>
        </w:rPr>
        <w:t xml:space="preserve"> Beruházás – Az ökológiai átállásban aktív induló vállalkozások és kockázati tőke támogatása</w:t>
      </w:r>
    </w:p>
    <w:p w14:paraId="50F8F9CF" w14:textId="77777777" w:rsidR="003F5418" w:rsidRDefault="002A6C25">
      <w:pPr>
        <w:jc w:val="both"/>
        <w:rPr>
          <w:noProof/>
        </w:rPr>
      </w:pPr>
      <w:r>
        <w:rPr>
          <w:noProof/>
        </w:rPr>
        <w:t>Ez az intézkedés egy eszközbe, a Zöld Átállást Támogató Alapba történő közberuházásból áll, amelynek célja a magánberuházások ösztönzése, a zöld átállásban részt vevő induló vállalkozások forráshoz jutásának javítása Olasz</w:t>
      </w:r>
      <w:r>
        <w:rPr>
          <w:noProof/>
        </w:rPr>
        <w:t xml:space="preserve">országban, valamint a kockázatitőke-piac fejlesztése ebben az ágazatban. A Keret közvetlen vagy közvetett sajáttőke- vagy kvázisajáttőke-támogatás formájában </w:t>
      </w:r>
      <w:r>
        <w:rPr>
          <w:noProof/>
          <w:color w:val="000000" w:themeColor="text1"/>
        </w:rPr>
        <w:t>működik</w:t>
      </w:r>
      <w:r>
        <w:rPr>
          <w:noProof/>
        </w:rPr>
        <w:t>. Közvetlen befektetések esetén a GTF-nek sajáttőke- vagy kvázisajáttőke-támogatással (péld</w:t>
      </w:r>
      <w:r>
        <w:rPr>
          <w:noProof/>
        </w:rPr>
        <w:t>ául átváltható értékpapírokkal) kell működnie az induló vállalkozásoknak; közvetett beruházások esetén az SGR-nek olyan harmadik fél alapok (ABA – Alternatív Beruházási Alap) finanszírozásával kell működnie, amelyek sajáttőke- vagy kvázisajáttőke-, hitelvi</w:t>
      </w:r>
      <w:r>
        <w:rPr>
          <w:noProof/>
        </w:rPr>
        <w:t>szonyt megtestesítő vagy kvázi-hitelviszonyt megtestesítő instrumentumok biztosításával működnek. A GTF a következő beavatkozási területeken fektet be: megújuló energiaforrások, körforgásos gazdaság, mobilitás, energiahatékonyság, hulladékgazdálkodás és en</w:t>
      </w:r>
      <w:r>
        <w:rPr>
          <w:noProof/>
        </w:rPr>
        <w:t xml:space="preserve">ergiatárolás. </w:t>
      </w:r>
    </w:p>
    <w:p w14:paraId="7A946605" w14:textId="77777777" w:rsidR="003F5418" w:rsidRDefault="003F5418">
      <w:pPr>
        <w:jc w:val="both"/>
        <w:rPr>
          <w:noProof/>
        </w:rPr>
      </w:pPr>
    </w:p>
    <w:p w14:paraId="2A1AB645" w14:textId="77FEEA3B" w:rsidR="003F5418" w:rsidRDefault="002A6C25">
      <w:pPr>
        <w:jc w:val="both"/>
        <w:rPr>
          <w:noProof/>
        </w:rPr>
      </w:pPr>
      <w:r>
        <w:rPr>
          <w:noProof/>
        </w:rPr>
        <w:t>A Helyreállítási és Rezilienciaépítési Eszköz beruházásai alapján az eszköz célja kezdetben legalább 250 000 000 EUR összegű finanszírozás biztosítása.</w:t>
      </w:r>
    </w:p>
    <w:p w14:paraId="5DCF30A2" w14:textId="77777777" w:rsidR="003F5418" w:rsidRDefault="003F5418">
      <w:pPr>
        <w:jc w:val="both"/>
        <w:rPr>
          <w:noProof/>
        </w:rPr>
      </w:pPr>
    </w:p>
    <w:p w14:paraId="7089A033" w14:textId="77777777" w:rsidR="003F5418" w:rsidRDefault="002A6C25">
      <w:pPr>
        <w:jc w:val="both"/>
        <w:rPr>
          <w:noProof/>
        </w:rPr>
      </w:pPr>
      <w:r>
        <w:rPr>
          <w:noProof/>
        </w:rPr>
        <w:t xml:space="preserve">Az eszközt végrehajtó partnerként a CDP Venture Capital SGR kezeli. A GTF 15 éves </w:t>
      </w:r>
      <w:r>
        <w:rPr>
          <w:noProof/>
        </w:rPr>
        <w:t>időtartamra szól annak érdekében, hogy megfeleljen a befektetett harmadik fél pénzeszközei időtartamának, és a következő terméksorokba kell befektetnie:</w:t>
      </w:r>
    </w:p>
    <w:p w14:paraId="6AD3AD33" w14:textId="77777777" w:rsidR="003F5418" w:rsidRDefault="002A6C25">
      <w:pPr>
        <w:pStyle w:val="ListParagraph"/>
        <w:numPr>
          <w:ilvl w:val="0"/>
          <w:numId w:val="52"/>
        </w:numPr>
        <w:spacing w:before="0" w:after="160"/>
        <w:rPr>
          <w:noProof/>
        </w:rPr>
      </w:pPr>
      <w:r>
        <w:rPr>
          <w:noProof/>
        </w:rPr>
        <w:t>Zöld induló vállalkozások sajáttőke- vagy kvázisajáttőke-támogatása (közvetlen módon);</w:t>
      </w:r>
    </w:p>
    <w:p w14:paraId="55A8744A" w14:textId="77777777" w:rsidR="003F5418" w:rsidRDefault="002A6C25">
      <w:pPr>
        <w:pStyle w:val="ListParagraph"/>
        <w:numPr>
          <w:ilvl w:val="0"/>
          <w:numId w:val="52"/>
        </w:numPr>
        <w:spacing w:before="0" w:after="160"/>
        <w:rPr>
          <w:noProof/>
        </w:rPr>
      </w:pPr>
      <w:r>
        <w:rPr>
          <w:noProof/>
        </w:rPr>
        <w:t>Sajáttőke-, kváz</w:t>
      </w:r>
      <w:r>
        <w:rPr>
          <w:noProof/>
        </w:rPr>
        <w:t>isajáttőke-támogatás kockázati tőke/hitelalapok számára (közvetett módon);</w:t>
      </w:r>
    </w:p>
    <w:p w14:paraId="3A8210FA" w14:textId="77777777" w:rsidR="003F5418" w:rsidRDefault="002A6C25">
      <w:pPr>
        <w:pStyle w:val="ListParagraph"/>
        <w:numPr>
          <w:ilvl w:val="0"/>
          <w:numId w:val="52"/>
        </w:numPr>
        <w:spacing w:before="0" w:after="160"/>
        <w:rPr>
          <w:noProof/>
        </w:rPr>
      </w:pPr>
      <w:r>
        <w:rPr>
          <w:noProof/>
        </w:rPr>
        <w:t>Inkubációs/gyorsító programok sajáttőke- vagy kvázisajáttőke-finanszírozása formájában nyújtott támogatás.</w:t>
      </w:r>
    </w:p>
    <w:p w14:paraId="2AD21559" w14:textId="77777777" w:rsidR="003F5418" w:rsidRDefault="003F5418">
      <w:pPr>
        <w:pStyle w:val="ListParagraph"/>
        <w:rPr>
          <w:noProof/>
        </w:rPr>
      </w:pPr>
    </w:p>
    <w:p w14:paraId="5889B898" w14:textId="77777777" w:rsidR="003F5418" w:rsidRDefault="002A6C25">
      <w:pPr>
        <w:jc w:val="both"/>
        <w:rPr>
          <w:noProof/>
        </w:rPr>
      </w:pPr>
      <w:r>
        <w:rPr>
          <w:noProof/>
        </w:rPr>
        <w:t>A MIMIT és az SGR módosítja a jelenlegi végrehajtási megállapodást (a</w:t>
      </w:r>
      <w:r>
        <w:rPr>
          <w:i/>
          <w:noProof/>
        </w:rPr>
        <w:t>tová</w:t>
      </w:r>
      <w:r>
        <w:rPr>
          <w:i/>
          <w:noProof/>
        </w:rPr>
        <w:t>bbiakban: Accordo Finanziario</w:t>
      </w:r>
      <w:r>
        <w:rPr>
          <w:noProof/>
        </w:rPr>
        <w:t>) és a GTF-szabályokat a következő rendelkezések beillesztése érdekében:</w:t>
      </w:r>
    </w:p>
    <w:p w14:paraId="367B8113" w14:textId="77777777" w:rsidR="003F5418" w:rsidRDefault="002A6C25">
      <w:pPr>
        <w:pStyle w:val="LegalNumPar"/>
        <w:numPr>
          <w:ilvl w:val="0"/>
          <w:numId w:val="0"/>
        </w:numPr>
        <w:jc w:val="both"/>
        <w:rPr>
          <w:rFonts w:ascii="Times New Roman" w:eastAsia="Times New Roman" w:hAnsi="Times New Roman" w:cs="Times New Roman"/>
          <w:noProof/>
          <w:sz w:val="24"/>
        </w:rPr>
      </w:pPr>
      <w:r>
        <w:rPr>
          <w:rFonts w:ascii="Times New Roman" w:hAnsi="Times New Roman"/>
          <w:noProof/>
          <w:sz w:val="24"/>
        </w:rPr>
        <w:t>Az eszköz döntéshozatali folyamatának leírása: a Békekeret végleges beruházási döntését az igazgatótanács vagy más, azzal egyenértékű irányító testület ho</w:t>
      </w:r>
      <w:r>
        <w:rPr>
          <w:rFonts w:ascii="Times New Roman" w:hAnsi="Times New Roman"/>
          <w:noProof/>
          <w:sz w:val="24"/>
        </w:rPr>
        <w:t>zza meg, és a kormánytól független tagok szavazatainak többségével hagyja jóvá</w:t>
      </w:r>
      <w:r>
        <w:rPr>
          <w:rStyle w:val="FootnoteReference"/>
          <w:rFonts w:eastAsia="Times New Roman"/>
          <w:noProof/>
        </w:rPr>
        <w:footnoteReference w:id="57"/>
      </w:r>
      <w:r>
        <w:rPr>
          <w:rFonts w:ascii="Times New Roman" w:hAnsi="Times New Roman"/>
          <w:noProof/>
          <w:sz w:val="24"/>
        </w:rPr>
        <w:t>.</w:t>
      </w:r>
    </w:p>
    <w:p w14:paraId="3B139849" w14:textId="77777777" w:rsidR="003F5418" w:rsidRDefault="002A6C25">
      <w:pPr>
        <w:pStyle w:val="P68B1DB1-LegalNumPar19"/>
        <w:jc w:val="both"/>
        <w:rPr>
          <w:rFonts w:eastAsia="Times New Roman" w:cs="Times New Roman"/>
          <w:noProof/>
        </w:rPr>
      </w:pPr>
      <w:r>
        <w:rPr>
          <w:noProof/>
        </w:rPr>
        <w:t>A kapcsolódó beruházási politika fő követelményei,</w:t>
      </w:r>
      <w:r>
        <w:rPr>
          <w:b/>
          <w:noProof/>
        </w:rPr>
        <w:t xml:space="preserve"> </w:t>
      </w:r>
      <w:r>
        <w:rPr>
          <w:noProof/>
        </w:rPr>
        <w:t>amelyek a következőket foglalják magukban:</w:t>
      </w:r>
    </w:p>
    <w:p w14:paraId="79C5EEF3" w14:textId="77777777" w:rsidR="003F5418" w:rsidRDefault="002A6C25">
      <w:pPr>
        <w:pStyle w:val="P68B1DB1-LegalNumPar220"/>
        <w:jc w:val="both"/>
        <w:rPr>
          <w:rFonts w:eastAsia="Times New Roman" w:cs="Times New Roman"/>
          <w:noProof/>
        </w:rPr>
      </w:pPr>
      <w:r>
        <w:rPr>
          <w:noProof/>
        </w:rPr>
        <w:t xml:space="preserve">A pénzügyi termékek és a támogatható végső kedvezményezettek leírása. </w:t>
      </w:r>
    </w:p>
    <w:p w14:paraId="396CD697" w14:textId="77777777" w:rsidR="003F5418" w:rsidRDefault="002A6C25">
      <w:pPr>
        <w:pStyle w:val="P68B1DB1-LegalNumPar220"/>
        <w:jc w:val="both"/>
        <w:rPr>
          <w:rFonts w:eastAsia="Times New Roman" w:cs="Times New Roman"/>
          <w:noProof/>
        </w:rPr>
      </w:pPr>
      <w:r>
        <w:rPr>
          <w:noProof/>
        </w:rPr>
        <w:t>Az a követelmény, hogy minden támogatott beruházás gazdaságilag életképes legyen</w:t>
      </w:r>
      <w:r>
        <w:rPr>
          <w:b/>
          <w:noProof/>
        </w:rPr>
        <w:t>.</w:t>
      </w:r>
    </w:p>
    <w:p w14:paraId="1F713181" w14:textId="77777777" w:rsidR="003F5418" w:rsidRDefault="002A6C25">
      <w:pPr>
        <w:pStyle w:val="P68B1DB1-LegalNumPar220"/>
        <w:numPr>
          <w:ilvl w:val="0"/>
          <w:numId w:val="0"/>
        </w:numPr>
        <w:jc w:val="both"/>
        <w:rPr>
          <w:rFonts w:eastAsia="Times New Roman" w:cs="Times New Roman"/>
          <w:noProof/>
        </w:rPr>
      </w:pPr>
      <w:r>
        <w:rPr>
          <w:noProof/>
        </w:rPr>
        <w:t>A jelentős károkozás elkerülését célzó elvnek való megfelelés követelménye a DNSH technikai iránymutatásban (2021/C58/01) meghatározottak szerint. Különösen az induló vállalk</w:t>
      </w:r>
      <w:r>
        <w:rPr>
          <w:noProof/>
        </w:rPr>
        <w:t>ozásoknak nyújtott általános támogatás esetében a beruházási politikának ki kell zárnia azokat a vállalkozásokat, amelyek jelentős hangsúlyt</w:t>
      </w:r>
      <w:r>
        <w:rPr>
          <w:noProof/>
        </w:rPr>
        <w:footnoteReference w:id="58"/>
      </w:r>
      <w:r>
        <w:rPr>
          <w:noProof/>
        </w:rPr>
        <w:t xml:space="preserve"> fektetnek a következő ágazatokra: fosszilis tüzelőanyagokon alapuló energiatermelés és kapcsolódó tevékenységek</w:t>
      </w:r>
      <w:r>
        <w:rPr>
          <w:noProof/>
        </w:rPr>
        <w:footnoteReference w:id="59"/>
      </w:r>
      <w:r>
        <w:rPr>
          <w:noProof/>
        </w:rPr>
        <w:t xml:space="preserve">; </w:t>
      </w:r>
      <w:r>
        <w:rPr>
          <w:noProof/>
        </w:rPr>
        <w:t>ii. energiaigényes és/vagy magas szén-dioxid-kibocsátású iparágak</w:t>
      </w:r>
      <w:r>
        <w:rPr>
          <w:noProof/>
        </w:rPr>
        <w:footnoteReference w:id="60"/>
      </w:r>
      <w:r>
        <w:rPr>
          <w:noProof/>
        </w:rPr>
        <w:t>; szennyező járművek gyártása, bérlése vagy értékesítése</w:t>
      </w:r>
      <w:r>
        <w:rPr>
          <w:noProof/>
        </w:rPr>
        <w:footnoteReference w:id="61"/>
      </w:r>
      <w:r>
        <w:rPr>
          <w:noProof/>
        </w:rPr>
        <w:t>; IV. hulladékgyűjtés, hulladékkezelés és -ártalmatlanítás</w:t>
      </w:r>
      <w:r>
        <w:rPr>
          <w:noProof/>
        </w:rPr>
        <w:footnoteReference w:id="62"/>
      </w:r>
      <w:r>
        <w:rPr>
          <w:noProof/>
        </w:rPr>
        <w:t>, v. nukleáris üzemanyag feldolgozása, atomenergia előállítása. A beruházá</w:t>
      </w:r>
      <w:r>
        <w:rPr>
          <w:noProof/>
        </w:rPr>
        <w:t>si politikának továbbá meg kell követelnie az eszköz végső kedvezményezettjeinek a vonatkozó uniós és nemzeti környezetvédelmi jogszabályoknak való</w:t>
      </w:r>
      <w:r>
        <w:rPr>
          <w:b/>
          <w:noProof/>
        </w:rPr>
        <w:t xml:space="preserve"> </w:t>
      </w:r>
      <w:r>
        <w:rPr>
          <w:noProof/>
        </w:rPr>
        <w:t>megfelelését.</w:t>
      </w:r>
    </w:p>
    <w:p w14:paraId="5484E2C0" w14:textId="77777777" w:rsidR="003F5418" w:rsidRDefault="002A6C25">
      <w:pPr>
        <w:pStyle w:val="P68B1DB1-LegalNumPar220"/>
        <w:jc w:val="both"/>
        <w:rPr>
          <w:rFonts w:eastAsia="Times New Roman" w:cs="Times New Roman"/>
          <w:noProof/>
        </w:rPr>
      </w:pPr>
      <w:r>
        <w:rPr>
          <w:noProof/>
        </w:rPr>
        <w:t xml:space="preserve">Az a követelmény, hogy az eszköz végső kedvezményezettjei nem részesülhetnek támogatásban más </w:t>
      </w:r>
      <w:r>
        <w:rPr>
          <w:noProof/>
        </w:rPr>
        <w:t>uniós eszközökből ugyanazon költségek fedezésére.</w:t>
      </w:r>
    </w:p>
    <w:p w14:paraId="08FBC522" w14:textId="77777777" w:rsidR="003F5418" w:rsidRDefault="002A6C25">
      <w:pPr>
        <w:pStyle w:val="P68B1DB1-LegalNumPar19"/>
        <w:jc w:val="both"/>
        <w:rPr>
          <w:rFonts w:eastAsia="Times New Roman" w:cs="Times New Roman"/>
          <w:noProof/>
        </w:rPr>
      </w:pPr>
      <w:r>
        <w:rPr>
          <w:noProof/>
        </w:rPr>
        <w:t>A végrehajtási megállapodás hatálya alá tartozó összeg, a végrehajtó partner díjstruktúrája, valamint az eszköz beruházási politikájának megfelelően a visszafolyó bevételek újbóli befektetésére vonatkozó kö</w:t>
      </w:r>
      <w:r>
        <w:rPr>
          <w:noProof/>
        </w:rPr>
        <w:t>vetelmény.</w:t>
      </w:r>
    </w:p>
    <w:p w14:paraId="3DC6539D" w14:textId="77777777" w:rsidR="003F5418" w:rsidRDefault="002A6C25">
      <w:pPr>
        <w:pStyle w:val="P68B1DB1-LegalNumPar19"/>
        <w:jc w:val="both"/>
        <w:rPr>
          <w:rFonts w:eastAsia="Times New Roman" w:cs="Times New Roman"/>
          <w:noProof/>
        </w:rPr>
      </w:pPr>
      <w:r>
        <w:rPr>
          <w:noProof/>
        </w:rPr>
        <w:t>Nyomonkövetési, ellenőrzési és kontrollkövetelmények, beleértve a következőket:</w:t>
      </w:r>
    </w:p>
    <w:p w14:paraId="7C827297" w14:textId="77777777" w:rsidR="003F5418" w:rsidRDefault="002A6C25">
      <w:pPr>
        <w:numPr>
          <w:ilvl w:val="1"/>
          <w:numId w:val="100"/>
        </w:numPr>
        <w:spacing w:after="160"/>
        <w:jc w:val="both"/>
        <w:rPr>
          <w:noProof/>
        </w:rPr>
      </w:pPr>
      <w:r>
        <w:rPr>
          <w:noProof/>
        </w:rPr>
        <w:t>A végrehajtó partner által a mozgósított beruházásról való jelentéstételhez használt monitoringrendszer leírása.</w:t>
      </w:r>
    </w:p>
    <w:p w14:paraId="337312C7" w14:textId="77777777" w:rsidR="003F5418" w:rsidRDefault="002A6C25">
      <w:pPr>
        <w:numPr>
          <w:ilvl w:val="1"/>
          <w:numId w:val="100"/>
        </w:numPr>
        <w:spacing w:after="160" w:line="259" w:lineRule="auto"/>
        <w:jc w:val="both"/>
        <w:rPr>
          <w:noProof/>
        </w:rPr>
      </w:pPr>
      <w:r>
        <w:rPr>
          <w:noProof/>
        </w:rPr>
        <w:t>A végrehajtó partner azon eljárásainak leírása, amel</w:t>
      </w:r>
      <w:r>
        <w:rPr>
          <w:noProof/>
        </w:rPr>
        <w:t xml:space="preserve">yek biztosítják a csalás, a korrupció és az összeférhetetlenség megelőzését, felderítését és korrekcióját. </w:t>
      </w:r>
    </w:p>
    <w:p w14:paraId="60A422F3" w14:textId="77777777" w:rsidR="003F5418" w:rsidRDefault="002A6C25">
      <w:pPr>
        <w:numPr>
          <w:ilvl w:val="1"/>
          <w:numId w:val="100"/>
        </w:numPr>
        <w:spacing w:after="160" w:line="259" w:lineRule="auto"/>
        <w:jc w:val="both"/>
        <w:rPr>
          <w:noProof/>
        </w:rPr>
      </w:pPr>
      <w:r>
        <w:rPr>
          <w:noProof/>
        </w:rPr>
        <w:t>Az egyes műveletek támogathatóságának a végrehajtási megállapodásban meghatározott követelményekkel összhangban történő, az egyes műveletek finanszí</w:t>
      </w:r>
      <w:r>
        <w:rPr>
          <w:noProof/>
        </w:rPr>
        <w:t>rozására való kötelezettségvállalást megelőző ellenőrzésére vonatkozó kötelezettség.</w:t>
      </w:r>
    </w:p>
    <w:p w14:paraId="13DDA922" w14:textId="77777777" w:rsidR="003F5418" w:rsidRDefault="002A6C25">
      <w:pPr>
        <w:numPr>
          <w:ilvl w:val="1"/>
          <w:numId w:val="100"/>
        </w:numPr>
        <w:spacing w:after="160"/>
        <w:jc w:val="both"/>
        <w:rPr>
          <w:noProof/>
        </w:rPr>
      </w:pPr>
      <w:r>
        <w:rPr>
          <w:noProof/>
        </w:rPr>
        <w:t>A kockázatalapú utólagos ellenőrzéseknek az SGR ellenőrzési tervével összhangban történő elvégzésére vonatkozó kötelezettség. Ezeknek az ellenőrzéseknek meg kell győződniü</w:t>
      </w:r>
      <w:r>
        <w:rPr>
          <w:noProof/>
        </w:rPr>
        <w:t>k i. arról, hogy az ellenőrzési rendszerek hatékonyak-e, beleértve a csalás, a korrupció és az összeférhetetlenség felderítését; a DNSH-elvnek, az állami támogatásokra vonatkozó szabályoknak való megfelelés; és iii. azt a követelményt, hogy az eszköz végső</w:t>
      </w:r>
      <w:r>
        <w:rPr>
          <w:noProof/>
        </w:rPr>
        <w:t xml:space="preserve"> kedvezményezettjei nem részesültek támogatásban más uniós eszközökből ugyanazon költségek fedezésére. Az ellenőrzések azt is vizsgálják, hogy az ügyletek jogszerűek-e, valamint hogy az alkalmazandó végrehajtási megállapodásban és finanszírozási megállapod</w:t>
      </w:r>
      <w:r>
        <w:rPr>
          <w:noProof/>
        </w:rPr>
        <w:t xml:space="preserve">ásokban foglalt feltételeket betartják-e. </w:t>
      </w:r>
    </w:p>
    <w:p w14:paraId="39AE438F" w14:textId="77777777" w:rsidR="003F5418" w:rsidRDefault="002A6C25">
      <w:pPr>
        <w:numPr>
          <w:ilvl w:val="0"/>
          <w:numId w:val="25"/>
        </w:numPr>
        <w:spacing w:after="160"/>
        <w:ind w:left="720" w:hanging="360"/>
        <w:jc w:val="both"/>
        <w:rPr>
          <w:noProof/>
        </w:rPr>
      </w:pPr>
      <w:r>
        <w:rPr>
          <w:b/>
          <w:noProof/>
        </w:rPr>
        <w:t>A kockázatitőke-tőkealapok/hitelalapok kiválasztására vonatkozó</w:t>
      </w:r>
      <w:r>
        <w:rPr>
          <w:noProof/>
        </w:rPr>
        <w:t xml:space="preserve"> követelmények</w:t>
      </w:r>
      <w:r>
        <w:rPr>
          <w:b/>
          <w:noProof/>
        </w:rPr>
        <w:t>:</w:t>
      </w:r>
      <w:r>
        <w:rPr>
          <w:noProof/>
        </w:rPr>
        <w:t xml:space="preserve"> A Zöld Átállást Támogató Alap nyílt, átlátható és megkülönböztetéstől mentes módon választja ki a pénzügyi közvetítőket, összhangban a jelenlegi gyakorlattal, többek között azáltal, hogy az SGR és a MIMIT weboldalakon egyaránt közzéteszi az összes követel</w:t>
      </w:r>
      <w:r>
        <w:rPr>
          <w:noProof/>
        </w:rPr>
        <w:t xml:space="preserve">ményt és pályázati űrlapot. Minden érintett pénzügyi szereplő esetében előzetesen ellenőrizni kell, hogy a pénzügyi közvetítők </w:t>
      </w:r>
      <w:r>
        <w:rPr>
          <w:i/>
          <w:noProof/>
        </w:rPr>
        <w:t>esetében</w:t>
      </w:r>
      <w:r>
        <w:rPr>
          <w:noProof/>
        </w:rPr>
        <w:t xml:space="preserve"> nem áll fenn összeférhetetlenség. Az összeférhetetlenség hiánya mindig az eszköz „végső kedvezményezettjére” utal.</w:t>
      </w:r>
    </w:p>
    <w:p w14:paraId="6D62A65B" w14:textId="77777777" w:rsidR="003F5418" w:rsidRDefault="002A6C25">
      <w:pPr>
        <w:numPr>
          <w:ilvl w:val="0"/>
          <w:numId w:val="25"/>
        </w:numPr>
        <w:spacing w:after="160"/>
        <w:ind w:left="720" w:hanging="360"/>
        <w:jc w:val="both"/>
        <w:rPr>
          <w:noProof/>
        </w:rPr>
      </w:pPr>
      <w:r>
        <w:rPr>
          <w:b/>
          <w:noProof/>
        </w:rPr>
        <w:t>Finan</w:t>
      </w:r>
      <w:r>
        <w:rPr>
          <w:b/>
          <w:noProof/>
        </w:rPr>
        <w:t>szírozási megállapodások aláírásának kötelezettsége</w:t>
      </w:r>
      <w:r>
        <w:rPr>
          <w:noProof/>
        </w:rPr>
        <w:t>: A GTF finanszírozási megállapodásokat ír alá a pénzügyi közvetítőkkel a kulcsfontosságú követelményekkel összhangban, amelyek tartalmazzák a GTF működésének valamennyi követelményét, beleértve a következ</w:t>
      </w:r>
      <w:r>
        <w:rPr>
          <w:noProof/>
        </w:rPr>
        <w:t xml:space="preserve">őket: </w:t>
      </w:r>
    </w:p>
    <w:p w14:paraId="7C94CFFD" w14:textId="77777777" w:rsidR="003F5418" w:rsidRDefault="002A6C25">
      <w:pPr>
        <w:numPr>
          <w:ilvl w:val="0"/>
          <w:numId w:val="51"/>
        </w:numPr>
        <w:spacing w:after="160"/>
        <w:jc w:val="both"/>
        <w:rPr>
          <w:noProof/>
        </w:rPr>
      </w:pPr>
      <w:r>
        <w:rPr>
          <w:noProof/>
        </w:rPr>
        <w:t xml:space="preserve">A pénzügyi közvetítő azon kötelezettsége, hogy döntéseit </w:t>
      </w:r>
      <w:r>
        <w:rPr>
          <w:i/>
          <w:noProof/>
        </w:rPr>
        <w:t>értelemszerűen</w:t>
      </w:r>
      <w:r>
        <w:rPr>
          <w:noProof/>
        </w:rPr>
        <w:t xml:space="preserve"> a fent meghatározott döntéshozatali és beruházási politikai követelményeknek megfelelően hozza meg, beleértve a DNSH-elv tiszteletben tartásával kapcsolatos követelményeket is.</w:t>
      </w:r>
    </w:p>
    <w:p w14:paraId="73FC2281" w14:textId="77777777" w:rsidR="003F5418" w:rsidRDefault="002A6C25">
      <w:pPr>
        <w:numPr>
          <w:ilvl w:val="0"/>
          <w:numId w:val="51"/>
        </w:numPr>
        <w:spacing w:after="160"/>
        <w:jc w:val="both"/>
        <w:rPr>
          <w:noProof/>
        </w:rPr>
      </w:pPr>
      <w:r>
        <w:rPr>
          <w:noProof/>
        </w:rPr>
        <w:t xml:space="preserve">A pénzügyi közvetítő által létrehozandó nyomonkövetési, ellenőrzési és kontrollkeret leírása, amelyre </w:t>
      </w:r>
      <w:r>
        <w:rPr>
          <w:i/>
          <w:noProof/>
        </w:rPr>
        <w:t>értelemszerűen</w:t>
      </w:r>
      <w:r>
        <w:rPr>
          <w:noProof/>
        </w:rPr>
        <w:t xml:space="preserve"> a fent meghatározott valamennyi nyomonkövetési, ellenőrzési és kontrollkövetelmény vonatkozik. </w:t>
      </w:r>
    </w:p>
    <w:p w14:paraId="2AC4A9F9" w14:textId="77777777" w:rsidR="003F5418" w:rsidRDefault="002A6C25">
      <w:pPr>
        <w:spacing w:before="120" w:after="120"/>
        <w:jc w:val="both"/>
        <w:rPr>
          <w:noProof/>
        </w:rPr>
      </w:pPr>
      <w:r>
        <w:rPr>
          <w:noProof/>
        </w:rPr>
        <w:t>Az intézkedés végrehajtását 2026. augusztus</w:t>
      </w:r>
      <w:r>
        <w:rPr>
          <w:noProof/>
        </w:rPr>
        <w:t xml:space="preserve"> 31-ig be kell fejezni. </w:t>
      </w:r>
    </w:p>
    <w:p w14:paraId="55B979B7" w14:textId="77777777" w:rsidR="003F5418" w:rsidRDefault="002A6C25">
      <w:pPr>
        <w:pStyle w:val="Heading3"/>
        <w:numPr>
          <w:ilvl w:val="0"/>
          <w:numId w:val="0"/>
        </w:numPr>
        <w:ind w:left="850" w:hanging="850"/>
        <w:rPr>
          <w:b/>
          <w:i w:val="0"/>
          <w:noProof/>
          <w:u w:val="single"/>
        </w:rPr>
      </w:pPr>
      <w:r>
        <w:rPr>
          <w:b/>
          <w:i w:val="0"/>
          <w:noProof/>
          <w:u w:val="single"/>
        </w:rPr>
        <w:t xml:space="preserve">E.4. </w:t>
      </w:r>
      <w:r>
        <w:rPr>
          <w:noProof/>
        </w:rPr>
        <w:t xml:space="preserve"> </w:t>
      </w:r>
      <w:r>
        <w:rPr>
          <w:b/>
          <w:i w:val="0"/>
          <w:noProof/>
          <w:u w:val="single"/>
        </w:rPr>
        <w:t xml:space="preserve">Hitel – a végrehajtáshoz és a nyomon követéshez kapcsolódó mérföldkövek, célok, mutatók és ütemterv </w:t>
      </w:r>
    </w:p>
    <w:p w14:paraId="477F4D87" w14:textId="77777777" w:rsidR="003F5418" w:rsidRDefault="003F5418">
      <w:pPr>
        <w:spacing w:before="120" w:after="120"/>
        <w:ind w:left="709"/>
        <w:contextualSpacing/>
        <w:jc w:val="both"/>
        <w:rPr>
          <w:noProof/>
        </w:rPr>
        <w:sectPr w:rsidR="003F5418">
          <w:headerReference w:type="even" r:id="rId152"/>
          <w:headerReference w:type="default" r:id="rId153"/>
          <w:footerReference w:type="even" r:id="rId154"/>
          <w:footerReference w:type="default" r:id="rId155"/>
          <w:headerReference w:type="first" r:id="rId156"/>
          <w:footerReference w:type="first" r:id="rId157"/>
          <w:pgSz w:w="11907" w:h="16839"/>
          <w:pgMar w:top="1134" w:right="1134" w:bottom="1134" w:left="1134" w:header="567" w:footer="567" w:gutter="0"/>
          <w:cols w:space="720"/>
          <w:docGrid w:linePitch="360"/>
        </w:sectPr>
      </w:pPr>
    </w:p>
    <w:p w14:paraId="79CE0B08" w14:textId="77777777" w:rsidR="003F5418" w:rsidRDefault="003F5418">
      <w:pPr>
        <w:spacing w:before="120" w:after="120"/>
        <w:ind w:left="709"/>
        <w:contextualSpacing/>
        <w:jc w:val="both"/>
        <w:rPr>
          <w:noProof/>
        </w:rPr>
      </w:pPr>
    </w:p>
    <w:tbl>
      <w:tblPr>
        <w:tblW w:w="1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849"/>
        <w:gridCol w:w="1559"/>
        <w:gridCol w:w="1876"/>
        <w:gridCol w:w="1843"/>
        <w:gridCol w:w="1417"/>
        <w:gridCol w:w="1134"/>
        <w:gridCol w:w="946"/>
        <w:gridCol w:w="992"/>
        <w:gridCol w:w="756"/>
        <w:gridCol w:w="2970"/>
      </w:tblGrid>
      <w:tr w:rsidR="003F5418" w14:paraId="0F89A30F" w14:textId="77777777">
        <w:trPr>
          <w:trHeight w:val="927"/>
          <w:tblHeader/>
          <w:jc w:val="center"/>
        </w:trPr>
        <w:tc>
          <w:tcPr>
            <w:tcW w:w="1613" w:type="dxa"/>
            <w:vMerge w:val="restart"/>
            <w:shd w:val="clear" w:color="auto" w:fill="BDD7EE"/>
            <w:vAlign w:val="center"/>
            <w:hideMark/>
          </w:tcPr>
          <w:p w14:paraId="708A2DAF" w14:textId="77777777" w:rsidR="003F5418" w:rsidRDefault="002A6C25">
            <w:pPr>
              <w:pStyle w:val="P68B1DB1-Normal6"/>
              <w:jc w:val="center"/>
              <w:rPr>
                <w:b/>
                <w:noProof/>
              </w:rPr>
            </w:pPr>
            <w:r>
              <w:rPr>
                <w:b/>
                <w:noProof/>
              </w:rPr>
              <w:t>S sorszám</w:t>
            </w:r>
          </w:p>
        </w:tc>
        <w:tc>
          <w:tcPr>
            <w:tcW w:w="1643" w:type="dxa"/>
            <w:vMerge w:val="restart"/>
            <w:shd w:val="clear" w:color="auto" w:fill="BDD7EE"/>
            <w:vAlign w:val="center"/>
            <w:hideMark/>
          </w:tcPr>
          <w:p w14:paraId="0007957A" w14:textId="77777777" w:rsidR="003F5418" w:rsidRDefault="002A6C25">
            <w:pPr>
              <w:pStyle w:val="P68B1DB1-Normal3"/>
              <w:jc w:val="center"/>
              <w:rPr>
                <w:noProof/>
              </w:rPr>
            </w:pPr>
            <w:r>
              <w:rPr>
                <w:noProof/>
              </w:rPr>
              <w:t>Kapcsolódó intézkedés (reform vagy beruházás)</w:t>
            </w:r>
          </w:p>
        </w:tc>
        <w:tc>
          <w:tcPr>
            <w:tcW w:w="1559" w:type="dxa"/>
            <w:vMerge w:val="restart"/>
            <w:shd w:val="clear" w:color="auto" w:fill="BDD7EE"/>
            <w:vAlign w:val="center"/>
            <w:hideMark/>
          </w:tcPr>
          <w:p w14:paraId="3DFE2962" w14:textId="77777777" w:rsidR="003F5418" w:rsidRDefault="002A6C25">
            <w:pPr>
              <w:pStyle w:val="P68B1DB1-Normal3"/>
              <w:jc w:val="center"/>
              <w:rPr>
                <w:noProof/>
              </w:rPr>
            </w:pPr>
            <w:r>
              <w:rPr>
                <w:noProof/>
              </w:rPr>
              <w:t>Mérföldkő/cél</w:t>
            </w:r>
          </w:p>
        </w:tc>
        <w:tc>
          <w:tcPr>
            <w:tcW w:w="1559" w:type="dxa"/>
            <w:vMerge w:val="restart"/>
            <w:shd w:val="clear" w:color="auto" w:fill="BDD7EE"/>
            <w:vAlign w:val="center"/>
            <w:hideMark/>
          </w:tcPr>
          <w:p w14:paraId="5A867A0E" w14:textId="77777777" w:rsidR="003F5418" w:rsidRDefault="002A6C25">
            <w:pPr>
              <w:pStyle w:val="P68B1DB1-Normal3"/>
              <w:jc w:val="center"/>
              <w:rPr>
                <w:noProof/>
              </w:rPr>
            </w:pPr>
            <w:r>
              <w:rPr>
                <w:noProof/>
              </w:rPr>
              <w:t>Név</w:t>
            </w:r>
          </w:p>
        </w:tc>
        <w:tc>
          <w:tcPr>
            <w:tcW w:w="1843" w:type="dxa"/>
            <w:vMerge w:val="restart"/>
            <w:shd w:val="clear" w:color="auto" w:fill="BDD7EE"/>
            <w:vAlign w:val="center"/>
            <w:hideMark/>
          </w:tcPr>
          <w:p w14:paraId="74055050" w14:textId="77777777" w:rsidR="003F5418" w:rsidRDefault="002A6C25">
            <w:pPr>
              <w:jc w:val="center"/>
              <w:rPr>
                <w:rFonts w:ascii="Arial Narrow" w:hAnsi="Arial Narrow"/>
                <w:b/>
                <w:noProof/>
                <w:sz w:val="20"/>
              </w:rPr>
            </w:pPr>
            <w:r>
              <w:rPr>
                <w:rFonts w:ascii="Arial Narrow" w:hAnsi="Arial Narrow"/>
                <w:b/>
                <w:noProof/>
                <w:sz w:val="20"/>
              </w:rPr>
              <w:t>Minőségi mutatók</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497" w:type="dxa"/>
            <w:gridSpan w:val="3"/>
            <w:shd w:val="clear" w:color="auto" w:fill="BDD7EE"/>
            <w:vAlign w:val="center"/>
            <w:hideMark/>
          </w:tcPr>
          <w:p w14:paraId="0AE6F61E"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748" w:type="dxa"/>
            <w:gridSpan w:val="2"/>
            <w:shd w:val="clear" w:color="auto" w:fill="BDD7EE"/>
            <w:vAlign w:val="center"/>
            <w:hideMark/>
          </w:tcPr>
          <w:p w14:paraId="597C837C" w14:textId="77777777" w:rsidR="003F5418" w:rsidRDefault="002A6C25">
            <w:pPr>
              <w:pStyle w:val="P68B1DB1-Normal3"/>
              <w:jc w:val="center"/>
              <w:rPr>
                <w:noProof/>
              </w:rPr>
            </w:pPr>
            <w:r>
              <w:rPr>
                <w:noProof/>
              </w:rPr>
              <w:t>A végrehajtás indikatív ütemterve</w:t>
            </w:r>
          </w:p>
        </w:tc>
        <w:tc>
          <w:tcPr>
            <w:tcW w:w="2793" w:type="dxa"/>
            <w:vMerge w:val="restart"/>
            <w:shd w:val="clear" w:color="auto" w:fill="BDD7EE"/>
            <w:vAlign w:val="center"/>
            <w:hideMark/>
          </w:tcPr>
          <w:p w14:paraId="18CD1ACB" w14:textId="77777777" w:rsidR="003F5418" w:rsidRDefault="002A6C25">
            <w:pPr>
              <w:pStyle w:val="P68B1DB1-Normal3"/>
              <w:rPr>
                <w:noProof/>
              </w:rPr>
            </w:pPr>
            <w:r>
              <w:rPr>
                <w:noProof/>
              </w:rPr>
              <w:t>Az egyes mérföldkövek és célértékek leírása</w:t>
            </w:r>
          </w:p>
        </w:tc>
      </w:tr>
      <w:tr w:rsidR="003F5418" w14:paraId="4AF7C576" w14:textId="77777777">
        <w:trPr>
          <w:trHeight w:val="771"/>
          <w:tblHeader/>
          <w:jc w:val="center"/>
        </w:trPr>
        <w:tc>
          <w:tcPr>
            <w:tcW w:w="1613" w:type="dxa"/>
            <w:vMerge/>
            <w:vAlign w:val="center"/>
            <w:hideMark/>
          </w:tcPr>
          <w:p w14:paraId="2E412A9A" w14:textId="77777777" w:rsidR="003F5418" w:rsidRDefault="003F5418">
            <w:pPr>
              <w:jc w:val="center"/>
              <w:rPr>
                <w:rFonts w:ascii="Arial Narrow" w:hAnsi="Arial Narrow"/>
                <w:b/>
                <w:noProof/>
                <w:sz w:val="20"/>
              </w:rPr>
            </w:pPr>
          </w:p>
        </w:tc>
        <w:tc>
          <w:tcPr>
            <w:tcW w:w="1643" w:type="dxa"/>
            <w:vMerge/>
            <w:vAlign w:val="center"/>
            <w:hideMark/>
          </w:tcPr>
          <w:p w14:paraId="150C199C" w14:textId="77777777" w:rsidR="003F5418" w:rsidRDefault="003F5418">
            <w:pPr>
              <w:jc w:val="center"/>
              <w:rPr>
                <w:rFonts w:ascii="Arial Narrow" w:hAnsi="Arial Narrow"/>
                <w:b/>
                <w:noProof/>
                <w:sz w:val="20"/>
              </w:rPr>
            </w:pPr>
          </w:p>
        </w:tc>
        <w:tc>
          <w:tcPr>
            <w:tcW w:w="1559" w:type="dxa"/>
            <w:vMerge/>
            <w:vAlign w:val="center"/>
            <w:hideMark/>
          </w:tcPr>
          <w:p w14:paraId="0C3F29FA" w14:textId="77777777" w:rsidR="003F5418" w:rsidRDefault="003F5418">
            <w:pPr>
              <w:jc w:val="center"/>
              <w:rPr>
                <w:rFonts w:ascii="Arial Narrow" w:hAnsi="Arial Narrow"/>
                <w:b/>
                <w:noProof/>
                <w:sz w:val="20"/>
              </w:rPr>
            </w:pPr>
          </w:p>
        </w:tc>
        <w:tc>
          <w:tcPr>
            <w:tcW w:w="1559" w:type="dxa"/>
            <w:vMerge/>
            <w:vAlign w:val="center"/>
            <w:hideMark/>
          </w:tcPr>
          <w:p w14:paraId="6E3A070D" w14:textId="77777777" w:rsidR="003F5418" w:rsidRDefault="003F5418">
            <w:pPr>
              <w:jc w:val="center"/>
              <w:rPr>
                <w:rFonts w:ascii="Arial Narrow" w:hAnsi="Arial Narrow"/>
                <w:b/>
                <w:noProof/>
                <w:sz w:val="20"/>
              </w:rPr>
            </w:pPr>
          </w:p>
        </w:tc>
        <w:tc>
          <w:tcPr>
            <w:tcW w:w="1843" w:type="dxa"/>
            <w:vMerge/>
            <w:vAlign w:val="center"/>
            <w:hideMark/>
          </w:tcPr>
          <w:p w14:paraId="432D7682" w14:textId="77777777" w:rsidR="003F5418" w:rsidRDefault="003F5418">
            <w:pPr>
              <w:jc w:val="center"/>
              <w:rPr>
                <w:rFonts w:ascii="Arial Narrow" w:hAnsi="Arial Narrow"/>
                <w:b/>
                <w:noProof/>
                <w:sz w:val="20"/>
              </w:rPr>
            </w:pPr>
          </w:p>
        </w:tc>
        <w:tc>
          <w:tcPr>
            <w:tcW w:w="1417" w:type="dxa"/>
            <w:shd w:val="clear" w:color="auto" w:fill="BDD7EE"/>
            <w:vAlign w:val="center"/>
            <w:hideMark/>
          </w:tcPr>
          <w:p w14:paraId="42282B93" w14:textId="77777777" w:rsidR="003F5418" w:rsidRDefault="002A6C25">
            <w:pPr>
              <w:pStyle w:val="P68B1DB1-Normal3"/>
              <w:jc w:val="center"/>
              <w:rPr>
                <w:noProof/>
              </w:rPr>
            </w:pPr>
            <w:r>
              <w:rPr>
                <w:noProof/>
              </w:rPr>
              <w:t>Mértékegység</w:t>
            </w:r>
          </w:p>
        </w:tc>
        <w:tc>
          <w:tcPr>
            <w:tcW w:w="1134" w:type="dxa"/>
            <w:shd w:val="clear" w:color="auto" w:fill="BDD7EE"/>
            <w:vAlign w:val="center"/>
            <w:hideMark/>
          </w:tcPr>
          <w:p w14:paraId="1A1C71C8" w14:textId="77777777" w:rsidR="003F5418" w:rsidRDefault="002A6C25">
            <w:pPr>
              <w:pStyle w:val="P68B1DB1-Normal3"/>
              <w:jc w:val="center"/>
              <w:rPr>
                <w:noProof/>
              </w:rPr>
            </w:pPr>
            <w:r>
              <w:rPr>
                <w:noProof/>
              </w:rPr>
              <w:t>Kiindulási</w:t>
            </w:r>
          </w:p>
        </w:tc>
        <w:tc>
          <w:tcPr>
            <w:tcW w:w="946" w:type="dxa"/>
            <w:shd w:val="clear" w:color="auto" w:fill="BDD7EE"/>
            <w:vAlign w:val="center"/>
            <w:hideMark/>
          </w:tcPr>
          <w:p w14:paraId="5045D528" w14:textId="77777777" w:rsidR="003F5418" w:rsidRDefault="002A6C25">
            <w:pPr>
              <w:pStyle w:val="P68B1DB1-Normal3"/>
              <w:jc w:val="center"/>
              <w:rPr>
                <w:noProof/>
              </w:rPr>
            </w:pPr>
            <w:r>
              <w:rPr>
                <w:noProof/>
              </w:rPr>
              <w:t>Cél</w:t>
            </w:r>
          </w:p>
        </w:tc>
        <w:tc>
          <w:tcPr>
            <w:tcW w:w="992" w:type="dxa"/>
            <w:shd w:val="clear" w:color="auto" w:fill="BDD7EE"/>
            <w:vAlign w:val="center"/>
            <w:hideMark/>
          </w:tcPr>
          <w:p w14:paraId="220F2EA8" w14:textId="77777777" w:rsidR="003F5418" w:rsidRDefault="002A6C25">
            <w:pPr>
              <w:pStyle w:val="P68B1DB1-Normal3"/>
              <w:jc w:val="center"/>
              <w:rPr>
                <w:noProof/>
              </w:rPr>
            </w:pPr>
            <w:r>
              <w:rPr>
                <w:noProof/>
              </w:rPr>
              <w:t>Negyedév</w:t>
            </w:r>
          </w:p>
        </w:tc>
        <w:tc>
          <w:tcPr>
            <w:tcW w:w="756" w:type="dxa"/>
            <w:shd w:val="clear" w:color="auto" w:fill="BDD7EE"/>
            <w:vAlign w:val="center"/>
            <w:hideMark/>
          </w:tcPr>
          <w:p w14:paraId="3B7DB5AE" w14:textId="77777777" w:rsidR="003F5418" w:rsidRDefault="002A6C25">
            <w:pPr>
              <w:pStyle w:val="P68B1DB1-Normal3"/>
              <w:jc w:val="center"/>
              <w:rPr>
                <w:noProof/>
              </w:rPr>
            </w:pPr>
            <w:r>
              <w:rPr>
                <w:noProof/>
              </w:rPr>
              <w:t>Éve</w:t>
            </w:r>
          </w:p>
        </w:tc>
        <w:tc>
          <w:tcPr>
            <w:tcW w:w="2793" w:type="dxa"/>
            <w:vMerge/>
            <w:vAlign w:val="center"/>
            <w:hideMark/>
          </w:tcPr>
          <w:p w14:paraId="60AF9519" w14:textId="77777777" w:rsidR="003F5418" w:rsidRDefault="003F5418">
            <w:pPr>
              <w:rPr>
                <w:rFonts w:ascii="Arial Narrow" w:hAnsi="Arial Narrow"/>
                <w:b/>
                <w:noProof/>
                <w:sz w:val="20"/>
              </w:rPr>
            </w:pPr>
          </w:p>
        </w:tc>
      </w:tr>
      <w:tr w:rsidR="003F5418" w14:paraId="7B623232" w14:textId="77777777">
        <w:trPr>
          <w:trHeight w:val="309"/>
          <w:jc w:val="center"/>
        </w:trPr>
        <w:tc>
          <w:tcPr>
            <w:tcW w:w="1613" w:type="dxa"/>
            <w:shd w:val="clear" w:color="auto" w:fill="C6EFCE"/>
            <w:noWrap/>
            <w:vAlign w:val="center"/>
          </w:tcPr>
          <w:p w14:paraId="1E5F107E" w14:textId="77777777" w:rsidR="003F5418" w:rsidRDefault="002A6C25">
            <w:pPr>
              <w:pStyle w:val="P68B1DB1-Normal4"/>
              <w:jc w:val="center"/>
              <w:rPr>
                <w:noProof/>
              </w:rPr>
            </w:pPr>
            <w:r>
              <w:rPr>
                <w:noProof/>
              </w:rPr>
              <w:t>M2C2–3</w:t>
            </w:r>
          </w:p>
        </w:tc>
        <w:tc>
          <w:tcPr>
            <w:tcW w:w="1643" w:type="dxa"/>
            <w:shd w:val="clear" w:color="auto" w:fill="C6EFCE"/>
            <w:noWrap/>
            <w:vAlign w:val="center"/>
          </w:tcPr>
          <w:p w14:paraId="40087655" w14:textId="77777777" w:rsidR="003F5418" w:rsidRDefault="002A6C25">
            <w:pPr>
              <w:pStyle w:val="P68B1DB1-Normal4"/>
              <w:jc w:val="center"/>
              <w:rPr>
                <w:noProof/>
              </w:rPr>
            </w:pPr>
            <w:r>
              <w:rPr>
                <w:noProof/>
              </w:rPr>
              <w:t xml:space="preserve">Beruházás: </w:t>
            </w:r>
            <w:r>
              <w:rPr>
                <w:noProof/>
              </w:rPr>
              <w:t>biometán fejlesztése a körforgásos gazdaság előmozdításának kritériumai szerint</w:t>
            </w:r>
          </w:p>
        </w:tc>
        <w:tc>
          <w:tcPr>
            <w:tcW w:w="1559" w:type="dxa"/>
            <w:shd w:val="clear" w:color="auto" w:fill="C6EFCE"/>
            <w:noWrap/>
            <w:vAlign w:val="center"/>
          </w:tcPr>
          <w:p w14:paraId="1FB07C70"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50A29B32" w14:textId="77777777" w:rsidR="003F5418" w:rsidRDefault="002A6C25">
            <w:pPr>
              <w:pStyle w:val="P68B1DB1-Normal4"/>
              <w:jc w:val="center"/>
              <w:rPr>
                <w:noProof/>
              </w:rPr>
            </w:pPr>
            <w:r>
              <w:rPr>
                <w:noProof/>
              </w:rPr>
              <w:t>Mezőgazdasági traktorok cseréje</w:t>
            </w:r>
          </w:p>
        </w:tc>
        <w:tc>
          <w:tcPr>
            <w:tcW w:w="1843" w:type="dxa"/>
            <w:shd w:val="clear" w:color="auto" w:fill="C6EFCE"/>
            <w:noWrap/>
            <w:vAlign w:val="center"/>
          </w:tcPr>
          <w:p w14:paraId="0928A416"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772B8813"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5C1047EC" w14:textId="77777777" w:rsidR="003F5418" w:rsidRDefault="002A6C25">
            <w:pPr>
              <w:pStyle w:val="P68B1DB1-Normal4"/>
              <w:jc w:val="center"/>
              <w:rPr>
                <w:noProof/>
              </w:rPr>
            </w:pPr>
            <w:r>
              <w:rPr>
                <w:noProof/>
              </w:rPr>
              <w:t>0</w:t>
            </w:r>
          </w:p>
        </w:tc>
        <w:tc>
          <w:tcPr>
            <w:tcW w:w="946" w:type="dxa"/>
            <w:shd w:val="clear" w:color="auto" w:fill="C6EFCE"/>
            <w:noWrap/>
            <w:vAlign w:val="center"/>
          </w:tcPr>
          <w:p w14:paraId="77A40EDC" w14:textId="77777777" w:rsidR="003F5418" w:rsidRDefault="002A6C25">
            <w:pPr>
              <w:pStyle w:val="P68B1DB1-Normal4"/>
              <w:jc w:val="center"/>
              <w:rPr>
                <w:noProof/>
              </w:rPr>
            </w:pPr>
            <w:r>
              <w:rPr>
                <w:noProof/>
              </w:rPr>
              <w:t>300</w:t>
            </w:r>
          </w:p>
        </w:tc>
        <w:tc>
          <w:tcPr>
            <w:tcW w:w="992" w:type="dxa"/>
            <w:shd w:val="clear" w:color="auto" w:fill="C6EFCE"/>
            <w:noWrap/>
            <w:vAlign w:val="center"/>
          </w:tcPr>
          <w:p w14:paraId="6BDAFDDD"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4B49EF83"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6E76418A" w14:textId="77777777" w:rsidR="003F5418" w:rsidRDefault="002A6C25">
            <w:pPr>
              <w:pStyle w:val="P68B1DB1-Normal4"/>
              <w:spacing w:after="120"/>
              <w:rPr>
                <w:noProof/>
              </w:rPr>
            </w:pPr>
            <w:r>
              <w:rPr>
                <w:noProof/>
              </w:rPr>
              <w:t xml:space="preserve">Legalább 300 mezőgazdasági traktorflotta cseréje kizárólag biometánnal meghajtott és precíziós gazdálkodási </w:t>
            </w:r>
            <w:r>
              <w:rPr>
                <w:noProof/>
              </w:rPr>
              <w:t>eszközökkel is felszerelt mechanikus traktorokra.</w:t>
            </w:r>
          </w:p>
          <w:p w14:paraId="49BD39E0" w14:textId="77777777" w:rsidR="003F5418" w:rsidRDefault="002A6C25">
            <w:pPr>
              <w:pStyle w:val="P68B1DB1-Normal4"/>
              <w:rPr>
                <w:noProof/>
              </w:rPr>
            </w:pPr>
            <w:r>
              <w:rPr>
                <w:noProof/>
              </w:rPr>
              <w:t>A biometánnak meg kell felelnie az (EU) 2018/2001 irányelvben (RED II. irányelv) meghatározott kritériumoknak annak érdekében, hogy megfeleljen a jelentős károkozás elkerülését célzó elvnek. A bioüzemanyag-</w:t>
            </w:r>
            <w:r>
              <w:rPr>
                <w:noProof/>
              </w:rPr>
              <w:t xml:space="preserve"> és biometángáz- és bioüzemanyag-gyártóknak független értékelők által kiállított tanúsítványokat (fenntarthatósági igazolást) kell benyújtaniuk az (EU) 2018/2001 irányelvben előírtak szerint. Az üzemeltető a várható tüzelőanyag-felhasználással arányos szár</w:t>
            </w:r>
            <w:r>
              <w:rPr>
                <w:noProof/>
              </w:rPr>
              <w:t xml:space="preserve">mazási bizonyítványt vásárol.  </w:t>
            </w:r>
          </w:p>
        </w:tc>
      </w:tr>
      <w:tr w:rsidR="003F5418" w14:paraId="7FAF6144" w14:textId="77777777">
        <w:trPr>
          <w:trHeight w:val="309"/>
          <w:jc w:val="center"/>
        </w:trPr>
        <w:tc>
          <w:tcPr>
            <w:tcW w:w="1613" w:type="dxa"/>
            <w:shd w:val="clear" w:color="auto" w:fill="C6EFCE"/>
            <w:noWrap/>
            <w:vAlign w:val="center"/>
          </w:tcPr>
          <w:p w14:paraId="012C909E" w14:textId="77777777" w:rsidR="003F5418" w:rsidRDefault="002A6C25">
            <w:pPr>
              <w:pStyle w:val="P68B1DB1-Normal4"/>
              <w:jc w:val="center"/>
              <w:rPr>
                <w:noProof/>
              </w:rPr>
            </w:pPr>
            <w:r>
              <w:rPr>
                <w:noProof/>
              </w:rPr>
              <w:t>M2C2–4</w:t>
            </w:r>
          </w:p>
        </w:tc>
        <w:tc>
          <w:tcPr>
            <w:tcW w:w="1643" w:type="dxa"/>
            <w:shd w:val="clear" w:color="auto" w:fill="C6EFCE"/>
            <w:noWrap/>
            <w:vAlign w:val="center"/>
          </w:tcPr>
          <w:p w14:paraId="25B4B8F8" w14:textId="77777777" w:rsidR="003F5418" w:rsidRDefault="002A6C25">
            <w:pPr>
              <w:pStyle w:val="P68B1DB1-Normal4"/>
              <w:jc w:val="center"/>
              <w:rPr>
                <w:noProof/>
              </w:rPr>
            </w:pPr>
            <w:r>
              <w:rPr>
                <w:noProof/>
              </w:rPr>
              <w:t>Beruházás: biometán fejlesztése a körforgásos gazdaság előmozdításának kritériumai szerint</w:t>
            </w:r>
          </w:p>
        </w:tc>
        <w:tc>
          <w:tcPr>
            <w:tcW w:w="1559" w:type="dxa"/>
            <w:shd w:val="clear" w:color="auto" w:fill="C6EFCE"/>
            <w:noWrap/>
            <w:vAlign w:val="center"/>
          </w:tcPr>
          <w:p w14:paraId="2128C515"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341D8471" w14:textId="77777777" w:rsidR="003F5418" w:rsidRDefault="002A6C25">
            <w:pPr>
              <w:pStyle w:val="P68B1DB1-Normal4"/>
              <w:jc w:val="center"/>
              <w:rPr>
                <w:noProof/>
              </w:rPr>
            </w:pPr>
            <w:r>
              <w:rPr>
                <w:noProof/>
              </w:rPr>
              <w:t>További biometán-termelési kapacitás</w:t>
            </w:r>
          </w:p>
        </w:tc>
        <w:tc>
          <w:tcPr>
            <w:tcW w:w="1843" w:type="dxa"/>
            <w:shd w:val="clear" w:color="auto" w:fill="C6EFCE"/>
            <w:noWrap/>
            <w:vAlign w:val="center"/>
          </w:tcPr>
          <w:p w14:paraId="6B6EC205"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13162FA5" w14:textId="77777777" w:rsidR="003F5418" w:rsidRDefault="002A6C25">
            <w:pPr>
              <w:pStyle w:val="P68B1DB1-Normal4"/>
              <w:jc w:val="center"/>
              <w:rPr>
                <w:noProof/>
              </w:rPr>
            </w:pPr>
            <w:r>
              <w:rPr>
                <w:noProof/>
              </w:rPr>
              <w:t>1 000 000 000</w:t>
            </w:r>
          </w:p>
        </w:tc>
        <w:tc>
          <w:tcPr>
            <w:tcW w:w="1134" w:type="dxa"/>
            <w:shd w:val="clear" w:color="auto" w:fill="C6EFCE"/>
            <w:noWrap/>
            <w:vAlign w:val="center"/>
          </w:tcPr>
          <w:p w14:paraId="552E8583" w14:textId="77777777" w:rsidR="003F5418" w:rsidRDefault="002A6C25">
            <w:pPr>
              <w:pStyle w:val="P68B1DB1-Normal4"/>
              <w:jc w:val="center"/>
              <w:rPr>
                <w:noProof/>
              </w:rPr>
            </w:pPr>
            <w:r>
              <w:rPr>
                <w:noProof/>
              </w:rPr>
              <w:t>0</w:t>
            </w:r>
          </w:p>
        </w:tc>
        <w:tc>
          <w:tcPr>
            <w:tcW w:w="946" w:type="dxa"/>
            <w:shd w:val="clear" w:color="auto" w:fill="C6EFCE"/>
            <w:noWrap/>
            <w:vAlign w:val="center"/>
          </w:tcPr>
          <w:p w14:paraId="74C4D1BF" w14:textId="77777777" w:rsidR="003F5418" w:rsidRDefault="002A6C25">
            <w:pPr>
              <w:pStyle w:val="P68B1DB1-Normal4"/>
              <w:jc w:val="center"/>
              <w:rPr>
                <w:noProof/>
              </w:rPr>
            </w:pPr>
            <w:r>
              <w:rPr>
                <w:noProof/>
              </w:rPr>
              <w:t>0.6</w:t>
            </w:r>
          </w:p>
        </w:tc>
        <w:tc>
          <w:tcPr>
            <w:tcW w:w="992" w:type="dxa"/>
            <w:shd w:val="clear" w:color="auto" w:fill="C6EFCE"/>
            <w:noWrap/>
            <w:vAlign w:val="center"/>
          </w:tcPr>
          <w:p w14:paraId="3DAF8073"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10DFA38E" w14:textId="77777777" w:rsidR="003F5418" w:rsidRDefault="002A6C25">
            <w:pPr>
              <w:pStyle w:val="P68B1DB1-Normal4"/>
              <w:jc w:val="center"/>
              <w:rPr>
                <w:noProof/>
              </w:rPr>
            </w:pPr>
            <w:r>
              <w:rPr>
                <w:noProof/>
              </w:rPr>
              <w:t>2025</w:t>
            </w:r>
          </w:p>
        </w:tc>
        <w:tc>
          <w:tcPr>
            <w:tcW w:w="2793" w:type="dxa"/>
            <w:shd w:val="clear" w:color="auto" w:fill="C6EFCE"/>
            <w:noWrap/>
            <w:vAlign w:val="center"/>
          </w:tcPr>
          <w:p w14:paraId="6E924803" w14:textId="7E0BC927" w:rsidR="003F5418" w:rsidRDefault="002A6C25">
            <w:pPr>
              <w:pStyle w:val="P68B1DB1-Normal4"/>
              <w:spacing w:after="120"/>
              <w:rPr>
                <w:noProof/>
              </w:rPr>
            </w:pPr>
            <w:r>
              <w:rPr>
                <w:noProof/>
              </w:rPr>
              <w:t>A biometán</w:t>
            </w:r>
            <w:r>
              <w:rPr>
                <w:noProof/>
              </w:rPr>
              <w:t xml:space="preserve"> termelési kapacitásának fejlesztése a meglévő üzemek (beleértve a települési szilárd hulladék szerves frakcionálását is) és az új üzemekből legalább 0,6 milliárd m³-re történő átalakításából.</w:t>
            </w:r>
          </w:p>
          <w:p w14:paraId="7CE19B97" w14:textId="77777777" w:rsidR="003F5418" w:rsidRDefault="002A6C25">
            <w:pPr>
              <w:pStyle w:val="P68B1DB1-Normal4"/>
              <w:spacing w:after="120"/>
              <w:rPr>
                <w:noProof/>
              </w:rPr>
            </w:pPr>
            <w:r>
              <w:rPr>
                <w:noProof/>
              </w:rPr>
              <w:t>A biometánnak meg kell felelnie az (EU) 2018/2001 irányelvben (</w:t>
            </w:r>
            <w:r>
              <w:rPr>
                <w:noProof/>
              </w:rPr>
              <w:t>RED II. irányelv) meghatározott kritériumoknak annak érdekében, hogy az intézkedés megfeleljen a jelentős károkozás elkerülését célzó elvnek és az (EU) 2021/241 rendelet VI. mellékletének 8. lábjegyzetében foglalt vonatkozó követelményeknek.</w:t>
            </w:r>
          </w:p>
          <w:p w14:paraId="761ADD79" w14:textId="77777777" w:rsidR="003F5418" w:rsidRDefault="002A6C25">
            <w:pPr>
              <w:pStyle w:val="P68B1DB1-Normal4"/>
              <w:rPr>
                <w:noProof/>
              </w:rPr>
            </w:pPr>
            <w:r>
              <w:rPr>
                <w:noProof/>
              </w:rPr>
              <w:t>A bioüzemanyag</w:t>
            </w:r>
            <w:r>
              <w:rPr>
                <w:noProof/>
              </w:rPr>
              <w:t xml:space="preserve">- és biometángáz- és bioüzemanyag-gyártóknak független értékelők által kiállított tanúsítványokat (fenntarthatósági igazolást) kell benyújtaniuk az (EU) 2018/2001 irányelvben előírtak szerint. </w:t>
            </w:r>
          </w:p>
        </w:tc>
      </w:tr>
      <w:tr w:rsidR="003F5418" w14:paraId="47C17AAE" w14:textId="77777777">
        <w:trPr>
          <w:trHeight w:val="309"/>
          <w:jc w:val="center"/>
        </w:trPr>
        <w:tc>
          <w:tcPr>
            <w:tcW w:w="1613" w:type="dxa"/>
            <w:shd w:val="clear" w:color="auto" w:fill="C6EFCE"/>
            <w:noWrap/>
            <w:vAlign w:val="center"/>
          </w:tcPr>
          <w:p w14:paraId="063366B7" w14:textId="77777777" w:rsidR="003F5418" w:rsidRDefault="002A6C25">
            <w:pPr>
              <w:pStyle w:val="P68B1DB1-Normal4"/>
              <w:jc w:val="center"/>
              <w:rPr>
                <w:noProof/>
              </w:rPr>
            </w:pPr>
            <w:r>
              <w:rPr>
                <w:noProof/>
              </w:rPr>
              <w:t>M2C2–5</w:t>
            </w:r>
          </w:p>
        </w:tc>
        <w:tc>
          <w:tcPr>
            <w:tcW w:w="1643" w:type="dxa"/>
            <w:shd w:val="clear" w:color="auto" w:fill="C6EFCE"/>
            <w:noWrap/>
            <w:vAlign w:val="center"/>
          </w:tcPr>
          <w:p w14:paraId="7CF83B71" w14:textId="77777777" w:rsidR="003F5418" w:rsidRDefault="002A6C25">
            <w:pPr>
              <w:pStyle w:val="P68B1DB1-Normal4"/>
              <w:jc w:val="center"/>
              <w:rPr>
                <w:noProof/>
              </w:rPr>
            </w:pPr>
            <w:r>
              <w:rPr>
                <w:noProof/>
              </w:rPr>
              <w:t>Beruházás: biometán</w:t>
            </w:r>
            <w:r>
              <w:rPr>
                <w:noProof/>
              </w:rPr>
              <w:t xml:space="preserve"> fejlesztése a körforgásos gazdaság előmozdításának kritériumai szerint</w:t>
            </w:r>
          </w:p>
        </w:tc>
        <w:tc>
          <w:tcPr>
            <w:tcW w:w="1559" w:type="dxa"/>
            <w:shd w:val="clear" w:color="auto" w:fill="C6EFCE"/>
            <w:noWrap/>
            <w:vAlign w:val="center"/>
          </w:tcPr>
          <w:p w14:paraId="5A0D4A65"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4AEBF7B5" w14:textId="2530CAF1" w:rsidR="003F5418" w:rsidRDefault="002A6C25">
            <w:pPr>
              <w:pStyle w:val="P68B1DB1-Normal4"/>
              <w:jc w:val="center"/>
              <w:rPr>
                <w:noProof/>
              </w:rPr>
            </w:pPr>
            <w:r>
              <w:rPr>
                <w:noProof/>
              </w:rPr>
              <w:t>További biometán-termelési kapacitás</w:t>
            </w:r>
          </w:p>
        </w:tc>
        <w:tc>
          <w:tcPr>
            <w:tcW w:w="1843" w:type="dxa"/>
            <w:shd w:val="clear" w:color="auto" w:fill="C6EFCE"/>
            <w:noWrap/>
            <w:vAlign w:val="center"/>
          </w:tcPr>
          <w:p w14:paraId="598AADA0"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3833A8EB" w14:textId="77777777" w:rsidR="003F5418" w:rsidRDefault="002A6C25">
            <w:pPr>
              <w:pStyle w:val="P68B1DB1-Normal4"/>
              <w:jc w:val="center"/>
              <w:rPr>
                <w:noProof/>
              </w:rPr>
            </w:pPr>
            <w:r>
              <w:rPr>
                <w:noProof/>
              </w:rPr>
              <w:t xml:space="preserve">1 000 000 000 </w:t>
            </w:r>
          </w:p>
        </w:tc>
        <w:tc>
          <w:tcPr>
            <w:tcW w:w="1134" w:type="dxa"/>
            <w:shd w:val="clear" w:color="auto" w:fill="C6EFCE"/>
            <w:noWrap/>
            <w:vAlign w:val="center"/>
          </w:tcPr>
          <w:p w14:paraId="30E41863" w14:textId="77777777" w:rsidR="003F5418" w:rsidRDefault="002A6C25">
            <w:pPr>
              <w:pStyle w:val="P68B1DB1-Normal4"/>
              <w:jc w:val="center"/>
              <w:rPr>
                <w:noProof/>
              </w:rPr>
            </w:pPr>
            <w:r>
              <w:rPr>
                <w:noProof/>
              </w:rPr>
              <w:t>0.6</w:t>
            </w:r>
          </w:p>
        </w:tc>
        <w:tc>
          <w:tcPr>
            <w:tcW w:w="946" w:type="dxa"/>
            <w:shd w:val="clear" w:color="auto" w:fill="C6EFCE"/>
            <w:noWrap/>
            <w:vAlign w:val="center"/>
          </w:tcPr>
          <w:p w14:paraId="39885FB6" w14:textId="77777777" w:rsidR="003F5418" w:rsidRDefault="002A6C25">
            <w:pPr>
              <w:pStyle w:val="P68B1DB1-Normal4"/>
              <w:jc w:val="center"/>
              <w:rPr>
                <w:noProof/>
              </w:rPr>
            </w:pPr>
            <w:r>
              <w:rPr>
                <w:noProof/>
              </w:rPr>
              <w:t>2.3</w:t>
            </w:r>
          </w:p>
        </w:tc>
        <w:tc>
          <w:tcPr>
            <w:tcW w:w="992" w:type="dxa"/>
            <w:shd w:val="clear" w:color="auto" w:fill="C6EFCE"/>
            <w:noWrap/>
            <w:vAlign w:val="center"/>
          </w:tcPr>
          <w:p w14:paraId="3FCCA97A"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298E776D"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59885CB9" w14:textId="77777777" w:rsidR="003F5418" w:rsidRDefault="002A6C25">
            <w:pPr>
              <w:pStyle w:val="P68B1DB1-Normal4"/>
              <w:spacing w:after="120"/>
              <w:rPr>
                <w:noProof/>
              </w:rPr>
            </w:pPr>
            <w:r>
              <w:rPr>
                <w:noProof/>
              </w:rPr>
              <w:t>A biometán</w:t>
            </w:r>
            <w:r>
              <w:rPr>
                <w:noProof/>
              </w:rPr>
              <w:t xml:space="preserve"> termelési kapacitásának fejlesztése a meglévő üzemek (beleértve a települési szilárd hulladék szerves frakcionálását is) és az új üzemekből 2026. június végéig legalább 2,3 milliárd m³-re történő átalakításából.</w:t>
            </w:r>
          </w:p>
          <w:p w14:paraId="5F5A1406" w14:textId="77777777" w:rsidR="003F5418" w:rsidRDefault="002A6C25">
            <w:pPr>
              <w:pStyle w:val="P68B1DB1-Normal4"/>
              <w:spacing w:after="120"/>
              <w:rPr>
                <w:noProof/>
              </w:rPr>
            </w:pPr>
            <w:r>
              <w:rPr>
                <w:noProof/>
              </w:rPr>
              <w:t>A biometánnak meg kell felelnie az (EU) 201</w:t>
            </w:r>
            <w:r>
              <w:rPr>
                <w:noProof/>
              </w:rPr>
              <w:t>8/2001 irányelvben (RED II. irányelv) meghatározott kritériumoknak annak érdekében, hogy az intézkedés megfeleljen a jelentős károkozás elkerülését célzó elvnek és az (EU) 2021/241 rendelet VI. mellékletének 8. lábjegyzetében foglalt vonatkozó követelménye</w:t>
            </w:r>
            <w:r>
              <w:rPr>
                <w:noProof/>
              </w:rPr>
              <w:t>knek.</w:t>
            </w:r>
          </w:p>
          <w:p w14:paraId="1DBF1CD3" w14:textId="77777777" w:rsidR="003F5418" w:rsidRDefault="002A6C25">
            <w:pPr>
              <w:pStyle w:val="P68B1DB1-Normal4"/>
              <w:rPr>
                <w:noProof/>
              </w:rPr>
            </w:pPr>
            <w:r>
              <w:rPr>
                <w:noProof/>
              </w:rPr>
              <w:t xml:space="preserve">A bioüzemanyag- és biometángáz- és bioüzemanyag-gyártóknak független értékelők által kiállított tanúsítványokat (fenntarthatósági igazolást) kell benyújtaniuk az (EU) 2018/2001 irányelvben előírtak szerint. </w:t>
            </w:r>
          </w:p>
        </w:tc>
      </w:tr>
      <w:tr w:rsidR="003F5418" w14:paraId="5C8E7037" w14:textId="77777777">
        <w:trPr>
          <w:trHeight w:val="309"/>
          <w:jc w:val="center"/>
        </w:trPr>
        <w:tc>
          <w:tcPr>
            <w:tcW w:w="1613" w:type="dxa"/>
            <w:shd w:val="clear" w:color="auto" w:fill="C6EFCE"/>
            <w:noWrap/>
            <w:vAlign w:val="center"/>
          </w:tcPr>
          <w:p w14:paraId="648C4F9B" w14:textId="77777777" w:rsidR="003F5418" w:rsidRDefault="002A6C25">
            <w:pPr>
              <w:pStyle w:val="P68B1DB1-Normal4"/>
              <w:jc w:val="center"/>
              <w:rPr>
                <w:noProof/>
              </w:rPr>
            </w:pPr>
            <w:r>
              <w:rPr>
                <w:noProof/>
              </w:rPr>
              <w:t>M2C2–9</w:t>
            </w:r>
          </w:p>
        </w:tc>
        <w:tc>
          <w:tcPr>
            <w:tcW w:w="1643" w:type="dxa"/>
            <w:shd w:val="clear" w:color="auto" w:fill="C6EFCE"/>
            <w:noWrap/>
            <w:vAlign w:val="center"/>
          </w:tcPr>
          <w:p w14:paraId="75D6EACF" w14:textId="77777777" w:rsidR="003F5418" w:rsidRDefault="002A6C25">
            <w:pPr>
              <w:pStyle w:val="P68B1DB1-Normal4"/>
              <w:jc w:val="center"/>
              <w:rPr>
                <w:noProof/>
              </w:rPr>
            </w:pPr>
            <w:r>
              <w:rPr>
                <w:noProof/>
              </w:rPr>
              <w:t xml:space="preserve">Beruházás: Az intelligens </w:t>
            </w:r>
            <w:r>
              <w:rPr>
                <w:noProof/>
              </w:rPr>
              <w:t>hálózatok megerősítése</w:t>
            </w:r>
          </w:p>
        </w:tc>
        <w:tc>
          <w:tcPr>
            <w:tcW w:w="1559" w:type="dxa"/>
            <w:shd w:val="clear" w:color="auto" w:fill="C6EFCE"/>
            <w:noWrap/>
            <w:vAlign w:val="center"/>
          </w:tcPr>
          <w:p w14:paraId="50FB10EB"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4AC4DBD1" w14:textId="77777777" w:rsidR="003F5418" w:rsidRDefault="002A6C25">
            <w:pPr>
              <w:pStyle w:val="P68B1DB1-Normal4"/>
              <w:jc w:val="center"/>
              <w:rPr>
                <w:noProof/>
              </w:rPr>
            </w:pPr>
            <w:r>
              <w:rPr>
                <w:noProof/>
              </w:rPr>
              <w:t>Intelligens hálózatok – A megújuló energiák elosztására szolgáló hálózati kapacitás növelése</w:t>
            </w:r>
          </w:p>
        </w:tc>
        <w:tc>
          <w:tcPr>
            <w:tcW w:w="1843" w:type="dxa"/>
            <w:shd w:val="clear" w:color="auto" w:fill="C6EFCE"/>
            <w:noWrap/>
            <w:vAlign w:val="center"/>
          </w:tcPr>
          <w:p w14:paraId="7D31AF99"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762A7624"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56034321" w14:textId="77777777" w:rsidR="003F5418" w:rsidRDefault="002A6C25">
            <w:pPr>
              <w:pStyle w:val="P68B1DB1-Normal4"/>
              <w:jc w:val="center"/>
              <w:rPr>
                <w:noProof/>
              </w:rPr>
            </w:pPr>
            <w:r>
              <w:rPr>
                <w:noProof/>
              </w:rPr>
              <w:t>0</w:t>
            </w:r>
          </w:p>
        </w:tc>
        <w:tc>
          <w:tcPr>
            <w:tcW w:w="946" w:type="dxa"/>
            <w:shd w:val="clear" w:color="auto" w:fill="C6EFCE"/>
            <w:noWrap/>
            <w:vAlign w:val="center"/>
          </w:tcPr>
          <w:p w14:paraId="56333329" w14:textId="77777777" w:rsidR="003F5418" w:rsidRDefault="002A6C25">
            <w:pPr>
              <w:pStyle w:val="P68B1DB1-Normal9"/>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92" w:type="dxa"/>
            <w:shd w:val="clear" w:color="auto" w:fill="C6EFCE"/>
            <w:noWrap/>
            <w:vAlign w:val="center"/>
          </w:tcPr>
          <w:p w14:paraId="053E9480"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4CD3957E"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6C1AD5F1" w14:textId="383CF836" w:rsidR="003F5418" w:rsidRDefault="002A6C25">
            <w:pPr>
              <w:pStyle w:val="P68B1DB1-Normal4"/>
              <w:rPr>
                <w:noProof/>
              </w:rPr>
            </w:pPr>
            <w:r>
              <w:rPr>
                <w:noProof/>
              </w:rPr>
              <w:t>A megújuló energiák elosztására szolgáló hálózati kapacitás növelése legalább 1 000 MW-tal</w:t>
            </w:r>
          </w:p>
        </w:tc>
      </w:tr>
      <w:tr w:rsidR="003F5418" w14:paraId="7210D0E4" w14:textId="77777777">
        <w:trPr>
          <w:trHeight w:val="309"/>
          <w:jc w:val="center"/>
        </w:trPr>
        <w:tc>
          <w:tcPr>
            <w:tcW w:w="1613" w:type="dxa"/>
            <w:shd w:val="clear" w:color="auto" w:fill="C6EFCE"/>
            <w:noWrap/>
            <w:vAlign w:val="center"/>
          </w:tcPr>
          <w:p w14:paraId="5F73DCF3" w14:textId="77777777" w:rsidR="003F5418" w:rsidRDefault="002A6C25">
            <w:pPr>
              <w:pStyle w:val="P68B1DB1-Normal4"/>
              <w:jc w:val="center"/>
              <w:rPr>
                <w:noProof/>
              </w:rPr>
            </w:pPr>
            <w:r>
              <w:rPr>
                <w:noProof/>
              </w:rPr>
              <w:t>M2C2–10</w:t>
            </w:r>
          </w:p>
        </w:tc>
        <w:tc>
          <w:tcPr>
            <w:tcW w:w="1643" w:type="dxa"/>
            <w:shd w:val="clear" w:color="auto" w:fill="C6EFCE"/>
            <w:noWrap/>
            <w:vAlign w:val="center"/>
          </w:tcPr>
          <w:p w14:paraId="7AF0307D" w14:textId="77777777" w:rsidR="003F5418" w:rsidRDefault="002A6C25">
            <w:pPr>
              <w:pStyle w:val="P68B1DB1-Normal4"/>
              <w:jc w:val="center"/>
              <w:rPr>
                <w:noProof/>
              </w:rPr>
            </w:pPr>
            <w:r>
              <w:rPr>
                <w:noProof/>
              </w:rPr>
              <w:t>Beruházás: Az intelligens hálózatok megerősítése</w:t>
            </w:r>
          </w:p>
        </w:tc>
        <w:tc>
          <w:tcPr>
            <w:tcW w:w="1559" w:type="dxa"/>
            <w:shd w:val="clear" w:color="auto" w:fill="C6EFCE"/>
            <w:noWrap/>
            <w:vAlign w:val="center"/>
          </w:tcPr>
          <w:p w14:paraId="6B811FEC"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53B28BF5" w14:textId="77777777" w:rsidR="003F5418" w:rsidRDefault="002A6C25">
            <w:pPr>
              <w:pStyle w:val="P68B1DB1-Normal4"/>
              <w:jc w:val="center"/>
              <w:rPr>
                <w:noProof/>
              </w:rPr>
            </w:pPr>
            <w:r>
              <w:rPr>
                <w:noProof/>
              </w:rPr>
              <w:t>Intelligens hálózatok – A megújuló energiák elosztására szolgáló hálózati kapacitás növelése</w:t>
            </w:r>
          </w:p>
        </w:tc>
        <w:tc>
          <w:tcPr>
            <w:tcW w:w="1843" w:type="dxa"/>
            <w:shd w:val="clear" w:color="auto" w:fill="C6EFCE"/>
            <w:noWrap/>
            <w:vAlign w:val="center"/>
          </w:tcPr>
          <w:p w14:paraId="03B00D26"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13F527CD"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3F049167" w14:textId="77777777" w:rsidR="003F5418" w:rsidRDefault="002A6C25">
            <w:pPr>
              <w:pStyle w:val="P68B1DB1-Normal9"/>
              <w:jc w:val="center"/>
              <w:rPr>
                <w:rFonts w:ascii="Arial Narrow" w:hAnsi="Arial Narrow"/>
                <w:noProof/>
              </w:rPr>
            </w:pPr>
            <w:r>
              <w:rPr>
                <w:rFonts w:ascii="Arial Narrow" w:hAnsi="Arial Narrow"/>
                <w:noProof/>
              </w:rPr>
              <w:t>1</w:t>
            </w:r>
            <w:r>
              <w:rPr>
                <w:noProof/>
              </w:rPr>
              <w:t xml:space="preserve"> </w:t>
            </w:r>
            <w:r>
              <w:rPr>
                <w:rFonts w:ascii="Arial Narrow" w:hAnsi="Arial Narrow"/>
                <w:noProof/>
              </w:rPr>
              <w:t>000</w:t>
            </w:r>
          </w:p>
        </w:tc>
        <w:tc>
          <w:tcPr>
            <w:tcW w:w="946" w:type="dxa"/>
            <w:shd w:val="clear" w:color="auto" w:fill="C6EFCE"/>
            <w:noWrap/>
            <w:vAlign w:val="center"/>
          </w:tcPr>
          <w:p w14:paraId="2D4B0385" w14:textId="77777777" w:rsidR="003F5418" w:rsidRDefault="002A6C25">
            <w:pPr>
              <w:pStyle w:val="P68B1DB1-Normal9"/>
              <w:jc w:val="center"/>
              <w:rPr>
                <w:rFonts w:ascii="Arial Narrow" w:hAnsi="Arial Narrow"/>
                <w:noProof/>
              </w:rPr>
            </w:pPr>
            <w:r>
              <w:rPr>
                <w:rFonts w:ascii="Arial Narrow" w:hAnsi="Arial Narrow"/>
                <w:noProof/>
              </w:rPr>
              <w:t>4</w:t>
            </w:r>
            <w:r>
              <w:rPr>
                <w:noProof/>
              </w:rPr>
              <w:t xml:space="preserve"> </w:t>
            </w:r>
            <w:r>
              <w:rPr>
                <w:rFonts w:ascii="Arial Narrow" w:hAnsi="Arial Narrow"/>
                <w:noProof/>
              </w:rPr>
              <w:t>000</w:t>
            </w:r>
          </w:p>
        </w:tc>
        <w:tc>
          <w:tcPr>
            <w:tcW w:w="992" w:type="dxa"/>
            <w:shd w:val="clear" w:color="auto" w:fill="C6EFCE"/>
            <w:noWrap/>
            <w:vAlign w:val="center"/>
          </w:tcPr>
          <w:p w14:paraId="31D2DCC2"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016BD758"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21310EC8" w14:textId="4070DF6F" w:rsidR="003F5418" w:rsidRDefault="002A6C25">
            <w:pPr>
              <w:pStyle w:val="P68B1DB1-Normal4"/>
              <w:rPr>
                <w:noProof/>
              </w:rPr>
            </w:pPr>
            <w:r>
              <w:rPr>
                <w:noProof/>
              </w:rPr>
              <w:t xml:space="preserve">A megújuló energiák elosztására szolgáló hálózati kapacitás növelése legalább </w:t>
            </w:r>
            <w:r>
              <w:rPr>
                <w:noProof/>
              </w:rPr>
              <w:t>4 000 MW-tal</w:t>
            </w:r>
          </w:p>
        </w:tc>
      </w:tr>
      <w:tr w:rsidR="003F5418" w14:paraId="54CC267F" w14:textId="77777777">
        <w:trPr>
          <w:trHeight w:val="309"/>
          <w:jc w:val="center"/>
        </w:trPr>
        <w:tc>
          <w:tcPr>
            <w:tcW w:w="1613" w:type="dxa"/>
            <w:shd w:val="clear" w:color="auto" w:fill="C6EFCE"/>
            <w:noWrap/>
            <w:vAlign w:val="center"/>
          </w:tcPr>
          <w:p w14:paraId="0A2AB60D" w14:textId="77777777" w:rsidR="003F5418" w:rsidRDefault="002A6C25">
            <w:pPr>
              <w:pStyle w:val="P68B1DB1-Normal4"/>
              <w:jc w:val="center"/>
              <w:rPr>
                <w:noProof/>
              </w:rPr>
            </w:pPr>
            <w:r>
              <w:rPr>
                <w:noProof/>
              </w:rPr>
              <w:t>M2C2–11</w:t>
            </w:r>
          </w:p>
        </w:tc>
        <w:tc>
          <w:tcPr>
            <w:tcW w:w="1643" w:type="dxa"/>
            <w:shd w:val="clear" w:color="auto" w:fill="C6EFCE"/>
            <w:noWrap/>
            <w:vAlign w:val="center"/>
          </w:tcPr>
          <w:p w14:paraId="2396CC4B" w14:textId="77777777" w:rsidR="003F5418" w:rsidRDefault="002A6C25">
            <w:pPr>
              <w:pStyle w:val="P68B1DB1-Normal4"/>
              <w:jc w:val="center"/>
              <w:rPr>
                <w:noProof/>
              </w:rPr>
            </w:pPr>
            <w:r>
              <w:rPr>
                <w:noProof/>
              </w:rPr>
              <w:t>Beruházás: Az intelligens hálózatok megerősítése</w:t>
            </w:r>
          </w:p>
        </w:tc>
        <w:tc>
          <w:tcPr>
            <w:tcW w:w="1559" w:type="dxa"/>
            <w:shd w:val="clear" w:color="auto" w:fill="C6EFCE"/>
            <w:noWrap/>
            <w:vAlign w:val="center"/>
          </w:tcPr>
          <w:p w14:paraId="6B281C3B"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7CCFEC1B" w14:textId="77777777" w:rsidR="003F5418" w:rsidRDefault="002A6C25">
            <w:pPr>
              <w:pStyle w:val="P68B1DB1-Normal4"/>
              <w:jc w:val="center"/>
              <w:rPr>
                <w:noProof/>
              </w:rPr>
            </w:pPr>
            <w:r>
              <w:rPr>
                <w:noProof/>
              </w:rPr>
              <w:t>Intelligens hálózatok – az energiafogyasztás villamosítása</w:t>
            </w:r>
          </w:p>
        </w:tc>
        <w:tc>
          <w:tcPr>
            <w:tcW w:w="1843" w:type="dxa"/>
            <w:shd w:val="clear" w:color="auto" w:fill="C6EFCE"/>
            <w:noWrap/>
            <w:vAlign w:val="center"/>
          </w:tcPr>
          <w:p w14:paraId="4FA1BE92"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0B18BD23"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4F1C8FE0" w14:textId="77777777" w:rsidR="003F5418" w:rsidRDefault="002A6C25">
            <w:pPr>
              <w:pStyle w:val="P68B1DB1-Normal4"/>
              <w:jc w:val="center"/>
              <w:rPr>
                <w:noProof/>
              </w:rPr>
            </w:pPr>
            <w:r>
              <w:rPr>
                <w:noProof/>
              </w:rPr>
              <w:t>0</w:t>
            </w:r>
          </w:p>
        </w:tc>
        <w:tc>
          <w:tcPr>
            <w:tcW w:w="946" w:type="dxa"/>
            <w:shd w:val="clear" w:color="auto" w:fill="C6EFCE"/>
            <w:noWrap/>
            <w:vAlign w:val="center"/>
          </w:tcPr>
          <w:p w14:paraId="15C86C01" w14:textId="77777777" w:rsidR="003F5418" w:rsidRDefault="002A6C25">
            <w:pPr>
              <w:pStyle w:val="P68B1DB1-Normal4"/>
              <w:jc w:val="center"/>
              <w:rPr>
                <w:noProof/>
              </w:rPr>
            </w:pPr>
            <w:r>
              <w:rPr>
                <w:noProof/>
              </w:rPr>
              <w:t>1 500 000</w:t>
            </w:r>
          </w:p>
        </w:tc>
        <w:tc>
          <w:tcPr>
            <w:tcW w:w="992" w:type="dxa"/>
            <w:shd w:val="clear" w:color="auto" w:fill="C6EFCE"/>
            <w:noWrap/>
            <w:vAlign w:val="center"/>
          </w:tcPr>
          <w:p w14:paraId="44E41DDB"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7E5A3CF0"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66E0AFFB" w14:textId="723F1C81" w:rsidR="003F5418" w:rsidRDefault="002A6C25">
            <w:pPr>
              <w:pStyle w:val="P68B1DB1-Normal4"/>
              <w:rPr>
                <w:noProof/>
              </w:rPr>
            </w:pPr>
            <w:r>
              <w:rPr>
                <w:noProof/>
              </w:rPr>
              <w:t>A legalább 1500000 lakost elérő energiafogyasztás villamosítása</w:t>
            </w:r>
          </w:p>
        </w:tc>
      </w:tr>
      <w:tr w:rsidR="003F5418" w14:paraId="00C520B6" w14:textId="77777777">
        <w:trPr>
          <w:trHeight w:val="309"/>
          <w:jc w:val="center"/>
        </w:trPr>
        <w:tc>
          <w:tcPr>
            <w:tcW w:w="1613" w:type="dxa"/>
            <w:shd w:val="clear" w:color="auto" w:fill="C6EFCE"/>
            <w:noWrap/>
            <w:vAlign w:val="center"/>
          </w:tcPr>
          <w:p w14:paraId="36EDA8B5" w14:textId="77777777" w:rsidR="003F5418" w:rsidRDefault="002A6C25">
            <w:pPr>
              <w:pStyle w:val="P68B1DB1-Normal4"/>
              <w:jc w:val="center"/>
              <w:rPr>
                <w:noProof/>
              </w:rPr>
            </w:pPr>
            <w:r>
              <w:rPr>
                <w:noProof/>
              </w:rPr>
              <w:t>M2C2–13</w:t>
            </w:r>
          </w:p>
        </w:tc>
        <w:tc>
          <w:tcPr>
            <w:tcW w:w="1643" w:type="dxa"/>
            <w:shd w:val="clear" w:color="auto" w:fill="C6EFCE"/>
            <w:noWrap/>
            <w:vAlign w:val="center"/>
          </w:tcPr>
          <w:p w14:paraId="566E0809" w14:textId="77777777" w:rsidR="003F5418" w:rsidRDefault="002A6C25">
            <w:pPr>
              <w:pStyle w:val="P68B1DB1-Normal4"/>
              <w:jc w:val="center"/>
              <w:rPr>
                <w:noProof/>
              </w:rPr>
            </w:pPr>
            <w:r>
              <w:rPr>
                <w:noProof/>
              </w:rPr>
              <w:t xml:space="preserve">Beruházás: </w:t>
            </w:r>
            <w:r>
              <w:rPr>
                <w:noProof/>
              </w:rPr>
              <w:t>Beavatkozás a villamosenergia-hálózat rezilienciájának növelésére</w:t>
            </w:r>
          </w:p>
        </w:tc>
        <w:tc>
          <w:tcPr>
            <w:tcW w:w="1559" w:type="dxa"/>
            <w:shd w:val="clear" w:color="auto" w:fill="C6EFCE"/>
            <w:noWrap/>
            <w:vAlign w:val="center"/>
          </w:tcPr>
          <w:p w14:paraId="56372AC4"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1D7097D1" w14:textId="77777777" w:rsidR="003F5418" w:rsidRDefault="002A6C25">
            <w:pPr>
              <w:pStyle w:val="P68B1DB1-Normal4"/>
              <w:jc w:val="center"/>
              <w:rPr>
                <w:noProof/>
              </w:rPr>
            </w:pPr>
            <w:r>
              <w:rPr>
                <w:noProof/>
              </w:rPr>
              <w:t>A villamosenergia-rendszer rezilienciájának növelése</w:t>
            </w:r>
          </w:p>
        </w:tc>
        <w:tc>
          <w:tcPr>
            <w:tcW w:w="1843" w:type="dxa"/>
            <w:shd w:val="clear" w:color="auto" w:fill="C6EFCE"/>
            <w:noWrap/>
            <w:vAlign w:val="center"/>
          </w:tcPr>
          <w:p w14:paraId="037CF503"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6BD01D86"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2A0988AE" w14:textId="77777777" w:rsidR="003F5418" w:rsidRDefault="002A6C25">
            <w:pPr>
              <w:pStyle w:val="P68B1DB1-Normal4"/>
              <w:jc w:val="center"/>
              <w:rPr>
                <w:noProof/>
              </w:rPr>
            </w:pPr>
            <w:r>
              <w:rPr>
                <w:noProof/>
              </w:rPr>
              <w:t>0</w:t>
            </w:r>
          </w:p>
        </w:tc>
        <w:tc>
          <w:tcPr>
            <w:tcW w:w="946" w:type="dxa"/>
            <w:shd w:val="clear" w:color="auto" w:fill="C6EFCE"/>
            <w:noWrap/>
            <w:vAlign w:val="center"/>
          </w:tcPr>
          <w:p w14:paraId="4ACD3D5F" w14:textId="77777777" w:rsidR="003F5418" w:rsidRDefault="002A6C25">
            <w:pPr>
              <w:pStyle w:val="P68B1DB1-Normal4"/>
              <w:jc w:val="center"/>
              <w:rPr>
                <w:noProof/>
              </w:rPr>
            </w:pPr>
            <w:r>
              <w:rPr>
                <w:noProof/>
              </w:rPr>
              <w:t>4 000</w:t>
            </w:r>
          </w:p>
        </w:tc>
        <w:tc>
          <w:tcPr>
            <w:tcW w:w="992" w:type="dxa"/>
            <w:shd w:val="clear" w:color="auto" w:fill="C6EFCE"/>
            <w:noWrap/>
            <w:vAlign w:val="center"/>
          </w:tcPr>
          <w:p w14:paraId="3EB84E43"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3F9F37A2"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5A260CC7" w14:textId="7223B53B" w:rsidR="003F5418" w:rsidRDefault="002A6C25">
            <w:pPr>
              <w:pStyle w:val="P68B1DB1-Normal4"/>
              <w:rPr>
                <w:noProof/>
              </w:rPr>
            </w:pPr>
            <w:r>
              <w:rPr>
                <w:noProof/>
              </w:rPr>
              <w:t>A villamosenergia-rendszer legalább 4 000 km-es rezilienciájának</w:t>
            </w:r>
            <w:r>
              <w:rPr>
                <w:noProof/>
              </w:rPr>
              <w:t xml:space="preserve"> növelése a szélsőséges időjárási körülményekből eredő energiacsökkentések gyakoriságának és időtartamának csökkentése érdekében.</w:t>
            </w:r>
          </w:p>
        </w:tc>
      </w:tr>
      <w:tr w:rsidR="003F5418" w14:paraId="3A068E70" w14:textId="77777777">
        <w:trPr>
          <w:trHeight w:val="309"/>
          <w:jc w:val="center"/>
        </w:trPr>
        <w:tc>
          <w:tcPr>
            <w:tcW w:w="1613" w:type="dxa"/>
            <w:shd w:val="clear" w:color="auto" w:fill="C6EFCE"/>
            <w:noWrap/>
            <w:vAlign w:val="center"/>
          </w:tcPr>
          <w:p w14:paraId="2584A79B" w14:textId="77777777" w:rsidR="003F5418" w:rsidRDefault="002A6C25">
            <w:pPr>
              <w:pStyle w:val="P68B1DB1-Normal4"/>
              <w:jc w:val="center"/>
              <w:rPr>
                <w:noProof/>
              </w:rPr>
            </w:pPr>
            <w:r>
              <w:rPr>
                <w:noProof/>
              </w:rPr>
              <w:t>M2C2–15</w:t>
            </w:r>
          </w:p>
        </w:tc>
        <w:tc>
          <w:tcPr>
            <w:tcW w:w="1643" w:type="dxa"/>
            <w:shd w:val="clear" w:color="auto" w:fill="C6EFCE"/>
            <w:noWrap/>
            <w:vAlign w:val="center"/>
          </w:tcPr>
          <w:p w14:paraId="6D1EB5B5" w14:textId="77777777" w:rsidR="003F5418" w:rsidRDefault="002A6C25">
            <w:pPr>
              <w:pStyle w:val="P68B1DB1-Normal4"/>
              <w:jc w:val="center"/>
              <w:rPr>
                <w:noProof/>
              </w:rPr>
            </w:pPr>
            <w:r>
              <w:rPr>
                <w:noProof/>
              </w:rPr>
              <w:t>Beruházás: Hidrogénteszt a közúti közlekedésben</w:t>
            </w:r>
          </w:p>
        </w:tc>
        <w:tc>
          <w:tcPr>
            <w:tcW w:w="1559" w:type="dxa"/>
            <w:shd w:val="clear" w:color="auto" w:fill="C6EFCE"/>
            <w:noWrap/>
            <w:vAlign w:val="center"/>
          </w:tcPr>
          <w:p w14:paraId="4E2DC246"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4C82CDAC" w14:textId="77777777" w:rsidR="003F5418" w:rsidRDefault="002A6C25">
            <w:pPr>
              <w:pStyle w:val="P68B1DB1-Normal4"/>
              <w:jc w:val="center"/>
              <w:rPr>
                <w:noProof/>
              </w:rPr>
            </w:pPr>
            <w:r>
              <w:rPr>
                <w:noProof/>
              </w:rPr>
              <w:t>Hidrogénalapú töltőállomások fejlesztése</w:t>
            </w:r>
          </w:p>
        </w:tc>
        <w:tc>
          <w:tcPr>
            <w:tcW w:w="1843" w:type="dxa"/>
            <w:shd w:val="clear" w:color="auto" w:fill="C6EFCE"/>
            <w:noWrap/>
            <w:vAlign w:val="center"/>
          </w:tcPr>
          <w:p w14:paraId="51191BF2"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4B51F24C"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21C93038" w14:textId="77777777" w:rsidR="003F5418" w:rsidRDefault="002A6C25">
            <w:pPr>
              <w:pStyle w:val="P68B1DB1-Normal4"/>
              <w:jc w:val="center"/>
              <w:rPr>
                <w:noProof/>
              </w:rPr>
            </w:pPr>
            <w:r>
              <w:rPr>
                <w:noProof/>
              </w:rPr>
              <w:t>0</w:t>
            </w:r>
          </w:p>
        </w:tc>
        <w:tc>
          <w:tcPr>
            <w:tcW w:w="946" w:type="dxa"/>
            <w:shd w:val="clear" w:color="auto" w:fill="C6EFCE"/>
            <w:noWrap/>
            <w:vAlign w:val="center"/>
          </w:tcPr>
          <w:p w14:paraId="3E4B8952" w14:textId="77777777" w:rsidR="003F5418" w:rsidRDefault="002A6C25">
            <w:pPr>
              <w:pStyle w:val="P68B1DB1-Normal4"/>
              <w:jc w:val="center"/>
              <w:rPr>
                <w:noProof/>
              </w:rPr>
            </w:pPr>
            <w:r>
              <w:rPr>
                <w:noProof/>
              </w:rPr>
              <w:t>40</w:t>
            </w:r>
          </w:p>
        </w:tc>
        <w:tc>
          <w:tcPr>
            <w:tcW w:w="992" w:type="dxa"/>
            <w:shd w:val="clear" w:color="auto" w:fill="C6EFCE"/>
            <w:noWrap/>
            <w:vAlign w:val="center"/>
          </w:tcPr>
          <w:p w14:paraId="72DFD25F"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0F968093"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1BCF36D6" w14:textId="77777777" w:rsidR="003F5418" w:rsidRDefault="002A6C25">
            <w:pPr>
              <w:pStyle w:val="P68B1DB1-Normal4"/>
              <w:spacing w:after="120"/>
              <w:rPr>
                <w:noProof/>
              </w:rPr>
            </w:pPr>
            <w:r>
              <w:rPr>
                <w:noProof/>
              </w:rPr>
              <w:t>Legalább 40 hidrogéntöltő állomás kifejlesztése könnyű- és nehézgépjárművek számára a 2014/94/EU irányelvvel összhangban</w:t>
            </w:r>
          </w:p>
          <w:p w14:paraId="77776264" w14:textId="77777777" w:rsidR="003F5418" w:rsidRDefault="003F5418">
            <w:pPr>
              <w:rPr>
                <w:rFonts w:ascii="Arial Narrow" w:hAnsi="Arial Narrow"/>
                <w:noProof/>
                <w:sz w:val="20"/>
              </w:rPr>
            </w:pPr>
          </w:p>
        </w:tc>
      </w:tr>
      <w:tr w:rsidR="003F5418" w14:paraId="0288D10F" w14:textId="77777777">
        <w:trPr>
          <w:trHeight w:val="309"/>
          <w:jc w:val="center"/>
        </w:trPr>
        <w:tc>
          <w:tcPr>
            <w:tcW w:w="1613" w:type="dxa"/>
            <w:shd w:val="clear" w:color="auto" w:fill="C6EFCE"/>
            <w:noWrap/>
            <w:vAlign w:val="center"/>
          </w:tcPr>
          <w:p w14:paraId="28933F1F" w14:textId="77777777" w:rsidR="003F5418" w:rsidRDefault="002A6C25">
            <w:pPr>
              <w:pStyle w:val="P68B1DB1-Normal4"/>
              <w:jc w:val="center"/>
              <w:rPr>
                <w:noProof/>
              </w:rPr>
            </w:pPr>
            <w:r>
              <w:rPr>
                <w:noProof/>
              </w:rPr>
              <w:t>M2C2–17</w:t>
            </w:r>
          </w:p>
        </w:tc>
        <w:tc>
          <w:tcPr>
            <w:tcW w:w="1643" w:type="dxa"/>
            <w:shd w:val="clear" w:color="auto" w:fill="C6EFCE"/>
            <w:noWrap/>
            <w:vAlign w:val="center"/>
          </w:tcPr>
          <w:p w14:paraId="33E95956" w14:textId="77777777" w:rsidR="003F5418" w:rsidRDefault="002A6C25">
            <w:pPr>
              <w:pStyle w:val="P68B1DB1-Normal4"/>
              <w:jc w:val="center"/>
              <w:rPr>
                <w:noProof/>
              </w:rPr>
            </w:pPr>
            <w:r>
              <w:rPr>
                <w:noProof/>
              </w:rPr>
              <w:t>Beruházás – A hidrogénhajtású vasúti mobilitás tesztelése</w:t>
            </w:r>
          </w:p>
        </w:tc>
        <w:tc>
          <w:tcPr>
            <w:tcW w:w="1559" w:type="dxa"/>
            <w:shd w:val="clear" w:color="auto" w:fill="C6EFCE"/>
            <w:noWrap/>
            <w:vAlign w:val="center"/>
          </w:tcPr>
          <w:p w14:paraId="1A150040"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32B76015" w14:textId="77777777" w:rsidR="003F5418" w:rsidRDefault="002A6C25">
            <w:pPr>
              <w:pStyle w:val="P68B1DB1-Normal4"/>
              <w:jc w:val="center"/>
              <w:rPr>
                <w:noProof/>
              </w:rPr>
            </w:pPr>
            <w:r>
              <w:rPr>
                <w:noProof/>
              </w:rPr>
              <w:t>Hidrogéntöltő állomások száma</w:t>
            </w:r>
          </w:p>
        </w:tc>
        <w:tc>
          <w:tcPr>
            <w:tcW w:w="1843" w:type="dxa"/>
            <w:shd w:val="clear" w:color="auto" w:fill="C6EFCE"/>
            <w:noWrap/>
            <w:vAlign w:val="center"/>
          </w:tcPr>
          <w:p w14:paraId="3FEDCE62"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21136DC1"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01664B07" w14:textId="77777777" w:rsidR="003F5418" w:rsidRDefault="002A6C25">
            <w:pPr>
              <w:pStyle w:val="P68B1DB1-Normal4"/>
              <w:jc w:val="center"/>
              <w:rPr>
                <w:noProof/>
              </w:rPr>
            </w:pPr>
            <w:r>
              <w:rPr>
                <w:noProof/>
              </w:rPr>
              <w:t>0</w:t>
            </w:r>
          </w:p>
        </w:tc>
        <w:tc>
          <w:tcPr>
            <w:tcW w:w="946" w:type="dxa"/>
            <w:shd w:val="clear" w:color="auto" w:fill="C6EFCE"/>
            <w:noWrap/>
            <w:vAlign w:val="center"/>
          </w:tcPr>
          <w:p w14:paraId="4C58EAB6" w14:textId="77777777" w:rsidR="003F5418" w:rsidRDefault="002A6C25">
            <w:pPr>
              <w:pStyle w:val="P68B1DB1-Normal4"/>
              <w:jc w:val="center"/>
              <w:rPr>
                <w:noProof/>
              </w:rPr>
            </w:pPr>
            <w:r>
              <w:rPr>
                <w:noProof/>
              </w:rPr>
              <w:t>10</w:t>
            </w:r>
          </w:p>
        </w:tc>
        <w:tc>
          <w:tcPr>
            <w:tcW w:w="992" w:type="dxa"/>
            <w:shd w:val="clear" w:color="auto" w:fill="C6EFCE"/>
            <w:noWrap/>
            <w:vAlign w:val="center"/>
          </w:tcPr>
          <w:p w14:paraId="0A31378A"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1D2C6BE5"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4C3403F6" w14:textId="77777777" w:rsidR="003F5418" w:rsidRDefault="002A6C25">
            <w:pPr>
              <w:pStyle w:val="P68B1DB1-Normal4"/>
              <w:spacing w:after="120"/>
              <w:rPr>
                <w:noProof/>
              </w:rPr>
            </w:pPr>
            <w:r>
              <w:rPr>
                <w:noProof/>
              </w:rPr>
              <w:t xml:space="preserve">Tíz </w:t>
            </w:r>
            <w:r>
              <w:rPr>
                <w:noProof/>
              </w:rPr>
              <w:t>hidrogénalapú vasúti töltőállomás építése hat vasútvonal mentén, amelyeket a Fenntartható Mobilitásügyi Minisztérium (MIMS) és az ökológiai átállásért felelős minisztérium (MITE) által meghatározott nyilvános eljárások keretében kell meghatározni.</w:t>
            </w:r>
          </w:p>
        </w:tc>
      </w:tr>
      <w:tr w:rsidR="003F5418" w14:paraId="18BA4DC1" w14:textId="77777777">
        <w:trPr>
          <w:trHeight w:val="309"/>
          <w:jc w:val="center"/>
        </w:trPr>
        <w:tc>
          <w:tcPr>
            <w:tcW w:w="1613" w:type="dxa"/>
            <w:shd w:val="clear" w:color="auto" w:fill="C6EFCE"/>
            <w:noWrap/>
            <w:vAlign w:val="center"/>
          </w:tcPr>
          <w:p w14:paraId="55C8D403" w14:textId="77777777" w:rsidR="003F5418" w:rsidRDefault="002A6C25">
            <w:pPr>
              <w:pStyle w:val="P68B1DB1-Normal4"/>
              <w:jc w:val="center"/>
              <w:rPr>
                <w:noProof/>
              </w:rPr>
            </w:pPr>
            <w:r>
              <w:rPr>
                <w:noProof/>
              </w:rPr>
              <w:t>M2C2–19</w:t>
            </w:r>
          </w:p>
        </w:tc>
        <w:tc>
          <w:tcPr>
            <w:tcW w:w="1643" w:type="dxa"/>
            <w:shd w:val="clear" w:color="auto" w:fill="C6EFCE"/>
            <w:noWrap/>
            <w:vAlign w:val="center"/>
          </w:tcPr>
          <w:p w14:paraId="147A4D56" w14:textId="77777777" w:rsidR="003F5418" w:rsidRDefault="002A6C25">
            <w:pPr>
              <w:pStyle w:val="P68B1DB1-Normal4"/>
              <w:jc w:val="center"/>
              <w:rPr>
                <w:noProof/>
              </w:rPr>
            </w:pPr>
            <w:r>
              <w:rPr>
                <w:noProof/>
              </w:rPr>
              <w:t>Beruházás Hidrogénkutatás és -fejlesztés</w:t>
            </w:r>
          </w:p>
        </w:tc>
        <w:tc>
          <w:tcPr>
            <w:tcW w:w="1559" w:type="dxa"/>
            <w:shd w:val="clear" w:color="auto" w:fill="C6EFCE"/>
            <w:noWrap/>
            <w:vAlign w:val="center"/>
          </w:tcPr>
          <w:p w14:paraId="32F5A958"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156E6B4A" w14:textId="77777777" w:rsidR="003F5418" w:rsidRDefault="002A6C25">
            <w:pPr>
              <w:pStyle w:val="P68B1DB1-Normal4"/>
              <w:jc w:val="center"/>
              <w:rPr>
                <w:noProof/>
              </w:rPr>
            </w:pPr>
            <w:r>
              <w:rPr>
                <w:noProof/>
              </w:rPr>
              <w:t>Hidrogénnel kapcsolatos kutatási és fejlesztési projektek száma</w:t>
            </w:r>
          </w:p>
        </w:tc>
        <w:tc>
          <w:tcPr>
            <w:tcW w:w="1843" w:type="dxa"/>
            <w:shd w:val="clear" w:color="auto" w:fill="C6EFCE"/>
            <w:noWrap/>
            <w:vAlign w:val="center"/>
          </w:tcPr>
          <w:p w14:paraId="4816B2F3"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29DBEF8B"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7581641C" w14:textId="77777777" w:rsidR="003F5418" w:rsidRDefault="002A6C25">
            <w:pPr>
              <w:pStyle w:val="P68B1DB1-Normal4"/>
              <w:jc w:val="center"/>
              <w:rPr>
                <w:noProof/>
              </w:rPr>
            </w:pPr>
            <w:r>
              <w:rPr>
                <w:noProof/>
              </w:rPr>
              <w:t>0</w:t>
            </w:r>
          </w:p>
        </w:tc>
        <w:tc>
          <w:tcPr>
            <w:tcW w:w="946" w:type="dxa"/>
            <w:shd w:val="clear" w:color="auto" w:fill="C6EFCE"/>
            <w:noWrap/>
            <w:vAlign w:val="center"/>
          </w:tcPr>
          <w:p w14:paraId="7FEA8459" w14:textId="77777777" w:rsidR="003F5418" w:rsidRDefault="002A6C25">
            <w:pPr>
              <w:pStyle w:val="P68B1DB1-Normal4"/>
              <w:jc w:val="center"/>
              <w:rPr>
                <w:noProof/>
              </w:rPr>
            </w:pPr>
            <w:r>
              <w:rPr>
                <w:noProof/>
              </w:rPr>
              <w:t>10</w:t>
            </w:r>
          </w:p>
        </w:tc>
        <w:tc>
          <w:tcPr>
            <w:tcW w:w="992" w:type="dxa"/>
            <w:shd w:val="clear" w:color="auto" w:fill="C6EFCE"/>
            <w:noWrap/>
            <w:vAlign w:val="center"/>
          </w:tcPr>
          <w:p w14:paraId="62E44609"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6A5FC346"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76D345DE" w14:textId="77777777" w:rsidR="003F5418" w:rsidRDefault="002A6C25">
            <w:pPr>
              <w:pStyle w:val="P68B1DB1-Normal4"/>
              <w:spacing w:after="120"/>
              <w:rPr>
                <w:noProof/>
              </w:rPr>
            </w:pPr>
            <w:r>
              <w:rPr>
                <w:noProof/>
              </w:rPr>
              <w:t>Legalább 10 végrehajtott K+F projekt (az alábbiakban szereplő K+F dimenziónként</w:t>
            </w:r>
            <w:r>
              <w:rPr>
                <w:noProof/>
              </w:rPr>
              <w:t xml:space="preserve"> egy-egy), és vizsgálati tanúsítványt vagy publikációt kapott</w:t>
            </w:r>
          </w:p>
          <w:p w14:paraId="222C5601" w14:textId="77777777" w:rsidR="003F5418" w:rsidRDefault="002A6C25">
            <w:pPr>
              <w:pStyle w:val="P68B1DB1-Normal4"/>
              <w:spacing w:after="120"/>
              <w:rPr>
                <w:noProof/>
              </w:rPr>
            </w:pPr>
            <w:r>
              <w:rPr>
                <w:noProof/>
              </w:rPr>
              <w:t>A K+F tevékenységek négy vonalát kell kidolgozni a következők tekintetében:</w:t>
            </w:r>
          </w:p>
          <w:p w14:paraId="19EC1DB0" w14:textId="77777777" w:rsidR="003F5418" w:rsidRDefault="002A6C25">
            <w:pPr>
              <w:pStyle w:val="P68B1DB1-Normal4"/>
              <w:spacing w:after="120"/>
              <w:rPr>
                <w:noProof/>
              </w:rPr>
            </w:pPr>
            <w:r>
              <w:rPr>
                <w:noProof/>
              </w:rPr>
              <w:t>zöld és tiszta hidrogén előállítása</w:t>
            </w:r>
          </w:p>
          <w:p w14:paraId="123B9AB1" w14:textId="77777777" w:rsidR="003F5418" w:rsidRDefault="002A6C25">
            <w:pPr>
              <w:pStyle w:val="P68B1DB1-Normal4"/>
              <w:spacing w:after="120"/>
              <w:rPr>
                <w:noProof/>
              </w:rPr>
            </w:pPr>
            <w:r>
              <w:rPr>
                <w:noProof/>
              </w:rPr>
              <w:t>a hidrogén tárolására, szállítására és származékaivá és e-üzemanyagokká való átala</w:t>
            </w:r>
            <w:r>
              <w:rPr>
                <w:noProof/>
              </w:rPr>
              <w:t>kítására szolgáló innovatív technológiák</w:t>
            </w:r>
          </w:p>
          <w:p w14:paraId="13AA4328" w14:textId="5EEC835B" w:rsidR="003F5418" w:rsidRDefault="002A6C25">
            <w:pPr>
              <w:pStyle w:val="P68B1DB1-Normal4"/>
              <w:spacing w:after="120"/>
              <w:rPr>
                <w:noProof/>
              </w:rPr>
            </w:pPr>
            <w:r>
              <w:rPr>
                <w:noProof/>
              </w:rPr>
              <w:t>C) Üzemanyagcellák helyhez kötött és mobilitási alkalmazásokhoz</w:t>
            </w:r>
          </w:p>
          <w:p w14:paraId="05DF1A9E" w14:textId="32781BB1" w:rsidR="003F5418" w:rsidRDefault="002A6C25">
            <w:pPr>
              <w:pStyle w:val="P68B1DB1-Normal4"/>
              <w:spacing w:after="120"/>
              <w:rPr>
                <w:noProof/>
              </w:rPr>
            </w:pPr>
            <w:r>
              <w:rPr>
                <w:noProof/>
              </w:rPr>
              <w:t>integrált intelligens irányítási rendszerek az intelligens hidrogénalapú infrastruktúrák ellenálló képességének és megbízhatóságának növelése érdekében</w:t>
            </w:r>
          </w:p>
          <w:p w14:paraId="5B0CE501" w14:textId="29DB9E3C" w:rsidR="003F5418" w:rsidRDefault="002A6C25">
            <w:pPr>
              <w:pStyle w:val="P68B1DB1-Normal4"/>
              <w:rPr>
                <w:noProof/>
              </w:rPr>
            </w:pPr>
            <w:r>
              <w:rPr>
                <w:noProof/>
              </w:rPr>
              <w:t>Ez az intézkedés támogatja az (EU) 2018/2001 irányelvben (megújulóenergia-irányelv) meghatározott megújuló energiaforrásokat vagy hálózati villamos energiát felhasználó elektrolízisen alapuló hidrogéntermelést, vagy az olyan hidrogéntevékenységeket, amely</w:t>
            </w:r>
            <w:r>
              <w:rPr>
                <w:noProof/>
              </w:rPr>
              <w:t>ek megfelelnek a hidrogén esetében 73,4%-os teljes életciklus-alapú ÜHG-megtakarítási követelménynek, ami az (EU) 2018/2001 irányelv 25. cikkének (2) bekezdésében és V. mellékletében meghatározott megközelítés analógiájára a hidrogénalapú szintetikus üzema</w:t>
            </w:r>
            <w:r>
              <w:rPr>
                <w:noProof/>
              </w:rPr>
              <w:t>nyagok esetében pedig 70%-os ÜHG-kibocsátást eredményez a 94 g CO2e/MJ fosszilisüzemanyag-komparátorhoz képest.</w:t>
            </w:r>
          </w:p>
        </w:tc>
      </w:tr>
      <w:tr w:rsidR="003F5418" w14:paraId="1FDB60FC" w14:textId="77777777">
        <w:trPr>
          <w:trHeight w:val="309"/>
          <w:jc w:val="center"/>
        </w:trPr>
        <w:tc>
          <w:tcPr>
            <w:tcW w:w="1613" w:type="dxa"/>
            <w:shd w:val="clear" w:color="auto" w:fill="C6EFCE"/>
            <w:noWrap/>
            <w:vAlign w:val="center"/>
          </w:tcPr>
          <w:p w14:paraId="3E45984A" w14:textId="77777777" w:rsidR="003F5418" w:rsidRDefault="002A6C25">
            <w:pPr>
              <w:pStyle w:val="P68B1DB1-Normal4"/>
              <w:jc w:val="center"/>
              <w:rPr>
                <w:noProof/>
              </w:rPr>
            </w:pPr>
            <w:r>
              <w:rPr>
                <w:noProof/>
              </w:rPr>
              <w:t>M2C2–24</w:t>
            </w:r>
          </w:p>
        </w:tc>
        <w:tc>
          <w:tcPr>
            <w:tcW w:w="1643" w:type="dxa"/>
            <w:shd w:val="clear" w:color="auto" w:fill="C6EFCE"/>
            <w:noWrap/>
            <w:vAlign w:val="center"/>
          </w:tcPr>
          <w:p w14:paraId="0EF02B0C" w14:textId="3BC73C45" w:rsidR="003F5418" w:rsidRDefault="002A6C25">
            <w:pPr>
              <w:pStyle w:val="P68B1DB1-Normal4"/>
              <w:jc w:val="center"/>
              <w:rPr>
                <w:noProof/>
              </w:rPr>
            </w:pPr>
            <w:r>
              <w:rPr>
                <w:noProof/>
              </w:rPr>
              <w:t xml:space="preserve">Beruházás: Gyors tömegszállítási rendszerek fejlesztése </w:t>
            </w:r>
          </w:p>
        </w:tc>
        <w:tc>
          <w:tcPr>
            <w:tcW w:w="1559" w:type="dxa"/>
            <w:shd w:val="clear" w:color="auto" w:fill="C6EFCE"/>
            <w:noWrap/>
            <w:vAlign w:val="center"/>
          </w:tcPr>
          <w:p w14:paraId="2EB02EDF"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3802EDBD" w14:textId="329C0210" w:rsidR="003F5418" w:rsidRDefault="002A6C25">
            <w:pPr>
              <w:pStyle w:val="P68B1DB1-Normal4"/>
              <w:jc w:val="center"/>
              <w:rPr>
                <w:noProof/>
              </w:rPr>
            </w:pPr>
            <w:r>
              <w:rPr>
                <w:noProof/>
              </w:rPr>
              <w:t>A gyors tömegközlekedési rendszerek</w:t>
            </w:r>
            <w:r>
              <w:rPr>
                <w:noProof/>
                <w:shd w:val="clear" w:color="auto" w:fill="E6E6E6"/>
              </w:rPr>
              <w:t xml:space="preserve"> </w:t>
            </w:r>
            <w:r>
              <w:rPr>
                <w:noProof/>
              </w:rPr>
              <w:t xml:space="preserve">infrastruktúrájának kiépítésére irányuló valamennyi közbeszerzési szerződés odaítélése </w:t>
            </w:r>
          </w:p>
        </w:tc>
        <w:tc>
          <w:tcPr>
            <w:tcW w:w="1843" w:type="dxa"/>
            <w:shd w:val="clear" w:color="auto" w:fill="C6EFCE"/>
            <w:noWrap/>
            <w:vAlign w:val="center"/>
          </w:tcPr>
          <w:p w14:paraId="6367457F" w14:textId="77777777" w:rsidR="003F5418" w:rsidRDefault="002A6C25">
            <w:pPr>
              <w:pStyle w:val="P68B1DB1-Normal4"/>
              <w:jc w:val="center"/>
              <w:rPr>
                <w:noProof/>
              </w:rPr>
            </w:pPr>
            <w:r>
              <w:rPr>
                <w:noProof/>
              </w:rPr>
              <w:t>Értesítés valamennyi közbeszerzési szerződés odaítéléséről</w:t>
            </w:r>
          </w:p>
        </w:tc>
        <w:tc>
          <w:tcPr>
            <w:tcW w:w="1417" w:type="dxa"/>
            <w:shd w:val="clear" w:color="auto" w:fill="C6EFCE"/>
            <w:noWrap/>
            <w:vAlign w:val="center"/>
          </w:tcPr>
          <w:p w14:paraId="0BE2112D"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7AB99E5F"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3DFD971A"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449A8C33"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78014C80" w14:textId="77777777" w:rsidR="003F5418" w:rsidRDefault="002A6C25">
            <w:pPr>
              <w:pStyle w:val="P68B1DB1-Normal4"/>
              <w:jc w:val="center"/>
              <w:rPr>
                <w:noProof/>
              </w:rPr>
            </w:pPr>
            <w:r>
              <w:rPr>
                <w:noProof/>
              </w:rPr>
              <w:t>2023</w:t>
            </w:r>
          </w:p>
        </w:tc>
        <w:tc>
          <w:tcPr>
            <w:tcW w:w="2793" w:type="dxa"/>
            <w:shd w:val="clear" w:color="auto" w:fill="C6EFCE"/>
            <w:noWrap/>
            <w:vAlign w:val="center"/>
          </w:tcPr>
          <w:p w14:paraId="64E0D1BE" w14:textId="77777777" w:rsidR="003F5418" w:rsidRDefault="002A6C25">
            <w:pPr>
              <w:pStyle w:val="P68B1DB1-Normal4"/>
              <w:rPr>
                <w:noProof/>
              </w:rPr>
            </w:pPr>
            <w:r>
              <w:rPr>
                <w:noProof/>
              </w:rPr>
              <w:t xml:space="preserve">Értesítés az intézkedés leírásában meghatározott infrastrukturális projektek </w:t>
            </w:r>
            <w:r>
              <w:rPr>
                <w:noProof/>
              </w:rPr>
              <w:t>kiépítésével kapcsolatos valamennyi közbeszerzési szerződés odaítéléséről.</w:t>
            </w:r>
          </w:p>
        </w:tc>
      </w:tr>
      <w:tr w:rsidR="003F5418" w14:paraId="71A9A146" w14:textId="77777777">
        <w:trPr>
          <w:trHeight w:val="309"/>
          <w:jc w:val="center"/>
        </w:trPr>
        <w:tc>
          <w:tcPr>
            <w:tcW w:w="1613" w:type="dxa"/>
            <w:shd w:val="clear" w:color="auto" w:fill="C6EFCE"/>
            <w:noWrap/>
            <w:vAlign w:val="center"/>
          </w:tcPr>
          <w:p w14:paraId="3E2459CC" w14:textId="77777777" w:rsidR="003F5418" w:rsidRDefault="002A6C25">
            <w:pPr>
              <w:pStyle w:val="P68B1DB1-Normal4"/>
              <w:jc w:val="center"/>
              <w:rPr>
                <w:noProof/>
              </w:rPr>
            </w:pPr>
            <w:r>
              <w:rPr>
                <w:noProof/>
              </w:rPr>
              <w:t>M2C2–25</w:t>
            </w:r>
          </w:p>
        </w:tc>
        <w:tc>
          <w:tcPr>
            <w:tcW w:w="1643" w:type="dxa"/>
            <w:shd w:val="clear" w:color="auto" w:fill="C6EFCE"/>
            <w:noWrap/>
            <w:vAlign w:val="center"/>
          </w:tcPr>
          <w:p w14:paraId="1395AE12" w14:textId="553EDC70" w:rsidR="003F5418" w:rsidRDefault="002A6C25">
            <w:pPr>
              <w:pStyle w:val="P68B1DB1-Normal4"/>
              <w:jc w:val="center"/>
              <w:rPr>
                <w:noProof/>
              </w:rPr>
            </w:pPr>
            <w:r>
              <w:rPr>
                <w:noProof/>
              </w:rPr>
              <w:t>Beruházás: Gyors tömegszállítási rendszerek fejlesztése</w:t>
            </w:r>
          </w:p>
        </w:tc>
        <w:tc>
          <w:tcPr>
            <w:tcW w:w="1559" w:type="dxa"/>
            <w:shd w:val="clear" w:color="auto" w:fill="C6EFCE"/>
            <w:noWrap/>
            <w:vAlign w:val="center"/>
          </w:tcPr>
          <w:p w14:paraId="70439C89"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6CD93638" w14:textId="77777777" w:rsidR="003F5418" w:rsidRDefault="002A6C25">
            <w:pPr>
              <w:pStyle w:val="P68B1DB1-Normal6"/>
              <w:jc w:val="center"/>
              <w:rPr>
                <w:noProof/>
                <w:color w:val="006100"/>
              </w:rPr>
            </w:pPr>
            <w:r>
              <w:rPr>
                <w:noProof/>
              </w:rPr>
              <w:t xml:space="preserve">A </w:t>
            </w:r>
            <w:r>
              <w:rPr>
                <w:noProof/>
                <w:color w:val="006100"/>
              </w:rPr>
              <w:t xml:space="preserve">kibocsátásmentes járművek beszerzésére irányulóvalamennyi közbeszerzési szerződés odaítélése és a gyors </w:t>
            </w:r>
            <w:r>
              <w:rPr>
                <w:noProof/>
                <w:color w:val="006100"/>
              </w:rPr>
              <w:t>tömegközlekedési rendszerek infrastruktúrájának korszerűsítésére irányuló beavatkozások</w:t>
            </w:r>
          </w:p>
        </w:tc>
        <w:tc>
          <w:tcPr>
            <w:tcW w:w="1843" w:type="dxa"/>
            <w:shd w:val="clear" w:color="auto" w:fill="C6EFCE"/>
            <w:noWrap/>
            <w:vAlign w:val="center"/>
          </w:tcPr>
          <w:p w14:paraId="6401E552" w14:textId="77777777" w:rsidR="003F5418" w:rsidRDefault="002A6C25">
            <w:pPr>
              <w:pStyle w:val="P68B1DB1-Normal4"/>
              <w:jc w:val="center"/>
              <w:rPr>
                <w:noProof/>
              </w:rPr>
            </w:pPr>
            <w:r>
              <w:rPr>
                <w:noProof/>
              </w:rPr>
              <w:t xml:space="preserve">Értesítés valamennyi közbeszerzési szerződés odaítéléséről </w:t>
            </w:r>
          </w:p>
        </w:tc>
        <w:tc>
          <w:tcPr>
            <w:tcW w:w="1417" w:type="dxa"/>
            <w:shd w:val="clear" w:color="auto" w:fill="C6EFCE"/>
            <w:noWrap/>
            <w:vAlign w:val="center"/>
          </w:tcPr>
          <w:p w14:paraId="37C7790B"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7A7B774E"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6D9CE325"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36C2ED5D" w14:textId="77777777" w:rsidR="003F5418" w:rsidRDefault="002A6C25">
            <w:pPr>
              <w:pStyle w:val="P68B1DB1-Normal4"/>
              <w:jc w:val="center"/>
              <w:rPr>
                <w:noProof/>
              </w:rPr>
            </w:pPr>
            <w:r>
              <w:rPr>
                <w:noProof/>
              </w:rPr>
              <w:t>Q3</w:t>
            </w:r>
          </w:p>
        </w:tc>
        <w:tc>
          <w:tcPr>
            <w:tcW w:w="756" w:type="dxa"/>
            <w:shd w:val="clear" w:color="auto" w:fill="C6EFCE"/>
            <w:noWrap/>
            <w:vAlign w:val="center"/>
          </w:tcPr>
          <w:p w14:paraId="6F18EA6A"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29E5D859" w14:textId="77777777" w:rsidR="003F5418" w:rsidRDefault="002A6C25">
            <w:pPr>
              <w:pStyle w:val="P68B1DB1-Normal6"/>
              <w:rPr>
                <w:noProof/>
              </w:rPr>
            </w:pPr>
            <w:r>
              <w:rPr>
                <w:noProof/>
                <w:color w:val="006100"/>
              </w:rPr>
              <w:t>Értesítés minden olyan közbeszerzési szerződés odaítéléséről, amely legalább 85 da</w:t>
            </w:r>
            <w:r>
              <w:rPr>
                <w:noProof/>
                <w:color w:val="006100"/>
              </w:rPr>
              <w:t>rab vasúti jármű beszerzésére és legalább 5 beavatkozásra irányul az intézkedés leírásában meghatározottak szerint a gyors személyszállítási rendszerek infrastruktúrájának korszerűsítésére.</w:t>
            </w:r>
          </w:p>
        </w:tc>
      </w:tr>
      <w:tr w:rsidR="003F5418" w14:paraId="609F078A" w14:textId="77777777">
        <w:trPr>
          <w:trHeight w:val="309"/>
          <w:jc w:val="center"/>
        </w:trPr>
        <w:tc>
          <w:tcPr>
            <w:tcW w:w="1613" w:type="dxa"/>
            <w:shd w:val="clear" w:color="auto" w:fill="C6EFCE"/>
            <w:noWrap/>
            <w:vAlign w:val="center"/>
          </w:tcPr>
          <w:p w14:paraId="139CFD8F" w14:textId="77777777" w:rsidR="003F5418" w:rsidRDefault="002A6C25">
            <w:pPr>
              <w:pStyle w:val="P68B1DB1-Normal4"/>
              <w:jc w:val="center"/>
              <w:rPr>
                <w:noProof/>
              </w:rPr>
            </w:pPr>
            <w:r>
              <w:rPr>
                <w:noProof/>
              </w:rPr>
              <w:t>M2C2–25a</w:t>
            </w:r>
          </w:p>
        </w:tc>
        <w:tc>
          <w:tcPr>
            <w:tcW w:w="1643" w:type="dxa"/>
            <w:shd w:val="clear" w:color="auto" w:fill="C6EFCE"/>
            <w:noWrap/>
            <w:vAlign w:val="center"/>
          </w:tcPr>
          <w:p w14:paraId="08B805A2" w14:textId="08A4CD3C" w:rsidR="003F5418" w:rsidRDefault="002A6C25">
            <w:pPr>
              <w:pStyle w:val="P68B1DB1-Normal4"/>
              <w:jc w:val="center"/>
              <w:rPr>
                <w:noProof/>
              </w:rPr>
            </w:pPr>
            <w:r>
              <w:rPr>
                <w:noProof/>
              </w:rPr>
              <w:t>Beruházás: Gyors tömegszállítási rendszerek fejlesztése</w:t>
            </w:r>
          </w:p>
        </w:tc>
        <w:tc>
          <w:tcPr>
            <w:tcW w:w="1559" w:type="dxa"/>
            <w:shd w:val="clear" w:color="auto" w:fill="C6EFCE"/>
            <w:noWrap/>
            <w:vAlign w:val="center"/>
          </w:tcPr>
          <w:p w14:paraId="16BCD18D"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64BFBC74" w14:textId="77777777" w:rsidR="003F5418" w:rsidRDefault="002A6C25">
            <w:pPr>
              <w:pStyle w:val="P68B1DB1-Normal4"/>
              <w:jc w:val="center"/>
              <w:rPr>
                <w:noProof/>
              </w:rPr>
            </w:pPr>
            <w:r>
              <w:rPr>
                <w:noProof/>
              </w:rPr>
              <w:t>Legalább 5 beavatkozás a gyors tömegközlekedési rendszerek infrastruktúrájának korszerűsítésére</w:t>
            </w:r>
          </w:p>
        </w:tc>
        <w:tc>
          <w:tcPr>
            <w:tcW w:w="1843" w:type="dxa"/>
            <w:shd w:val="clear" w:color="auto" w:fill="C6EFCE"/>
            <w:noWrap/>
            <w:vAlign w:val="center"/>
          </w:tcPr>
          <w:p w14:paraId="2AAD8AC1" w14:textId="77777777" w:rsidR="003F5418" w:rsidRDefault="003F5418">
            <w:pPr>
              <w:jc w:val="center"/>
              <w:rPr>
                <w:rFonts w:ascii="Arial Narrow" w:hAnsi="Arial Narrow"/>
                <w:noProof/>
                <w:color w:val="006100"/>
                <w:sz w:val="20"/>
              </w:rPr>
            </w:pPr>
          </w:p>
        </w:tc>
        <w:tc>
          <w:tcPr>
            <w:tcW w:w="1417" w:type="dxa"/>
            <w:shd w:val="clear" w:color="auto" w:fill="C6EFCE"/>
            <w:noWrap/>
            <w:vAlign w:val="center"/>
          </w:tcPr>
          <w:p w14:paraId="5EB0D512"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40EAEDE7" w14:textId="77777777" w:rsidR="003F5418" w:rsidRDefault="002A6C25">
            <w:pPr>
              <w:pStyle w:val="P68B1DB1-Normal4"/>
              <w:jc w:val="center"/>
              <w:rPr>
                <w:noProof/>
              </w:rPr>
            </w:pPr>
            <w:r>
              <w:rPr>
                <w:noProof/>
              </w:rPr>
              <w:t>0</w:t>
            </w:r>
          </w:p>
        </w:tc>
        <w:tc>
          <w:tcPr>
            <w:tcW w:w="946" w:type="dxa"/>
            <w:shd w:val="clear" w:color="auto" w:fill="C6EFCE"/>
            <w:noWrap/>
            <w:vAlign w:val="center"/>
          </w:tcPr>
          <w:p w14:paraId="0FB59302" w14:textId="77777777" w:rsidR="003F5418" w:rsidRDefault="002A6C25">
            <w:pPr>
              <w:pStyle w:val="P68B1DB1-Normal4"/>
              <w:jc w:val="center"/>
              <w:rPr>
                <w:noProof/>
              </w:rPr>
            </w:pPr>
            <w:r>
              <w:rPr>
                <w:noProof/>
              </w:rPr>
              <w:t>5</w:t>
            </w:r>
          </w:p>
        </w:tc>
        <w:tc>
          <w:tcPr>
            <w:tcW w:w="992" w:type="dxa"/>
            <w:shd w:val="clear" w:color="auto" w:fill="C6EFCE"/>
            <w:noWrap/>
            <w:vAlign w:val="center"/>
          </w:tcPr>
          <w:p w14:paraId="43D57045"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6E40D7E9"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48A80579" w14:textId="77777777" w:rsidR="003F5418" w:rsidRDefault="002A6C25">
            <w:pPr>
              <w:pStyle w:val="P68B1DB1-Normal4"/>
              <w:spacing w:after="120"/>
              <w:rPr>
                <w:noProof/>
              </w:rPr>
            </w:pPr>
            <w:r>
              <w:rPr>
                <w:noProof/>
              </w:rPr>
              <w:t xml:space="preserve">Legalább 5 beavatkozás befejezése a gyors személyszállítási rendszerek infrastruktúrájának korszerűsítésére (az intézkedés leírásában </w:t>
            </w:r>
            <w:r>
              <w:rPr>
                <w:noProof/>
              </w:rPr>
              <w:t>meghatározottak szerint).</w:t>
            </w:r>
          </w:p>
          <w:p w14:paraId="70E6C84C" w14:textId="77777777" w:rsidR="003F5418" w:rsidRDefault="002A6C25">
            <w:pPr>
              <w:pStyle w:val="P68B1DB1-Normal4"/>
              <w:rPr>
                <w:noProof/>
              </w:rPr>
            </w:pPr>
            <w:r>
              <w:rPr>
                <w:noProof/>
              </w:rPr>
              <w:t>A munkálatok befejezését követően a megcélzott infrastruktúrának működőképesnek vagy hozzáférhetőnek kell lennie (az infrastruktúra típusától függően).</w:t>
            </w:r>
          </w:p>
        </w:tc>
      </w:tr>
      <w:tr w:rsidR="003F5418" w14:paraId="21EC6914" w14:textId="77777777">
        <w:trPr>
          <w:trHeight w:val="309"/>
          <w:jc w:val="center"/>
        </w:trPr>
        <w:tc>
          <w:tcPr>
            <w:tcW w:w="1613" w:type="dxa"/>
            <w:shd w:val="clear" w:color="auto" w:fill="C6EFCE"/>
            <w:noWrap/>
            <w:vAlign w:val="center"/>
          </w:tcPr>
          <w:p w14:paraId="4FF123C1" w14:textId="77777777" w:rsidR="003F5418" w:rsidRDefault="002A6C25">
            <w:pPr>
              <w:pStyle w:val="P68B1DB1-Normal4"/>
              <w:jc w:val="center"/>
              <w:rPr>
                <w:noProof/>
              </w:rPr>
            </w:pPr>
            <w:r>
              <w:rPr>
                <w:noProof/>
              </w:rPr>
              <w:t>M2C2–25ter</w:t>
            </w:r>
          </w:p>
        </w:tc>
        <w:tc>
          <w:tcPr>
            <w:tcW w:w="1643" w:type="dxa"/>
            <w:shd w:val="clear" w:color="auto" w:fill="C6EFCE"/>
            <w:noWrap/>
            <w:vAlign w:val="center"/>
          </w:tcPr>
          <w:p w14:paraId="70F58F28" w14:textId="6704E467" w:rsidR="003F5418" w:rsidRDefault="002A6C25">
            <w:pPr>
              <w:pStyle w:val="P68B1DB1-Normal4"/>
              <w:jc w:val="center"/>
              <w:rPr>
                <w:noProof/>
              </w:rPr>
            </w:pPr>
            <w:r>
              <w:rPr>
                <w:noProof/>
              </w:rPr>
              <w:t>Beruházás: Gyors tömegszállítási rendszerek fejlesztése</w:t>
            </w:r>
          </w:p>
        </w:tc>
        <w:tc>
          <w:tcPr>
            <w:tcW w:w="1559" w:type="dxa"/>
            <w:shd w:val="clear" w:color="auto" w:fill="C6EFCE"/>
            <w:noWrap/>
            <w:vAlign w:val="center"/>
          </w:tcPr>
          <w:p w14:paraId="1781EEE4"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6EB64FF5" w14:textId="77777777" w:rsidR="003F5418" w:rsidRDefault="002A6C25">
            <w:pPr>
              <w:pStyle w:val="P68B1DB1-Normal4"/>
              <w:jc w:val="center"/>
              <w:rPr>
                <w:noProof/>
              </w:rPr>
            </w:pPr>
            <w:r>
              <w:rPr>
                <w:noProof/>
              </w:rPr>
              <w:t>Legalább 85 darab vasúti jármű beszerzése tömeggyors szállításhoz</w:t>
            </w:r>
          </w:p>
        </w:tc>
        <w:tc>
          <w:tcPr>
            <w:tcW w:w="1843" w:type="dxa"/>
            <w:shd w:val="clear" w:color="auto" w:fill="C6EFCE"/>
            <w:noWrap/>
            <w:vAlign w:val="center"/>
          </w:tcPr>
          <w:p w14:paraId="63264D82" w14:textId="77777777" w:rsidR="003F5418" w:rsidRDefault="003F5418">
            <w:pPr>
              <w:jc w:val="center"/>
              <w:rPr>
                <w:rFonts w:ascii="Arial Narrow" w:hAnsi="Arial Narrow"/>
                <w:noProof/>
                <w:color w:val="006100"/>
                <w:sz w:val="20"/>
              </w:rPr>
            </w:pPr>
          </w:p>
        </w:tc>
        <w:tc>
          <w:tcPr>
            <w:tcW w:w="1417" w:type="dxa"/>
            <w:shd w:val="clear" w:color="auto" w:fill="C6EFCE"/>
            <w:noWrap/>
            <w:vAlign w:val="center"/>
          </w:tcPr>
          <w:p w14:paraId="4F785675"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5699A55D" w14:textId="77777777" w:rsidR="003F5418" w:rsidRDefault="002A6C25">
            <w:pPr>
              <w:pStyle w:val="P68B1DB1-Normal4"/>
              <w:jc w:val="center"/>
              <w:rPr>
                <w:noProof/>
              </w:rPr>
            </w:pPr>
            <w:r>
              <w:rPr>
                <w:noProof/>
              </w:rPr>
              <w:t>0</w:t>
            </w:r>
          </w:p>
        </w:tc>
        <w:tc>
          <w:tcPr>
            <w:tcW w:w="946" w:type="dxa"/>
            <w:shd w:val="clear" w:color="auto" w:fill="C6EFCE"/>
            <w:noWrap/>
            <w:vAlign w:val="center"/>
          </w:tcPr>
          <w:p w14:paraId="5F69B8F9" w14:textId="77777777" w:rsidR="003F5418" w:rsidRDefault="002A6C25">
            <w:pPr>
              <w:pStyle w:val="P68B1DB1-Normal4"/>
              <w:jc w:val="center"/>
              <w:rPr>
                <w:noProof/>
              </w:rPr>
            </w:pPr>
            <w:r>
              <w:rPr>
                <w:noProof/>
              </w:rPr>
              <w:t>85</w:t>
            </w:r>
          </w:p>
        </w:tc>
        <w:tc>
          <w:tcPr>
            <w:tcW w:w="992" w:type="dxa"/>
            <w:shd w:val="clear" w:color="auto" w:fill="C6EFCE"/>
            <w:noWrap/>
            <w:vAlign w:val="center"/>
          </w:tcPr>
          <w:p w14:paraId="75EA20A4"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31F31AE8"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565BFC57" w14:textId="77777777" w:rsidR="003F5418" w:rsidRDefault="002A6C25">
            <w:pPr>
              <w:pStyle w:val="P68B1DB1-Normal4"/>
              <w:rPr>
                <w:noProof/>
              </w:rPr>
            </w:pPr>
            <w:r>
              <w:rPr>
                <w:noProof/>
              </w:rPr>
              <w:t>Legalább 85 darab kibocsátásmentes jármű beszerzése a nagyvárosi területeken történő gyors tömeges szállításhoz, az intézkedés leírásában meghatározottak szerint.</w:t>
            </w:r>
          </w:p>
        </w:tc>
      </w:tr>
      <w:tr w:rsidR="003F5418" w14:paraId="3272FD87" w14:textId="77777777">
        <w:trPr>
          <w:trHeight w:val="309"/>
          <w:jc w:val="center"/>
        </w:trPr>
        <w:tc>
          <w:tcPr>
            <w:tcW w:w="1613" w:type="dxa"/>
            <w:shd w:val="clear" w:color="auto" w:fill="C6EFCE"/>
            <w:noWrap/>
            <w:vAlign w:val="center"/>
          </w:tcPr>
          <w:p w14:paraId="0587E515" w14:textId="77777777" w:rsidR="003F5418" w:rsidRDefault="002A6C25">
            <w:pPr>
              <w:pStyle w:val="P68B1DB1-Normal4"/>
              <w:jc w:val="center"/>
              <w:rPr>
                <w:noProof/>
              </w:rPr>
            </w:pPr>
            <w:r>
              <w:rPr>
                <w:noProof/>
              </w:rPr>
              <w:t>M2C2–26</w:t>
            </w:r>
          </w:p>
        </w:tc>
        <w:tc>
          <w:tcPr>
            <w:tcW w:w="1643" w:type="dxa"/>
            <w:shd w:val="clear" w:color="auto" w:fill="C6EFCE"/>
            <w:noWrap/>
            <w:vAlign w:val="center"/>
          </w:tcPr>
          <w:p w14:paraId="496C0EAD" w14:textId="358DFD9D" w:rsidR="003F5418" w:rsidRDefault="002A6C25">
            <w:pPr>
              <w:pStyle w:val="P68B1DB1-Normal4"/>
              <w:jc w:val="center"/>
              <w:rPr>
                <w:noProof/>
              </w:rPr>
            </w:pPr>
            <w:r>
              <w:rPr>
                <w:noProof/>
              </w:rPr>
              <w:t>Beruházás: Gyors tömegszállítási rendszerek fejlesztése</w:t>
            </w:r>
          </w:p>
        </w:tc>
        <w:tc>
          <w:tcPr>
            <w:tcW w:w="1559" w:type="dxa"/>
            <w:shd w:val="clear" w:color="auto" w:fill="C6EFCE"/>
            <w:noWrap/>
            <w:vAlign w:val="center"/>
          </w:tcPr>
          <w:p w14:paraId="517BD797"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170AA668" w14:textId="77777777" w:rsidR="003F5418" w:rsidRDefault="002A6C25">
            <w:pPr>
              <w:pStyle w:val="P68B1DB1-Normal4"/>
              <w:jc w:val="center"/>
              <w:rPr>
                <w:noProof/>
              </w:rPr>
            </w:pPr>
            <w:r>
              <w:rPr>
                <w:noProof/>
              </w:rPr>
              <w:t>A tömegközlekedési infrastruktúra kilométerben kifejezett száma</w:t>
            </w:r>
          </w:p>
        </w:tc>
        <w:tc>
          <w:tcPr>
            <w:tcW w:w="1843" w:type="dxa"/>
            <w:shd w:val="clear" w:color="auto" w:fill="C6EFCE"/>
            <w:noWrap/>
            <w:vAlign w:val="center"/>
          </w:tcPr>
          <w:p w14:paraId="0E9EA280"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76CCBD3F" w14:textId="77777777" w:rsidR="003F5418" w:rsidRDefault="002A6C25">
            <w:pPr>
              <w:pStyle w:val="P68B1DB1-Normal4"/>
              <w:jc w:val="center"/>
              <w:rPr>
                <w:noProof/>
              </w:rPr>
            </w:pPr>
            <w:r>
              <w:rPr>
                <w:noProof/>
              </w:rPr>
              <w:t>kilométer</w:t>
            </w:r>
          </w:p>
        </w:tc>
        <w:tc>
          <w:tcPr>
            <w:tcW w:w="1134" w:type="dxa"/>
            <w:shd w:val="clear" w:color="auto" w:fill="C6EFCE"/>
            <w:noWrap/>
            <w:vAlign w:val="center"/>
          </w:tcPr>
          <w:p w14:paraId="2785154C" w14:textId="77777777" w:rsidR="003F5418" w:rsidRDefault="002A6C25">
            <w:pPr>
              <w:pStyle w:val="P68B1DB1-Normal4"/>
              <w:jc w:val="center"/>
              <w:rPr>
                <w:noProof/>
              </w:rPr>
            </w:pPr>
            <w:r>
              <w:rPr>
                <w:noProof/>
              </w:rPr>
              <w:t>0</w:t>
            </w:r>
          </w:p>
        </w:tc>
        <w:tc>
          <w:tcPr>
            <w:tcW w:w="946" w:type="dxa"/>
            <w:shd w:val="clear" w:color="auto" w:fill="C6EFCE"/>
            <w:noWrap/>
            <w:vAlign w:val="center"/>
          </w:tcPr>
          <w:p w14:paraId="378EBE61" w14:textId="77777777" w:rsidR="003F5418" w:rsidRDefault="002A6C25">
            <w:pPr>
              <w:pStyle w:val="P68B1DB1-Normal4"/>
              <w:jc w:val="center"/>
              <w:rPr>
                <w:noProof/>
              </w:rPr>
            </w:pPr>
            <w:r>
              <w:rPr>
                <w:noProof/>
              </w:rPr>
              <w:t>231</w:t>
            </w:r>
          </w:p>
        </w:tc>
        <w:tc>
          <w:tcPr>
            <w:tcW w:w="992" w:type="dxa"/>
            <w:shd w:val="clear" w:color="auto" w:fill="C6EFCE"/>
            <w:noWrap/>
            <w:vAlign w:val="center"/>
          </w:tcPr>
          <w:p w14:paraId="7A2A6ACC"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485012F6"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42F45523" w14:textId="77777777" w:rsidR="003F5418" w:rsidRDefault="002A6C25">
            <w:pPr>
              <w:pStyle w:val="P68B1DB1-Normal4"/>
              <w:rPr>
                <w:noProof/>
              </w:rPr>
            </w:pPr>
            <w:r>
              <w:rPr>
                <w:noProof/>
              </w:rPr>
              <w:t xml:space="preserve">Legalább 231 km-nyi tömegközlekedési infrastruktúra kiépítése funkcionális városi területeken, az intézkedés leírásában meghatározottak szerint. </w:t>
            </w:r>
          </w:p>
        </w:tc>
      </w:tr>
      <w:tr w:rsidR="003F5418" w14:paraId="0EB9E140" w14:textId="77777777">
        <w:trPr>
          <w:trHeight w:val="309"/>
          <w:jc w:val="center"/>
        </w:trPr>
        <w:tc>
          <w:tcPr>
            <w:tcW w:w="1613" w:type="dxa"/>
            <w:shd w:val="clear" w:color="auto" w:fill="C6EFCE"/>
            <w:noWrap/>
            <w:vAlign w:val="center"/>
          </w:tcPr>
          <w:p w14:paraId="0074E768" w14:textId="77777777" w:rsidR="003F5418" w:rsidRDefault="002A6C25">
            <w:pPr>
              <w:pStyle w:val="P68B1DB1-Normal4"/>
              <w:jc w:val="center"/>
              <w:rPr>
                <w:noProof/>
              </w:rPr>
            </w:pPr>
            <w:r>
              <w:rPr>
                <w:noProof/>
              </w:rPr>
              <w:t>M2C2–31</w:t>
            </w:r>
          </w:p>
        </w:tc>
        <w:tc>
          <w:tcPr>
            <w:tcW w:w="1643" w:type="dxa"/>
            <w:shd w:val="clear" w:color="auto" w:fill="C6EFCE"/>
            <w:noWrap/>
            <w:vAlign w:val="center"/>
          </w:tcPr>
          <w:p w14:paraId="1FDE3F93" w14:textId="77777777" w:rsidR="003F5418" w:rsidRDefault="002A6C25">
            <w:pPr>
              <w:pStyle w:val="P68B1DB1-Normal4"/>
              <w:jc w:val="center"/>
              <w:rPr>
                <w:noProof/>
              </w:rPr>
            </w:pPr>
            <w:r>
              <w:rPr>
                <w:noProof/>
              </w:rPr>
              <w:t>Beruházás: A nemzeti tűzoltóság parancsnokságának megújítása</w:t>
            </w:r>
          </w:p>
        </w:tc>
        <w:tc>
          <w:tcPr>
            <w:tcW w:w="1559" w:type="dxa"/>
            <w:shd w:val="clear" w:color="auto" w:fill="C6EFCE"/>
            <w:noWrap/>
            <w:vAlign w:val="center"/>
          </w:tcPr>
          <w:p w14:paraId="2C39A61F"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3AA6CFB0" w14:textId="77777777" w:rsidR="003F5418" w:rsidRDefault="002A6C25">
            <w:pPr>
              <w:pStyle w:val="P68B1DB1-Normal4"/>
              <w:jc w:val="center"/>
              <w:rPr>
                <w:noProof/>
              </w:rPr>
            </w:pPr>
            <w:r>
              <w:rPr>
                <w:noProof/>
              </w:rPr>
              <w:t xml:space="preserve">A nemzeti tűzoltóság </w:t>
            </w:r>
            <w:r>
              <w:rPr>
                <w:noProof/>
              </w:rPr>
              <w:t>parancsnokságának megújítására irányuló valamennyi közbeszerzési szerződés odaítélése</w:t>
            </w:r>
          </w:p>
        </w:tc>
        <w:tc>
          <w:tcPr>
            <w:tcW w:w="1843" w:type="dxa"/>
            <w:shd w:val="clear" w:color="auto" w:fill="C6EFCE"/>
            <w:noWrap/>
            <w:vAlign w:val="center"/>
          </w:tcPr>
          <w:p w14:paraId="2C7A5BA8" w14:textId="77777777" w:rsidR="003F5418" w:rsidRDefault="002A6C25">
            <w:pPr>
              <w:pStyle w:val="P68B1DB1-Normal4"/>
              <w:jc w:val="center"/>
              <w:rPr>
                <w:noProof/>
              </w:rPr>
            </w:pPr>
            <w:r>
              <w:rPr>
                <w:noProof/>
              </w:rPr>
              <w:t>Értesítés a nemzeti tűzoltóság parancsnokságának megújítására irányuló valamennyi szerződés odaítéléséről</w:t>
            </w:r>
          </w:p>
        </w:tc>
        <w:tc>
          <w:tcPr>
            <w:tcW w:w="1417" w:type="dxa"/>
            <w:shd w:val="clear" w:color="auto" w:fill="C6EFCE"/>
            <w:noWrap/>
            <w:vAlign w:val="center"/>
          </w:tcPr>
          <w:p w14:paraId="6D1B0D8D"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41E3CC0A"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5B17722C" w14:textId="77777777" w:rsidR="003F5418" w:rsidRDefault="002A6C25">
            <w:pPr>
              <w:pStyle w:val="P68B1DB1-Normal4"/>
              <w:jc w:val="center"/>
              <w:rPr>
                <w:noProof/>
              </w:rPr>
            </w:pPr>
            <w:r>
              <w:rPr>
                <w:noProof/>
              </w:rPr>
              <w:t>N.A.</w:t>
            </w:r>
          </w:p>
        </w:tc>
        <w:tc>
          <w:tcPr>
            <w:tcW w:w="992" w:type="dxa"/>
            <w:shd w:val="clear" w:color="auto" w:fill="C6EFCE"/>
            <w:noWrap/>
            <w:vAlign w:val="center"/>
          </w:tcPr>
          <w:p w14:paraId="2D83FA52"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3B26EAB0"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5F06460A" w14:textId="77777777" w:rsidR="003F5418" w:rsidRDefault="002A6C25">
            <w:pPr>
              <w:pStyle w:val="P68B1DB1-Normal4"/>
              <w:rPr>
                <w:noProof/>
              </w:rPr>
            </w:pPr>
            <w:r>
              <w:rPr>
                <w:noProof/>
              </w:rPr>
              <w:t xml:space="preserve">Értesítés a nemzeti tűzoltósági </w:t>
            </w:r>
            <w:r>
              <w:rPr>
                <w:noProof/>
              </w:rPr>
              <w:t>járművek beszerzésére irányuló valamennyi közbeszerzési szerződés odaítéléséről.</w:t>
            </w:r>
          </w:p>
        </w:tc>
      </w:tr>
      <w:tr w:rsidR="003F5418" w14:paraId="2CA6E635" w14:textId="77777777">
        <w:trPr>
          <w:trHeight w:val="309"/>
          <w:jc w:val="center"/>
        </w:trPr>
        <w:tc>
          <w:tcPr>
            <w:tcW w:w="1613" w:type="dxa"/>
            <w:shd w:val="clear" w:color="auto" w:fill="C6EFCE"/>
            <w:noWrap/>
            <w:vAlign w:val="center"/>
          </w:tcPr>
          <w:p w14:paraId="0C031225" w14:textId="77777777" w:rsidR="003F5418" w:rsidRDefault="002A6C25">
            <w:pPr>
              <w:pStyle w:val="P68B1DB1-Normal4"/>
              <w:jc w:val="center"/>
              <w:rPr>
                <w:noProof/>
              </w:rPr>
            </w:pPr>
            <w:r>
              <w:rPr>
                <w:noProof/>
              </w:rPr>
              <w:t>M2C2–32</w:t>
            </w:r>
          </w:p>
        </w:tc>
        <w:tc>
          <w:tcPr>
            <w:tcW w:w="1643" w:type="dxa"/>
            <w:shd w:val="clear" w:color="auto" w:fill="C6EFCE"/>
            <w:noWrap/>
            <w:vAlign w:val="center"/>
          </w:tcPr>
          <w:p w14:paraId="6CDBCA43" w14:textId="77777777" w:rsidR="003F5418" w:rsidRDefault="002A6C25">
            <w:pPr>
              <w:pStyle w:val="P68B1DB1-Normal4"/>
              <w:jc w:val="center"/>
              <w:rPr>
                <w:noProof/>
              </w:rPr>
            </w:pPr>
            <w:r>
              <w:rPr>
                <w:noProof/>
              </w:rPr>
              <w:t>Beruházás: A regionális tömegközlekedési autóbuszflotta megerősítése kibocsátásmentes, alacsony padlós autóbuszokkal</w:t>
            </w:r>
          </w:p>
        </w:tc>
        <w:tc>
          <w:tcPr>
            <w:tcW w:w="1559" w:type="dxa"/>
            <w:shd w:val="clear" w:color="auto" w:fill="C6EFCE"/>
            <w:noWrap/>
            <w:vAlign w:val="center"/>
          </w:tcPr>
          <w:p w14:paraId="46EB6EB7"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51033E6B" w14:textId="77777777" w:rsidR="003F5418" w:rsidRDefault="002A6C25">
            <w:pPr>
              <w:pStyle w:val="P68B1DB1-Normal4"/>
              <w:jc w:val="center"/>
              <w:rPr>
                <w:noProof/>
              </w:rPr>
            </w:pPr>
            <w:r>
              <w:rPr>
                <w:noProof/>
              </w:rPr>
              <w:t xml:space="preserve">A regionális tömegközlekedési </w:t>
            </w:r>
            <w:r>
              <w:rPr>
                <w:noProof/>
              </w:rPr>
              <w:t>autóbuszflotta kibocsátásmentes, alacsony padlós autóbuszokkal való megerősítésére irányuló valamennyi közbeszerzési szerződés odaítélése</w:t>
            </w:r>
          </w:p>
        </w:tc>
        <w:tc>
          <w:tcPr>
            <w:tcW w:w="1843" w:type="dxa"/>
            <w:shd w:val="clear" w:color="auto" w:fill="C6EFCE"/>
            <w:noWrap/>
            <w:vAlign w:val="center"/>
          </w:tcPr>
          <w:p w14:paraId="047E63D8" w14:textId="77777777" w:rsidR="003F5418" w:rsidRDefault="002A6C25">
            <w:pPr>
              <w:pStyle w:val="P68B1DB1-Normal4"/>
              <w:jc w:val="center"/>
              <w:rPr>
                <w:noProof/>
              </w:rPr>
            </w:pPr>
            <w:r>
              <w:rPr>
                <w:noProof/>
              </w:rPr>
              <w:t xml:space="preserve">Értesítés az összes szerződés odaítéléséről </w:t>
            </w:r>
          </w:p>
        </w:tc>
        <w:tc>
          <w:tcPr>
            <w:tcW w:w="1417" w:type="dxa"/>
            <w:shd w:val="clear" w:color="auto" w:fill="C6EFCE"/>
            <w:noWrap/>
            <w:vAlign w:val="center"/>
          </w:tcPr>
          <w:p w14:paraId="7FC90831"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5E4C3EE1"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2E1519FA"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7A92564C"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5B059094" w14:textId="77777777" w:rsidR="003F5418" w:rsidRDefault="002A6C25">
            <w:pPr>
              <w:pStyle w:val="P68B1DB1-Normal4"/>
              <w:jc w:val="center"/>
              <w:rPr>
                <w:noProof/>
              </w:rPr>
            </w:pPr>
            <w:r>
              <w:rPr>
                <w:noProof/>
              </w:rPr>
              <w:t>2023</w:t>
            </w:r>
          </w:p>
        </w:tc>
        <w:tc>
          <w:tcPr>
            <w:tcW w:w="2793" w:type="dxa"/>
            <w:shd w:val="clear" w:color="auto" w:fill="C6EFCE"/>
            <w:noWrap/>
            <w:vAlign w:val="center"/>
          </w:tcPr>
          <w:p w14:paraId="7F88580D" w14:textId="0010887F" w:rsidR="003F5418" w:rsidRDefault="002A6C25">
            <w:pPr>
              <w:pStyle w:val="P68B1DB1-Normal4"/>
              <w:rPr>
                <w:noProof/>
              </w:rPr>
            </w:pPr>
            <w:r>
              <w:rPr>
                <w:noProof/>
              </w:rPr>
              <w:t xml:space="preserve">Értesítés legalább 3000 kibocsátásmentes </w:t>
            </w:r>
            <w:r>
              <w:rPr>
                <w:noProof/>
              </w:rPr>
              <w:t>alacsony padlós autóbusz beszerzésére irányuló közbeszerzési szerződés odaítéléséről.</w:t>
            </w:r>
          </w:p>
        </w:tc>
      </w:tr>
      <w:tr w:rsidR="003F5418" w14:paraId="6AF64137" w14:textId="77777777">
        <w:trPr>
          <w:trHeight w:val="309"/>
          <w:jc w:val="center"/>
        </w:trPr>
        <w:tc>
          <w:tcPr>
            <w:tcW w:w="1613" w:type="dxa"/>
            <w:shd w:val="clear" w:color="auto" w:fill="C6EFCE"/>
            <w:noWrap/>
            <w:vAlign w:val="center"/>
          </w:tcPr>
          <w:p w14:paraId="19DA3FEB" w14:textId="77777777" w:rsidR="003F5418" w:rsidRDefault="002A6C25">
            <w:pPr>
              <w:pStyle w:val="P68B1DB1-Normal4"/>
              <w:jc w:val="center"/>
              <w:rPr>
                <w:noProof/>
              </w:rPr>
            </w:pPr>
            <w:r>
              <w:rPr>
                <w:noProof/>
              </w:rPr>
              <w:t>M2C2–34</w:t>
            </w:r>
          </w:p>
        </w:tc>
        <w:tc>
          <w:tcPr>
            <w:tcW w:w="1643" w:type="dxa"/>
            <w:shd w:val="clear" w:color="auto" w:fill="C6EFCE"/>
            <w:noWrap/>
            <w:vAlign w:val="center"/>
          </w:tcPr>
          <w:p w14:paraId="64D2EAD8" w14:textId="77777777" w:rsidR="003F5418" w:rsidRDefault="002A6C25">
            <w:pPr>
              <w:pStyle w:val="P68B1DB1-Normal4"/>
              <w:jc w:val="center"/>
              <w:rPr>
                <w:noProof/>
              </w:rPr>
            </w:pPr>
            <w:r>
              <w:rPr>
                <w:noProof/>
              </w:rPr>
              <w:t>Beruházás: A regionális tömegközlekedési autóbuszflotta megerősítése kibocsátásmentes, alacsony padlós autóbuszokkal</w:t>
            </w:r>
          </w:p>
        </w:tc>
        <w:tc>
          <w:tcPr>
            <w:tcW w:w="1559" w:type="dxa"/>
            <w:shd w:val="clear" w:color="auto" w:fill="C6EFCE"/>
            <w:noWrap/>
            <w:vAlign w:val="center"/>
          </w:tcPr>
          <w:p w14:paraId="0A883D75"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27AA74F1" w14:textId="77777777" w:rsidR="003F5418" w:rsidRDefault="002A6C25">
            <w:pPr>
              <w:pStyle w:val="P68B1DB1-Normal4"/>
              <w:jc w:val="center"/>
              <w:rPr>
                <w:noProof/>
              </w:rPr>
            </w:pPr>
            <w:r>
              <w:rPr>
                <w:noProof/>
              </w:rPr>
              <w:t xml:space="preserve">A T1 megvásárolt kibocsátásmentes, </w:t>
            </w:r>
            <w:r>
              <w:rPr>
                <w:noProof/>
              </w:rPr>
              <w:t>alacsony padlós autóbuszok száma</w:t>
            </w:r>
          </w:p>
        </w:tc>
        <w:tc>
          <w:tcPr>
            <w:tcW w:w="1843" w:type="dxa"/>
            <w:shd w:val="clear" w:color="auto" w:fill="C6EFCE"/>
            <w:noWrap/>
            <w:vAlign w:val="center"/>
          </w:tcPr>
          <w:p w14:paraId="5155074F"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46063FA9"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78C507B0" w14:textId="77777777" w:rsidR="003F5418" w:rsidRDefault="002A6C25">
            <w:pPr>
              <w:pStyle w:val="P68B1DB1-Normal4"/>
              <w:jc w:val="center"/>
              <w:rPr>
                <w:noProof/>
              </w:rPr>
            </w:pPr>
            <w:r>
              <w:rPr>
                <w:noProof/>
              </w:rPr>
              <w:t>0</w:t>
            </w:r>
          </w:p>
        </w:tc>
        <w:tc>
          <w:tcPr>
            <w:tcW w:w="946" w:type="dxa"/>
            <w:shd w:val="clear" w:color="auto" w:fill="C6EFCE"/>
            <w:noWrap/>
            <w:vAlign w:val="center"/>
          </w:tcPr>
          <w:p w14:paraId="39C4EE36" w14:textId="77777777" w:rsidR="003F5418" w:rsidRDefault="002A6C25">
            <w:pPr>
              <w:pStyle w:val="P68B1DB1-Normal4"/>
              <w:jc w:val="center"/>
              <w:rPr>
                <w:noProof/>
              </w:rPr>
            </w:pPr>
            <w:r>
              <w:rPr>
                <w:noProof/>
              </w:rPr>
              <w:t>800</w:t>
            </w:r>
          </w:p>
        </w:tc>
        <w:tc>
          <w:tcPr>
            <w:tcW w:w="992" w:type="dxa"/>
            <w:shd w:val="clear" w:color="auto" w:fill="C6EFCE"/>
            <w:noWrap/>
            <w:vAlign w:val="center"/>
          </w:tcPr>
          <w:p w14:paraId="52F37072"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602DB5A8"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549ECB9E" w14:textId="77777777" w:rsidR="003F5418" w:rsidRDefault="002A6C25">
            <w:pPr>
              <w:pStyle w:val="P68B1DB1-Normal4"/>
              <w:rPr>
                <w:noProof/>
              </w:rPr>
            </w:pPr>
            <w:r>
              <w:rPr>
                <w:noProof/>
              </w:rPr>
              <w:t>Az M2C2–32 M2C2–32 keretében beszerzett legalább 800 kibocsátásmentes, alacsony padlójú autóbusz beszerzése az adott flotta megerősítése céljából.</w:t>
            </w:r>
          </w:p>
        </w:tc>
      </w:tr>
      <w:tr w:rsidR="003F5418" w14:paraId="5B5A24F7" w14:textId="77777777">
        <w:trPr>
          <w:trHeight w:val="309"/>
          <w:jc w:val="center"/>
        </w:trPr>
        <w:tc>
          <w:tcPr>
            <w:tcW w:w="1613" w:type="dxa"/>
            <w:shd w:val="clear" w:color="auto" w:fill="C6EFCE"/>
            <w:noWrap/>
            <w:vAlign w:val="center"/>
          </w:tcPr>
          <w:p w14:paraId="0430CC80" w14:textId="77777777" w:rsidR="003F5418" w:rsidRDefault="002A6C25">
            <w:pPr>
              <w:pStyle w:val="P68B1DB1-Normal4"/>
              <w:jc w:val="center"/>
              <w:rPr>
                <w:noProof/>
              </w:rPr>
            </w:pPr>
            <w:r>
              <w:rPr>
                <w:noProof/>
              </w:rPr>
              <w:t>M2C2–34 Bis</w:t>
            </w:r>
          </w:p>
        </w:tc>
        <w:tc>
          <w:tcPr>
            <w:tcW w:w="1643" w:type="dxa"/>
            <w:shd w:val="clear" w:color="auto" w:fill="C6EFCE"/>
            <w:noWrap/>
            <w:vAlign w:val="center"/>
          </w:tcPr>
          <w:p w14:paraId="5F22052B" w14:textId="77777777" w:rsidR="003F5418" w:rsidRDefault="002A6C25">
            <w:pPr>
              <w:pStyle w:val="P68B1DB1-Normal4"/>
              <w:jc w:val="center"/>
              <w:rPr>
                <w:noProof/>
              </w:rPr>
            </w:pPr>
            <w:r>
              <w:rPr>
                <w:noProof/>
              </w:rPr>
              <w:t xml:space="preserve">Beruházás:  A regionális </w:t>
            </w:r>
            <w:r>
              <w:rPr>
                <w:noProof/>
              </w:rPr>
              <w:t>tömegközlekedési vasúti flotta kibocsátásmentes vonatokkal és egyetemes szolgáltatással történő megerősítése</w:t>
            </w:r>
          </w:p>
        </w:tc>
        <w:tc>
          <w:tcPr>
            <w:tcW w:w="1559" w:type="dxa"/>
            <w:shd w:val="clear" w:color="auto" w:fill="C6EFCE"/>
            <w:noWrap/>
            <w:vAlign w:val="center"/>
          </w:tcPr>
          <w:p w14:paraId="372D2514"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59F43DAA" w14:textId="77777777" w:rsidR="003F5418" w:rsidRDefault="002A6C25">
            <w:pPr>
              <w:pStyle w:val="P68B1DB1-Normal4"/>
              <w:jc w:val="center"/>
              <w:rPr>
                <w:noProof/>
              </w:rPr>
            </w:pPr>
            <w:r>
              <w:rPr>
                <w:noProof/>
              </w:rPr>
              <w:t>Kibocsátásmentes vonatok száma T1</w:t>
            </w:r>
          </w:p>
        </w:tc>
        <w:tc>
          <w:tcPr>
            <w:tcW w:w="1843" w:type="dxa"/>
            <w:shd w:val="clear" w:color="auto" w:fill="C6EFCE"/>
            <w:noWrap/>
            <w:vAlign w:val="center"/>
          </w:tcPr>
          <w:p w14:paraId="09EE94F4"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20D5013A"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269CC478" w14:textId="77777777" w:rsidR="003F5418" w:rsidRDefault="002A6C25">
            <w:pPr>
              <w:pStyle w:val="P68B1DB1-Normal4"/>
              <w:jc w:val="center"/>
              <w:rPr>
                <w:noProof/>
              </w:rPr>
            </w:pPr>
            <w:r>
              <w:rPr>
                <w:noProof/>
              </w:rPr>
              <w:t>0</w:t>
            </w:r>
          </w:p>
        </w:tc>
        <w:tc>
          <w:tcPr>
            <w:tcW w:w="946" w:type="dxa"/>
            <w:shd w:val="clear" w:color="auto" w:fill="C6EFCE"/>
            <w:noWrap/>
            <w:vAlign w:val="center"/>
          </w:tcPr>
          <w:p w14:paraId="672A047C" w14:textId="77777777" w:rsidR="003F5418" w:rsidRDefault="002A6C25">
            <w:pPr>
              <w:pStyle w:val="P68B1DB1-Normal4"/>
              <w:jc w:val="center"/>
              <w:rPr>
                <w:noProof/>
              </w:rPr>
            </w:pPr>
            <w:r>
              <w:rPr>
                <w:noProof/>
              </w:rPr>
              <w:t>25</w:t>
            </w:r>
          </w:p>
        </w:tc>
        <w:tc>
          <w:tcPr>
            <w:tcW w:w="992" w:type="dxa"/>
            <w:shd w:val="clear" w:color="auto" w:fill="C6EFCE"/>
            <w:noWrap/>
            <w:vAlign w:val="center"/>
          </w:tcPr>
          <w:p w14:paraId="51FB0188"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25769B3F"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522E7562" w14:textId="77777777" w:rsidR="003F5418" w:rsidRDefault="002A6C25">
            <w:pPr>
              <w:pStyle w:val="P68B1DB1-Normal4"/>
              <w:rPr>
                <w:noProof/>
              </w:rPr>
            </w:pPr>
            <w:r>
              <w:rPr>
                <w:noProof/>
              </w:rPr>
              <w:t xml:space="preserve">Az EK-megfelelőségi nyilatkozat beszerzése az 57/2019. sz. törvényerejű rendelet 15. </w:t>
            </w:r>
            <w:r>
              <w:rPr>
                <w:noProof/>
              </w:rPr>
              <w:t>cikke szerint (azaz Dichiarazione di verifica di conformità CE di cui all’art 15 del D.Lgs 57/2019) legalább 25 kibocsátásmentes vonat esetében az adott flotta megerősítése céljából.</w:t>
            </w:r>
          </w:p>
        </w:tc>
      </w:tr>
      <w:tr w:rsidR="003F5418" w14:paraId="09018306" w14:textId="77777777">
        <w:trPr>
          <w:trHeight w:val="309"/>
          <w:jc w:val="center"/>
        </w:trPr>
        <w:tc>
          <w:tcPr>
            <w:tcW w:w="1613" w:type="dxa"/>
            <w:shd w:val="clear" w:color="auto" w:fill="C6EFCE"/>
            <w:noWrap/>
            <w:vAlign w:val="center"/>
          </w:tcPr>
          <w:p w14:paraId="2C48F4F1" w14:textId="77777777" w:rsidR="003F5418" w:rsidRDefault="002A6C25">
            <w:pPr>
              <w:pStyle w:val="P68B1DB1-Normal4"/>
              <w:jc w:val="center"/>
              <w:rPr>
                <w:noProof/>
              </w:rPr>
            </w:pPr>
            <w:r>
              <w:rPr>
                <w:noProof/>
              </w:rPr>
              <w:t>M2C2–35</w:t>
            </w:r>
          </w:p>
        </w:tc>
        <w:tc>
          <w:tcPr>
            <w:tcW w:w="1643" w:type="dxa"/>
            <w:shd w:val="clear" w:color="auto" w:fill="C6EFCE"/>
            <w:noWrap/>
            <w:vAlign w:val="center"/>
          </w:tcPr>
          <w:p w14:paraId="05E999E5" w14:textId="23473FFC" w:rsidR="003F5418" w:rsidRDefault="002A6C25">
            <w:pPr>
              <w:pStyle w:val="P68B1DB1-Normal6"/>
              <w:jc w:val="center"/>
              <w:rPr>
                <w:noProof/>
                <w:color w:val="006100"/>
              </w:rPr>
            </w:pPr>
            <w:r>
              <w:rPr>
                <w:noProof/>
                <w:color w:val="006100"/>
              </w:rPr>
              <w:t xml:space="preserve">Beruházás: A regionális tömegközlekedési autóbuszflotta </w:t>
            </w:r>
            <w:r>
              <w:rPr>
                <w:noProof/>
                <w:color w:val="006100"/>
              </w:rPr>
              <w:t>megerősítése</w:t>
            </w:r>
            <w:r>
              <w:rPr>
                <w:noProof/>
              </w:rPr>
              <w:t xml:space="preserve"> </w:t>
            </w:r>
            <w:r>
              <w:rPr>
                <w:noProof/>
                <w:color w:val="006100"/>
              </w:rPr>
              <w:t>kibocsátásmentes, alacsony padlós autóbuszokkal</w:t>
            </w:r>
          </w:p>
        </w:tc>
        <w:tc>
          <w:tcPr>
            <w:tcW w:w="1559" w:type="dxa"/>
            <w:shd w:val="clear" w:color="auto" w:fill="C6EFCE"/>
            <w:noWrap/>
            <w:vAlign w:val="center"/>
          </w:tcPr>
          <w:p w14:paraId="6DC19F96"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38141C94" w14:textId="77777777" w:rsidR="003F5418" w:rsidRDefault="002A6C25">
            <w:pPr>
              <w:pStyle w:val="P68B1DB1-Normal4"/>
              <w:jc w:val="center"/>
              <w:rPr>
                <w:noProof/>
              </w:rPr>
            </w:pPr>
            <w:r>
              <w:rPr>
                <w:noProof/>
              </w:rPr>
              <w:t>Hatályba lépett a kibocsátásmentes, alacsony padlós autóbuszok száma T2</w:t>
            </w:r>
          </w:p>
        </w:tc>
        <w:tc>
          <w:tcPr>
            <w:tcW w:w="1843" w:type="dxa"/>
            <w:shd w:val="clear" w:color="auto" w:fill="C6EFCE"/>
            <w:noWrap/>
            <w:vAlign w:val="center"/>
          </w:tcPr>
          <w:p w14:paraId="76992092"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6B8373D4"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2CFF7059" w14:textId="77777777" w:rsidR="003F5418" w:rsidRDefault="002A6C25">
            <w:pPr>
              <w:pStyle w:val="P68B1DB1-Normal4"/>
              <w:jc w:val="center"/>
              <w:rPr>
                <w:noProof/>
              </w:rPr>
            </w:pPr>
            <w:r>
              <w:rPr>
                <w:noProof/>
              </w:rPr>
              <w:t>0</w:t>
            </w:r>
          </w:p>
        </w:tc>
        <w:tc>
          <w:tcPr>
            <w:tcW w:w="946" w:type="dxa"/>
            <w:shd w:val="clear" w:color="auto" w:fill="C6EFCE"/>
            <w:noWrap/>
            <w:vAlign w:val="center"/>
          </w:tcPr>
          <w:p w14:paraId="5E85C233" w14:textId="0D40B94F" w:rsidR="003F5418" w:rsidRDefault="002A6C25">
            <w:pPr>
              <w:pStyle w:val="P68B1DB1-Normal4"/>
              <w:jc w:val="center"/>
              <w:rPr>
                <w:noProof/>
              </w:rPr>
            </w:pPr>
            <w:r>
              <w:rPr>
                <w:noProof/>
              </w:rPr>
              <w:t>3 000</w:t>
            </w:r>
          </w:p>
        </w:tc>
        <w:tc>
          <w:tcPr>
            <w:tcW w:w="992" w:type="dxa"/>
            <w:shd w:val="clear" w:color="auto" w:fill="C6EFCE"/>
            <w:noWrap/>
            <w:vAlign w:val="center"/>
          </w:tcPr>
          <w:p w14:paraId="4C77FD63"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32409728"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72F3AB5A" w14:textId="641AF7DB" w:rsidR="003F5418" w:rsidRDefault="002A6C25">
            <w:pPr>
              <w:pStyle w:val="P68B1DB1-Normal4"/>
              <w:rPr>
                <w:noProof/>
              </w:rPr>
            </w:pPr>
            <w:r>
              <w:rPr>
                <w:noProof/>
              </w:rPr>
              <w:t xml:space="preserve">Az M2C2–32 M2C2–32 keretében beszerzett legalább 3000 kibocsátásmentes alacsony padlós </w:t>
            </w:r>
            <w:r>
              <w:rPr>
                <w:noProof/>
              </w:rPr>
              <w:t>autóbusz üzembe helyezése az adott flotta megerősítése céljából.</w:t>
            </w:r>
          </w:p>
        </w:tc>
      </w:tr>
      <w:tr w:rsidR="003F5418" w14:paraId="61B8769E" w14:textId="77777777">
        <w:trPr>
          <w:trHeight w:val="309"/>
          <w:jc w:val="center"/>
        </w:trPr>
        <w:tc>
          <w:tcPr>
            <w:tcW w:w="1613" w:type="dxa"/>
            <w:shd w:val="clear" w:color="auto" w:fill="C6EFCE"/>
            <w:noWrap/>
            <w:vAlign w:val="center"/>
          </w:tcPr>
          <w:p w14:paraId="1A0C433E" w14:textId="77777777" w:rsidR="003F5418" w:rsidRDefault="002A6C25">
            <w:pPr>
              <w:pStyle w:val="P68B1DB1-Normal4"/>
              <w:jc w:val="center"/>
              <w:rPr>
                <w:noProof/>
              </w:rPr>
            </w:pPr>
            <w:r>
              <w:rPr>
                <w:noProof/>
              </w:rPr>
              <w:t>M2C2–35 ter</w:t>
            </w:r>
          </w:p>
        </w:tc>
        <w:tc>
          <w:tcPr>
            <w:tcW w:w="1643" w:type="dxa"/>
            <w:shd w:val="clear" w:color="auto" w:fill="C6EFCE"/>
            <w:noWrap/>
            <w:vAlign w:val="center"/>
          </w:tcPr>
          <w:p w14:paraId="637C4EA1" w14:textId="4C29542E" w:rsidR="003F5418" w:rsidRDefault="002A6C25">
            <w:pPr>
              <w:pStyle w:val="P68B1DB1-Normal4"/>
              <w:jc w:val="center"/>
              <w:rPr>
                <w:noProof/>
              </w:rPr>
            </w:pPr>
            <w:r>
              <w:rPr>
                <w:noProof/>
              </w:rPr>
              <w:t>Beruházás: A regionális tömegközlekedési buszflotta megerősítése kibocsátásmentes, alacsony padlós autóbuszokkal</w:t>
            </w:r>
          </w:p>
        </w:tc>
        <w:tc>
          <w:tcPr>
            <w:tcW w:w="1559" w:type="dxa"/>
            <w:shd w:val="clear" w:color="auto" w:fill="C6EFCE"/>
            <w:noWrap/>
            <w:vAlign w:val="center"/>
          </w:tcPr>
          <w:p w14:paraId="32E15DAA"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0AD3212C" w14:textId="77777777" w:rsidR="003F5418" w:rsidRDefault="002A6C25">
            <w:pPr>
              <w:pStyle w:val="P68B1DB1-Normal4"/>
              <w:jc w:val="center"/>
              <w:rPr>
                <w:noProof/>
              </w:rPr>
            </w:pPr>
            <w:r>
              <w:rPr>
                <w:noProof/>
              </w:rPr>
              <w:t xml:space="preserve">A kibocsátásmentes és alacsony kibocsátású alacsony padlós </w:t>
            </w:r>
            <w:r>
              <w:rPr>
                <w:noProof/>
              </w:rPr>
              <w:t>autóbuszok töltőállomásainak száma</w:t>
            </w:r>
          </w:p>
        </w:tc>
        <w:tc>
          <w:tcPr>
            <w:tcW w:w="1843" w:type="dxa"/>
            <w:shd w:val="clear" w:color="auto" w:fill="C6EFCE"/>
            <w:noWrap/>
            <w:vAlign w:val="center"/>
          </w:tcPr>
          <w:p w14:paraId="60AC435D" w14:textId="77777777" w:rsidR="003F5418" w:rsidRDefault="003F5418">
            <w:pPr>
              <w:jc w:val="center"/>
              <w:rPr>
                <w:rFonts w:ascii="Arial Narrow" w:hAnsi="Arial Narrow"/>
                <w:noProof/>
                <w:color w:val="006100"/>
                <w:sz w:val="20"/>
              </w:rPr>
            </w:pPr>
          </w:p>
        </w:tc>
        <w:tc>
          <w:tcPr>
            <w:tcW w:w="1417" w:type="dxa"/>
            <w:shd w:val="clear" w:color="auto" w:fill="C6EFCE"/>
            <w:noWrap/>
            <w:vAlign w:val="center"/>
          </w:tcPr>
          <w:p w14:paraId="4BA13155"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01EE6EF6" w14:textId="77777777" w:rsidR="003F5418" w:rsidRDefault="002A6C25">
            <w:pPr>
              <w:pStyle w:val="P68B1DB1-Normal4"/>
              <w:jc w:val="center"/>
              <w:rPr>
                <w:noProof/>
              </w:rPr>
            </w:pPr>
            <w:r>
              <w:rPr>
                <w:noProof/>
              </w:rPr>
              <w:t>0</w:t>
            </w:r>
          </w:p>
        </w:tc>
        <w:tc>
          <w:tcPr>
            <w:tcW w:w="946" w:type="dxa"/>
            <w:shd w:val="clear" w:color="auto" w:fill="C6EFCE"/>
            <w:noWrap/>
            <w:vAlign w:val="center"/>
          </w:tcPr>
          <w:p w14:paraId="3323881E" w14:textId="4DB50078" w:rsidR="003F5418" w:rsidRDefault="002A6C25">
            <w:pPr>
              <w:pStyle w:val="P68B1DB1-Normal4"/>
              <w:jc w:val="center"/>
              <w:rPr>
                <w:noProof/>
              </w:rPr>
            </w:pPr>
            <w:r>
              <w:rPr>
                <w:noProof/>
              </w:rPr>
              <w:t>1 000</w:t>
            </w:r>
          </w:p>
        </w:tc>
        <w:tc>
          <w:tcPr>
            <w:tcW w:w="992" w:type="dxa"/>
            <w:shd w:val="clear" w:color="auto" w:fill="C6EFCE"/>
            <w:noWrap/>
            <w:vAlign w:val="center"/>
          </w:tcPr>
          <w:p w14:paraId="7529BBF1"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5D1C039C"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16C369A4" w14:textId="7DD8671B" w:rsidR="003F5418" w:rsidRDefault="002A6C25">
            <w:pPr>
              <w:pStyle w:val="P68B1DB1-Normal9"/>
              <w:rPr>
                <w:rFonts w:ascii="Arial Narrow" w:hAnsi="Arial Narrow"/>
                <w:noProof/>
              </w:rPr>
            </w:pPr>
            <w:r>
              <w:rPr>
                <w:rFonts w:ascii="Arial Narrow" w:hAnsi="Arial Narrow"/>
                <w:noProof/>
              </w:rPr>
              <w:t>Legalább 1000 töltőállomás üzembehelyezése kibocsátásmentes vagy alacsony padlós autóbuszok számára.</w:t>
            </w:r>
          </w:p>
        </w:tc>
      </w:tr>
      <w:tr w:rsidR="003F5418" w14:paraId="6C893094" w14:textId="77777777">
        <w:trPr>
          <w:trHeight w:val="309"/>
          <w:jc w:val="center"/>
        </w:trPr>
        <w:tc>
          <w:tcPr>
            <w:tcW w:w="1613" w:type="dxa"/>
            <w:shd w:val="clear" w:color="auto" w:fill="C6EFCE"/>
            <w:noWrap/>
            <w:vAlign w:val="center"/>
          </w:tcPr>
          <w:p w14:paraId="7CAB7485" w14:textId="77777777" w:rsidR="003F5418" w:rsidRDefault="002A6C25">
            <w:pPr>
              <w:pStyle w:val="P68B1DB1-Normal4"/>
              <w:jc w:val="center"/>
              <w:rPr>
                <w:noProof/>
              </w:rPr>
            </w:pPr>
            <w:r>
              <w:rPr>
                <w:noProof/>
              </w:rPr>
              <w:t xml:space="preserve">M2C2–35 bis </w:t>
            </w:r>
          </w:p>
        </w:tc>
        <w:tc>
          <w:tcPr>
            <w:tcW w:w="1643" w:type="dxa"/>
            <w:shd w:val="clear" w:color="auto" w:fill="C6EFCE"/>
            <w:noWrap/>
            <w:vAlign w:val="center"/>
          </w:tcPr>
          <w:p w14:paraId="58A20C73" w14:textId="77777777" w:rsidR="003F5418" w:rsidRDefault="002A6C25">
            <w:pPr>
              <w:pStyle w:val="P68B1DB1-Normal4"/>
              <w:jc w:val="center"/>
              <w:rPr>
                <w:noProof/>
              </w:rPr>
            </w:pPr>
            <w:r>
              <w:rPr>
                <w:noProof/>
              </w:rPr>
              <w:t xml:space="preserve">Beruházás:  A regionális tömegközlekedési vasúti flotta kibocsátásmentes vonatokkal </w:t>
            </w:r>
            <w:r>
              <w:rPr>
                <w:noProof/>
              </w:rPr>
              <w:t>és egyetemes szolgáltatással történő megerősítése</w:t>
            </w:r>
          </w:p>
        </w:tc>
        <w:tc>
          <w:tcPr>
            <w:tcW w:w="1559" w:type="dxa"/>
            <w:shd w:val="clear" w:color="auto" w:fill="C6EFCE"/>
            <w:noWrap/>
            <w:vAlign w:val="center"/>
          </w:tcPr>
          <w:p w14:paraId="5BC4749D"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1ABA86E6" w14:textId="77777777" w:rsidR="003F5418" w:rsidRDefault="002A6C25">
            <w:pPr>
              <w:pStyle w:val="P68B1DB1-Normal4"/>
              <w:jc w:val="center"/>
              <w:rPr>
                <w:noProof/>
              </w:rPr>
            </w:pPr>
            <w:r>
              <w:rPr>
                <w:noProof/>
              </w:rPr>
              <w:t xml:space="preserve">A kibocsátásmentes vonatok száma és az egyetemes szolgáltatáshoz szükséges szállítások száma </w:t>
            </w:r>
          </w:p>
        </w:tc>
        <w:tc>
          <w:tcPr>
            <w:tcW w:w="1843" w:type="dxa"/>
            <w:shd w:val="clear" w:color="auto" w:fill="C6EFCE"/>
            <w:noWrap/>
            <w:vAlign w:val="center"/>
          </w:tcPr>
          <w:p w14:paraId="00D5F38F"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2AED6BCC"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714D4973" w14:textId="77777777" w:rsidR="003F5418" w:rsidRDefault="002A6C25">
            <w:pPr>
              <w:pStyle w:val="P68B1DB1-Normal4"/>
              <w:jc w:val="center"/>
              <w:rPr>
                <w:noProof/>
              </w:rPr>
            </w:pPr>
            <w:r>
              <w:rPr>
                <w:noProof/>
              </w:rPr>
              <w:t>25</w:t>
            </w:r>
          </w:p>
        </w:tc>
        <w:tc>
          <w:tcPr>
            <w:tcW w:w="946" w:type="dxa"/>
            <w:shd w:val="clear" w:color="auto" w:fill="C6EFCE"/>
            <w:noWrap/>
            <w:vAlign w:val="center"/>
          </w:tcPr>
          <w:p w14:paraId="3D07AC0A" w14:textId="77777777" w:rsidR="003F5418" w:rsidRDefault="002A6C25">
            <w:pPr>
              <w:pStyle w:val="P68B1DB1-Normal4"/>
              <w:jc w:val="center"/>
              <w:rPr>
                <w:noProof/>
              </w:rPr>
            </w:pPr>
            <w:r>
              <w:rPr>
                <w:noProof/>
              </w:rPr>
              <w:t>66</w:t>
            </w:r>
          </w:p>
        </w:tc>
        <w:tc>
          <w:tcPr>
            <w:tcW w:w="992" w:type="dxa"/>
            <w:shd w:val="clear" w:color="auto" w:fill="C6EFCE"/>
            <w:noWrap/>
            <w:vAlign w:val="center"/>
          </w:tcPr>
          <w:p w14:paraId="6A5FC30A"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76CA3471"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464ABCC6" w14:textId="77777777" w:rsidR="003F5418" w:rsidRDefault="002A6C25">
            <w:pPr>
              <w:pStyle w:val="P68B1DB1-Normal4"/>
              <w:spacing w:after="120"/>
              <w:rPr>
                <w:noProof/>
              </w:rPr>
            </w:pPr>
            <w:r>
              <w:rPr>
                <w:noProof/>
              </w:rPr>
              <w:t xml:space="preserve">Az 57/2019. sz. törvényerejű rendelet 15. cikke szerinti EK-megfelelőségi </w:t>
            </w:r>
            <w:r>
              <w:rPr>
                <w:noProof/>
              </w:rPr>
              <w:t>nyilatkozat (azaz Dichiarazione di verifica di conformità CE di cui all’art 15 del D.Lgs 57/2019) üzembe helyezése és megszerzése a regionális vasúti flotta számára legalább 53 kibocsátásmentes vonat, legalább 13 bimodális vonat és 100 kocsi egyetemes szol</w:t>
            </w:r>
            <w:r>
              <w:rPr>
                <w:noProof/>
              </w:rPr>
              <w:t xml:space="preserve">gáltatás céljára. </w:t>
            </w:r>
          </w:p>
          <w:p w14:paraId="3C38DD29" w14:textId="5D5491BC" w:rsidR="003F5418" w:rsidRDefault="002A6C25">
            <w:pPr>
              <w:pStyle w:val="P68B1DB1-Normal4"/>
              <w:rPr>
                <w:noProof/>
              </w:rPr>
            </w:pPr>
            <w:r>
              <w:rPr>
                <w:noProof/>
              </w:rPr>
              <w:t>Az egyetemes szolgáltatás/intercity tekintetében a Helyreállítási és Rezilienciaépítési Eszköz forrásaiból vásárolt járművek az állam tulajdonában vannak. Ezért az inkumbens szolgáltatók szolgáltatási szerződésének lejártakor ezt a jármű</w:t>
            </w:r>
            <w:r>
              <w:rPr>
                <w:noProof/>
              </w:rPr>
              <w:t>vet az 1370/2007/EU rendelettel teljes összhangban a szolgáltatási szerződés új nyertes szerve rendelkezésére kell bocsátani.</w:t>
            </w:r>
          </w:p>
        </w:tc>
      </w:tr>
      <w:tr w:rsidR="003F5418" w14:paraId="10A20F11" w14:textId="77777777">
        <w:trPr>
          <w:trHeight w:val="309"/>
          <w:jc w:val="center"/>
        </w:trPr>
        <w:tc>
          <w:tcPr>
            <w:tcW w:w="1613" w:type="dxa"/>
            <w:shd w:val="clear" w:color="auto" w:fill="C6EFCE"/>
            <w:noWrap/>
            <w:vAlign w:val="center"/>
          </w:tcPr>
          <w:p w14:paraId="661990EE" w14:textId="77777777" w:rsidR="003F5418" w:rsidRDefault="002A6C25">
            <w:pPr>
              <w:pStyle w:val="P68B1DB1-Normal4"/>
              <w:jc w:val="center"/>
              <w:rPr>
                <w:noProof/>
              </w:rPr>
            </w:pPr>
            <w:r>
              <w:rPr>
                <w:noProof/>
              </w:rPr>
              <w:t>M2C2–36</w:t>
            </w:r>
          </w:p>
        </w:tc>
        <w:tc>
          <w:tcPr>
            <w:tcW w:w="1643" w:type="dxa"/>
            <w:shd w:val="clear" w:color="auto" w:fill="C6EFCE"/>
            <w:noWrap/>
            <w:vAlign w:val="center"/>
          </w:tcPr>
          <w:p w14:paraId="7DD9DB57" w14:textId="77777777" w:rsidR="003F5418" w:rsidRDefault="002A6C25">
            <w:pPr>
              <w:pStyle w:val="P68B1DB1-Normal4"/>
              <w:jc w:val="center"/>
              <w:rPr>
                <w:noProof/>
              </w:rPr>
            </w:pPr>
            <w:r>
              <w:rPr>
                <w:noProof/>
              </w:rPr>
              <w:t>Beruházás: A nemzeti tűzoltóság parancsnokságának megújítása</w:t>
            </w:r>
          </w:p>
        </w:tc>
        <w:tc>
          <w:tcPr>
            <w:tcW w:w="1559" w:type="dxa"/>
            <w:shd w:val="clear" w:color="auto" w:fill="C6EFCE"/>
            <w:noWrap/>
            <w:vAlign w:val="center"/>
          </w:tcPr>
          <w:p w14:paraId="29C0937D"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5BE6F80D" w14:textId="77777777" w:rsidR="003F5418" w:rsidRDefault="002A6C25">
            <w:pPr>
              <w:pStyle w:val="P68B1DB1-Normal4"/>
              <w:jc w:val="center"/>
              <w:rPr>
                <w:noProof/>
              </w:rPr>
            </w:pPr>
            <w:r>
              <w:rPr>
                <w:noProof/>
              </w:rPr>
              <w:t xml:space="preserve">Tiszta üzemű járművek száma a nemzeti tűzoltósági </w:t>
            </w:r>
            <w:r>
              <w:rPr>
                <w:noProof/>
              </w:rPr>
              <w:t>parancsnokság felújítási flottája számára</w:t>
            </w:r>
          </w:p>
        </w:tc>
        <w:tc>
          <w:tcPr>
            <w:tcW w:w="1843" w:type="dxa"/>
            <w:shd w:val="clear" w:color="auto" w:fill="C6EFCE"/>
            <w:noWrap/>
            <w:vAlign w:val="center"/>
          </w:tcPr>
          <w:p w14:paraId="46C6FC2A"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5AC4B13F"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46D09D7F" w14:textId="77777777" w:rsidR="003F5418" w:rsidRDefault="002A6C25">
            <w:pPr>
              <w:pStyle w:val="P68B1DB1-Normal4"/>
              <w:jc w:val="center"/>
              <w:rPr>
                <w:noProof/>
              </w:rPr>
            </w:pPr>
            <w:r>
              <w:rPr>
                <w:noProof/>
              </w:rPr>
              <w:t>0</w:t>
            </w:r>
          </w:p>
        </w:tc>
        <w:tc>
          <w:tcPr>
            <w:tcW w:w="946" w:type="dxa"/>
            <w:shd w:val="clear" w:color="auto" w:fill="C6EFCE"/>
            <w:noWrap/>
            <w:vAlign w:val="center"/>
          </w:tcPr>
          <w:p w14:paraId="4C36E249" w14:textId="6539CF65" w:rsidR="003F5418" w:rsidRDefault="002A6C25">
            <w:pPr>
              <w:pStyle w:val="P68B1DB1-Normal4"/>
              <w:jc w:val="center"/>
              <w:rPr>
                <w:noProof/>
              </w:rPr>
            </w:pPr>
            <w:r>
              <w:rPr>
                <w:noProof/>
              </w:rPr>
              <w:t>3 800</w:t>
            </w:r>
          </w:p>
        </w:tc>
        <w:tc>
          <w:tcPr>
            <w:tcW w:w="992" w:type="dxa"/>
            <w:shd w:val="clear" w:color="auto" w:fill="C6EFCE"/>
            <w:noWrap/>
            <w:vAlign w:val="center"/>
          </w:tcPr>
          <w:p w14:paraId="7093D97E"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730BA1D8"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204CCB0A" w14:textId="77777777" w:rsidR="003F5418" w:rsidRDefault="002A6C25">
            <w:pPr>
              <w:pStyle w:val="P68B1DB1-Normal9"/>
              <w:spacing w:after="120"/>
              <w:rPr>
                <w:rFonts w:ascii="Arial Narrow" w:hAnsi="Arial Narrow"/>
                <w:noProof/>
              </w:rPr>
            </w:pPr>
            <w:r>
              <w:rPr>
                <w:rFonts w:ascii="Arial Narrow" w:hAnsi="Arial Narrow"/>
                <w:noProof/>
              </w:rPr>
              <w:t>Legalább 3800 tiszta jármű üzembehelyezése a nemzeti tűzoltósági parancsnokság felújítási flottája számára.</w:t>
            </w:r>
          </w:p>
          <w:p w14:paraId="3D1603F1" w14:textId="2DF78A65" w:rsidR="003F5418" w:rsidRDefault="002A6C25">
            <w:pPr>
              <w:pStyle w:val="P68B1DB1-Normal4"/>
              <w:rPr>
                <w:noProof/>
              </w:rPr>
            </w:pPr>
            <w:r>
              <w:rPr>
                <w:noProof/>
              </w:rPr>
              <w:t xml:space="preserve">3500 jármű részesülhet 100%-os ökológiai címkézésben, mivel 100%-ban </w:t>
            </w:r>
            <w:r>
              <w:rPr>
                <w:noProof/>
              </w:rPr>
              <w:t>elektromosnak kell lennie, és a töltőpontokat fotovoltaikus panelekkel kell működtetni. A 300 nehézgépjármű, a repülőterek esetében 200 és a városi mentésre szolgáló 100 nehézgépjárművek kizárólag biometánnal vagy bioüzemanyaggal közlekedhetnek, és megfele</w:t>
            </w:r>
            <w:r>
              <w:rPr>
                <w:noProof/>
              </w:rPr>
              <w:t>lnek a megújuló energiaforrásokról szóló (EU) 2018/2001 irányelvben (RED II. irányelv) meghatározott kritériumoknak. A bioüzemanyag- és biometángáz- és bioüzemanyag-gyártóknak független értékelők által kiállított tanúsítványokat (fenntarthatósági igazolást</w:t>
            </w:r>
            <w:r>
              <w:rPr>
                <w:noProof/>
              </w:rPr>
              <w:t>) kell benyújtaniuk az (EU) 2018/2001 irányelvben előírtak szerint. Az üzemeltető a várható tüzelőanyag-felhasználással arányos származási bizonyítványt vásárol.  A bioüzemanyaggal működő járműveknek B100-ra vonatkozó típusjóváhagyással kell rendelkezniük.</w:t>
            </w:r>
            <w:r>
              <w:rPr>
                <w:noProof/>
              </w:rPr>
              <w:t xml:space="preserve"> </w:t>
            </w:r>
          </w:p>
        </w:tc>
      </w:tr>
      <w:tr w:rsidR="003F5418" w14:paraId="422E8D92" w14:textId="77777777">
        <w:trPr>
          <w:trHeight w:val="309"/>
          <w:jc w:val="center"/>
        </w:trPr>
        <w:tc>
          <w:tcPr>
            <w:tcW w:w="1613" w:type="dxa"/>
            <w:shd w:val="clear" w:color="auto" w:fill="C6EFCE"/>
            <w:noWrap/>
            <w:vAlign w:val="center"/>
          </w:tcPr>
          <w:p w14:paraId="3428C2D6" w14:textId="77777777" w:rsidR="003F5418" w:rsidRDefault="002A6C25">
            <w:pPr>
              <w:pStyle w:val="P68B1DB1-Normal4"/>
              <w:jc w:val="center"/>
              <w:rPr>
                <w:noProof/>
              </w:rPr>
            </w:pPr>
            <w:r>
              <w:rPr>
                <w:noProof/>
              </w:rPr>
              <w:t>M2C2–38a. intézkedés</w:t>
            </w:r>
          </w:p>
        </w:tc>
        <w:tc>
          <w:tcPr>
            <w:tcW w:w="1643" w:type="dxa"/>
            <w:shd w:val="clear" w:color="auto" w:fill="C6EFCE"/>
            <w:noWrap/>
            <w:vAlign w:val="center"/>
          </w:tcPr>
          <w:p w14:paraId="1AC76668" w14:textId="77777777" w:rsidR="003F5418" w:rsidRDefault="002A6C25">
            <w:pPr>
              <w:pStyle w:val="P68B1DB1-Normal4"/>
              <w:jc w:val="center"/>
              <w:rPr>
                <w:noProof/>
              </w:rPr>
            </w:pPr>
            <w:r>
              <w:rPr>
                <w:noProof/>
              </w:rPr>
              <w:t>Beruházás: Megújuló energiaforrások és akkumulátorok</w:t>
            </w:r>
          </w:p>
        </w:tc>
        <w:tc>
          <w:tcPr>
            <w:tcW w:w="1559" w:type="dxa"/>
            <w:shd w:val="clear" w:color="auto" w:fill="C6EFCE"/>
            <w:noWrap/>
            <w:vAlign w:val="center"/>
          </w:tcPr>
          <w:p w14:paraId="6EB07560"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0293DCAA" w14:textId="77777777" w:rsidR="003F5418" w:rsidRDefault="002A6C25">
            <w:pPr>
              <w:pStyle w:val="P68B1DB1-Normal4"/>
              <w:jc w:val="center"/>
              <w:rPr>
                <w:noProof/>
              </w:rPr>
            </w:pPr>
            <w:r>
              <w:rPr>
                <w:noProof/>
              </w:rPr>
              <w:t>Végrehajtási megállapodás</w:t>
            </w:r>
          </w:p>
        </w:tc>
        <w:tc>
          <w:tcPr>
            <w:tcW w:w="1843" w:type="dxa"/>
            <w:shd w:val="clear" w:color="auto" w:fill="C6EFCE"/>
            <w:noWrap/>
            <w:vAlign w:val="center"/>
          </w:tcPr>
          <w:p w14:paraId="7D8511BD" w14:textId="77777777" w:rsidR="003F5418" w:rsidRDefault="002A6C25">
            <w:pPr>
              <w:pStyle w:val="P68B1DB1-Normal4"/>
              <w:jc w:val="center"/>
              <w:rPr>
                <w:noProof/>
              </w:rPr>
            </w:pPr>
            <w:r>
              <w:rPr>
                <w:noProof/>
              </w:rPr>
              <w:t>A végrehajtási megállapodás hatálybalépése</w:t>
            </w:r>
          </w:p>
        </w:tc>
        <w:tc>
          <w:tcPr>
            <w:tcW w:w="1417" w:type="dxa"/>
            <w:shd w:val="clear" w:color="auto" w:fill="C6EFCE"/>
            <w:noWrap/>
          </w:tcPr>
          <w:p w14:paraId="75067167" w14:textId="77777777" w:rsidR="003F5418" w:rsidRDefault="003F5418">
            <w:pPr>
              <w:jc w:val="center"/>
              <w:rPr>
                <w:rFonts w:ascii="Arial Narrow" w:hAnsi="Arial Narrow"/>
                <w:noProof/>
                <w:color w:val="006100"/>
                <w:sz w:val="20"/>
              </w:rPr>
            </w:pPr>
          </w:p>
        </w:tc>
        <w:tc>
          <w:tcPr>
            <w:tcW w:w="1134" w:type="dxa"/>
            <w:shd w:val="clear" w:color="auto" w:fill="C6EFCE"/>
            <w:noWrap/>
            <w:vAlign w:val="center"/>
          </w:tcPr>
          <w:p w14:paraId="133962FF" w14:textId="77777777" w:rsidR="003F5418" w:rsidRDefault="003F5418">
            <w:pPr>
              <w:jc w:val="center"/>
              <w:rPr>
                <w:rFonts w:ascii="Arial Narrow" w:hAnsi="Arial Narrow"/>
                <w:noProof/>
                <w:color w:val="006100"/>
                <w:sz w:val="20"/>
              </w:rPr>
            </w:pPr>
          </w:p>
        </w:tc>
        <w:tc>
          <w:tcPr>
            <w:tcW w:w="946" w:type="dxa"/>
            <w:shd w:val="clear" w:color="auto" w:fill="C6EFCE"/>
            <w:noWrap/>
            <w:vAlign w:val="center"/>
          </w:tcPr>
          <w:p w14:paraId="1B979DBE" w14:textId="77777777" w:rsidR="003F5418" w:rsidRDefault="003F5418">
            <w:pPr>
              <w:jc w:val="center"/>
              <w:rPr>
                <w:rFonts w:ascii="Arial Narrow" w:hAnsi="Arial Narrow"/>
                <w:noProof/>
                <w:color w:val="006100"/>
                <w:sz w:val="20"/>
              </w:rPr>
            </w:pPr>
          </w:p>
        </w:tc>
        <w:tc>
          <w:tcPr>
            <w:tcW w:w="992" w:type="dxa"/>
            <w:shd w:val="clear" w:color="auto" w:fill="C6EFCE"/>
            <w:noWrap/>
            <w:vAlign w:val="center"/>
          </w:tcPr>
          <w:p w14:paraId="228B31FB"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51092740"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67339D83" w14:textId="77777777" w:rsidR="003F5418" w:rsidRDefault="002A6C25">
            <w:pPr>
              <w:pStyle w:val="P68B1DB1-Normal4"/>
              <w:rPr>
                <w:noProof/>
              </w:rPr>
            </w:pPr>
            <w:r>
              <w:rPr>
                <w:noProof/>
              </w:rPr>
              <w:t>A végrehajtási megállapodás hatálybalépése.</w:t>
            </w:r>
          </w:p>
        </w:tc>
      </w:tr>
      <w:tr w:rsidR="003F5418" w14:paraId="048A624F" w14:textId="77777777">
        <w:trPr>
          <w:trHeight w:val="309"/>
          <w:jc w:val="center"/>
        </w:trPr>
        <w:tc>
          <w:tcPr>
            <w:tcW w:w="1613" w:type="dxa"/>
            <w:shd w:val="clear" w:color="auto" w:fill="C6EFCE"/>
            <w:noWrap/>
            <w:vAlign w:val="center"/>
          </w:tcPr>
          <w:p w14:paraId="0EF9F1DC" w14:textId="77777777" w:rsidR="003F5418" w:rsidRDefault="002A6C25">
            <w:pPr>
              <w:pStyle w:val="P68B1DB1-Normal4"/>
              <w:jc w:val="center"/>
              <w:rPr>
                <w:noProof/>
              </w:rPr>
            </w:pPr>
            <w:r>
              <w:rPr>
                <w:noProof/>
              </w:rPr>
              <w:t>M2C2–39</w:t>
            </w:r>
          </w:p>
        </w:tc>
        <w:tc>
          <w:tcPr>
            <w:tcW w:w="1643" w:type="dxa"/>
            <w:shd w:val="clear" w:color="auto" w:fill="C6EFCE"/>
            <w:noWrap/>
            <w:vAlign w:val="center"/>
          </w:tcPr>
          <w:p w14:paraId="25C033E7" w14:textId="3D691A6E" w:rsidR="003F5418" w:rsidRDefault="002A6C25">
            <w:pPr>
              <w:pStyle w:val="P68B1DB1-Normal4"/>
              <w:jc w:val="center"/>
              <w:rPr>
                <w:noProof/>
              </w:rPr>
            </w:pPr>
            <w:r>
              <w:rPr>
                <w:noProof/>
              </w:rPr>
              <w:t xml:space="preserve">Beruházás: Megújuló energiaforrások </w:t>
            </w:r>
            <w:r>
              <w:rPr>
                <w:noProof/>
              </w:rPr>
              <w:t>és akkumulátorok</w:t>
            </w:r>
          </w:p>
        </w:tc>
        <w:tc>
          <w:tcPr>
            <w:tcW w:w="1559" w:type="dxa"/>
            <w:shd w:val="clear" w:color="auto" w:fill="C6EFCE"/>
            <w:noWrap/>
            <w:vAlign w:val="center"/>
          </w:tcPr>
          <w:p w14:paraId="5993FA7C"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1CFD5186" w14:textId="77777777" w:rsidR="003F5418" w:rsidRDefault="002A6C25">
            <w:pPr>
              <w:pStyle w:val="P68B1DB1-Normal4"/>
              <w:jc w:val="center"/>
              <w:rPr>
                <w:noProof/>
              </w:rPr>
            </w:pPr>
            <w:r>
              <w:rPr>
                <w:noProof/>
              </w:rPr>
              <w:t>Az olaszországi Vállalkozásügyi Minisztérium és Made befejezte a pénzeszközöknek az Invitalia S.p.A részére történő átutalását.</w:t>
            </w:r>
          </w:p>
        </w:tc>
        <w:tc>
          <w:tcPr>
            <w:tcW w:w="1843" w:type="dxa"/>
            <w:shd w:val="clear" w:color="auto" w:fill="C6EFCE"/>
            <w:noWrap/>
            <w:vAlign w:val="center"/>
          </w:tcPr>
          <w:p w14:paraId="3D2D396D" w14:textId="77777777" w:rsidR="003F5418" w:rsidRDefault="002A6C25">
            <w:pPr>
              <w:pStyle w:val="P68B1DB1-Normal4"/>
              <w:jc w:val="center"/>
              <w:rPr>
                <w:noProof/>
              </w:rPr>
            </w:pPr>
            <w:r>
              <w:rPr>
                <w:noProof/>
              </w:rPr>
              <w:t>Átutalási igazolás</w:t>
            </w:r>
          </w:p>
        </w:tc>
        <w:tc>
          <w:tcPr>
            <w:tcW w:w="1417" w:type="dxa"/>
            <w:shd w:val="clear" w:color="auto" w:fill="C6EFCE"/>
            <w:noWrap/>
          </w:tcPr>
          <w:p w14:paraId="0B00E9D6" w14:textId="77777777" w:rsidR="003F5418" w:rsidRDefault="003F5418">
            <w:pPr>
              <w:jc w:val="center"/>
              <w:rPr>
                <w:rFonts w:ascii="Arial Narrow" w:hAnsi="Arial Narrow"/>
                <w:noProof/>
                <w:color w:val="006100"/>
                <w:sz w:val="20"/>
              </w:rPr>
            </w:pPr>
          </w:p>
        </w:tc>
        <w:tc>
          <w:tcPr>
            <w:tcW w:w="1134" w:type="dxa"/>
            <w:shd w:val="clear" w:color="auto" w:fill="C6EFCE"/>
            <w:noWrap/>
            <w:vAlign w:val="center"/>
          </w:tcPr>
          <w:p w14:paraId="3D17650C" w14:textId="77777777" w:rsidR="003F5418" w:rsidRDefault="003F5418">
            <w:pPr>
              <w:jc w:val="center"/>
              <w:rPr>
                <w:rFonts w:ascii="Arial Narrow" w:hAnsi="Arial Narrow"/>
                <w:noProof/>
                <w:color w:val="006100"/>
                <w:sz w:val="20"/>
              </w:rPr>
            </w:pPr>
          </w:p>
        </w:tc>
        <w:tc>
          <w:tcPr>
            <w:tcW w:w="946" w:type="dxa"/>
            <w:shd w:val="clear" w:color="auto" w:fill="C6EFCE"/>
            <w:noWrap/>
            <w:vAlign w:val="center"/>
          </w:tcPr>
          <w:p w14:paraId="458C60F0" w14:textId="77777777" w:rsidR="003F5418" w:rsidRDefault="003F5418">
            <w:pPr>
              <w:jc w:val="center"/>
              <w:rPr>
                <w:rFonts w:ascii="Arial Narrow" w:hAnsi="Arial Narrow"/>
                <w:noProof/>
                <w:color w:val="006100"/>
                <w:sz w:val="20"/>
              </w:rPr>
            </w:pPr>
          </w:p>
        </w:tc>
        <w:tc>
          <w:tcPr>
            <w:tcW w:w="992" w:type="dxa"/>
            <w:shd w:val="clear" w:color="auto" w:fill="C6EFCE"/>
            <w:noWrap/>
            <w:vAlign w:val="center"/>
          </w:tcPr>
          <w:p w14:paraId="356FC063"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1B3470B5"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45D481F5" w14:textId="63F891BD" w:rsidR="003F5418" w:rsidRDefault="002A6C25">
            <w:pPr>
              <w:pStyle w:val="P68B1DB1-Normal9"/>
              <w:rPr>
                <w:rFonts w:ascii="Arial Narrow" w:hAnsi="Arial Narrow"/>
                <w:noProof/>
              </w:rPr>
            </w:pPr>
            <w:r>
              <w:rPr>
                <w:rFonts w:ascii="Arial Narrow" w:hAnsi="Arial Narrow"/>
                <w:noProof/>
              </w:rPr>
              <w:t>Olaszország 1 000 000 000 EUR-t utal át</w:t>
            </w:r>
            <w:r>
              <w:rPr>
                <w:noProof/>
              </w:rPr>
              <w:t xml:space="preserve">  </w:t>
            </w:r>
            <w:r>
              <w:rPr>
                <w:rFonts w:ascii="Arial Narrow" w:hAnsi="Arial Narrow"/>
                <w:noProof/>
              </w:rPr>
              <w:t>az Invitalia S.p.A. részére az</w:t>
            </w:r>
            <w:r>
              <w:rPr>
                <w:rFonts w:ascii="Arial Narrow" w:hAnsi="Arial Narrow"/>
                <w:noProof/>
              </w:rPr>
              <w:t xml:space="preserve"> eszköz céljára.</w:t>
            </w:r>
          </w:p>
        </w:tc>
      </w:tr>
      <w:tr w:rsidR="003F5418" w14:paraId="7CB2F39E" w14:textId="77777777">
        <w:trPr>
          <w:trHeight w:val="309"/>
          <w:jc w:val="center"/>
        </w:trPr>
        <w:tc>
          <w:tcPr>
            <w:tcW w:w="1613" w:type="dxa"/>
            <w:shd w:val="clear" w:color="auto" w:fill="C6EFCE"/>
            <w:noWrap/>
            <w:vAlign w:val="center"/>
          </w:tcPr>
          <w:p w14:paraId="4BEA1D0E" w14:textId="77777777" w:rsidR="003F5418" w:rsidRDefault="002A6C25">
            <w:pPr>
              <w:pStyle w:val="P68B1DB1-Normal4"/>
              <w:jc w:val="center"/>
              <w:rPr>
                <w:noProof/>
              </w:rPr>
            </w:pPr>
            <w:r>
              <w:rPr>
                <w:noProof/>
              </w:rPr>
              <w:t>M2C2–40</w:t>
            </w:r>
          </w:p>
        </w:tc>
        <w:tc>
          <w:tcPr>
            <w:tcW w:w="1643" w:type="dxa"/>
            <w:shd w:val="clear" w:color="auto" w:fill="C6EFCE"/>
            <w:noWrap/>
            <w:vAlign w:val="center"/>
          </w:tcPr>
          <w:p w14:paraId="6F69904E" w14:textId="77C87AEF" w:rsidR="003F5418" w:rsidRDefault="002A6C25">
            <w:pPr>
              <w:pStyle w:val="P68B1DB1-Normal4"/>
              <w:jc w:val="center"/>
              <w:rPr>
                <w:noProof/>
              </w:rPr>
            </w:pPr>
            <w:r>
              <w:rPr>
                <w:noProof/>
              </w:rPr>
              <w:t>Beruházás:  Megújuló energiaforrások és akkumulátorok</w:t>
            </w:r>
          </w:p>
        </w:tc>
        <w:tc>
          <w:tcPr>
            <w:tcW w:w="1559" w:type="dxa"/>
            <w:shd w:val="clear" w:color="auto" w:fill="C6EFCE"/>
            <w:noWrap/>
            <w:vAlign w:val="center"/>
          </w:tcPr>
          <w:p w14:paraId="3FD1E198"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71C8555D" w14:textId="77777777" w:rsidR="003F5418" w:rsidRDefault="002A6C25">
            <w:pPr>
              <w:pStyle w:val="P68B1DB1-Normal4"/>
              <w:jc w:val="center"/>
              <w:rPr>
                <w:noProof/>
              </w:rPr>
            </w:pPr>
            <w:r>
              <w:rPr>
                <w:noProof/>
              </w:rPr>
              <w:t>A végső kedvezményezettekkel aláírt, a fotovoltaikus vagy szélenergia-technológiák és az akkumulátorok energiatermelési kapacitásának megfelelő jogi megállapodások</w:t>
            </w:r>
          </w:p>
        </w:tc>
        <w:tc>
          <w:tcPr>
            <w:tcW w:w="1843" w:type="dxa"/>
            <w:shd w:val="clear" w:color="auto" w:fill="C6EFCE"/>
            <w:noWrap/>
            <w:vAlign w:val="center"/>
          </w:tcPr>
          <w:p w14:paraId="2D7FC620" w14:textId="77777777" w:rsidR="003F5418" w:rsidRDefault="003F5418">
            <w:pPr>
              <w:jc w:val="center"/>
              <w:rPr>
                <w:rFonts w:ascii="Arial Narrow" w:hAnsi="Arial Narrow"/>
                <w:noProof/>
                <w:color w:val="006100"/>
                <w:sz w:val="20"/>
              </w:rPr>
            </w:pPr>
          </w:p>
        </w:tc>
        <w:tc>
          <w:tcPr>
            <w:tcW w:w="1417" w:type="dxa"/>
            <w:shd w:val="clear" w:color="auto" w:fill="C6EFCE"/>
            <w:noWrap/>
            <w:vAlign w:val="center"/>
          </w:tcPr>
          <w:p w14:paraId="19E07E7D" w14:textId="77777777" w:rsidR="003F5418" w:rsidRDefault="002A6C25">
            <w:pPr>
              <w:pStyle w:val="P68B1DB1-Normal4"/>
              <w:jc w:val="center"/>
              <w:rPr>
                <w:noProof/>
              </w:rPr>
            </w:pPr>
            <w:r>
              <w:rPr>
                <w:noProof/>
              </w:rPr>
              <w:t>Százalék (%)</w:t>
            </w:r>
          </w:p>
        </w:tc>
        <w:tc>
          <w:tcPr>
            <w:tcW w:w="1134" w:type="dxa"/>
            <w:shd w:val="clear" w:color="auto" w:fill="C6EFCE"/>
            <w:noWrap/>
            <w:vAlign w:val="center"/>
          </w:tcPr>
          <w:p w14:paraId="5461321D" w14:textId="77777777" w:rsidR="003F5418" w:rsidRDefault="002A6C25">
            <w:pPr>
              <w:pStyle w:val="P68B1DB1-Normal4"/>
              <w:jc w:val="center"/>
              <w:rPr>
                <w:noProof/>
              </w:rPr>
            </w:pPr>
            <w:r>
              <w:rPr>
                <w:noProof/>
              </w:rPr>
              <w:t>0</w:t>
            </w:r>
          </w:p>
        </w:tc>
        <w:tc>
          <w:tcPr>
            <w:tcW w:w="946" w:type="dxa"/>
            <w:shd w:val="clear" w:color="auto" w:fill="C6EFCE"/>
            <w:noWrap/>
            <w:vAlign w:val="center"/>
          </w:tcPr>
          <w:p w14:paraId="2FCC5EEC" w14:textId="77777777" w:rsidR="003F5418" w:rsidRDefault="002A6C25">
            <w:pPr>
              <w:pStyle w:val="P68B1DB1-Normal4"/>
              <w:jc w:val="center"/>
              <w:rPr>
                <w:noProof/>
              </w:rPr>
            </w:pPr>
            <w:r>
              <w:rPr>
                <w:noProof/>
              </w:rPr>
              <w:t>100%-OS</w:t>
            </w:r>
          </w:p>
        </w:tc>
        <w:tc>
          <w:tcPr>
            <w:tcW w:w="992" w:type="dxa"/>
            <w:shd w:val="clear" w:color="auto" w:fill="C6EFCE"/>
            <w:noWrap/>
            <w:vAlign w:val="center"/>
          </w:tcPr>
          <w:p w14:paraId="4E625C26"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2E760488" w14:textId="77777777" w:rsidR="003F5418" w:rsidRDefault="002A6C25">
            <w:pPr>
              <w:pStyle w:val="P68B1DB1-Normal4"/>
              <w:jc w:val="center"/>
              <w:rPr>
                <w:noProof/>
              </w:rPr>
            </w:pPr>
            <w:r>
              <w:rPr>
                <w:noProof/>
              </w:rPr>
              <w:t>2025</w:t>
            </w:r>
          </w:p>
        </w:tc>
        <w:tc>
          <w:tcPr>
            <w:tcW w:w="2793" w:type="dxa"/>
            <w:shd w:val="clear" w:color="auto" w:fill="C6EFCE"/>
            <w:noWrap/>
            <w:vAlign w:val="center"/>
          </w:tcPr>
          <w:p w14:paraId="0098B060" w14:textId="77777777" w:rsidR="003F5418" w:rsidRDefault="002A6C25">
            <w:pPr>
              <w:pStyle w:val="P68B1DB1-Normal4"/>
              <w:rPr>
                <w:noProof/>
              </w:rPr>
            </w:pPr>
            <w:r>
              <w:rPr>
                <w:noProof/>
              </w:rPr>
              <w:t>Az Invitalia S.p.A.-nak jogi finanszírozási megállapodásokat kell kötnie a végső kedvezményezettekkel az RRF-beruházás 100%-ának az eszközbe történő felhasználásához szükséges összegről (figyelembe véve az irányítási díjakat)</w:t>
            </w:r>
            <w:r>
              <w:rPr>
                <w:noProof/>
              </w:rPr>
              <w:t>.</w:t>
            </w:r>
          </w:p>
        </w:tc>
      </w:tr>
      <w:tr w:rsidR="003F5418" w14:paraId="4D29DFEC" w14:textId="77777777">
        <w:trPr>
          <w:trHeight w:val="309"/>
          <w:jc w:val="center"/>
        </w:trPr>
        <w:tc>
          <w:tcPr>
            <w:tcW w:w="1613" w:type="dxa"/>
            <w:shd w:val="clear" w:color="auto" w:fill="C6EFCE"/>
            <w:noWrap/>
            <w:vAlign w:val="center"/>
          </w:tcPr>
          <w:p w14:paraId="7838DCB2" w14:textId="77777777" w:rsidR="003F5418" w:rsidRDefault="002A6C25">
            <w:pPr>
              <w:pStyle w:val="P68B1DB1-Normal4"/>
              <w:jc w:val="center"/>
              <w:rPr>
                <w:noProof/>
              </w:rPr>
            </w:pPr>
            <w:r>
              <w:rPr>
                <w:noProof/>
              </w:rPr>
              <w:t>M2C2–42 A)</w:t>
            </w:r>
          </w:p>
        </w:tc>
        <w:tc>
          <w:tcPr>
            <w:tcW w:w="1643" w:type="dxa"/>
            <w:shd w:val="clear" w:color="auto" w:fill="C6EFCE"/>
            <w:noWrap/>
            <w:vAlign w:val="center"/>
          </w:tcPr>
          <w:p w14:paraId="38779E69" w14:textId="77777777" w:rsidR="003F5418" w:rsidRDefault="002A6C25">
            <w:pPr>
              <w:pStyle w:val="P68B1DB1-Normal4"/>
              <w:jc w:val="both"/>
              <w:rPr>
                <w:noProof/>
              </w:rPr>
            </w:pPr>
            <w:r>
              <w:rPr>
                <w:noProof/>
              </w:rPr>
              <w:t>Beruházás – Az ökológiai átállásban aktív induló vállalkozások és kockázati tőke támogatása.</w:t>
            </w:r>
          </w:p>
        </w:tc>
        <w:tc>
          <w:tcPr>
            <w:tcW w:w="1559" w:type="dxa"/>
            <w:shd w:val="clear" w:color="auto" w:fill="C6EFCE"/>
            <w:noWrap/>
            <w:vAlign w:val="center"/>
          </w:tcPr>
          <w:p w14:paraId="600504D3" w14:textId="77777777" w:rsidR="003F5418" w:rsidRDefault="002A6C25">
            <w:pPr>
              <w:pStyle w:val="P68B1DB1-Normal4"/>
              <w:jc w:val="both"/>
              <w:rPr>
                <w:noProof/>
              </w:rPr>
            </w:pPr>
            <w:r>
              <w:rPr>
                <w:noProof/>
              </w:rPr>
              <w:t>Mérföldkő</w:t>
            </w:r>
          </w:p>
        </w:tc>
        <w:tc>
          <w:tcPr>
            <w:tcW w:w="1559" w:type="dxa"/>
            <w:shd w:val="clear" w:color="auto" w:fill="C6EFCE"/>
            <w:noWrap/>
            <w:vAlign w:val="center"/>
          </w:tcPr>
          <w:p w14:paraId="3B96F4F5" w14:textId="77777777" w:rsidR="003F5418" w:rsidRDefault="002A6C25">
            <w:pPr>
              <w:pStyle w:val="P68B1DB1-Normal4"/>
              <w:jc w:val="both"/>
              <w:rPr>
                <w:noProof/>
              </w:rPr>
            </w:pPr>
            <w:r>
              <w:rPr>
                <w:noProof/>
              </w:rPr>
              <w:t>A minisztérium befejezte a CDP Venture Capital SGR részére történő pénzátutalást</w:t>
            </w:r>
          </w:p>
        </w:tc>
        <w:tc>
          <w:tcPr>
            <w:tcW w:w="1843" w:type="dxa"/>
            <w:shd w:val="clear" w:color="auto" w:fill="C6EFCE"/>
            <w:noWrap/>
            <w:vAlign w:val="center"/>
          </w:tcPr>
          <w:p w14:paraId="294040D5" w14:textId="77777777" w:rsidR="003F5418" w:rsidRDefault="002A6C25">
            <w:pPr>
              <w:pStyle w:val="P68B1DB1-Normal4"/>
              <w:jc w:val="center"/>
              <w:rPr>
                <w:noProof/>
              </w:rPr>
            </w:pPr>
            <w:r>
              <w:rPr>
                <w:noProof/>
              </w:rPr>
              <w:t>Átutalási igazolás</w:t>
            </w:r>
          </w:p>
        </w:tc>
        <w:tc>
          <w:tcPr>
            <w:tcW w:w="1417" w:type="dxa"/>
            <w:shd w:val="clear" w:color="auto" w:fill="C6EFCE"/>
            <w:noWrap/>
            <w:vAlign w:val="center"/>
          </w:tcPr>
          <w:p w14:paraId="2103FF7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16BB0FA" w14:textId="77777777" w:rsidR="003F5418" w:rsidRDefault="002A6C25">
            <w:pPr>
              <w:pStyle w:val="P68B1DB1-Normal4"/>
              <w:jc w:val="center"/>
              <w:rPr>
                <w:noProof/>
              </w:rPr>
            </w:pPr>
            <w:r>
              <w:rPr>
                <w:noProof/>
              </w:rPr>
              <w:t xml:space="preserve"> NINCS</w:t>
            </w:r>
          </w:p>
        </w:tc>
        <w:tc>
          <w:tcPr>
            <w:tcW w:w="946" w:type="dxa"/>
            <w:shd w:val="clear" w:color="auto" w:fill="C6EFCE"/>
            <w:noWrap/>
            <w:vAlign w:val="center"/>
          </w:tcPr>
          <w:p w14:paraId="0B712444"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0E88F616" w14:textId="77777777" w:rsidR="003F5418" w:rsidRDefault="002A6C25">
            <w:pPr>
              <w:pStyle w:val="P68B1DB1-Normal4"/>
              <w:jc w:val="center"/>
              <w:rPr>
                <w:noProof/>
              </w:rPr>
            </w:pPr>
            <w:r>
              <w:rPr>
                <w:noProof/>
              </w:rPr>
              <w:t>Q4</w:t>
            </w:r>
          </w:p>
        </w:tc>
        <w:tc>
          <w:tcPr>
            <w:tcW w:w="756" w:type="dxa"/>
            <w:shd w:val="clear" w:color="auto" w:fill="C6EFCE"/>
            <w:noWrap/>
            <w:vAlign w:val="center"/>
          </w:tcPr>
          <w:p w14:paraId="37555201" w14:textId="77777777" w:rsidR="003F5418" w:rsidRDefault="002A6C25">
            <w:pPr>
              <w:pStyle w:val="P68B1DB1-Normal4"/>
              <w:jc w:val="center"/>
              <w:rPr>
                <w:noProof/>
              </w:rPr>
            </w:pPr>
            <w:r>
              <w:rPr>
                <w:noProof/>
              </w:rPr>
              <w:t>2024</w:t>
            </w:r>
          </w:p>
        </w:tc>
        <w:tc>
          <w:tcPr>
            <w:tcW w:w="2793" w:type="dxa"/>
            <w:shd w:val="clear" w:color="auto" w:fill="C6EFCE"/>
            <w:noWrap/>
            <w:vAlign w:val="center"/>
          </w:tcPr>
          <w:p w14:paraId="5F37CA0D" w14:textId="37AF5435" w:rsidR="003F5418" w:rsidRDefault="002A6C25">
            <w:pPr>
              <w:pStyle w:val="P68B1DB1-Normal4"/>
              <w:spacing w:after="120"/>
              <w:jc w:val="both"/>
              <w:rPr>
                <w:noProof/>
              </w:rPr>
            </w:pPr>
            <w:r>
              <w:rPr>
                <w:noProof/>
              </w:rPr>
              <w:t xml:space="preserve">Olaszország </w:t>
            </w:r>
            <w:r>
              <w:rPr>
                <w:noProof/>
              </w:rPr>
              <w:t>250 000 000 EUR-t utal át a CDP Venture Capital SGR-nek az eszköz céljára.</w:t>
            </w:r>
          </w:p>
          <w:p w14:paraId="7A4F3ED1" w14:textId="77777777" w:rsidR="003F5418" w:rsidRDefault="002A6C25">
            <w:pPr>
              <w:pStyle w:val="P68B1DB1-Normal4"/>
              <w:rPr>
                <w:noProof/>
              </w:rPr>
            </w:pPr>
            <w:r>
              <w:rPr>
                <w:noProof/>
              </w:rPr>
              <w:t xml:space="preserve">A cél kielégítő teljesítése szükségessé teszi az Olaszország és a CDP Venture Capital SGR közötti végrehajtási megállapodás, valamint az eszköz belső szabályzatának módosítását is, </w:t>
            </w:r>
            <w:r>
              <w:rPr>
                <w:noProof/>
              </w:rPr>
              <w:t>a tanácsi végrehajtási határozatban meghatározott feltételekkel összhangban.</w:t>
            </w:r>
          </w:p>
        </w:tc>
      </w:tr>
      <w:tr w:rsidR="003F5418" w14:paraId="11E44B73" w14:textId="77777777">
        <w:trPr>
          <w:trHeight w:val="309"/>
          <w:jc w:val="center"/>
        </w:trPr>
        <w:tc>
          <w:tcPr>
            <w:tcW w:w="1613" w:type="dxa"/>
            <w:shd w:val="clear" w:color="auto" w:fill="C6EFCE"/>
            <w:noWrap/>
            <w:vAlign w:val="center"/>
          </w:tcPr>
          <w:p w14:paraId="5A802E49" w14:textId="77777777" w:rsidR="003F5418" w:rsidRDefault="002A6C25">
            <w:pPr>
              <w:pStyle w:val="P68B1DB1-Normal4"/>
              <w:jc w:val="center"/>
              <w:rPr>
                <w:noProof/>
              </w:rPr>
            </w:pPr>
            <w:r>
              <w:rPr>
                <w:noProof/>
              </w:rPr>
              <w:t>M2C2–43</w:t>
            </w:r>
          </w:p>
        </w:tc>
        <w:tc>
          <w:tcPr>
            <w:tcW w:w="1643" w:type="dxa"/>
            <w:shd w:val="clear" w:color="auto" w:fill="C6EFCE"/>
            <w:noWrap/>
            <w:vAlign w:val="center"/>
          </w:tcPr>
          <w:p w14:paraId="027C804A" w14:textId="77777777" w:rsidR="003F5418" w:rsidRDefault="002A6C25">
            <w:pPr>
              <w:pStyle w:val="P68B1DB1-Normal4"/>
              <w:jc w:val="center"/>
              <w:rPr>
                <w:noProof/>
              </w:rPr>
            </w:pPr>
            <w:r>
              <w:rPr>
                <w:noProof/>
              </w:rPr>
              <w:t>Beruházás – Az ökológiai átállásban aktív induló vállalkozások és kockázati tőke támogatása.</w:t>
            </w:r>
          </w:p>
        </w:tc>
        <w:tc>
          <w:tcPr>
            <w:tcW w:w="1559" w:type="dxa"/>
            <w:shd w:val="clear" w:color="auto" w:fill="C6EFCE"/>
            <w:noWrap/>
            <w:vAlign w:val="center"/>
          </w:tcPr>
          <w:p w14:paraId="7D523B38"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56B6D738" w14:textId="77777777" w:rsidR="003F5418" w:rsidRDefault="002A6C25">
            <w:pPr>
              <w:pStyle w:val="P68B1DB1-Normal4"/>
              <w:jc w:val="center"/>
              <w:rPr>
                <w:noProof/>
              </w:rPr>
            </w:pPr>
            <w:r>
              <w:rPr>
                <w:noProof/>
              </w:rPr>
              <w:t xml:space="preserve">Kockázatitőke-alapokkal és induló vállalkozásokkal aláírt jogi </w:t>
            </w:r>
            <w:r>
              <w:rPr>
                <w:noProof/>
              </w:rPr>
              <w:t>megállapodások</w:t>
            </w:r>
          </w:p>
        </w:tc>
        <w:tc>
          <w:tcPr>
            <w:tcW w:w="1843" w:type="dxa"/>
            <w:shd w:val="clear" w:color="auto" w:fill="C6EFCE"/>
            <w:noWrap/>
            <w:vAlign w:val="center"/>
          </w:tcPr>
          <w:p w14:paraId="3F6B6446" w14:textId="77777777" w:rsidR="003F5418" w:rsidRDefault="003F5418">
            <w:pPr>
              <w:jc w:val="center"/>
              <w:rPr>
                <w:rFonts w:ascii="Arial Narrow" w:hAnsi="Arial Narrow"/>
                <w:noProof/>
                <w:color w:val="006100"/>
                <w:sz w:val="20"/>
              </w:rPr>
            </w:pPr>
          </w:p>
        </w:tc>
        <w:tc>
          <w:tcPr>
            <w:tcW w:w="1417" w:type="dxa"/>
            <w:shd w:val="clear" w:color="auto" w:fill="C6EFCE"/>
            <w:noWrap/>
            <w:vAlign w:val="center"/>
          </w:tcPr>
          <w:p w14:paraId="15F29E9C" w14:textId="77777777" w:rsidR="003F5418" w:rsidRDefault="002A6C25">
            <w:pPr>
              <w:pStyle w:val="P68B1DB1-Normal4"/>
              <w:jc w:val="center"/>
              <w:rPr>
                <w:noProof/>
              </w:rPr>
            </w:pPr>
            <w:r>
              <w:rPr>
                <w:noProof/>
              </w:rPr>
              <w:t>EUR</w:t>
            </w:r>
          </w:p>
        </w:tc>
        <w:tc>
          <w:tcPr>
            <w:tcW w:w="1134" w:type="dxa"/>
            <w:shd w:val="clear" w:color="auto" w:fill="C6EFCE"/>
            <w:noWrap/>
            <w:vAlign w:val="center"/>
          </w:tcPr>
          <w:p w14:paraId="17BB7D99" w14:textId="77777777" w:rsidR="003F5418" w:rsidRDefault="002A6C25">
            <w:pPr>
              <w:pStyle w:val="P68B1DB1-Normal4"/>
              <w:jc w:val="center"/>
              <w:rPr>
                <w:noProof/>
              </w:rPr>
            </w:pPr>
            <w:r>
              <w:rPr>
                <w:noProof/>
              </w:rPr>
              <w:t>0</w:t>
            </w:r>
          </w:p>
        </w:tc>
        <w:tc>
          <w:tcPr>
            <w:tcW w:w="946" w:type="dxa"/>
            <w:shd w:val="clear" w:color="auto" w:fill="C6EFCE"/>
            <w:noWrap/>
            <w:vAlign w:val="center"/>
          </w:tcPr>
          <w:p w14:paraId="0ECE0F88" w14:textId="77777777" w:rsidR="003F5418" w:rsidRDefault="002A6C25">
            <w:pPr>
              <w:pStyle w:val="P68B1DB1-Normal4"/>
              <w:jc w:val="center"/>
              <w:rPr>
                <w:noProof/>
              </w:rPr>
            </w:pPr>
            <w:r>
              <w:rPr>
                <w:noProof/>
              </w:rPr>
              <w:t>100%-OS</w:t>
            </w:r>
          </w:p>
        </w:tc>
        <w:tc>
          <w:tcPr>
            <w:tcW w:w="992" w:type="dxa"/>
            <w:shd w:val="clear" w:color="auto" w:fill="C6EFCE"/>
            <w:noWrap/>
            <w:vAlign w:val="center"/>
          </w:tcPr>
          <w:p w14:paraId="123689AF"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514CB7AB" w14:textId="77777777" w:rsidR="003F5418" w:rsidRDefault="002A6C25">
            <w:pPr>
              <w:pStyle w:val="P68B1DB1-Normal4"/>
              <w:jc w:val="center"/>
              <w:rPr>
                <w:noProof/>
              </w:rPr>
            </w:pPr>
            <w:r>
              <w:rPr>
                <w:noProof/>
              </w:rPr>
              <w:t>2026</w:t>
            </w:r>
          </w:p>
        </w:tc>
        <w:tc>
          <w:tcPr>
            <w:tcW w:w="2793" w:type="dxa"/>
            <w:shd w:val="clear" w:color="auto" w:fill="C6EFCE"/>
            <w:noWrap/>
          </w:tcPr>
          <w:p w14:paraId="072F04B3" w14:textId="77777777" w:rsidR="003F5418" w:rsidRDefault="002A6C25">
            <w:pPr>
              <w:pStyle w:val="P68B1DB1-Normal4"/>
              <w:jc w:val="both"/>
              <w:rPr>
                <w:noProof/>
              </w:rPr>
            </w:pPr>
            <w:r>
              <w:rPr>
                <w:noProof/>
              </w:rPr>
              <w:t xml:space="preserve">A Cassa Depositi e Prestiti Venture Capital jogi finanszírozási megállapodásokat kötött induló innovatív vállalkozásokkal, inkubációs/gyorsító programokkal vagy kockázatitőke-alapokkal a Helyreállítási és </w:t>
            </w:r>
            <w:r>
              <w:rPr>
                <w:noProof/>
              </w:rPr>
              <w:t>Rezilienciaépítési Eszközbe történő beruházás 100%-ának (250 millió EUR) felhasználásához szükséges összegről (beleértve az alap életciklusa során az irányítási díjak és a GTF költségeinek átlagosan legfeljebb 13%-át kitevő felső korlátot, valamint a későb</w:t>
            </w:r>
            <w:r>
              <w:rPr>
                <w:noProof/>
              </w:rPr>
              <w:t>bi befektetési fordulókra vonatkozó előzetes feltételeket is, kivéve az érdekeltséget, a teljesítménydíjakat, valamint a harmadik fél alapokhoz kapcsolódó valamennyi költség- és kezelési díjat).</w:t>
            </w:r>
          </w:p>
          <w:p w14:paraId="31D3F7E2" w14:textId="77777777" w:rsidR="003F5418" w:rsidRDefault="003F5418">
            <w:pPr>
              <w:jc w:val="both"/>
              <w:rPr>
                <w:rFonts w:ascii="Arial Narrow" w:hAnsi="Arial Narrow"/>
                <w:noProof/>
                <w:color w:val="006100"/>
                <w:sz w:val="20"/>
              </w:rPr>
            </w:pPr>
          </w:p>
          <w:p w14:paraId="2BD95D10" w14:textId="77777777" w:rsidR="003F5418" w:rsidRDefault="002A6C25">
            <w:pPr>
              <w:pStyle w:val="P68B1DB1-Normal4"/>
              <w:jc w:val="both"/>
              <w:rPr>
                <w:noProof/>
              </w:rPr>
            </w:pPr>
            <w:r>
              <w:rPr>
                <w:noProof/>
              </w:rPr>
              <w:t>A beruházást a következő két beavatkozási sorra kell bontani</w:t>
            </w:r>
            <w:r>
              <w:rPr>
                <w:noProof/>
              </w:rPr>
              <w:t>:</w:t>
            </w:r>
          </w:p>
          <w:p w14:paraId="4CD3FEFC" w14:textId="77777777" w:rsidR="003F5418" w:rsidRDefault="003F5418">
            <w:pPr>
              <w:jc w:val="both"/>
              <w:rPr>
                <w:rFonts w:ascii="Arial Narrow" w:hAnsi="Arial Narrow"/>
                <w:noProof/>
                <w:color w:val="006100"/>
                <w:sz w:val="20"/>
              </w:rPr>
            </w:pPr>
          </w:p>
          <w:p w14:paraId="7BE9F105" w14:textId="77777777" w:rsidR="003F5418" w:rsidRDefault="002A6C25">
            <w:pPr>
              <w:pStyle w:val="P68B1DB1-Normal4"/>
              <w:jc w:val="both"/>
              <w:rPr>
                <w:noProof/>
              </w:rPr>
            </w:pPr>
            <w:r>
              <w:rPr>
                <w:noProof/>
              </w:rPr>
              <w:t>– Közvetlen befektetés.</w:t>
            </w:r>
          </w:p>
          <w:p w14:paraId="58D04719" w14:textId="77777777" w:rsidR="003F5418" w:rsidRDefault="003F5418">
            <w:pPr>
              <w:jc w:val="both"/>
              <w:rPr>
                <w:rFonts w:ascii="Arial Narrow" w:hAnsi="Arial Narrow"/>
                <w:noProof/>
                <w:color w:val="006100"/>
                <w:sz w:val="20"/>
              </w:rPr>
            </w:pPr>
          </w:p>
          <w:p w14:paraId="494474B4" w14:textId="77777777" w:rsidR="003F5418" w:rsidRDefault="002A6C25">
            <w:pPr>
              <w:pStyle w:val="P68B1DB1-Normal4"/>
              <w:jc w:val="both"/>
              <w:rPr>
                <w:noProof/>
              </w:rPr>
            </w:pPr>
            <w:r>
              <w:rPr>
                <w:noProof/>
              </w:rPr>
              <w:t>– Közvetett beruházás.</w:t>
            </w:r>
          </w:p>
          <w:p w14:paraId="623E096F" w14:textId="77777777" w:rsidR="003F5418" w:rsidRDefault="003F5418">
            <w:pPr>
              <w:jc w:val="both"/>
              <w:rPr>
                <w:rFonts w:ascii="Arial Narrow" w:hAnsi="Arial Narrow"/>
                <w:noProof/>
                <w:color w:val="006100"/>
                <w:sz w:val="20"/>
              </w:rPr>
            </w:pPr>
          </w:p>
          <w:p w14:paraId="00FCE4AF" w14:textId="77777777" w:rsidR="003F5418" w:rsidRDefault="002A6C25">
            <w:pPr>
              <w:pStyle w:val="P68B1DB1-Normal4"/>
              <w:jc w:val="both"/>
              <w:rPr>
                <w:noProof/>
              </w:rPr>
            </w:pPr>
            <w:r>
              <w:rPr>
                <w:noProof/>
              </w:rPr>
              <w:t>A kockázatitőke-alapokba történő közvetett befektetések esetében a Cassa Depositi e Prestiti Venture Capital jogi finanszírozási megállapodásokat köt a kockázatitőke-alapokkal a Helyreállítási és Rezilien</w:t>
            </w:r>
            <w:r>
              <w:rPr>
                <w:noProof/>
              </w:rPr>
              <w:t xml:space="preserve">ciaépítési Eszközbe történő beruházás mintegy 60%-ának indikatív felhasználásához szükséges összegről (kivéve a GTF kezelési díjait és költségeit az alap életciklusa során). </w:t>
            </w:r>
          </w:p>
          <w:p w14:paraId="00DDBCA2" w14:textId="77777777" w:rsidR="003F5418" w:rsidRDefault="003F5418">
            <w:pPr>
              <w:jc w:val="both"/>
              <w:rPr>
                <w:rFonts w:ascii="Arial Narrow" w:hAnsi="Arial Narrow"/>
                <w:noProof/>
                <w:color w:val="006100"/>
                <w:sz w:val="20"/>
              </w:rPr>
            </w:pPr>
          </w:p>
          <w:p w14:paraId="559A4906" w14:textId="77777777" w:rsidR="003F5418" w:rsidRDefault="002A6C25">
            <w:pPr>
              <w:pStyle w:val="P68B1DB1-Normal4"/>
              <w:jc w:val="both"/>
              <w:rPr>
                <w:noProof/>
              </w:rPr>
            </w:pPr>
            <w:r>
              <w:rPr>
                <w:noProof/>
              </w:rPr>
              <w:t>Az induló innovatív vállalkozásokba történő közvetett beruházások esetében a koc</w:t>
            </w:r>
            <w:r>
              <w:rPr>
                <w:noProof/>
              </w:rPr>
              <w:t>kázatitőke-alapokkal kötött jogi finanszírozási megállapodásoknak kötelező érvényű kötelezettségvállalást kell tartalmazniuk arra vonatkozóan, hogy az alapok szintjén és az induló vállalkozások szintjén egyaránt legalább 1x1 értékű halmozott tőkeáttételi h</w:t>
            </w:r>
            <w:r>
              <w:rPr>
                <w:noProof/>
              </w:rPr>
              <w:t>atást érnek el az alap teljes élettartama alatt.</w:t>
            </w:r>
          </w:p>
          <w:p w14:paraId="1AF05D09" w14:textId="77777777" w:rsidR="003F5418" w:rsidRDefault="003F5418">
            <w:pPr>
              <w:jc w:val="both"/>
              <w:rPr>
                <w:rFonts w:ascii="Arial Narrow" w:hAnsi="Arial Narrow"/>
                <w:noProof/>
                <w:color w:val="006100"/>
                <w:sz w:val="20"/>
              </w:rPr>
            </w:pPr>
          </w:p>
          <w:p w14:paraId="122DD214" w14:textId="77777777" w:rsidR="003F5418" w:rsidRDefault="002A6C25">
            <w:pPr>
              <w:pStyle w:val="P68B1DB1-Normal4"/>
              <w:jc w:val="both"/>
              <w:rPr>
                <w:noProof/>
              </w:rPr>
            </w:pPr>
            <w:r>
              <w:rPr>
                <w:noProof/>
              </w:rPr>
              <w:t>A közvetlen befektetések esetében a CDP kockázatitőke-befektetéseinek jogi finanszírozási megállapodásokat kell kötniük induló innovatív vállalkozásokkal/inkubációs/gyorsítási programokkal, amelyek a Helyre</w:t>
            </w:r>
            <w:r>
              <w:rPr>
                <w:noProof/>
              </w:rPr>
              <w:t>állítási és Rezilienciaépítési Eszközbe történő beruházás mintegy 40%-ának (250 millió EUR) indikatív felhasználásához szükségesek (beleértve a GTF kezelési díjait és költségeit az alap életciklusa során).</w:t>
            </w:r>
          </w:p>
          <w:p w14:paraId="02E0F866" w14:textId="77777777" w:rsidR="003F5418" w:rsidRDefault="002A6C25">
            <w:pPr>
              <w:pStyle w:val="P68B1DB1-Normal4"/>
              <w:jc w:val="both"/>
              <w:rPr>
                <w:noProof/>
              </w:rPr>
            </w:pPr>
            <w:r>
              <w:rPr>
                <w:noProof/>
              </w:rPr>
              <w:t>A közvetlen befektetések esetében az induló innova</w:t>
            </w:r>
            <w:r>
              <w:rPr>
                <w:noProof/>
              </w:rPr>
              <w:t>tív vállalkozásokkal kötött jogi finanszírozási megállapodás előzetes feltételeket is tartalmazhat a későbbi beruházási fordulókra vonatkozóan (azaz a Serie B vagy Serie C finanszírozás felszabadításának feltételeit).</w:t>
            </w:r>
          </w:p>
          <w:p w14:paraId="0BA61E33" w14:textId="77777777" w:rsidR="003F5418" w:rsidRDefault="003F5418">
            <w:pPr>
              <w:jc w:val="both"/>
              <w:rPr>
                <w:rFonts w:ascii="Arial Narrow" w:hAnsi="Arial Narrow"/>
                <w:noProof/>
                <w:color w:val="006100"/>
                <w:sz w:val="20"/>
              </w:rPr>
            </w:pPr>
          </w:p>
          <w:p w14:paraId="7EE14665" w14:textId="77777777" w:rsidR="003F5418" w:rsidRDefault="002A6C25">
            <w:pPr>
              <w:pStyle w:val="P68B1DB1-Normal4"/>
              <w:jc w:val="both"/>
              <w:rPr>
                <w:noProof/>
              </w:rPr>
            </w:pPr>
            <w:r>
              <w:rPr>
                <w:noProof/>
              </w:rPr>
              <w:t>Az ezen intézkedés keretében a végreh</w:t>
            </w:r>
            <w:r>
              <w:rPr>
                <w:noProof/>
              </w:rPr>
              <w:t xml:space="preserve">ajtási megállapodás beruházási politikája módosításainak hatálybalépése előtt és a korábbi M2C2–42. mérföldkő szerinti megállapodásnak megfelelően megkötött kötelezettségvállalásokat szintén bele kell számítani a cél elérésébe. </w:t>
            </w:r>
          </w:p>
          <w:p w14:paraId="2356868C" w14:textId="77777777" w:rsidR="003F5418" w:rsidRDefault="002A6C25">
            <w:pPr>
              <w:pStyle w:val="P68B1DB1-Normal4"/>
              <w:jc w:val="both"/>
              <w:rPr>
                <w:noProof/>
              </w:rPr>
            </w:pPr>
            <w:r>
              <w:rPr>
                <w:noProof/>
              </w:rPr>
              <w:t>A tanácsi végrehajtási hatá</w:t>
            </w:r>
            <w:r>
              <w:rPr>
                <w:noProof/>
              </w:rPr>
              <w:t xml:space="preserve">rozat hatálybalépésének időpontjától kezdődően az új kötelezettségvállalásoknak az új tanácsi végrehajtási határozat szerinti új beruházási politikát kell követniük. </w:t>
            </w:r>
          </w:p>
          <w:p w14:paraId="497468C6" w14:textId="77777777" w:rsidR="003F5418" w:rsidRDefault="003F5418">
            <w:pPr>
              <w:rPr>
                <w:rFonts w:ascii="Arial Narrow" w:hAnsi="Arial Narrow"/>
                <w:noProof/>
                <w:sz w:val="20"/>
              </w:rPr>
            </w:pPr>
          </w:p>
        </w:tc>
      </w:tr>
      <w:tr w:rsidR="003F5418" w14:paraId="3FE58104" w14:textId="77777777">
        <w:trPr>
          <w:trHeight w:val="309"/>
          <w:jc w:val="center"/>
        </w:trPr>
        <w:tc>
          <w:tcPr>
            <w:tcW w:w="1613" w:type="dxa"/>
            <w:shd w:val="clear" w:color="auto" w:fill="C6EFCE"/>
            <w:noWrap/>
            <w:vAlign w:val="center"/>
            <w:hideMark/>
          </w:tcPr>
          <w:p w14:paraId="7E2F343E" w14:textId="77777777" w:rsidR="003F5418" w:rsidRDefault="002A6C25">
            <w:pPr>
              <w:pStyle w:val="P68B1DB1-Normal4"/>
              <w:jc w:val="center"/>
              <w:rPr>
                <w:noProof/>
              </w:rPr>
            </w:pPr>
            <w:r>
              <w:rPr>
                <w:noProof/>
              </w:rPr>
              <w:t>M2C2–44. INTÉZKEDÉS</w:t>
            </w:r>
          </w:p>
        </w:tc>
        <w:tc>
          <w:tcPr>
            <w:tcW w:w="1643" w:type="dxa"/>
            <w:shd w:val="clear" w:color="auto" w:fill="C6EFCE"/>
            <w:noWrap/>
            <w:vAlign w:val="center"/>
            <w:hideMark/>
          </w:tcPr>
          <w:p w14:paraId="73F43AF0" w14:textId="77777777" w:rsidR="003F5418" w:rsidRDefault="002A6C25">
            <w:pPr>
              <w:pStyle w:val="P68B1DB1-Normal4"/>
              <w:jc w:val="center"/>
              <w:rPr>
                <w:noProof/>
              </w:rPr>
            </w:pPr>
            <w:r>
              <w:rPr>
                <w:noProof/>
              </w:rPr>
              <w:t>Beruházás: Agrárműrendszerek fejlesztése</w:t>
            </w:r>
          </w:p>
        </w:tc>
        <w:tc>
          <w:tcPr>
            <w:tcW w:w="1559" w:type="dxa"/>
            <w:shd w:val="clear" w:color="auto" w:fill="C6EFCE"/>
            <w:noWrap/>
            <w:vAlign w:val="center"/>
            <w:hideMark/>
          </w:tcPr>
          <w:p w14:paraId="7B85F24F" w14:textId="77777777" w:rsidR="003F5418" w:rsidRDefault="002A6C25">
            <w:pPr>
              <w:pStyle w:val="P68B1DB1-Normal4"/>
              <w:jc w:val="center"/>
              <w:rPr>
                <w:noProof/>
              </w:rPr>
            </w:pPr>
            <w:r>
              <w:rPr>
                <w:noProof/>
              </w:rPr>
              <w:t>Mérföldkő</w:t>
            </w:r>
          </w:p>
        </w:tc>
        <w:tc>
          <w:tcPr>
            <w:tcW w:w="1559" w:type="dxa"/>
            <w:shd w:val="clear" w:color="auto" w:fill="C6EFCE"/>
            <w:noWrap/>
            <w:vAlign w:val="center"/>
            <w:hideMark/>
          </w:tcPr>
          <w:p w14:paraId="5CADBAE8" w14:textId="77777777" w:rsidR="003F5418" w:rsidRDefault="002A6C25">
            <w:pPr>
              <w:pStyle w:val="P68B1DB1-Normal4"/>
              <w:jc w:val="center"/>
              <w:rPr>
                <w:noProof/>
              </w:rPr>
            </w:pPr>
            <w:r>
              <w:rPr>
                <w:noProof/>
              </w:rPr>
              <w:t xml:space="preserve">A fotovoltaikus </w:t>
            </w:r>
            <w:r>
              <w:rPr>
                <w:noProof/>
              </w:rPr>
              <w:t>napelemek mezőgazdasági fotovoltaikus rendszerekbe történő telepítésére irányuló valamennyi közbeszerzési szerződés odaítélése</w:t>
            </w:r>
          </w:p>
        </w:tc>
        <w:tc>
          <w:tcPr>
            <w:tcW w:w="1843" w:type="dxa"/>
            <w:shd w:val="clear" w:color="auto" w:fill="C6EFCE"/>
            <w:noWrap/>
            <w:vAlign w:val="center"/>
            <w:hideMark/>
          </w:tcPr>
          <w:p w14:paraId="0FE83A04" w14:textId="77777777" w:rsidR="003F5418" w:rsidRDefault="002A6C25">
            <w:pPr>
              <w:pStyle w:val="P68B1DB1-Normal4"/>
              <w:jc w:val="center"/>
              <w:rPr>
                <w:noProof/>
              </w:rPr>
            </w:pPr>
            <w:r>
              <w:rPr>
                <w:noProof/>
              </w:rPr>
              <w:t>Értesítés a fotovoltaikus napelemek mezőgazdasági fotovoltaikus rendszerekbe történő telepítésére irányuló valamennyi közbeszerzé</w:t>
            </w:r>
            <w:r>
              <w:rPr>
                <w:noProof/>
              </w:rPr>
              <w:t xml:space="preserve">si szerződés odaítéléséről </w:t>
            </w:r>
          </w:p>
        </w:tc>
        <w:tc>
          <w:tcPr>
            <w:tcW w:w="1417" w:type="dxa"/>
            <w:shd w:val="clear" w:color="auto" w:fill="C6EFCE"/>
            <w:noWrap/>
            <w:vAlign w:val="center"/>
            <w:hideMark/>
          </w:tcPr>
          <w:p w14:paraId="5B0655DC"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1D18D1C9" w14:textId="77777777" w:rsidR="003F5418" w:rsidRDefault="002A6C25">
            <w:pPr>
              <w:pStyle w:val="P68B1DB1-Normal4"/>
              <w:jc w:val="center"/>
              <w:rPr>
                <w:noProof/>
              </w:rPr>
            </w:pPr>
            <w:r>
              <w:rPr>
                <w:noProof/>
              </w:rPr>
              <w:t>NINCS</w:t>
            </w:r>
          </w:p>
        </w:tc>
        <w:tc>
          <w:tcPr>
            <w:tcW w:w="946" w:type="dxa"/>
            <w:shd w:val="clear" w:color="auto" w:fill="C6EFCE"/>
            <w:noWrap/>
            <w:vAlign w:val="center"/>
            <w:hideMark/>
          </w:tcPr>
          <w:p w14:paraId="5C34BEF8" w14:textId="77777777" w:rsidR="003F5418" w:rsidRDefault="002A6C25">
            <w:pPr>
              <w:pStyle w:val="P68B1DB1-Normal4"/>
              <w:jc w:val="center"/>
              <w:rPr>
                <w:noProof/>
              </w:rPr>
            </w:pPr>
            <w:r>
              <w:rPr>
                <w:noProof/>
              </w:rPr>
              <w:t>NINCS</w:t>
            </w:r>
          </w:p>
        </w:tc>
        <w:tc>
          <w:tcPr>
            <w:tcW w:w="992" w:type="dxa"/>
            <w:shd w:val="clear" w:color="auto" w:fill="C6EFCE"/>
            <w:noWrap/>
            <w:vAlign w:val="center"/>
            <w:hideMark/>
          </w:tcPr>
          <w:p w14:paraId="6E8F1DB6" w14:textId="77777777" w:rsidR="003F5418" w:rsidRDefault="002A6C25">
            <w:pPr>
              <w:pStyle w:val="P68B1DB1-Normal4"/>
              <w:jc w:val="center"/>
              <w:rPr>
                <w:noProof/>
              </w:rPr>
            </w:pPr>
            <w:r>
              <w:rPr>
                <w:noProof/>
              </w:rPr>
              <w:t>Q4</w:t>
            </w:r>
          </w:p>
        </w:tc>
        <w:tc>
          <w:tcPr>
            <w:tcW w:w="756" w:type="dxa"/>
            <w:shd w:val="clear" w:color="auto" w:fill="C6EFCE"/>
            <w:noWrap/>
            <w:vAlign w:val="center"/>
            <w:hideMark/>
          </w:tcPr>
          <w:p w14:paraId="0373C55C" w14:textId="77777777" w:rsidR="003F5418" w:rsidRDefault="002A6C25">
            <w:pPr>
              <w:pStyle w:val="P68B1DB1-Normal4"/>
              <w:jc w:val="center"/>
              <w:rPr>
                <w:noProof/>
              </w:rPr>
            </w:pPr>
            <w:r>
              <w:rPr>
                <w:noProof/>
              </w:rPr>
              <w:t>2024</w:t>
            </w:r>
          </w:p>
        </w:tc>
        <w:tc>
          <w:tcPr>
            <w:tcW w:w="2793" w:type="dxa"/>
            <w:shd w:val="clear" w:color="auto" w:fill="C6EFCE"/>
            <w:noWrap/>
            <w:vAlign w:val="center"/>
            <w:hideMark/>
          </w:tcPr>
          <w:p w14:paraId="0B66FFD1" w14:textId="77777777" w:rsidR="003F5418" w:rsidRDefault="002A6C25">
            <w:pPr>
              <w:pStyle w:val="P68B1DB1-Normal4"/>
              <w:rPr>
                <w:noProof/>
              </w:rPr>
            </w:pPr>
            <w:r>
              <w:rPr>
                <w:noProof/>
              </w:rPr>
              <w:t>Értesítés a fotovoltaikus napelemek és mérőműszerek agrovoltaikus rendszerekbe történő telepítésére irányuló valamennyi közbeszerzési szerződés odaítéléséről.</w:t>
            </w:r>
          </w:p>
          <w:p w14:paraId="09709A8B" w14:textId="77777777" w:rsidR="003F5418" w:rsidRDefault="002A6C25">
            <w:pPr>
              <w:pStyle w:val="P68B1DB1-Normal4"/>
              <w:rPr>
                <w:noProof/>
              </w:rPr>
            </w:pPr>
            <w:r>
              <w:rPr>
                <w:noProof/>
              </w:rPr>
              <w:t>A kísérleti jellegű agrovoltaikus rendszere</w:t>
            </w:r>
            <w:r>
              <w:rPr>
                <w:noProof/>
              </w:rPr>
              <w:t>k telepített teljesítménye várhatóan ösztönzi az olyan földi létesítmények innovatív megoldásainak kifejlesztését, amelyekben egyszerre több földhasználat is létezhet, ami versengő előnyökkel jár. Az üzemek üzembe helyezését a nemzeti Gaudì-rendszerben (te</w:t>
            </w:r>
            <w:r>
              <w:rPr>
                <w:noProof/>
              </w:rPr>
              <w:t>rmelőüzemi nyilvántartás) rögzítik, amely meggyőzően bizonyítja a célkitűzések elérését.</w:t>
            </w:r>
          </w:p>
        </w:tc>
      </w:tr>
      <w:tr w:rsidR="003F5418" w14:paraId="6D6BE188" w14:textId="77777777">
        <w:trPr>
          <w:trHeight w:val="309"/>
          <w:jc w:val="center"/>
        </w:trPr>
        <w:tc>
          <w:tcPr>
            <w:tcW w:w="1613" w:type="dxa"/>
            <w:shd w:val="clear" w:color="auto" w:fill="C6EFCE"/>
            <w:noWrap/>
            <w:vAlign w:val="center"/>
            <w:hideMark/>
          </w:tcPr>
          <w:p w14:paraId="62934AF8" w14:textId="77777777" w:rsidR="003F5418" w:rsidRDefault="002A6C25">
            <w:pPr>
              <w:pStyle w:val="P68B1DB1-Normal4"/>
              <w:jc w:val="center"/>
              <w:rPr>
                <w:noProof/>
              </w:rPr>
            </w:pPr>
            <w:r>
              <w:rPr>
                <w:noProof/>
              </w:rPr>
              <w:t>M2C2–45</w:t>
            </w:r>
          </w:p>
        </w:tc>
        <w:tc>
          <w:tcPr>
            <w:tcW w:w="1643" w:type="dxa"/>
            <w:shd w:val="clear" w:color="auto" w:fill="C6EFCE"/>
            <w:noWrap/>
            <w:vAlign w:val="center"/>
            <w:hideMark/>
          </w:tcPr>
          <w:p w14:paraId="47B0081A" w14:textId="77777777" w:rsidR="003F5418" w:rsidRDefault="002A6C25">
            <w:pPr>
              <w:pStyle w:val="P68B1DB1-Normal4"/>
              <w:jc w:val="center"/>
              <w:rPr>
                <w:noProof/>
              </w:rPr>
            </w:pPr>
            <w:r>
              <w:rPr>
                <w:noProof/>
              </w:rPr>
              <w:t>Beruházás: Agrárműrendszerek fejlesztése</w:t>
            </w:r>
          </w:p>
        </w:tc>
        <w:tc>
          <w:tcPr>
            <w:tcW w:w="1559" w:type="dxa"/>
            <w:shd w:val="clear" w:color="auto" w:fill="C6EFCE"/>
            <w:noWrap/>
            <w:vAlign w:val="center"/>
            <w:hideMark/>
          </w:tcPr>
          <w:p w14:paraId="47339886" w14:textId="77777777" w:rsidR="003F5418" w:rsidRDefault="002A6C25">
            <w:pPr>
              <w:pStyle w:val="P68B1DB1-Normal4"/>
              <w:jc w:val="center"/>
              <w:rPr>
                <w:noProof/>
              </w:rPr>
            </w:pPr>
            <w:r>
              <w:rPr>
                <w:noProof/>
              </w:rPr>
              <w:t>Cél</w:t>
            </w:r>
          </w:p>
        </w:tc>
        <w:tc>
          <w:tcPr>
            <w:tcW w:w="1559" w:type="dxa"/>
            <w:shd w:val="clear" w:color="auto" w:fill="C6EFCE"/>
            <w:noWrap/>
            <w:vAlign w:val="center"/>
            <w:hideMark/>
          </w:tcPr>
          <w:p w14:paraId="216F26AC" w14:textId="77777777" w:rsidR="003F5418" w:rsidRDefault="002A6C25">
            <w:pPr>
              <w:pStyle w:val="P68B1DB1-Normal4"/>
              <w:jc w:val="center"/>
              <w:rPr>
                <w:noProof/>
              </w:rPr>
            </w:pPr>
            <w:r>
              <w:rPr>
                <w:noProof/>
              </w:rPr>
              <w:t xml:space="preserve">Fotovoltaikus napelemek telepítése mezőgazdasági fotovoltaikus rendszerekbe </w:t>
            </w:r>
          </w:p>
        </w:tc>
        <w:tc>
          <w:tcPr>
            <w:tcW w:w="1843" w:type="dxa"/>
            <w:shd w:val="clear" w:color="auto" w:fill="C6EFCE"/>
            <w:noWrap/>
            <w:vAlign w:val="center"/>
            <w:hideMark/>
          </w:tcPr>
          <w:p w14:paraId="402B4DBB" w14:textId="77777777" w:rsidR="003F5418" w:rsidRDefault="002A6C25">
            <w:pPr>
              <w:pStyle w:val="P68B1DB1-Normal4"/>
              <w:jc w:val="center"/>
              <w:rPr>
                <w:noProof/>
              </w:rPr>
            </w:pPr>
            <w:r>
              <w:rPr>
                <w:noProof/>
              </w:rPr>
              <w:t>NINCS</w:t>
            </w:r>
          </w:p>
        </w:tc>
        <w:tc>
          <w:tcPr>
            <w:tcW w:w="1417" w:type="dxa"/>
            <w:shd w:val="clear" w:color="auto" w:fill="C6EFCE"/>
            <w:noWrap/>
            <w:vAlign w:val="center"/>
            <w:hideMark/>
          </w:tcPr>
          <w:p w14:paraId="5851D014" w14:textId="77777777" w:rsidR="003F5418" w:rsidRDefault="002A6C25">
            <w:pPr>
              <w:pStyle w:val="P68B1DB1-Normal4"/>
              <w:jc w:val="center"/>
              <w:rPr>
                <w:noProof/>
              </w:rPr>
            </w:pPr>
            <w:r>
              <w:rPr>
                <w:noProof/>
              </w:rPr>
              <w:t>MW</w:t>
            </w:r>
          </w:p>
        </w:tc>
        <w:tc>
          <w:tcPr>
            <w:tcW w:w="1134" w:type="dxa"/>
            <w:shd w:val="clear" w:color="auto" w:fill="C6EFCE"/>
            <w:noWrap/>
            <w:vAlign w:val="center"/>
            <w:hideMark/>
          </w:tcPr>
          <w:p w14:paraId="55A8849A" w14:textId="77777777" w:rsidR="003F5418" w:rsidRDefault="002A6C25">
            <w:pPr>
              <w:pStyle w:val="P68B1DB1-Normal4"/>
              <w:jc w:val="center"/>
              <w:rPr>
                <w:noProof/>
              </w:rPr>
            </w:pPr>
            <w:r>
              <w:rPr>
                <w:noProof/>
              </w:rPr>
              <w:t>0</w:t>
            </w:r>
          </w:p>
        </w:tc>
        <w:tc>
          <w:tcPr>
            <w:tcW w:w="946" w:type="dxa"/>
            <w:shd w:val="clear" w:color="auto" w:fill="C6EFCE"/>
            <w:noWrap/>
            <w:vAlign w:val="center"/>
            <w:hideMark/>
          </w:tcPr>
          <w:p w14:paraId="3CF3F305" w14:textId="77777777" w:rsidR="003F5418" w:rsidRDefault="002A6C25">
            <w:pPr>
              <w:pStyle w:val="P68B1DB1-Normal4"/>
              <w:jc w:val="center"/>
              <w:rPr>
                <w:noProof/>
              </w:rPr>
            </w:pPr>
            <w:r>
              <w:rPr>
                <w:noProof/>
              </w:rPr>
              <w:t>900</w:t>
            </w:r>
          </w:p>
        </w:tc>
        <w:tc>
          <w:tcPr>
            <w:tcW w:w="992" w:type="dxa"/>
            <w:shd w:val="clear" w:color="auto" w:fill="C6EFCE"/>
            <w:noWrap/>
            <w:vAlign w:val="center"/>
            <w:hideMark/>
          </w:tcPr>
          <w:p w14:paraId="75BECFF2" w14:textId="77777777" w:rsidR="003F5418" w:rsidRDefault="002A6C25">
            <w:pPr>
              <w:pStyle w:val="P68B1DB1-Normal4"/>
              <w:jc w:val="center"/>
              <w:rPr>
                <w:noProof/>
              </w:rPr>
            </w:pPr>
            <w:r>
              <w:rPr>
                <w:noProof/>
              </w:rPr>
              <w:t>Q2</w:t>
            </w:r>
          </w:p>
        </w:tc>
        <w:tc>
          <w:tcPr>
            <w:tcW w:w="756" w:type="dxa"/>
            <w:shd w:val="clear" w:color="auto" w:fill="C6EFCE"/>
            <w:noWrap/>
            <w:vAlign w:val="center"/>
            <w:hideMark/>
          </w:tcPr>
          <w:p w14:paraId="343C5B8B" w14:textId="77777777" w:rsidR="003F5418" w:rsidRDefault="002A6C25">
            <w:pPr>
              <w:pStyle w:val="P68B1DB1-Normal4"/>
              <w:jc w:val="center"/>
              <w:rPr>
                <w:noProof/>
              </w:rPr>
            </w:pPr>
            <w:r>
              <w:rPr>
                <w:noProof/>
              </w:rPr>
              <w:t>2026</w:t>
            </w:r>
          </w:p>
        </w:tc>
        <w:tc>
          <w:tcPr>
            <w:tcW w:w="2793" w:type="dxa"/>
            <w:shd w:val="clear" w:color="auto" w:fill="C6EFCE"/>
            <w:noWrap/>
            <w:vAlign w:val="center"/>
            <w:hideMark/>
          </w:tcPr>
          <w:p w14:paraId="0A90BB3E" w14:textId="77777777" w:rsidR="003F5418" w:rsidRDefault="002A6C25">
            <w:pPr>
              <w:pStyle w:val="P68B1DB1-Normal4"/>
              <w:rPr>
                <w:noProof/>
              </w:rPr>
            </w:pPr>
            <w:r>
              <w:rPr>
                <w:noProof/>
              </w:rPr>
              <w:t>Fotovoltaikus</w:t>
            </w:r>
            <w:r>
              <w:rPr>
                <w:noProof/>
              </w:rPr>
              <w:t xml:space="preserve"> napelemek telepítése legalább 900 MW kapacitású mezőgazdasági fotovoltaikus rendszerekbe. </w:t>
            </w:r>
          </w:p>
        </w:tc>
      </w:tr>
      <w:tr w:rsidR="003F5418" w14:paraId="2C8CE195" w14:textId="77777777">
        <w:trPr>
          <w:trHeight w:val="309"/>
          <w:jc w:val="center"/>
        </w:trPr>
        <w:tc>
          <w:tcPr>
            <w:tcW w:w="1613" w:type="dxa"/>
            <w:shd w:val="clear" w:color="auto" w:fill="C6EFCE"/>
            <w:noWrap/>
            <w:vAlign w:val="center"/>
            <w:hideMark/>
          </w:tcPr>
          <w:p w14:paraId="5EB81E75" w14:textId="77777777" w:rsidR="003F5418" w:rsidRDefault="002A6C25">
            <w:pPr>
              <w:pStyle w:val="P68B1DB1-Normal4"/>
              <w:jc w:val="center"/>
              <w:rPr>
                <w:noProof/>
              </w:rPr>
            </w:pPr>
            <w:r>
              <w:rPr>
                <w:noProof/>
              </w:rPr>
              <w:t>M2C2–46</w:t>
            </w:r>
          </w:p>
        </w:tc>
        <w:tc>
          <w:tcPr>
            <w:tcW w:w="1643" w:type="dxa"/>
            <w:shd w:val="clear" w:color="auto" w:fill="C6EFCE"/>
            <w:noWrap/>
            <w:vAlign w:val="center"/>
            <w:hideMark/>
          </w:tcPr>
          <w:p w14:paraId="587558AD" w14:textId="77777777" w:rsidR="003F5418" w:rsidRDefault="002A6C25">
            <w:pPr>
              <w:pStyle w:val="P68B1DB1-Normal4"/>
              <w:jc w:val="center"/>
              <w:rPr>
                <w:noProof/>
              </w:rPr>
            </w:pPr>
            <w:r>
              <w:rPr>
                <w:noProof/>
              </w:rPr>
              <w:t>Beruházás: A megújuló energiaforrások előmozdítása az energiaközösségek és a közösen fellépő termelő-fogyasztók számára</w:t>
            </w:r>
          </w:p>
        </w:tc>
        <w:tc>
          <w:tcPr>
            <w:tcW w:w="1559" w:type="dxa"/>
            <w:shd w:val="clear" w:color="auto" w:fill="C6EFCE"/>
            <w:noWrap/>
            <w:vAlign w:val="center"/>
            <w:hideMark/>
          </w:tcPr>
          <w:p w14:paraId="28D7CD73" w14:textId="77777777" w:rsidR="003F5418" w:rsidRDefault="002A6C25">
            <w:pPr>
              <w:pStyle w:val="P68B1DB1-Normal4"/>
              <w:jc w:val="center"/>
              <w:rPr>
                <w:noProof/>
              </w:rPr>
            </w:pPr>
            <w:r>
              <w:rPr>
                <w:noProof/>
              </w:rPr>
              <w:t>Mérföldkő</w:t>
            </w:r>
          </w:p>
        </w:tc>
        <w:tc>
          <w:tcPr>
            <w:tcW w:w="1559" w:type="dxa"/>
            <w:shd w:val="clear" w:color="auto" w:fill="C6EFCE"/>
            <w:noWrap/>
            <w:vAlign w:val="center"/>
            <w:hideMark/>
          </w:tcPr>
          <w:p w14:paraId="79F17E21" w14:textId="77777777" w:rsidR="003F5418" w:rsidRDefault="002A6C25">
            <w:pPr>
              <w:pStyle w:val="P68B1DB1-Normal4"/>
              <w:jc w:val="center"/>
              <w:rPr>
                <w:noProof/>
              </w:rPr>
            </w:pPr>
            <w:r>
              <w:rPr>
                <w:noProof/>
              </w:rPr>
              <w:t xml:space="preserve">Az energiaközösségeket </w:t>
            </w:r>
            <w:r>
              <w:rPr>
                <w:noProof/>
              </w:rPr>
              <w:t>célzó beavatkozások végrehajtásához nyújtott támogatások odaítélésére irányuló valamennyi közbeszerzési szerződés odaítélése</w:t>
            </w:r>
          </w:p>
        </w:tc>
        <w:tc>
          <w:tcPr>
            <w:tcW w:w="1843" w:type="dxa"/>
            <w:shd w:val="clear" w:color="auto" w:fill="C6EFCE"/>
            <w:noWrap/>
            <w:vAlign w:val="center"/>
            <w:hideMark/>
          </w:tcPr>
          <w:p w14:paraId="4080B186" w14:textId="77777777" w:rsidR="003F5418" w:rsidRDefault="002A6C25">
            <w:pPr>
              <w:pStyle w:val="P68B1DB1-Normal4"/>
              <w:jc w:val="center"/>
              <w:rPr>
                <w:noProof/>
              </w:rPr>
            </w:pPr>
            <w:r>
              <w:rPr>
                <w:noProof/>
              </w:rPr>
              <w:t xml:space="preserve">Értesítés az energiaközösségeket érintő beavatkozások végrehajtására irányuló valamennyi közbeszerzési szerződés odaítéléséről </w:t>
            </w:r>
          </w:p>
        </w:tc>
        <w:tc>
          <w:tcPr>
            <w:tcW w:w="1417" w:type="dxa"/>
            <w:shd w:val="clear" w:color="auto" w:fill="C6EFCE"/>
            <w:noWrap/>
            <w:vAlign w:val="center"/>
            <w:hideMark/>
          </w:tcPr>
          <w:p w14:paraId="24272D22"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DFB47D2" w14:textId="77777777" w:rsidR="003F5418" w:rsidRDefault="002A6C25">
            <w:pPr>
              <w:pStyle w:val="P68B1DB1-Normal4"/>
              <w:jc w:val="center"/>
              <w:rPr>
                <w:noProof/>
              </w:rPr>
            </w:pPr>
            <w:r>
              <w:rPr>
                <w:noProof/>
              </w:rPr>
              <w:t>NINCS</w:t>
            </w:r>
          </w:p>
        </w:tc>
        <w:tc>
          <w:tcPr>
            <w:tcW w:w="946" w:type="dxa"/>
            <w:shd w:val="clear" w:color="auto" w:fill="C6EFCE"/>
            <w:noWrap/>
            <w:vAlign w:val="center"/>
            <w:hideMark/>
          </w:tcPr>
          <w:p w14:paraId="7BFF0E4A" w14:textId="77777777" w:rsidR="003F5418" w:rsidRDefault="002A6C25">
            <w:pPr>
              <w:pStyle w:val="P68B1DB1-Normal4"/>
              <w:jc w:val="center"/>
              <w:rPr>
                <w:noProof/>
              </w:rPr>
            </w:pPr>
            <w:r>
              <w:rPr>
                <w:noProof/>
              </w:rPr>
              <w:t>NINCS</w:t>
            </w:r>
          </w:p>
        </w:tc>
        <w:tc>
          <w:tcPr>
            <w:tcW w:w="992" w:type="dxa"/>
            <w:shd w:val="clear" w:color="auto" w:fill="C6EFCE"/>
            <w:noWrap/>
            <w:vAlign w:val="center"/>
            <w:hideMark/>
          </w:tcPr>
          <w:p w14:paraId="02D42645" w14:textId="77777777" w:rsidR="003F5418" w:rsidRDefault="002A6C25">
            <w:pPr>
              <w:pStyle w:val="P68B1DB1-Normal4"/>
              <w:jc w:val="center"/>
              <w:rPr>
                <w:noProof/>
              </w:rPr>
            </w:pPr>
            <w:r>
              <w:rPr>
                <w:noProof/>
              </w:rPr>
              <w:t>Q4</w:t>
            </w:r>
          </w:p>
        </w:tc>
        <w:tc>
          <w:tcPr>
            <w:tcW w:w="756" w:type="dxa"/>
            <w:shd w:val="clear" w:color="auto" w:fill="C6EFCE"/>
            <w:noWrap/>
            <w:vAlign w:val="center"/>
            <w:hideMark/>
          </w:tcPr>
          <w:p w14:paraId="1FCCE26F" w14:textId="77777777" w:rsidR="003F5418" w:rsidRDefault="002A6C25">
            <w:pPr>
              <w:pStyle w:val="P68B1DB1-Normal4"/>
              <w:jc w:val="center"/>
              <w:rPr>
                <w:noProof/>
              </w:rPr>
            </w:pPr>
            <w:r>
              <w:rPr>
                <w:noProof/>
              </w:rPr>
              <w:t xml:space="preserve">2025 </w:t>
            </w:r>
          </w:p>
        </w:tc>
        <w:tc>
          <w:tcPr>
            <w:tcW w:w="2793" w:type="dxa"/>
            <w:shd w:val="clear" w:color="auto" w:fill="C6EFCE"/>
            <w:noWrap/>
            <w:vAlign w:val="center"/>
            <w:hideMark/>
          </w:tcPr>
          <w:p w14:paraId="12178D1A" w14:textId="77777777" w:rsidR="003F5418" w:rsidRDefault="002A6C25">
            <w:pPr>
              <w:pStyle w:val="P68B1DB1-Normal4"/>
              <w:rPr>
                <w:noProof/>
              </w:rPr>
            </w:pPr>
            <w:r>
              <w:rPr>
                <w:noProof/>
              </w:rPr>
              <w:t>Az energiaközösségeket célzó beavatkozások végrehajtásához nyújtott támogatások odaítélésére vonatkozó szerződések aláírása.</w:t>
            </w:r>
          </w:p>
        </w:tc>
      </w:tr>
      <w:tr w:rsidR="003F5418" w14:paraId="456250AF" w14:textId="77777777">
        <w:trPr>
          <w:trHeight w:val="309"/>
          <w:jc w:val="center"/>
        </w:trPr>
        <w:tc>
          <w:tcPr>
            <w:tcW w:w="1613" w:type="dxa"/>
            <w:shd w:val="clear" w:color="auto" w:fill="C6EFCE"/>
            <w:noWrap/>
            <w:vAlign w:val="center"/>
            <w:hideMark/>
          </w:tcPr>
          <w:p w14:paraId="33B6E161" w14:textId="77777777" w:rsidR="003F5418" w:rsidRDefault="002A6C25">
            <w:pPr>
              <w:pStyle w:val="P68B1DB1-Normal4"/>
              <w:jc w:val="center"/>
              <w:rPr>
                <w:noProof/>
              </w:rPr>
            </w:pPr>
            <w:r>
              <w:rPr>
                <w:noProof/>
              </w:rPr>
              <w:t>M2C2–47</w:t>
            </w:r>
          </w:p>
        </w:tc>
        <w:tc>
          <w:tcPr>
            <w:tcW w:w="1643" w:type="dxa"/>
            <w:shd w:val="clear" w:color="auto" w:fill="C6EFCE"/>
            <w:noWrap/>
            <w:vAlign w:val="center"/>
            <w:hideMark/>
          </w:tcPr>
          <w:p w14:paraId="09F10E53" w14:textId="77777777" w:rsidR="003F5418" w:rsidRDefault="002A6C25">
            <w:pPr>
              <w:pStyle w:val="P68B1DB1-Normal4"/>
              <w:jc w:val="center"/>
              <w:rPr>
                <w:noProof/>
              </w:rPr>
            </w:pPr>
            <w:r>
              <w:rPr>
                <w:noProof/>
              </w:rPr>
              <w:t xml:space="preserve">Beruházás: A megújuló energiaforrások előmozdítása az energiaközösségek és a közösen fellépő </w:t>
            </w:r>
            <w:r>
              <w:rPr>
                <w:noProof/>
              </w:rPr>
              <w:t>termelő-fogyasztók számára</w:t>
            </w:r>
          </w:p>
        </w:tc>
        <w:tc>
          <w:tcPr>
            <w:tcW w:w="1559" w:type="dxa"/>
            <w:shd w:val="clear" w:color="auto" w:fill="C6EFCE"/>
            <w:noWrap/>
            <w:vAlign w:val="center"/>
            <w:hideMark/>
          </w:tcPr>
          <w:p w14:paraId="7FBF2F96" w14:textId="77777777" w:rsidR="003F5418" w:rsidRDefault="002A6C25">
            <w:pPr>
              <w:pStyle w:val="P68B1DB1-Normal4"/>
              <w:jc w:val="center"/>
              <w:rPr>
                <w:noProof/>
              </w:rPr>
            </w:pPr>
            <w:r>
              <w:rPr>
                <w:noProof/>
              </w:rPr>
              <w:t>Cél</w:t>
            </w:r>
          </w:p>
        </w:tc>
        <w:tc>
          <w:tcPr>
            <w:tcW w:w="1559" w:type="dxa"/>
            <w:shd w:val="clear" w:color="auto" w:fill="C6EFCE"/>
            <w:noWrap/>
            <w:vAlign w:val="center"/>
            <w:hideMark/>
          </w:tcPr>
          <w:p w14:paraId="6491787D" w14:textId="77777777" w:rsidR="003F5418" w:rsidRDefault="002A6C25">
            <w:pPr>
              <w:pStyle w:val="P68B1DB1-Normal4"/>
              <w:jc w:val="center"/>
              <w:rPr>
                <w:noProof/>
              </w:rPr>
            </w:pPr>
            <w:r>
              <w:rPr>
                <w:noProof/>
              </w:rPr>
              <w:t>Az energiaközösségek és a közösen fellépő termelő-fogyasztók megújulóenergia-termelése</w:t>
            </w:r>
          </w:p>
        </w:tc>
        <w:tc>
          <w:tcPr>
            <w:tcW w:w="1843" w:type="dxa"/>
            <w:shd w:val="clear" w:color="auto" w:fill="C6EFCE"/>
            <w:noWrap/>
            <w:vAlign w:val="center"/>
            <w:hideMark/>
          </w:tcPr>
          <w:p w14:paraId="3BC83BF0" w14:textId="77777777" w:rsidR="003F5418" w:rsidRDefault="002A6C25">
            <w:pPr>
              <w:pStyle w:val="P68B1DB1-Normal4"/>
              <w:jc w:val="center"/>
              <w:rPr>
                <w:noProof/>
              </w:rPr>
            </w:pPr>
            <w:r>
              <w:rPr>
                <w:noProof/>
              </w:rPr>
              <w:t>NINCS</w:t>
            </w:r>
          </w:p>
        </w:tc>
        <w:tc>
          <w:tcPr>
            <w:tcW w:w="1417" w:type="dxa"/>
            <w:shd w:val="clear" w:color="auto" w:fill="C6EFCE"/>
            <w:noWrap/>
            <w:vAlign w:val="center"/>
            <w:hideMark/>
          </w:tcPr>
          <w:p w14:paraId="0BB02894" w14:textId="77777777" w:rsidR="003F5418" w:rsidRDefault="002A6C25">
            <w:pPr>
              <w:pStyle w:val="P68B1DB1-Normal4"/>
              <w:jc w:val="center"/>
              <w:rPr>
                <w:noProof/>
              </w:rPr>
            </w:pPr>
            <w:r>
              <w:rPr>
                <w:noProof/>
              </w:rPr>
              <w:t>Szám</w:t>
            </w:r>
          </w:p>
        </w:tc>
        <w:tc>
          <w:tcPr>
            <w:tcW w:w="1134" w:type="dxa"/>
            <w:shd w:val="clear" w:color="auto" w:fill="C6EFCE"/>
            <w:noWrap/>
            <w:vAlign w:val="center"/>
            <w:hideMark/>
          </w:tcPr>
          <w:p w14:paraId="001166B3" w14:textId="77777777" w:rsidR="003F5418" w:rsidRDefault="002A6C25">
            <w:pPr>
              <w:pStyle w:val="P68B1DB1-Normal4"/>
              <w:jc w:val="center"/>
              <w:rPr>
                <w:noProof/>
              </w:rPr>
            </w:pPr>
            <w:r>
              <w:rPr>
                <w:noProof/>
              </w:rPr>
              <w:t>0</w:t>
            </w:r>
          </w:p>
        </w:tc>
        <w:tc>
          <w:tcPr>
            <w:tcW w:w="946" w:type="dxa"/>
            <w:shd w:val="clear" w:color="auto" w:fill="C6EFCE"/>
            <w:noWrap/>
            <w:vAlign w:val="center"/>
            <w:hideMark/>
          </w:tcPr>
          <w:p w14:paraId="369D8598" w14:textId="7EC75C40" w:rsidR="003F5418" w:rsidRDefault="002A6C25">
            <w:pPr>
              <w:pStyle w:val="P68B1DB1-Normal4"/>
              <w:jc w:val="center"/>
              <w:rPr>
                <w:noProof/>
              </w:rPr>
            </w:pPr>
            <w:r>
              <w:rPr>
                <w:noProof/>
              </w:rPr>
              <w:t>1 730</w:t>
            </w:r>
          </w:p>
        </w:tc>
        <w:tc>
          <w:tcPr>
            <w:tcW w:w="992" w:type="dxa"/>
            <w:shd w:val="clear" w:color="auto" w:fill="C6EFCE"/>
            <w:noWrap/>
            <w:vAlign w:val="center"/>
            <w:hideMark/>
          </w:tcPr>
          <w:p w14:paraId="541AE445" w14:textId="77777777" w:rsidR="003F5418" w:rsidRDefault="002A6C25">
            <w:pPr>
              <w:pStyle w:val="P68B1DB1-Normal4"/>
              <w:jc w:val="center"/>
              <w:rPr>
                <w:noProof/>
              </w:rPr>
            </w:pPr>
            <w:r>
              <w:rPr>
                <w:noProof/>
              </w:rPr>
              <w:t>Q2</w:t>
            </w:r>
          </w:p>
        </w:tc>
        <w:tc>
          <w:tcPr>
            <w:tcW w:w="756" w:type="dxa"/>
            <w:shd w:val="clear" w:color="auto" w:fill="C6EFCE"/>
            <w:noWrap/>
            <w:vAlign w:val="center"/>
            <w:hideMark/>
          </w:tcPr>
          <w:p w14:paraId="26B4208E" w14:textId="77777777" w:rsidR="003F5418" w:rsidRDefault="002A6C25">
            <w:pPr>
              <w:pStyle w:val="P68B1DB1-Normal4"/>
              <w:jc w:val="center"/>
              <w:rPr>
                <w:noProof/>
              </w:rPr>
            </w:pPr>
            <w:r>
              <w:rPr>
                <w:noProof/>
              </w:rPr>
              <w:t>2026</w:t>
            </w:r>
          </w:p>
        </w:tc>
        <w:tc>
          <w:tcPr>
            <w:tcW w:w="2793" w:type="dxa"/>
            <w:shd w:val="clear" w:color="auto" w:fill="C6EFCE"/>
            <w:noWrap/>
            <w:vAlign w:val="center"/>
            <w:hideMark/>
          </w:tcPr>
          <w:p w14:paraId="6751BA3B" w14:textId="363287D2" w:rsidR="003F5418" w:rsidRDefault="002A6C25">
            <w:pPr>
              <w:pStyle w:val="P68B1DB1-Normal4"/>
              <w:rPr>
                <w:noProof/>
              </w:rPr>
            </w:pPr>
            <w:r>
              <w:rPr>
                <w:noProof/>
              </w:rPr>
              <w:t xml:space="preserve">Az 5000 főnél kevesebb lakosú települések energiaközösségeinek támogatása annak érdekében, hogy a létesítményt </w:t>
            </w:r>
            <w:r>
              <w:rPr>
                <w:noProof/>
              </w:rPr>
              <w:t>legalább 1 730 MW megújuló energiaforrásokból biztosítsák. Ez az intézkedés nem támogathat olyan hidrogénipari tevékenységeket, amelyek 3 tonna CO2-egyenérték/tH2-t meghaladó ÜHG-kibocsátást eredményeznek.</w:t>
            </w:r>
          </w:p>
        </w:tc>
      </w:tr>
      <w:tr w:rsidR="003F5418" w14:paraId="0782B41F" w14:textId="77777777">
        <w:trPr>
          <w:trHeight w:val="309"/>
          <w:jc w:val="center"/>
        </w:trPr>
        <w:tc>
          <w:tcPr>
            <w:tcW w:w="1613" w:type="dxa"/>
            <w:shd w:val="clear" w:color="auto" w:fill="C6EFCE"/>
            <w:noWrap/>
            <w:vAlign w:val="center"/>
          </w:tcPr>
          <w:p w14:paraId="67BE2EF3" w14:textId="77777777" w:rsidR="003F5418" w:rsidRDefault="002A6C25">
            <w:pPr>
              <w:pStyle w:val="P68B1DB1-Normal4"/>
              <w:jc w:val="center"/>
              <w:rPr>
                <w:noProof/>
              </w:rPr>
            </w:pPr>
            <w:r>
              <w:rPr>
                <w:noProof/>
              </w:rPr>
              <w:t>M2C2–48</w:t>
            </w:r>
          </w:p>
        </w:tc>
        <w:tc>
          <w:tcPr>
            <w:tcW w:w="1643" w:type="dxa"/>
            <w:shd w:val="clear" w:color="auto" w:fill="C6EFCE"/>
            <w:noWrap/>
            <w:vAlign w:val="center"/>
          </w:tcPr>
          <w:p w14:paraId="061C1744" w14:textId="77777777" w:rsidR="003F5418" w:rsidRDefault="002A6C25">
            <w:pPr>
              <w:pStyle w:val="P68B1DB1-Normal4"/>
              <w:jc w:val="center"/>
              <w:rPr>
                <w:noProof/>
              </w:rPr>
            </w:pPr>
            <w:r>
              <w:rPr>
                <w:noProof/>
              </w:rPr>
              <w:t xml:space="preserve">Beruházás: Hidrogéngyártás barnamezős </w:t>
            </w:r>
            <w:r>
              <w:rPr>
                <w:noProof/>
              </w:rPr>
              <w:t>területeken (hidrogénvölgyek)</w:t>
            </w:r>
          </w:p>
        </w:tc>
        <w:tc>
          <w:tcPr>
            <w:tcW w:w="1559" w:type="dxa"/>
            <w:shd w:val="clear" w:color="auto" w:fill="C6EFCE"/>
            <w:noWrap/>
            <w:vAlign w:val="center"/>
          </w:tcPr>
          <w:p w14:paraId="7EB55042"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0CD4FBE6" w14:textId="77777777" w:rsidR="003F5418" w:rsidRDefault="002A6C25">
            <w:pPr>
              <w:pStyle w:val="P68B1DB1-Normal4"/>
              <w:jc w:val="center"/>
              <w:rPr>
                <w:noProof/>
              </w:rPr>
            </w:pPr>
            <w:r>
              <w:rPr>
                <w:noProof/>
              </w:rPr>
              <w:t>A hidrogénnek az elhagyott ipari központokban történő előállítására irányuló projektekre vonatkozó valamennyi közbeszerzési szerződés odaítélése</w:t>
            </w:r>
          </w:p>
        </w:tc>
        <w:tc>
          <w:tcPr>
            <w:tcW w:w="1843" w:type="dxa"/>
            <w:shd w:val="clear" w:color="auto" w:fill="C6EFCE"/>
            <w:noWrap/>
            <w:vAlign w:val="center"/>
          </w:tcPr>
          <w:p w14:paraId="61D06D36" w14:textId="77777777" w:rsidR="003F5418" w:rsidRDefault="002A6C25">
            <w:pPr>
              <w:pStyle w:val="P68B1DB1-Normal4"/>
              <w:jc w:val="center"/>
              <w:rPr>
                <w:noProof/>
              </w:rPr>
            </w:pPr>
            <w:r>
              <w:rPr>
                <w:noProof/>
              </w:rPr>
              <w:t xml:space="preserve">Értesítés az elhagyott ipari területek központjaiban történő </w:t>
            </w:r>
            <w:r>
              <w:rPr>
                <w:noProof/>
              </w:rPr>
              <w:t>hidrogéntermelésre vonatkozó valamennyi közbeszerzési szerződés odaítéléséről</w:t>
            </w:r>
          </w:p>
        </w:tc>
        <w:tc>
          <w:tcPr>
            <w:tcW w:w="1417" w:type="dxa"/>
            <w:shd w:val="clear" w:color="auto" w:fill="C6EFCE"/>
            <w:noWrap/>
            <w:vAlign w:val="center"/>
          </w:tcPr>
          <w:p w14:paraId="13FA9579"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F45092B"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667D71AA"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757E65B0" w14:textId="77777777" w:rsidR="003F5418" w:rsidRDefault="002A6C25">
            <w:pPr>
              <w:pStyle w:val="P68B1DB1-Normal4"/>
              <w:jc w:val="center"/>
              <w:rPr>
                <w:noProof/>
              </w:rPr>
            </w:pPr>
            <w:r>
              <w:rPr>
                <w:noProof/>
              </w:rPr>
              <w:t>Q1</w:t>
            </w:r>
          </w:p>
        </w:tc>
        <w:tc>
          <w:tcPr>
            <w:tcW w:w="756" w:type="dxa"/>
            <w:shd w:val="clear" w:color="auto" w:fill="C6EFCE"/>
            <w:noWrap/>
            <w:vAlign w:val="center"/>
          </w:tcPr>
          <w:p w14:paraId="0D101677" w14:textId="77777777" w:rsidR="003F5418" w:rsidRDefault="002A6C25">
            <w:pPr>
              <w:pStyle w:val="P68B1DB1-Normal4"/>
              <w:jc w:val="center"/>
              <w:rPr>
                <w:noProof/>
              </w:rPr>
            </w:pPr>
            <w:r>
              <w:rPr>
                <w:noProof/>
              </w:rPr>
              <w:t>2023</w:t>
            </w:r>
          </w:p>
        </w:tc>
        <w:tc>
          <w:tcPr>
            <w:tcW w:w="2793" w:type="dxa"/>
            <w:shd w:val="clear" w:color="auto" w:fill="C6EFCE"/>
            <w:noWrap/>
            <w:vAlign w:val="center"/>
          </w:tcPr>
          <w:p w14:paraId="3D3A7AB8" w14:textId="77777777" w:rsidR="003F5418" w:rsidRDefault="002A6C25">
            <w:pPr>
              <w:pStyle w:val="P68B1DB1-Normal6"/>
              <w:rPr>
                <w:noProof/>
                <w:color w:val="006100"/>
              </w:rPr>
            </w:pPr>
            <w:r w:rsidRPr="002128E3">
              <w:rPr>
                <w:noProof/>
                <w:color w:val="006100"/>
              </w:rPr>
              <w:t>Az elhagyott ipari területek központjaiban történő hidrogéntermelésre irányuló projektek</w:t>
            </w:r>
            <w:r>
              <w:rPr>
                <w:noProof/>
                <w:color w:val="006100"/>
              </w:rPr>
              <w:t xml:space="preserve">odaítélése. Finanszírozást kell biztosítani a 3 t CO2eq/tH2-nél </w:t>
            </w:r>
            <w:r>
              <w:rPr>
                <w:noProof/>
                <w:color w:val="006100"/>
              </w:rPr>
              <w:t>kisebb szén-dioxid-kibocsátású zöld hidrogén előállításához annak érdekében, hogy a dekarbonizáció szempontjából a legjobb eredményt érjék el. Ez az intézkedés támogatja az (EU) 2018/2001 irányelvben (megújulóenergia-irányelv) meghatározott megújuló energi</w:t>
            </w:r>
            <w:r>
              <w:rPr>
                <w:noProof/>
                <w:color w:val="006100"/>
              </w:rPr>
              <w:t>aforrásokat vagy hálózati villamos energiát felhasználó elektrolízisen alapuló</w:t>
            </w:r>
            <w:r w:rsidRPr="002128E3">
              <w:rPr>
                <w:noProof/>
                <w:color w:val="006100"/>
              </w:rPr>
              <w:t>hidrogéntermelést.</w:t>
            </w:r>
          </w:p>
        </w:tc>
      </w:tr>
      <w:tr w:rsidR="003F5418" w14:paraId="257E1E9D" w14:textId="77777777">
        <w:trPr>
          <w:trHeight w:val="309"/>
          <w:jc w:val="center"/>
        </w:trPr>
        <w:tc>
          <w:tcPr>
            <w:tcW w:w="1613" w:type="dxa"/>
            <w:shd w:val="clear" w:color="auto" w:fill="C6EFCE"/>
            <w:noWrap/>
            <w:vAlign w:val="center"/>
          </w:tcPr>
          <w:p w14:paraId="3C44C37B" w14:textId="77777777" w:rsidR="003F5418" w:rsidRDefault="002A6C25">
            <w:pPr>
              <w:pStyle w:val="P68B1DB1-Normal4"/>
              <w:jc w:val="center"/>
              <w:rPr>
                <w:noProof/>
              </w:rPr>
            </w:pPr>
            <w:r>
              <w:rPr>
                <w:noProof/>
              </w:rPr>
              <w:t>M2C2–49</w:t>
            </w:r>
          </w:p>
        </w:tc>
        <w:tc>
          <w:tcPr>
            <w:tcW w:w="1643" w:type="dxa"/>
            <w:shd w:val="clear" w:color="auto" w:fill="C6EFCE"/>
            <w:noWrap/>
            <w:vAlign w:val="center"/>
          </w:tcPr>
          <w:p w14:paraId="350C24B2" w14:textId="77777777" w:rsidR="003F5418" w:rsidRDefault="002A6C25">
            <w:pPr>
              <w:pStyle w:val="P68B1DB1-Normal4"/>
              <w:jc w:val="center"/>
              <w:rPr>
                <w:noProof/>
              </w:rPr>
            </w:pPr>
            <w:r>
              <w:rPr>
                <w:noProof/>
              </w:rPr>
              <w:t>Beruházás: Hidrogéngyártás barnamezős területeken (hidrogénvölgyek)</w:t>
            </w:r>
          </w:p>
        </w:tc>
        <w:tc>
          <w:tcPr>
            <w:tcW w:w="1559" w:type="dxa"/>
            <w:shd w:val="clear" w:color="auto" w:fill="C6EFCE"/>
            <w:noWrap/>
            <w:vAlign w:val="center"/>
          </w:tcPr>
          <w:p w14:paraId="2DE8806E"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4B93C58A" w14:textId="77777777" w:rsidR="003F5418" w:rsidRDefault="002A6C25">
            <w:pPr>
              <w:pStyle w:val="P68B1DB1-Normal4"/>
              <w:jc w:val="center"/>
              <w:rPr>
                <w:noProof/>
              </w:rPr>
            </w:pPr>
            <w:r>
              <w:rPr>
                <w:noProof/>
              </w:rPr>
              <w:t>Az ipari területeken történő hidrogéntermeléssel kapcsolatos projekt lezárása</w:t>
            </w:r>
          </w:p>
        </w:tc>
        <w:tc>
          <w:tcPr>
            <w:tcW w:w="1843" w:type="dxa"/>
            <w:shd w:val="clear" w:color="auto" w:fill="C6EFCE"/>
            <w:noWrap/>
            <w:vAlign w:val="center"/>
          </w:tcPr>
          <w:p w14:paraId="7F0E2734"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5D03018E"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575F949A" w14:textId="77777777" w:rsidR="003F5418" w:rsidRDefault="002A6C25">
            <w:pPr>
              <w:pStyle w:val="P68B1DB1-Normal4"/>
              <w:jc w:val="center"/>
              <w:rPr>
                <w:noProof/>
              </w:rPr>
            </w:pPr>
            <w:r>
              <w:rPr>
                <w:noProof/>
              </w:rPr>
              <w:t>0</w:t>
            </w:r>
          </w:p>
        </w:tc>
        <w:tc>
          <w:tcPr>
            <w:tcW w:w="946" w:type="dxa"/>
            <w:shd w:val="clear" w:color="auto" w:fill="C6EFCE"/>
            <w:noWrap/>
            <w:vAlign w:val="center"/>
          </w:tcPr>
          <w:p w14:paraId="08D4C6FE" w14:textId="77777777" w:rsidR="003F5418" w:rsidRDefault="002A6C25">
            <w:pPr>
              <w:pStyle w:val="P68B1DB1-Normal4"/>
              <w:jc w:val="center"/>
              <w:rPr>
                <w:noProof/>
              </w:rPr>
            </w:pPr>
            <w:r>
              <w:rPr>
                <w:noProof/>
              </w:rPr>
              <w:t>10</w:t>
            </w:r>
          </w:p>
        </w:tc>
        <w:tc>
          <w:tcPr>
            <w:tcW w:w="992" w:type="dxa"/>
            <w:shd w:val="clear" w:color="auto" w:fill="C6EFCE"/>
            <w:noWrap/>
            <w:vAlign w:val="center"/>
          </w:tcPr>
          <w:p w14:paraId="65E2B917"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45E397BF"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474165E9" w14:textId="77777777" w:rsidR="003F5418" w:rsidRDefault="002A6C25">
            <w:pPr>
              <w:pStyle w:val="P68B1DB1-Normal4"/>
              <w:spacing w:after="120"/>
              <w:rPr>
                <w:noProof/>
              </w:rPr>
            </w:pPr>
            <w:r>
              <w:rPr>
                <w:noProof/>
              </w:rPr>
              <w:t>Legalább 10 hidrogéntermelési projekt befejezése elhagyott ipari területeken, egyenként legalább 1–5 MW átlagos kapacitással.</w:t>
            </w:r>
          </w:p>
          <w:p w14:paraId="32EF6839" w14:textId="77777777" w:rsidR="003F5418" w:rsidRDefault="002A6C25">
            <w:pPr>
              <w:pStyle w:val="P68B1DB1-Normal4"/>
              <w:spacing w:after="120"/>
              <w:rPr>
                <w:noProof/>
              </w:rPr>
            </w:pPr>
            <w:r>
              <w:rPr>
                <w:noProof/>
              </w:rPr>
              <w:t xml:space="preserve">Ez az intézkedés támogatja az (EU) 2018/2001 irányelvben (a megújuló energiaforrásokról szóló irányelv) </w:t>
            </w:r>
            <w:r>
              <w:rPr>
                <w:noProof/>
              </w:rPr>
              <w:t>meghatározott megújuló energiaforrásokat vagy hálózati villamos energiát felhasználó elektrolízisen alapuló hidrogéntermelést.</w:t>
            </w:r>
          </w:p>
        </w:tc>
      </w:tr>
      <w:tr w:rsidR="003F5418" w14:paraId="0023D6F9" w14:textId="77777777">
        <w:trPr>
          <w:trHeight w:val="309"/>
          <w:jc w:val="center"/>
        </w:trPr>
        <w:tc>
          <w:tcPr>
            <w:tcW w:w="1613" w:type="dxa"/>
            <w:shd w:val="clear" w:color="auto" w:fill="C6EFCE"/>
            <w:noWrap/>
            <w:vAlign w:val="center"/>
          </w:tcPr>
          <w:p w14:paraId="72692095" w14:textId="77777777" w:rsidR="003F5418" w:rsidRDefault="002A6C25">
            <w:pPr>
              <w:pStyle w:val="P68B1DB1-Normal4"/>
              <w:jc w:val="center"/>
              <w:rPr>
                <w:noProof/>
              </w:rPr>
            </w:pPr>
            <w:r>
              <w:rPr>
                <w:noProof/>
              </w:rPr>
              <w:t>M2C2–50</w:t>
            </w:r>
          </w:p>
        </w:tc>
        <w:tc>
          <w:tcPr>
            <w:tcW w:w="1643" w:type="dxa"/>
            <w:shd w:val="clear" w:color="auto" w:fill="C6EFCE"/>
            <w:noWrap/>
            <w:vAlign w:val="center"/>
          </w:tcPr>
          <w:p w14:paraId="4613F322" w14:textId="77777777" w:rsidR="003F5418" w:rsidRDefault="002A6C25">
            <w:pPr>
              <w:pStyle w:val="P68B1DB1-Normal4"/>
              <w:jc w:val="center"/>
              <w:rPr>
                <w:noProof/>
              </w:rPr>
            </w:pPr>
            <w:r>
              <w:rPr>
                <w:noProof/>
              </w:rPr>
              <w:t>Beruházás Hidrogénfelhasználás a kibocsátáscsökkentési nehézségekkel szembenéző iparágakban</w:t>
            </w:r>
          </w:p>
        </w:tc>
        <w:tc>
          <w:tcPr>
            <w:tcW w:w="1559" w:type="dxa"/>
            <w:shd w:val="clear" w:color="auto" w:fill="C6EFCE"/>
            <w:noWrap/>
            <w:vAlign w:val="center"/>
          </w:tcPr>
          <w:p w14:paraId="066334B3"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26E9663C" w14:textId="77777777" w:rsidR="003F5418" w:rsidRDefault="002A6C25">
            <w:pPr>
              <w:pStyle w:val="P68B1DB1-Normal4"/>
              <w:jc w:val="center"/>
              <w:rPr>
                <w:noProof/>
              </w:rPr>
            </w:pPr>
            <w:r>
              <w:rPr>
                <w:noProof/>
              </w:rPr>
              <w:t xml:space="preserve">Megállapodás a </w:t>
            </w:r>
            <w:r>
              <w:rPr>
                <w:noProof/>
              </w:rPr>
              <w:t>metánról a zöld hidrogénre való átállás előmozdításáról</w:t>
            </w:r>
          </w:p>
        </w:tc>
        <w:tc>
          <w:tcPr>
            <w:tcW w:w="1843" w:type="dxa"/>
            <w:shd w:val="clear" w:color="auto" w:fill="C6EFCE"/>
            <w:noWrap/>
            <w:vAlign w:val="center"/>
          </w:tcPr>
          <w:p w14:paraId="6303CFE8" w14:textId="77777777" w:rsidR="003F5418" w:rsidRDefault="002A6C25">
            <w:pPr>
              <w:pStyle w:val="P68B1DB1-Normal4"/>
              <w:jc w:val="center"/>
              <w:rPr>
                <w:noProof/>
              </w:rPr>
            </w:pPr>
            <w:r>
              <w:rPr>
                <w:noProof/>
              </w:rPr>
              <w:t>A megállapodás aláírása</w:t>
            </w:r>
          </w:p>
        </w:tc>
        <w:tc>
          <w:tcPr>
            <w:tcW w:w="1417" w:type="dxa"/>
            <w:shd w:val="clear" w:color="auto" w:fill="C6EFCE"/>
            <w:noWrap/>
            <w:vAlign w:val="center"/>
          </w:tcPr>
          <w:p w14:paraId="244BD565"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0C463C91"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7D8E34FA"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539364C3" w14:textId="77777777" w:rsidR="003F5418" w:rsidRDefault="002A6C25">
            <w:pPr>
              <w:pStyle w:val="P68B1DB1-Normal4"/>
              <w:jc w:val="center"/>
              <w:rPr>
                <w:noProof/>
              </w:rPr>
            </w:pPr>
            <w:r>
              <w:rPr>
                <w:noProof/>
              </w:rPr>
              <w:t>Q1</w:t>
            </w:r>
          </w:p>
        </w:tc>
        <w:tc>
          <w:tcPr>
            <w:tcW w:w="756" w:type="dxa"/>
            <w:shd w:val="clear" w:color="auto" w:fill="C6EFCE"/>
            <w:noWrap/>
            <w:vAlign w:val="center"/>
          </w:tcPr>
          <w:p w14:paraId="588D761D" w14:textId="77777777" w:rsidR="003F5418" w:rsidRDefault="002A6C25">
            <w:pPr>
              <w:pStyle w:val="P68B1DB1-Normal4"/>
              <w:jc w:val="center"/>
              <w:rPr>
                <w:noProof/>
              </w:rPr>
            </w:pPr>
            <w:r>
              <w:rPr>
                <w:noProof/>
              </w:rPr>
              <w:t>2023</w:t>
            </w:r>
          </w:p>
        </w:tc>
        <w:tc>
          <w:tcPr>
            <w:tcW w:w="2793" w:type="dxa"/>
            <w:shd w:val="clear" w:color="auto" w:fill="C6EFCE"/>
            <w:noWrap/>
            <w:vAlign w:val="center"/>
          </w:tcPr>
          <w:p w14:paraId="45F9183E" w14:textId="77777777" w:rsidR="003F5418" w:rsidRDefault="002A6C25">
            <w:pPr>
              <w:pStyle w:val="P68B1DB1-Normal6"/>
              <w:rPr>
                <w:noProof/>
                <w:color w:val="006100"/>
              </w:rPr>
            </w:pPr>
            <w:r>
              <w:rPr>
                <w:noProof/>
                <w:color w:val="006100"/>
              </w:rPr>
              <w:t>Megállapodás aláírása a kiválasztott projektgazdákkal a metánról a</w:t>
            </w:r>
            <w:r>
              <w:rPr>
                <w:noProof/>
                <w:color w:val="006100"/>
              </w:rPr>
              <w:t xml:space="preserve"> zöld hidrogénre való átállás előmozdítása érdekében. A projekteknek részben a kifejlesztendő K+F+I folyamatra kell irányulniuk, részben pedig hidrogént használó ipari prototípus megvalósítására és tesztelésére kell irányulniuk.</w:t>
            </w:r>
            <w:r>
              <w:rPr>
                <w:noProof/>
              </w:rPr>
              <w:t xml:space="preserve"> </w:t>
            </w:r>
            <w:r>
              <w:rPr>
                <w:noProof/>
                <w:color w:val="006100"/>
              </w:rPr>
              <w:t xml:space="preserve">Ez az intézkedés támogatja </w:t>
            </w:r>
            <w:r>
              <w:rPr>
                <w:noProof/>
                <w:color w:val="006100"/>
              </w:rPr>
              <w:t>az (EU) 2018/2001 irányelvben (a megújuló energiaforrásokról szóló irányelv) meghatározott megújuló energiaforrásokat vagy hálózati villamos energiát felhasználó elektrolízisen alapuló hidrogéntermelést.</w:t>
            </w:r>
          </w:p>
        </w:tc>
      </w:tr>
      <w:tr w:rsidR="003F5418" w14:paraId="5DD82AD3" w14:textId="77777777">
        <w:trPr>
          <w:trHeight w:val="309"/>
          <w:jc w:val="center"/>
        </w:trPr>
        <w:tc>
          <w:tcPr>
            <w:tcW w:w="1613" w:type="dxa"/>
            <w:shd w:val="clear" w:color="auto" w:fill="C6EFCE"/>
            <w:noWrap/>
            <w:vAlign w:val="center"/>
          </w:tcPr>
          <w:p w14:paraId="79FAB6C4" w14:textId="77777777" w:rsidR="003F5418" w:rsidRDefault="002A6C25">
            <w:pPr>
              <w:pStyle w:val="P68B1DB1-Normal4"/>
              <w:jc w:val="center"/>
              <w:rPr>
                <w:noProof/>
              </w:rPr>
            </w:pPr>
            <w:r>
              <w:rPr>
                <w:noProof/>
              </w:rPr>
              <w:t>M2C2–51</w:t>
            </w:r>
          </w:p>
        </w:tc>
        <w:tc>
          <w:tcPr>
            <w:tcW w:w="1643" w:type="dxa"/>
            <w:shd w:val="clear" w:color="auto" w:fill="C6EFCE"/>
            <w:noWrap/>
            <w:vAlign w:val="center"/>
          </w:tcPr>
          <w:p w14:paraId="224272C5" w14:textId="77777777" w:rsidR="003F5418" w:rsidRDefault="002A6C25">
            <w:pPr>
              <w:pStyle w:val="P68B1DB1-Normal4"/>
              <w:jc w:val="center"/>
              <w:rPr>
                <w:noProof/>
              </w:rPr>
            </w:pPr>
            <w:r>
              <w:rPr>
                <w:noProof/>
              </w:rPr>
              <w:t xml:space="preserve">Beruházás Hidrogénfelhasználás a </w:t>
            </w:r>
            <w:r>
              <w:rPr>
                <w:noProof/>
              </w:rPr>
              <w:t>kibocsátáscsökkentési nehézségekkel szembenéző iparágakban</w:t>
            </w:r>
          </w:p>
        </w:tc>
        <w:tc>
          <w:tcPr>
            <w:tcW w:w="1559" w:type="dxa"/>
            <w:shd w:val="clear" w:color="auto" w:fill="C6EFCE"/>
            <w:noWrap/>
            <w:vAlign w:val="center"/>
          </w:tcPr>
          <w:p w14:paraId="6A39B147"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4252D619" w14:textId="77777777" w:rsidR="003F5418" w:rsidRDefault="002A6C25">
            <w:pPr>
              <w:pStyle w:val="P68B1DB1-Normal4"/>
              <w:jc w:val="center"/>
              <w:rPr>
                <w:noProof/>
              </w:rPr>
            </w:pPr>
            <w:r>
              <w:rPr>
                <w:noProof/>
              </w:rPr>
              <w:t>A hidrogén bevezetése az ipari folyamatokba</w:t>
            </w:r>
          </w:p>
        </w:tc>
        <w:tc>
          <w:tcPr>
            <w:tcW w:w="1843" w:type="dxa"/>
            <w:shd w:val="clear" w:color="auto" w:fill="C6EFCE"/>
            <w:noWrap/>
            <w:vAlign w:val="center"/>
          </w:tcPr>
          <w:p w14:paraId="7EEC46BC"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49628957" w14:textId="77777777" w:rsidR="003F5418" w:rsidRDefault="002A6C25">
            <w:pPr>
              <w:pStyle w:val="P68B1DB1-Normal4"/>
              <w:jc w:val="center"/>
              <w:rPr>
                <w:noProof/>
              </w:rPr>
            </w:pPr>
            <w:r>
              <w:rPr>
                <w:noProof/>
              </w:rPr>
              <w:t xml:space="preserve">Szám </w:t>
            </w:r>
          </w:p>
        </w:tc>
        <w:tc>
          <w:tcPr>
            <w:tcW w:w="1134" w:type="dxa"/>
            <w:shd w:val="clear" w:color="auto" w:fill="C6EFCE"/>
            <w:noWrap/>
            <w:vAlign w:val="center"/>
          </w:tcPr>
          <w:p w14:paraId="643BAFEF" w14:textId="77777777" w:rsidR="003F5418" w:rsidRDefault="002A6C25">
            <w:pPr>
              <w:pStyle w:val="P68B1DB1-Normal4"/>
              <w:jc w:val="center"/>
              <w:rPr>
                <w:noProof/>
              </w:rPr>
            </w:pPr>
            <w:r>
              <w:rPr>
                <w:noProof/>
              </w:rPr>
              <w:t>0</w:t>
            </w:r>
          </w:p>
        </w:tc>
        <w:tc>
          <w:tcPr>
            <w:tcW w:w="946" w:type="dxa"/>
            <w:shd w:val="clear" w:color="auto" w:fill="C6EFCE"/>
            <w:noWrap/>
            <w:vAlign w:val="center"/>
          </w:tcPr>
          <w:p w14:paraId="60D96227" w14:textId="77777777" w:rsidR="003F5418" w:rsidRDefault="002A6C25">
            <w:pPr>
              <w:pStyle w:val="P68B1DB1-Normal4"/>
              <w:jc w:val="center"/>
              <w:rPr>
                <w:noProof/>
              </w:rPr>
            </w:pPr>
            <w:r>
              <w:rPr>
                <w:noProof/>
              </w:rPr>
              <w:t>1</w:t>
            </w:r>
          </w:p>
        </w:tc>
        <w:tc>
          <w:tcPr>
            <w:tcW w:w="992" w:type="dxa"/>
            <w:shd w:val="clear" w:color="auto" w:fill="C6EFCE"/>
            <w:noWrap/>
            <w:vAlign w:val="center"/>
          </w:tcPr>
          <w:p w14:paraId="0E975574"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5EB5EA1A"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03E2D2AC" w14:textId="77777777" w:rsidR="003F5418" w:rsidRDefault="002A6C25">
            <w:pPr>
              <w:pStyle w:val="P68B1DB1-Normal4"/>
              <w:spacing w:after="120"/>
              <w:rPr>
                <w:noProof/>
              </w:rPr>
            </w:pPr>
            <w:r>
              <w:rPr>
                <w:noProof/>
              </w:rPr>
              <w:t>Hidrogén bevezetése legalább 1 ipari létesítményben a nehezen csökkenthető ágazatok dekarbonizációja</w:t>
            </w:r>
            <w:r>
              <w:rPr>
                <w:noProof/>
              </w:rPr>
              <w:t xml:space="preserve"> érdekében. Az intézkedés az (EU) 2018/2001 irányelvben (megújulóenergia-irányelv) meghatározott megújuló energiaforrások vagy hálózati villamos energia felhasználásával végzett elektrolízisen alapuló hidrogéntermelést támogatja.</w:t>
            </w:r>
          </w:p>
          <w:p w14:paraId="2FB8C130" w14:textId="52A00F91" w:rsidR="003F5418" w:rsidRDefault="002A6C25">
            <w:pPr>
              <w:pStyle w:val="P68B1DB1-Normal4"/>
              <w:spacing w:after="120"/>
              <w:rPr>
                <w:noProof/>
              </w:rPr>
            </w:pPr>
            <w:r>
              <w:rPr>
                <w:noProof/>
              </w:rPr>
              <w:t>Legalább 400 000 000 EUR o</w:t>
            </w:r>
            <w:r>
              <w:rPr>
                <w:noProof/>
              </w:rPr>
              <w:t>lyan ipari fejlesztések támogatására szolgál, amelyek a metán és a fosszilis tüzelőanyagok ipari folyamatokban való felhasználásának 90%-át az (EU) 2018/2001 irányelvben (megújulóenergia-irányelv) meghatározott megújuló energiaforrásokat felhasználó elektr</w:t>
            </w:r>
            <w:r>
              <w:rPr>
                <w:noProof/>
              </w:rPr>
              <w:t>olízisen alapuló hidrogénnel vagy hálózati villamos energiával helyettesítik.</w:t>
            </w:r>
          </w:p>
        </w:tc>
      </w:tr>
      <w:tr w:rsidR="003F5418" w14:paraId="56CE93FD" w14:textId="77777777">
        <w:trPr>
          <w:trHeight w:val="309"/>
          <w:jc w:val="center"/>
        </w:trPr>
        <w:tc>
          <w:tcPr>
            <w:tcW w:w="1613" w:type="dxa"/>
            <w:shd w:val="clear" w:color="auto" w:fill="C6EFCE"/>
            <w:noWrap/>
            <w:vAlign w:val="center"/>
          </w:tcPr>
          <w:p w14:paraId="48EFB911" w14:textId="77777777" w:rsidR="003F5418" w:rsidRDefault="002A6C25">
            <w:pPr>
              <w:pStyle w:val="P68B1DB1-Normal4"/>
              <w:jc w:val="center"/>
              <w:rPr>
                <w:noProof/>
              </w:rPr>
            </w:pPr>
            <w:r>
              <w:rPr>
                <w:noProof/>
              </w:rPr>
              <w:t>M2C2–52</w:t>
            </w:r>
          </w:p>
        </w:tc>
        <w:tc>
          <w:tcPr>
            <w:tcW w:w="1643" w:type="dxa"/>
            <w:shd w:val="clear" w:color="auto" w:fill="C6EFCE"/>
            <w:noWrap/>
            <w:vAlign w:val="center"/>
          </w:tcPr>
          <w:p w14:paraId="2F9BA7E7" w14:textId="77777777" w:rsidR="003F5418" w:rsidRDefault="002A6C25">
            <w:pPr>
              <w:pStyle w:val="P68B1DB1-Normal4"/>
              <w:jc w:val="center"/>
              <w:rPr>
                <w:noProof/>
              </w:rPr>
            </w:pPr>
            <w:r>
              <w:rPr>
                <w:noProof/>
              </w:rPr>
              <w:t>Beruházás Hidrogén</w:t>
            </w:r>
          </w:p>
        </w:tc>
        <w:tc>
          <w:tcPr>
            <w:tcW w:w="1559" w:type="dxa"/>
            <w:shd w:val="clear" w:color="auto" w:fill="C6EFCE"/>
            <w:noWrap/>
            <w:vAlign w:val="center"/>
          </w:tcPr>
          <w:p w14:paraId="018523E3" w14:textId="77777777" w:rsidR="003F5418" w:rsidRDefault="002A6C25">
            <w:pPr>
              <w:pStyle w:val="P68B1DB1-Normal4"/>
              <w:jc w:val="center"/>
              <w:rPr>
                <w:noProof/>
              </w:rPr>
            </w:pPr>
            <w:r>
              <w:rPr>
                <w:noProof/>
              </w:rPr>
              <w:t>Mérföldkő</w:t>
            </w:r>
          </w:p>
        </w:tc>
        <w:tc>
          <w:tcPr>
            <w:tcW w:w="1559" w:type="dxa"/>
            <w:shd w:val="clear" w:color="auto" w:fill="C6EFCE"/>
            <w:noWrap/>
            <w:vAlign w:val="center"/>
          </w:tcPr>
          <w:p w14:paraId="6BBE5C35" w14:textId="77777777" w:rsidR="003F5418" w:rsidRDefault="002A6C25">
            <w:pPr>
              <w:pStyle w:val="P68B1DB1-Normal4"/>
              <w:jc w:val="center"/>
              <w:rPr>
                <w:noProof/>
              </w:rPr>
            </w:pPr>
            <w:r>
              <w:rPr>
                <w:noProof/>
              </w:rPr>
              <w:t>Elektrolizátorok gyártása</w:t>
            </w:r>
          </w:p>
        </w:tc>
        <w:tc>
          <w:tcPr>
            <w:tcW w:w="1843" w:type="dxa"/>
            <w:shd w:val="clear" w:color="auto" w:fill="C6EFCE"/>
            <w:noWrap/>
            <w:vAlign w:val="center"/>
          </w:tcPr>
          <w:p w14:paraId="00E4458F" w14:textId="77777777" w:rsidR="003F5418" w:rsidRDefault="002A6C25">
            <w:pPr>
              <w:pStyle w:val="P68B1DB1-Normal4"/>
              <w:jc w:val="center"/>
              <w:rPr>
                <w:noProof/>
              </w:rPr>
            </w:pPr>
            <w:r>
              <w:rPr>
                <w:noProof/>
              </w:rPr>
              <w:t>Értesítés valamennyi közbeszerzési szerződés közzétételéről</w:t>
            </w:r>
          </w:p>
        </w:tc>
        <w:tc>
          <w:tcPr>
            <w:tcW w:w="1417" w:type="dxa"/>
            <w:shd w:val="clear" w:color="auto" w:fill="C6EFCE"/>
            <w:noWrap/>
            <w:vAlign w:val="center"/>
          </w:tcPr>
          <w:p w14:paraId="504D37F8"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D6907B3" w14:textId="77777777" w:rsidR="003F5418" w:rsidRDefault="002A6C25">
            <w:pPr>
              <w:pStyle w:val="P68B1DB1-Normal4"/>
              <w:jc w:val="center"/>
              <w:rPr>
                <w:noProof/>
              </w:rPr>
            </w:pPr>
            <w:r>
              <w:rPr>
                <w:noProof/>
              </w:rPr>
              <w:t>NINCS</w:t>
            </w:r>
          </w:p>
        </w:tc>
        <w:tc>
          <w:tcPr>
            <w:tcW w:w="946" w:type="dxa"/>
            <w:shd w:val="clear" w:color="auto" w:fill="C6EFCE"/>
            <w:noWrap/>
            <w:vAlign w:val="center"/>
          </w:tcPr>
          <w:p w14:paraId="015944D5" w14:textId="77777777" w:rsidR="003F5418" w:rsidRDefault="002A6C25">
            <w:pPr>
              <w:pStyle w:val="P68B1DB1-Normal4"/>
              <w:jc w:val="center"/>
              <w:rPr>
                <w:noProof/>
              </w:rPr>
            </w:pPr>
            <w:r>
              <w:rPr>
                <w:noProof/>
              </w:rPr>
              <w:t>NINCS</w:t>
            </w:r>
          </w:p>
        </w:tc>
        <w:tc>
          <w:tcPr>
            <w:tcW w:w="992" w:type="dxa"/>
            <w:shd w:val="clear" w:color="auto" w:fill="C6EFCE"/>
            <w:noWrap/>
            <w:vAlign w:val="center"/>
          </w:tcPr>
          <w:p w14:paraId="58B25AF2"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4D57DF44" w14:textId="77777777" w:rsidR="003F5418" w:rsidRDefault="002A6C25">
            <w:pPr>
              <w:pStyle w:val="P68B1DB1-Normal4"/>
              <w:jc w:val="center"/>
              <w:rPr>
                <w:noProof/>
              </w:rPr>
            </w:pPr>
            <w:r>
              <w:rPr>
                <w:noProof/>
              </w:rPr>
              <w:t>2022</w:t>
            </w:r>
          </w:p>
        </w:tc>
        <w:tc>
          <w:tcPr>
            <w:tcW w:w="2793" w:type="dxa"/>
            <w:shd w:val="clear" w:color="auto" w:fill="C6EFCE"/>
            <w:noWrap/>
            <w:vAlign w:val="center"/>
          </w:tcPr>
          <w:p w14:paraId="3F1D017B" w14:textId="77777777" w:rsidR="003F5418" w:rsidRDefault="002A6C25">
            <w:pPr>
              <w:pStyle w:val="P68B1DB1-Normal4"/>
              <w:rPr>
                <w:noProof/>
              </w:rPr>
            </w:pPr>
            <w:r>
              <w:rPr>
                <w:noProof/>
              </w:rPr>
              <w:t>Elektrolizátorok</w:t>
            </w:r>
            <w:r>
              <w:rPr>
                <w:noProof/>
              </w:rPr>
              <w:t xml:space="preserve"> gyártására szolgáló ipari létesítmény építésére irányuló szerződés odaítélése. </w:t>
            </w:r>
          </w:p>
        </w:tc>
      </w:tr>
      <w:tr w:rsidR="003F5418" w14:paraId="4B50901B" w14:textId="77777777">
        <w:trPr>
          <w:trHeight w:val="309"/>
          <w:jc w:val="center"/>
        </w:trPr>
        <w:tc>
          <w:tcPr>
            <w:tcW w:w="1613" w:type="dxa"/>
            <w:shd w:val="clear" w:color="auto" w:fill="C6EFCE"/>
            <w:noWrap/>
            <w:vAlign w:val="center"/>
          </w:tcPr>
          <w:p w14:paraId="4E10359D" w14:textId="77777777" w:rsidR="003F5418" w:rsidRDefault="002A6C25">
            <w:pPr>
              <w:pStyle w:val="P68B1DB1-Normal4"/>
              <w:jc w:val="center"/>
              <w:rPr>
                <w:noProof/>
              </w:rPr>
            </w:pPr>
            <w:r>
              <w:rPr>
                <w:noProof/>
              </w:rPr>
              <w:t>M2C2–53</w:t>
            </w:r>
          </w:p>
        </w:tc>
        <w:tc>
          <w:tcPr>
            <w:tcW w:w="1643" w:type="dxa"/>
            <w:shd w:val="clear" w:color="auto" w:fill="C6EFCE"/>
            <w:noWrap/>
            <w:vAlign w:val="center"/>
          </w:tcPr>
          <w:p w14:paraId="5EE5A6AB" w14:textId="77777777" w:rsidR="003F5418" w:rsidRDefault="002A6C25">
            <w:pPr>
              <w:pStyle w:val="P68B1DB1-Normal4"/>
              <w:jc w:val="center"/>
              <w:rPr>
                <w:noProof/>
              </w:rPr>
            </w:pPr>
            <w:r>
              <w:rPr>
                <w:noProof/>
              </w:rPr>
              <w:t>Beruházás Hidrogén</w:t>
            </w:r>
          </w:p>
        </w:tc>
        <w:tc>
          <w:tcPr>
            <w:tcW w:w="1559" w:type="dxa"/>
            <w:shd w:val="clear" w:color="auto" w:fill="C6EFCE"/>
            <w:noWrap/>
            <w:vAlign w:val="center"/>
          </w:tcPr>
          <w:p w14:paraId="2B37D7C6"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185D7EC1" w14:textId="77777777" w:rsidR="003F5418" w:rsidRDefault="002A6C25">
            <w:pPr>
              <w:pStyle w:val="P68B1DB1-Normal4"/>
              <w:jc w:val="center"/>
              <w:rPr>
                <w:noProof/>
              </w:rPr>
            </w:pPr>
            <w:r>
              <w:rPr>
                <w:noProof/>
              </w:rPr>
              <w:t xml:space="preserve">Az elektrolizátorok gyártására szolgáló ipari létesítmények kivitelezésére irányuló valamennyi közbeszerzési szerződés odaítélése </w:t>
            </w:r>
          </w:p>
        </w:tc>
        <w:tc>
          <w:tcPr>
            <w:tcW w:w="1843" w:type="dxa"/>
            <w:shd w:val="clear" w:color="auto" w:fill="C6EFCE"/>
            <w:noWrap/>
            <w:vAlign w:val="center"/>
          </w:tcPr>
          <w:p w14:paraId="55D471F4" w14:textId="77777777" w:rsidR="003F5418" w:rsidRDefault="002A6C25">
            <w:pPr>
              <w:pStyle w:val="P68B1DB1-Normal4"/>
              <w:jc w:val="center"/>
              <w:rPr>
                <w:noProof/>
              </w:rPr>
            </w:pPr>
            <w:r>
              <w:rPr>
                <w:noProof/>
              </w:rPr>
              <w:t>NINCS</w:t>
            </w:r>
          </w:p>
        </w:tc>
        <w:tc>
          <w:tcPr>
            <w:tcW w:w="1417" w:type="dxa"/>
            <w:shd w:val="clear" w:color="auto" w:fill="C6EFCE"/>
            <w:noWrap/>
            <w:vAlign w:val="center"/>
          </w:tcPr>
          <w:p w14:paraId="52246E30"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5AA40B64" w14:textId="77777777" w:rsidR="003F5418" w:rsidRDefault="002A6C25">
            <w:pPr>
              <w:pStyle w:val="P68B1DB1-Normal4"/>
              <w:jc w:val="center"/>
              <w:rPr>
                <w:noProof/>
              </w:rPr>
            </w:pPr>
            <w:r>
              <w:rPr>
                <w:noProof/>
              </w:rPr>
              <w:t>0</w:t>
            </w:r>
          </w:p>
        </w:tc>
        <w:tc>
          <w:tcPr>
            <w:tcW w:w="946" w:type="dxa"/>
            <w:shd w:val="clear" w:color="auto" w:fill="C6EFCE"/>
            <w:noWrap/>
            <w:vAlign w:val="center"/>
          </w:tcPr>
          <w:p w14:paraId="6255E101" w14:textId="77777777" w:rsidR="003F5418" w:rsidRDefault="002A6C25">
            <w:pPr>
              <w:pStyle w:val="P68B1DB1-Normal4"/>
              <w:jc w:val="center"/>
              <w:rPr>
                <w:noProof/>
              </w:rPr>
            </w:pPr>
            <w:r>
              <w:rPr>
                <w:noProof/>
              </w:rPr>
              <w:t>1</w:t>
            </w:r>
          </w:p>
        </w:tc>
        <w:tc>
          <w:tcPr>
            <w:tcW w:w="992" w:type="dxa"/>
            <w:shd w:val="clear" w:color="auto" w:fill="C6EFCE"/>
            <w:noWrap/>
            <w:vAlign w:val="center"/>
          </w:tcPr>
          <w:p w14:paraId="13A5CFDD" w14:textId="77777777" w:rsidR="003F5418" w:rsidRDefault="002A6C25">
            <w:pPr>
              <w:pStyle w:val="P68B1DB1-Normal4"/>
              <w:jc w:val="center"/>
              <w:rPr>
                <w:noProof/>
              </w:rPr>
            </w:pPr>
            <w:r>
              <w:rPr>
                <w:noProof/>
              </w:rPr>
              <w:t>Q2</w:t>
            </w:r>
          </w:p>
        </w:tc>
        <w:tc>
          <w:tcPr>
            <w:tcW w:w="756" w:type="dxa"/>
            <w:shd w:val="clear" w:color="auto" w:fill="C6EFCE"/>
            <w:noWrap/>
            <w:vAlign w:val="center"/>
          </w:tcPr>
          <w:p w14:paraId="5B24055C" w14:textId="77777777" w:rsidR="003F5418" w:rsidRDefault="002A6C25">
            <w:pPr>
              <w:pStyle w:val="P68B1DB1-Normal4"/>
              <w:jc w:val="center"/>
              <w:rPr>
                <w:noProof/>
              </w:rPr>
            </w:pPr>
            <w:r>
              <w:rPr>
                <w:noProof/>
              </w:rPr>
              <w:t>2026</w:t>
            </w:r>
          </w:p>
        </w:tc>
        <w:tc>
          <w:tcPr>
            <w:tcW w:w="2793" w:type="dxa"/>
            <w:shd w:val="clear" w:color="auto" w:fill="C6EFCE"/>
            <w:noWrap/>
            <w:vAlign w:val="center"/>
          </w:tcPr>
          <w:p w14:paraId="0FEE7D7B" w14:textId="77777777" w:rsidR="003F5418" w:rsidRDefault="002A6C25">
            <w:pPr>
              <w:pStyle w:val="P68B1DB1-Normal4"/>
              <w:rPr>
                <w:noProof/>
              </w:rPr>
            </w:pPr>
            <w:r>
              <w:rPr>
                <w:noProof/>
              </w:rPr>
              <w:t>Legalább egy ipari üzem építése elektrolizátorok gyártásához, amelyek teljes kapacitása legalább 1 GW/év.</w:t>
            </w:r>
          </w:p>
        </w:tc>
      </w:tr>
    </w:tbl>
    <w:p w14:paraId="6CB52D07" w14:textId="77777777" w:rsidR="003F5418" w:rsidRDefault="003F5418">
      <w:pPr>
        <w:tabs>
          <w:tab w:val="left" w:pos="1860"/>
        </w:tabs>
        <w:spacing w:before="120" w:after="120"/>
        <w:jc w:val="both"/>
        <w:rPr>
          <w:noProof/>
        </w:rPr>
      </w:pPr>
    </w:p>
    <w:p w14:paraId="7D8D61D8" w14:textId="77777777" w:rsidR="003F5418" w:rsidRDefault="003F5418">
      <w:pPr>
        <w:tabs>
          <w:tab w:val="left" w:pos="1860"/>
        </w:tabs>
        <w:spacing w:before="120" w:after="120"/>
        <w:jc w:val="both"/>
        <w:rPr>
          <w:noProof/>
        </w:rPr>
        <w:sectPr w:rsidR="003F5418">
          <w:headerReference w:type="even" r:id="rId158"/>
          <w:headerReference w:type="default" r:id="rId159"/>
          <w:footerReference w:type="even" r:id="rId160"/>
          <w:footerReference w:type="default" r:id="rId161"/>
          <w:headerReference w:type="first" r:id="rId162"/>
          <w:footerReference w:type="first" r:id="rId163"/>
          <w:pgSz w:w="16839" w:h="11907" w:orient="landscape"/>
          <w:pgMar w:top="1134" w:right="1134" w:bottom="1134" w:left="1134" w:header="567" w:footer="567" w:gutter="0"/>
          <w:cols w:space="720"/>
          <w:docGrid w:linePitch="360"/>
        </w:sectPr>
      </w:pPr>
    </w:p>
    <w:p w14:paraId="33EFA8DC" w14:textId="77777777" w:rsidR="003F5418" w:rsidRDefault="002A6C25">
      <w:pPr>
        <w:pStyle w:val="Heading2"/>
        <w:numPr>
          <w:ilvl w:val="0"/>
          <w:numId w:val="0"/>
        </w:numPr>
        <w:rPr>
          <w:noProof/>
        </w:rPr>
      </w:pPr>
      <w:r>
        <w:rPr>
          <w:noProof/>
        </w:rPr>
        <w:t xml:space="preserve">F. 2. FEJEZET 3. SZAKASZTÁSI TERVEZET – Épületek energiahatékonysága és </w:t>
      </w:r>
      <w:r>
        <w:rPr>
          <w:noProof/>
        </w:rPr>
        <w:t>átminősítése</w:t>
      </w:r>
    </w:p>
    <w:p w14:paraId="0C2DD079" w14:textId="77777777" w:rsidR="003F5418" w:rsidRDefault="002A6C25">
      <w:pPr>
        <w:spacing w:before="120" w:after="120"/>
        <w:jc w:val="both"/>
        <w:rPr>
          <w:noProof/>
        </w:rPr>
      </w:pPr>
      <w:r>
        <w:rPr>
          <w:noProof/>
        </w:rPr>
        <w:t xml:space="preserve">Az energiahatékonyság ennek az összetevőnek a sarokköve, amely három fő pillérre tagolódik. </w:t>
      </w:r>
    </w:p>
    <w:p w14:paraId="54A36F8C" w14:textId="77777777" w:rsidR="003F5418" w:rsidRDefault="002A6C25">
      <w:pPr>
        <w:numPr>
          <w:ilvl w:val="0"/>
          <w:numId w:val="70"/>
        </w:numPr>
        <w:spacing w:before="120" w:after="120"/>
        <w:ind w:left="360"/>
        <w:contextualSpacing/>
        <w:jc w:val="both"/>
        <w:rPr>
          <w:noProof/>
        </w:rPr>
      </w:pPr>
      <w:r>
        <w:rPr>
          <w:noProof/>
        </w:rPr>
        <w:t>Az első pillér a magáningatlanok energetikai és földrengésellenes felújítására irányuló ideiglenes ösztönző bevezetése a beavatkozások kapcsán felmerü</w:t>
      </w:r>
      <w:r>
        <w:rPr>
          <w:noProof/>
        </w:rPr>
        <w:t xml:space="preserve">lt költségek levonása révén. Azok a beavatkozások támogathatók, amelyek az energiatanúsítvány legalább két kategóriájával növelik a lakás energiahatékonyságát, és átlagosan 30%-ot meghaladó energiafogyasztás-növekedést eredményeznek. </w:t>
      </w:r>
    </w:p>
    <w:p w14:paraId="1CFB338A" w14:textId="77777777" w:rsidR="003F5418" w:rsidRDefault="002A6C25">
      <w:pPr>
        <w:numPr>
          <w:ilvl w:val="0"/>
          <w:numId w:val="70"/>
        </w:numPr>
        <w:spacing w:before="120" w:after="120"/>
        <w:ind w:left="360"/>
        <w:contextualSpacing/>
        <w:jc w:val="both"/>
        <w:rPr>
          <w:noProof/>
        </w:rPr>
      </w:pPr>
      <w:r>
        <w:rPr>
          <w:noProof/>
        </w:rPr>
        <w:t>E komponens második p</w:t>
      </w:r>
      <w:r>
        <w:rPr>
          <w:noProof/>
        </w:rPr>
        <w:t>illére az állami iskolák és a bírósági idézők hatékonyságának és biztonságának javítása.</w:t>
      </w:r>
    </w:p>
    <w:p w14:paraId="6BF4FB43" w14:textId="77777777" w:rsidR="003F5418" w:rsidRDefault="002A6C25">
      <w:pPr>
        <w:numPr>
          <w:ilvl w:val="0"/>
          <w:numId w:val="70"/>
        </w:numPr>
        <w:spacing w:before="120" w:after="120"/>
        <w:ind w:left="360"/>
        <w:contextualSpacing/>
        <w:jc w:val="both"/>
        <w:rPr>
          <w:noProof/>
        </w:rPr>
      </w:pPr>
      <w:r>
        <w:rPr>
          <w:noProof/>
        </w:rPr>
        <w:t xml:space="preserve">A harmadik pillér célja a hatékony távfűtési hálózatok kiépítésének és bővítésének ösztönzése a városi területeken. </w:t>
      </w:r>
    </w:p>
    <w:p w14:paraId="30583A25" w14:textId="77777777" w:rsidR="003F5418" w:rsidRDefault="002A6C25">
      <w:pPr>
        <w:spacing w:before="120" w:after="120"/>
        <w:jc w:val="both"/>
        <w:rPr>
          <w:noProof/>
        </w:rPr>
      </w:pPr>
      <w:r>
        <w:rPr>
          <w:noProof/>
        </w:rPr>
        <w:t>Emellett számos reformra került sor az épületek en</w:t>
      </w:r>
      <w:r>
        <w:rPr>
          <w:noProof/>
        </w:rPr>
        <w:t xml:space="preserve">ergiahatékonyságának javítását célzó projektek végrehajtásának egyszerűsítése és felgyorsítása érdekében. </w:t>
      </w:r>
    </w:p>
    <w:p w14:paraId="43BB5A35" w14:textId="77777777" w:rsidR="003F5418" w:rsidRDefault="002A6C25">
      <w:pPr>
        <w:spacing w:before="120" w:after="120"/>
        <w:jc w:val="both"/>
        <w:rPr>
          <w:noProof/>
        </w:rPr>
      </w:pPr>
      <w:r>
        <w:rPr>
          <w:noProof/>
        </w:rPr>
        <w:t>Ez az összetevő várhatóan jelentősen hozzájárul Olaszország 2030-ra kitűzött éghajlat- és energiapolitikai céljainak eléréséhez, mivel Olaszország te</w:t>
      </w:r>
      <w:r>
        <w:rPr>
          <w:noProof/>
        </w:rPr>
        <w:t>ljes energiafogyasztásának közel feléért a civil szektor felelős. A legtöbb épületet az energiamegtakarítási kritériumok elfogadása és a vonatkozó jogszabályok hatálybalépése előtt építették, ezért az energiahatékonyság és a szeizmikus kockázatokhoz való a</w:t>
      </w:r>
      <w:r>
        <w:rPr>
          <w:noProof/>
        </w:rPr>
        <w:t xml:space="preserve">lkalmazkodás tekintetében jelentősek az igények.  </w:t>
      </w:r>
    </w:p>
    <w:p w14:paraId="05808903" w14:textId="77777777" w:rsidR="003F5418" w:rsidRDefault="002A6C25">
      <w:pPr>
        <w:spacing w:before="120" w:after="120"/>
        <w:jc w:val="both"/>
        <w:rPr>
          <w:noProof/>
        </w:rPr>
      </w:pPr>
      <w:r>
        <w:rPr>
          <w:noProof/>
        </w:rPr>
        <w:t>Ez a komponens a 2020. évi 3. országspecifikus ajánlás egy részével foglalkozik, amelyben a Tanács azt ajánlotta Olaszországnak, hogy hozzon intézkedéseket „A zöld és digitális átállásra, különösen [...] a</w:t>
      </w:r>
      <w:r>
        <w:rPr>
          <w:noProof/>
        </w:rPr>
        <w:t xml:space="preserve"> vízgazdálkodásra, valamint az alapvető szolgáltatások nyújtását biztosító megerősített digitális infrastruktúrára irányuló beruházások” érdekében. Foglalkozik továbbá a 2019. évi 3. országspecifikus ajánlás egyes részeivel („Az infrastruktúra minőségével </w:t>
      </w:r>
      <w:r>
        <w:rPr>
          <w:noProof/>
        </w:rPr>
        <w:t>kapcsolatos, befektetésekkel kapcsolatos gazdaságpolitika, figyelembe véve a regionális különbségeket. [...] valamint a közigazgatás hatékonyságának javítása [...] a digitalizáció felgyorsítása, valamint a helyi közszolgáltatások hatékonyságának és minőség</w:t>
      </w:r>
      <w:r>
        <w:rPr>
          <w:noProof/>
        </w:rPr>
        <w:t>ének javítása révén”).</w:t>
      </w:r>
    </w:p>
    <w:p w14:paraId="2F14DED4" w14:textId="77777777" w:rsidR="003F5418" w:rsidRDefault="002A6C25">
      <w:pPr>
        <w:spacing w:before="120" w:after="120"/>
        <w:jc w:val="both"/>
        <w:rPr>
          <w:noProof/>
        </w:rPr>
      </w:pPr>
      <w:r>
        <w:rPr>
          <w:noProof/>
        </w:rPr>
        <w:t>A jelentős károkozás elkerülését célzó elvről szóló technikai iránymutatásnak (2021/C58/01) megfelelően a helyreállítási és rezilienciaépítési tervben meghatározott intézkedések leírását és a helyreállítási és rezilienciaépítési terv</w:t>
      </w:r>
      <w:r>
        <w:rPr>
          <w:noProof/>
        </w:rPr>
        <w:t xml:space="preserve">ben meghatározott enyhítő lépéseket figyelembe véve ebben a komponensben várhatóan egyetlen intézkedés sem sérti jelentős mértékben az (EU) 2020/852 rendelet 17. cikke szerinti környezeti célkitűzéseket. </w:t>
      </w:r>
    </w:p>
    <w:p w14:paraId="4EB54155"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F.1. </w:t>
      </w:r>
      <w:r>
        <w:rPr>
          <w:noProof/>
        </w:rPr>
        <w:t xml:space="preserve"> </w:t>
      </w:r>
      <w:r>
        <w:rPr>
          <w:b/>
          <w:i w:val="0"/>
          <w:noProof/>
          <w:u w:val="single"/>
        </w:rPr>
        <w:t>Vissza nem térítendő pénzügyi támogatás – a r</w:t>
      </w:r>
      <w:r>
        <w:rPr>
          <w:b/>
          <w:i w:val="0"/>
          <w:noProof/>
          <w:u w:val="single"/>
        </w:rPr>
        <w:t>eformok és beruházások ismertetése</w:t>
      </w:r>
    </w:p>
    <w:p w14:paraId="1A983D50" w14:textId="395A20C0" w:rsidR="003F5418" w:rsidRDefault="00B51A1C">
      <w:pPr>
        <w:pStyle w:val="P68B1DB1-Normal2"/>
        <w:spacing w:before="120" w:after="120" w:line="257" w:lineRule="auto"/>
        <w:jc w:val="both"/>
        <w:rPr>
          <w:noProof/>
        </w:rPr>
      </w:pPr>
      <w:r>
        <w:rPr>
          <w:noProof/>
        </w:rPr>
        <w:t>2</w:t>
      </w:r>
      <w:r w:rsidRPr="00B07E42">
        <w:rPr>
          <w:noProof/>
        </w:rPr>
        <w:t>.1.</w:t>
      </w:r>
      <w:r>
        <w:rPr>
          <w:noProof/>
        </w:rPr>
        <w:t xml:space="preserve"> Beruházás: Az Ecobonus megerősítése az energiahatékonyság érdekében</w:t>
      </w:r>
    </w:p>
    <w:p w14:paraId="5D74DAF6" w14:textId="77777777" w:rsidR="003F5418" w:rsidRDefault="002A6C25">
      <w:pPr>
        <w:spacing w:before="120" w:after="120"/>
        <w:jc w:val="both"/>
        <w:rPr>
          <w:noProof/>
        </w:rPr>
      </w:pPr>
      <w:r>
        <w:rPr>
          <w:noProof/>
        </w:rPr>
        <w:t>A Superbonus intézkedés lakóépületek energetikai felújítását finanszírozza, beleértve a szociális lakásokat is, a világjárvány kedvezőtlen gazdasági</w:t>
      </w:r>
      <w:r>
        <w:rPr>
          <w:noProof/>
        </w:rPr>
        <w:t xml:space="preserve"> és társadalmi hatásainak kezelése érdekében elfogadott úgynevezett „Decreto Rilancio” 119. cikkében meghatározottak szerint. A cél kettős: 1. jelentős hozzájárulás Olaszország integrált nemzeti energia- és éghajlat-politikai tervében (PNIEC) 2030-ra kitűz</w:t>
      </w:r>
      <w:r>
        <w:rPr>
          <w:noProof/>
        </w:rPr>
        <w:t xml:space="preserve">ött energiamegtakarítási és kibocsátáscsökkentési célok eléréséhez, és 2) anticiklikus támogatás nyújtása az építőiparnak és a magánszektor keresletének a gazdasági visszaesés hatásainak ellensúlyozása érdekében. </w:t>
      </w:r>
    </w:p>
    <w:p w14:paraId="6700F258" w14:textId="77777777" w:rsidR="003F5418" w:rsidRDefault="002A6C25">
      <w:pPr>
        <w:spacing w:before="120" w:after="120"/>
        <w:jc w:val="both"/>
        <w:rPr>
          <w:noProof/>
        </w:rPr>
      </w:pPr>
      <w:r>
        <w:rPr>
          <w:noProof/>
        </w:rPr>
        <w:t>A támogatást öt éven keresztül történő adó</w:t>
      </w:r>
      <w:r>
        <w:rPr>
          <w:noProof/>
        </w:rPr>
        <w:t>levonás formájában nyújtják. 2023. február 16-ig a kedvezményezettek az adólevonási eszköz alternatívájaként dönthetnek úgy, hogy a levonás közvetlen alkalmazása helyett pénzügyi eszközöket (az úgynevezett „hitelátutalást” és „számlakedvezményt”) használna</w:t>
      </w:r>
      <w:r>
        <w:rPr>
          <w:noProof/>
        </w:rPr>
        <w:t xml:space="preserve">k a magas kezdeti beruházási költségek problémájának kezelésére. Ezen alternatív eszközök alkalmazása esetén a kedvezményezett által igénybe vehető adólevonás összege egyenlő: </w:t>
      </w:r>
    </w:p>
    <w:p w14:paraId="2A5E1826" w14:textId="77777777" w:rsidR="003F5418" w:rsidRDefault="002A6C25">
      <w:pPr>
        <w:spacing w:before="120" w:after="120"/>
        <w:jc w:val="both"/>
        <w:rPr>
          <w:noProof/>
        </w:rPr>
      </w:pPr>
      <w:r>
        <w:rPr>
          <w:noProof/>
        </w:rPr>
        <w:t>1. a szállító (azaz építőipari vállalatok, tervezők vagy általánosabban a fővál</w:t>
      </w:r>
      <w:r>
        <w:rPr>
          <w:noProof/>
        </w:rPr>
        <w:t xml:space="preserve">lalkozó) által az előre fizetett árra vonatkozó kedvezmény formájában nyújtott hozzájárulás, amely azt közvetlenül a számlára diszkontálja, és az induló beruházás költségét csökkentő adójóváírás formájában visszatérít; </w:t>
      </w:r>
    </w:p>
    <w:p w14:paraId="76D13F25" w14:textId="77777777" w:rsidR="003F5418" w:rsidRDefault="002A6C25">
      <w:pPr>
        <w:spacing w:before="120" w:after="120"/>
        <w:jc w:val="both"/>
        <w:rPr>
          <w:noProof/>
        </w:rPr>
      </w:pPr>
      <w:r>
        <w:rPr>
          <w:noProof/>
        </w:rPr>
        <w:t xml:space="preserve">2. a pénzügyi intézményre ruházandó </w:t>
      </w:r>
      <w:r>
        <w:rPr>
          <w:noProof/>
        </w:rPr>
        <w:t xml:space="preserve">adójóváírás, amely előre befizeti a szükséges tőkét. Ez a mechanizmus ellensúlyozza azt az esetleges visszatartó erőt, amely az épület-korszerűsítéshez a magas induló beruházási költségek miatt társul. A fővállalkozó vagy a pénzügyi intézmény kiválasztása </w:t>
      </w:r>
      <w:r>
        <w:rPr>
          <w:noProof/>
        </w:rPr>
        <w:t>a kedvezményezettre van bízva.</w:t>
      </w:r>
    </w:p>
    <w:p w14:paraId="54706A5F" w14:textId="77777777" w:rsidR="003F5418" w:rsidRDefault="002A6C25">
      <w:pPr>
        <w:spacing w:before="120" w:after="120"/>
        <w:jc w:val="both"/>
        <w:rPr>
          <w:noProof/>
        </w:rPr>
      </w:pPr>
      <w:r>
        <w:rPr>
          <w:noProof/>
        </w:rPr>
        <w:t xml:space="preserve">Ebből az adókedvezményből társasházak, családi házak, osztatlan tulajdonú lakásszövetkezetek, nonprofit szervezetek és önkéntes egyesületek, amatőr sportegyesületek és sportklubok, valamint szociális lakások egyaránt </w:t>
      </w:r>
      <w:r>
        <w:rPr>
          <w:noProof/>
        </w:rPr>
        <w:t>részesülhetnek. Az igénybevételi jogosultsághoz az épület-korszerűsítésnek »mélyrehatónak« (az (EU) 2019/786 bizottsági ajánlás szóhasználata szerinti közepes felújításnak) kell lennie, ami azt jelenti, hogy legalább két energiahatékonysági osztálynyi javu</w:t>
      </w:r>
      <w:r>
        <w:rPr>
          <w:noProof/>
        </w:rPr>
        <w:t xml:space="preserve">lást kell elérnie (ez átlagosan 40% primerenergia-megtakarításnak felel meg). Az ezen intézkedés hatálya alá tartozó támogatható beavatkozások köre széles, ideértve például a vezetési beavatkozásokat, a vontatott beavatkozásokat, az átlátszatlan felületek </w:t>
      </w:r>
      <w:r>
        <w:rPr>
          <w:noProof/>
        </w:rPr>
        <w:t>hőszigetelését és a légkondicionáló rendszerekkel kapcsolatos beavatkozásokat (kondenzációs kazánok; hőszivattyú; a hatékony távfűtési hálózatokhoz való csatlakozás meghatározott feltételek mellett; naphőenergia; biomassza-kazánok meghatározott körülmények</w:t>
      </w:r>
      <w:r>
        <w:rPr>
          <w:noProof/>
        </w:rPr>
        <w:t xml:space="preserve"> között), fotovoltaikus rendszerek a kapcsolódó tárolórendszerekkel vagy az elektromos járművek töltésére szolgáló infrastruktúrával. Két 2020. augusztus 6-i miniszteri rendelet már meghatározta a beavatkozásokkal szemben támasztott műszaki követelményeket</w:t>
      </w:r>
      <w:r>
        <w:rPr>
          <w:noProof/>
        </w:rPr>
        <w:t xml:space="preserve">, valamint a konkrét maximális követelményeknek és költségeknek való megfelelés igazolására szolgáló eljárásokat. </w:t>
      </w:r>
    </w:p>
    <w:p w14:paraId="77ADA922" w14:textId="77777777" w:rsidR="003F5418" w:rsidRDefault="002A6C25">
      <w:pPr>
        <w:spacing w:before="120" w:after="120"/>
        <w:jc w:val="both"/>
        <w:rPr>
          <w:noProof/>
        </w:rPr>
      </w:pPr>
      <w:r>
        <w:rPr>
          <w:noProof/>
        </w:rPr>
        <w:t>A Superbonus már 2020. július 1-je óta aktív, és 2022. június 30-ig marad hatályban (a szociális lakhatás tekintetében 2022. december 31-ig).</w:t>
      </w:r>
      <w:r>
        <w:rPr>
          <w:noProof/>
        </w:rPr>
        <w:t xml:space="preserve"> A kedvezmény igénybevétele a társasházakon és a szociális lakásokon végzett beavatkozások esetében további hat hónapig lehetséges, amennyiben a munka legalább 60%-át a fentiekben említett időpontok előtt elvégezték. Annak érdekében, hogy az összetettebb b</w:t>
      </w:r>
      <w:r>
        <w:rPr>
          <w:noProof/>
        </w:rPr>
        <w:t>eavatkozásokhoz több idő álljon rendelkezésre, a tervek szerint az intézkedés alkalmazása a társasházak esetében 2022. december 31-ig, a szociális lakások esetében 2023. június 30-ig meghosszabbításra kerül függetlenül attól, hogy a munka legalább 60%-át e</w:t>
      </w:r>
      <w:r>
        <w:rPr>
          <w:noProof/>
        </w:rPr>
        <w:t xml:space="preserve">lvégezték-e eddig az időpontig. </w:t>
      </w:r>
    </w:p>
    <w:p w14:paraId="5C3E6966" w14:textId="77777777" w:rsidR="003F5418" w:rsidRDefault="002A6C25">
      <w:pPr>
        <w:spacing w:before="120" w:after="120"/>
        <w:jc w:val="both"/>
        <w:rPr>
          <w:noProof/>
        </w:rPr>
      </w:pPr>
      <w:r>
        <w:rPr>
          <w:noProof/>
        </w:rPr>
        <w:t>Az intézkedés várhatóan nem sérti jelentősen az (EU) 2020/852 rendelet 17. cikke szerinti környezetvédelmi célkitűzéseket, figyelembe véve az intézkedés leírását és a helyreállítási és rezilienciaépítési tervben meghatározo</w:t>
      </w:r>
      <w:r>
        <w:rPr>
          <w:noProof/>
        </w:rPr>
        <w:t xml:space="preserve">tt enyhítő lépéseket a jelentős károkozás elkerülését célzó elvről szóló technikai iránymutatásnak (2021/C58/01) megfelelően. A kondenzációs gázkazánok telepítésének költsége legfeljebb az épület-korszerűsítési program összköltségének 20%-át teheti ki. Ha </w:t>
      </w:r>
      <w:r>
        <w:rPr>
          <w:noProof/>
        </w:rPr>
        <w:t>a kondenzációs gázkazánt meglévő kis hatásfokú gáz-, szén- vagy olajtüzelésű kazán helyett telepítik, a kazánnak az »A« energiahatékonysági osztályba kell tartoznia. A gázkazánok telepítésének meg kell felelnie a DNSH technikai iránymutatásban (2021/C 58/0</w:t>
      </w:r>
      <w:r>
        <w:rPr>
          <w:noProof/>
        </w:rPr>
        <w:t>1) meghatározott feltételeknek.</w:t>
      </w:r>
    </w:p>
    <w:p w14:paraId="615E4532" w14:textId="7C2D0939" w:rsidR="003F5418" w:rsidRDefault="00B51A1C">
      <w:pPr>
        <w:pStyle w:val="P68B1DB1-Normal2"/>
        <w:spacing w:before="120" w:after="120" w:line="257" w:lineRule="auto"/>
        <w:jc w:val="both"/>
        <w:rPr>
          <w:noProof/>
        </w:rPr>
      </w:pPr>
      <w:r>
        <w:rPr>
          <w:noProof/>
        </w:rPr>
        <w:t>1</w:t>
      </w:r>
      <w:r w:rsidRPr="00B07E42">
        <w:rPr>
          <w:noProof/>
        </w:rPr>
        <w:t>.1.</w:t>
      </w:r>
      <w:r>
        <w:rPr>
          <w:noProof/>
        </w:rPr>
        <w:t xml:space="preserve"> Reform – Az energiahatékonysági beavatkozások eljárásainak egyszerűsítése és felgyorsítása</w:t>
      </w:r>
    </w:p>
    <w:p w14:paraId="78917284" w14:textId="77777777" w:rsidR="003F5418" w:rsidRDefault="002A6C25">
      <w:pPr>
        <w:spacing w:before="120" w:after="120"/>
        <w:jc w:val="both"/>
        <w:rPr>
          <w:noProof/>
        </w:rPr>
      </w:pPr>
      <w:r>
        <w:rPr>
          <w:noProof/>
        </w:rPr>
        <w:t>E reform célja, hogy egyszerűsítse és felgyorsítsa az energiahatékonysággal kapcsolatos beavatkozások végrehajtási eljárásait. N</w:t>
      </w:r>
      <w:r>
        <w:rPr>
          <w:noProof/>
        </w:rPr>
        <w:t>égy fő intézkedésből áll:</w:t>
      </w:r>
    </w:p>
    <w:p w14:paraId="7EE32C9B" w14:textId="77777777" w:rsidR="003F5418" w:rsidRDefault="002A6C25">
      <w:pPr>
        <w:numPr>
          <w:ilvl w:val="0"/>
          <w:numId w:val="71"/>
        </w:numPr>
        <w:spacing w:before="120" w:after="120"/>
        <w:ind w:left="357" w:hanging="357"/>
        <w:contextualSpacing/>
        <w:jc w:val="both"/>
        <w:rPr>
          <w:noProof/>
        </w:rPr>
      </w:pPr>
      <w:r>
        <w:rPr>
          <w:noProof/>
        </w:rPr>
        <w:t>Az épületek energiahatékonyságával foglalkozó nemzeti portál</w:t>
      </w:r>
      <w:r>
        <w:rPr>
          <w:b/>
          <w:noProof/>
        </w:rPr>
        <w:t xml:space="preserve">elindítása: </w:t>
      </w:r>
      <w:r>
        <w:rPr>
          <w:noProof/>
        </w:rPr>
        <w:t>A portál támogatja a polgárokat és az üzemeltetőket az energiahatékonysági projektek irányításában, és könnyen hozzáférhet az információkhoz a döntéshozók szá</w:t>
      </w:r>
      <w:r>
        <w:rPr>
          <w:noProof/>
        </w:rPr>
        <w:t>mára. Információkat tartalmaz a nemzeti épületállomány energiahatékonyságáról, amely várhatóan segíti a vállalkozásokat és a polgárokat az ingatlanaik energiahatékonyságának javítására vonatkozó döntéseik meghozatalában. Egyablakos rendszert kell létrehozn</w:t>
      </w:r>
      <w:r>
        <w:rPr>
          <w:noProof/>
        </w:rPr>
        <w:t>i, amely segítséget és minden hasznos információt nyújt a polgároknak és a vállalkozásoknak az épületek energetikai feltérképezésével, az ágazati szabályoknak való megfeleléssel, a hatékonysági potenciál értékelésével és a cselekvési prioritások kiválasztá</w:t>
      </w:r>
      <w:r>
        <w:rPr>
          <w:noProof/>
        </w:rPr>
        <w:t xml:space="preserve">sával kapcsolatban, beleértve a szakaszos átalakítási terveket, a legmegfelelőbb promóciós eszközök kiválasztását és a szakmai készségek képzését. </w:t>
      </w:r>
    </w:p>
    <w:p w14:paraId="6C3343D9" w14:textId="77777777" w:rsidR="003F5418" w:rsidRDefault="002A6C25">
      <w:pPr>
        <w:numPr>
          <w:ilvl w:val="0"/>
          <w:numId w:val="71"/>
        </w:numPr>
        <w:spacing w:before="120" w:after="120"/>
        <w:ind w:left="357" w:hanging="357"/>
        <w:contextualSpacing/>
        <w:jc w:val="both"/>
        <w:rPr>
          <w:b/>
          <w:noProof/>
        </w:rPr>
      </w:pPr>
      <w:r>
        <w:rPr>
          <w:noProof/>
        </w:rPr>
        <w:t>A</w:t>
      </w:r>
      <w:r>
        <w:rPr>
          <w:b/>
          <w:noProof/>
        </w:rPr>
        <w:t xml:space="preserve">civil szektort célzó tájékoztatási és képzési terv tevékenységeinek megerősítése – </w:t>
      </w:r>
      <w:r>
        <w:rPr>
          <w:noProof/>
        </w:rPr>
        <w:t>A tájékoztatási és képzé</w:t>
      </w:r>
      <w:r>
        <w:rPr>
          <w:noProof/>
        </w:rPr>
        <w:t>si tervnek figyelembe kell vennie mind a lakossági ágazatban a végfelhasználók információs hiányosságainak pótlására irányuló konkrét kezdeményezések, mind pedig az ösztönzőkkel és a leghatékonyabb beavatkozásokkal kapcsolatos megfelelő képzési tevékenység</w:t>
      </w:r>
      <w:r>
        <w:rPr>
          <w:noProof/>
        </w:rPr>
        <w:t>ek kidolgozásának szükségességét az energetikai szolgáltatásokat kínáló, beavatkozásokat végrehajtó vállalatok és a társasházi vezetők számára. A tervet a Superbonus intézkedésből eredő igények figyelembevételével kell kidolgozni annak érdekében, hogy maxi</w:t>
      </w:r>
      <w:r>
        <w:rPr>
          <w:noProof/>
        </w:rPr>
        <w:t>malizálni lehessen annak eredményességét, és le lehessen fektetni a tartós hatékonysági kultúra alapjait az építőiparban.</w:t>
      </w:r>
      <w:r>
        <w:rPr>
          <w:b/>
          <w:noProof/>
        </w:rPr>
        <w:t xml:space="preserve"> </w:t>
      </w:r>
    </w:p>
    <w:p w14:paraId="05BEBA52" w14:textId="77777777" w:rsidR="003F5418" w:rsidRDefault="002A6C25">
      <w:pPr>
        <w:numPr>
          <w:ilvl w:val="0"/>
          <w:numId w:val="71"/>
        </w:numPr>
        <w:spacing w:before="120" w:after="120"/>
        <w:ind w:left="357" w:hanging="357"/>
        <w:contextualSpacing/>
        <w:jc w:val="both"/>
        <w:rPr>
          <w:noProof/>
        </w:rPr>
      </w:pPr>
      <w:r>
        <w:rPr>
          <w:noProof/>
        </w:rPr>
        <w:t>A Nemzeti Energiahatékonysági Alap</w:t>
      </w:r>
      <w:r>
        <w:rPr>
          <w:b/>
          <w:noProof/>
        </w:rPr>
        <w:t xml:space="preserve">aktualizálása és megerősítése: </w:t>
      </w:r>
      <w:r>
        <w:rPr>
          <w:noProof/>
        </w:rPr>
        <w:t>A Nemzeti Energiahatékonysági Alap létrehozásáról és kezeléséről szó</w:t>
      </w:r>
      <w:r>
        <w:rPr>
          <w:noProof/>
        </w:rPr>
        <w:t xml:space="preserve">ló rendeletek felülvizsgálatával (a 102/2014. sz. törvényerejű rendelet 15. cikke és a 2017. december 22-i tárcaközi rendelet) hatályba lépnek a rendelkezésre álló források bővítését és nagyobb mértékű felhasználását elősegítő módosítások. </w:t>
      </w:r>
    </w:p>
    <w:p w14:paraId="00FE9138" w14:textId="77777777" w:rsidR="003F5418" w:rsidRDefault="002A6C25">
      <w:pPr>
        <w:numPr>
          <w:ilvl w:val="0"/>
          <w:numId w:val="71"/>
        </w:numPr>
        <w:spacing w:before="120" w:after="120"/>
        <w:ind w:left="357" w:hanging="357"/>
        <w:contextualSpacing/>
        <w:jc w:val="both"/>
        <w:rPr>
          <w:noProof/>
        </w:rPr>
      </w:pPr>
      <w:r>
        <w:rPr>
          <w:noProof/>
        </w:rPr>
        <w:t>A központi álla</w:t>
      </w:r>
      <w:r>
        <w:rPr>
          <w:noProof/>
        </w:rPr>
        <w:t>mi fejlesztési program (EPAC) által finanszírozott projektek végrehajtási szakaszának</w:t>
      </w:r>
      <w:r>
        <w:rPr>
          <w:b/>
          <w:noProof/>
        </w:rPr>
        <w:t xml:space="preserve">felgyorsítása: </w:t>
      </w:r>
      <w:r>
        <w:rPr>
          <w:noProof/>
        </w:rPr>
        <w:t>Szabályozási felülvizsgálatot kell végezni, amelynek célja a kifejezetten a központi közigazgatás épületrehabilitációs programja (PREPAC) számára elkülöníte</w:t>
      </w:r>
      <w:r>
        <w:rPr>
          <w:noProof/>
        </w:rPr>
        <w:t>tt források hatékonyabb kezelésének előmozdítása.</w:t>
      </w:r>
    </w:p>
    <w:p w14:paraId="4115B203" w14:textId="77777777" w:rsidR="003F5418" w:rsidRDefault="002A6C25">
      <w:pPr>
        <w:pStyle w:val="Heading3"/>
        <w:numPr>
          <w:ilvl w:val="0"/>
          <w:numId w:val="0"/>
        </w:numPr>
        <w:ind w:left="850" w:hanging="850"/>
        <w:rPr>
          <w:b/>
          <w:i w:val="0"/>
          <w:noProof/>
          <w:u w:val="single"/>
        </w:rPr>
      </w:pPr>
      <w:r>
        <w:rPr>
          <w:b/>
          <w:i w:val="0"/>
          <w:noProof/>
          <w:u w:val="single"/>
        </w:rPr>
        <w:t xml:space="preserve">F.2. </w:t>
      </w:r>
      <w:r>
        <w:rPr>
          <w:noProof/>
        </w:rPr>
        <w:t xml:space="preserve"> </w:t>
      </w:r>
      <w:r>
        <w:rPr>
          <w:b/>
          <w:i w:val="0"/>
          <w:noProof/>
          <w:u w:val="single"/>
        </w:rPr>
        <w:t>Vissza nem térítendő pénzügyi támogatás – a végrehajtáshoz és a nyomon követéshez kapcsolódó mérföldkövek, célok, mutatók és ütemterv</w:t>
      </w:r>
    </w:p>
    <w:p w14:paraId="785AFE6B" w14:textId="77777777" w:rsidR="003F5418" w:rsidRDefault="003F5418">
      <w:pPr>
        <w:spacing w:before="120" w:after="120"/>
        <w:ind w:left="709"/>
        <w:jc w:val="both"/>
        <w:rPr>
          <w:noProof/>
        </w:rPr>
        <w:sectPr w:rsidR="003F5418">
          <w:headerReference w:type="even" r:id="rId164"/>
          <w:headerReference w:type="default" r:id="rId165"/>
          <w:footerReference w:type="even" r:id="rId166"/>
          <w:footerReference w:type="default" r:id="rId167"/>
          <w:headerReference w:type="first" r:id="rId168"/>
          <w:footerReference w:type="first" r:id="rId169"/>
          <w:pgSz w:w="11907" w:h="16839"/>
          <w:pgMar w:top="1440" w:right="1440" w:bottom="1440" w:left="1440" w:header="567" w:footer="567" w:gutter="0"/>
          <w:cols w:space="720"/>
          <w:docGrid w:linePitch="360"/>
        </w:sectPr>
      </w:pPr>
    </w:p>
    <w:tbl>
      <w:tblPr>
        <w:tblpPr w:leftFromText="180" w:rightFromText="180" w:horzAnchor="margin" w:tblpXSpec="center" w:tblpY="-720"/>
        <w:tblW w:w="5122" w:type="pct"/>
        <w:tblLook w:val="04A0" w:firstRow="1" w:lastRow="0" w:firstColumn="1" w:lastColumn="0" w:noHBand="0" w:noVBand="1"/>
      </w:tblPr>
      <w:tblGrid>
        <w:gridCol w:w="1130"/>
        <w:gridCol w:w="1730"/>
        <w:gridCol w:w="1274"/>
        <w:gridCol w:w="1858"/>
        <w:gridCol w:w="1609"/>
        <w:gridCol w:w="1310"/>
        <w:gridCol w:w="1276"/>
        <w:gridCol w:w="1219"/>
        <w:gridCol w:w="995"/>
        <w:gridCol w:w="704"/>
        <w:gridCol w:w="2715"/>
      </w:tblGrid>
      <w:tr w:rsidR="003F5418" w14:paraId="2F1DA03C" w14:textId="77777777">
        <w:trPr>
          <w:trHeight w:val="927"/>
          <w:tblHead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DF58AA" w14:textId="77777777" w:rsidR="003F5418" w:rsidRDefault="002A6C25">
            <w:pPr>
              <w:pStyle w:val="P68B1DB1-Normal3"/>
              <w:jc w:val="center"/>
              <w:rPr>
                <w:noProof/>
              </w:rPr>
            </w:pPr>
            <w:r>
              <w:rPr>
                <w:noProof/>
              </w:rPr>
              <w:t>Sorszám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594D18" w14:textId="77777777" w:rsidR="003F5418" w:rsidRDefault="002A6C25">
            <w:pPr>
              <w:pStyle w:val="P68B1DB1-Normal3"/>
              <w:jc w:val="center"/>
              <w:rPr>
                <w:noProof/>
              </w:rPr>
            </w:pPr>
            <w:r>
              <w:rPr>
                <w:noProof/>
              </w:rPr>
              <w:t>Kapcsolódó</w:t>
            </w:r>
            <w:r>
              <w:rPr>
                <w:noProof/>
              </w:rPr>
              <w:t xml:space="preserve"> intézkedés (reform vagy beruházás)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0EF7BAB" w14:textId="77777777" w:rsidR="003F5418" w:rsidRDefault="002A6C25">
            <w:pPr>
              <w:pStyle w:val="P68B1DB1-Normal3"/>
              <w:jc w:val="center"/>
              <w:rPr>
                <w:noProof/>
              </w:rPr>
            </w:pPr>
            <w:r>
              <w:rPr>
                <w:noProof/>
              </w:rPr>
              <w:t>Mérföldkő/cél</w:t>
            </w:r>
          </w:p>
        </w:tc>
        <w:tc>
          <w:tcPr>
            <w:tcW w:w="1559" w:type="dxa"/>
            <w:vMerge w:val="restart"/>
            <w:tcBorders>
              <w:top w:val="single" w:sz="4" w:space="0" w:color="auto"/>
              <w:left w:val="nil"/>
              <w:bottom w:val="single" w:sz="4" w:space="0" w:color="auto"/>
              <w:right w:val="single" w:sz="4" w:space="0" w:color="auto"/>
            </w:tcBorders>
            <w:shd w:val="clear" w:color="auto" w:fill="BDD7EE"/>
            <w:vAlign w:val="center"/>
            <w:hideMark/>
          </w:tcPr>
          <w:p w14:paraId="1E6822F8" w14:textId="77777777" w:rsidR="003F5418" w:rsidRDefault="002A6C25">
            <w:pPr>
              <w:pStyle w:val="P68B1DB1-Normal3"/>
              <w:jc w:val="center"/>
              <w:rPr>
                <w:noProof/>
              </w:rPr>
            </w:pPr>
            <w:r>
              <w:rPr>
                <w:noProof/>
              </w:rPr>
              <w:t>Név</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C124163"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579" w:type="dxa"/>
            <w:gridSpan w:val="3"/>
            <w:tcBorders>
              <w:top w:val="single" w:sz="4" w:space="0" w:color="auto"/>
              <w:left w:val="nil"/>
              <w:bottom w:val="single" w:sz="4" w:space="0" w:color="auto"/>
              <w:right w:val="single" w:sz="4" w:space="0" w:color="auto"/>
            </w:tcBorders>
            <w:shd w:val="clear" w:color="auto" w:fill="BDD7EE"/>
            <w:vAlign w:val="center"/>
            <w:hideMark/>
          </w:tcPr>
          <w:p w14:paraId="03633CC6"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699" w:type="dxa"/>
            <w:gridSpan w:val="2"/>
            <w:tcBorders>
              <w:top w:val="single" w:sz="4" w:space="0" w:color="auto"/>
              <w:left w:val="nil"/>
              <w:bottom w:val="single" w:sz="4" w:space="0" w:color="auto"/>
              <w:right w:val="single" w:sz="4" w:space="0" w:color="auto"/>
            </w:tcBorders>
            <w:shd w:val="clear" w:color="auto" w:fill="BDD7EE"/>
            <w:vAlign w:val="center"/>
            <w:hideMark/>
          </w:tcPr>
          <w:p w14:paraId="111F2830" w14:textId="77777777" w:rsidR="003F5418" w:rsidRDefault="002A6C25">
            <w:pPr>
              <w:pStyle w:val="P68B1DB1-Normal3"/>
              <w:jc w:val="center"/>
              <w:rPr>
                <w:noProof/>
              </w:rPr>
            </w:pPr>
            <w:r>
              <w:rPr>
                <w:noProof/>
              </w:rPr>
              <w:t xml:space="preserve">A végrehajtás indikatív ütemterve </w:t>
            </w:r>
          </w:p>
        </w:tc>
        <w:tc>
          <w:tcPr>
            <w:tcW w:w="26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556C03" w14:textId="77777777" w:rsidR="003F5418" w:rsidRDefault="002A6C25">
            <w:pPr>
              <w:pStyle w:val="P68B1DB1-Normal3"/>
              <w:rPr>
                <w:noProof/>
              </w:rPr>
            </w:pPr>
            <w:r>
              <w:rPr>
                <w:noProof/>
              </w:rPr>
              <w:t>Az egyes mérföldkövek és célértékek leírása</w:t>
            </w:r>
          </w:p>
        </w:tc>
      </w:tr>
      <w:tr w:rsidR="003F5418" w14:paraId="5467624F" w14:textId="77777777">
        <w:trPr>
          <w:trHeight w:val="751"/>
          <w:tblHead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1E98DC11" w14:textId="77777777" w:rsidR="003F5418" w:rsidRDefault="003F5418">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93F297A" w14:textId="77777777" w:rsidR="003F5418" w:rsidRDefault="003F5418">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271B17" w14:textId="77777777" w:rsidR="003F5418" w:rsidRDefault="003F5418">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471F2A" w14:textId="77777777" w:rsidR="003F5418" w:rsidRDefault="003F5418">
            <w:pPr>
              <w:rPr>
                <w:rFonts w:ascii="Arial Narrow" w:hAnsi="Arial Narrow"/>
                <w:b/>
                <w:noProof/>
                <w:sz w:val="20"/>
              </w:rPr>
            </w:pPr>
          </w:p>
        </w:tc>
        <w:tc>
          <w:tcPr>
            <w:tcW w:w="1609" w:type="dxa"/>
            <w:vMerge/>
            <w:tcBorders>
              <w:top w:val="single" w:sz="4" w:space="0" w:color="auto"/>
              <w:left w:val="single" w:sz="4" w:space="0" w:color="auto"/>
              <w:bottom w:val="single" w:sz="4" w:space="0" w:color="auto"/>
            </w:tcBorders>
            <w:vAlign w:val="center"/>
            <w:hideMark/>
          </w:tcPr>
          <w:p w14:paraId="2D8377FC" w14:textId="77777777" w:rsidR="003F5418" w:rsidRDefault="003F5418">
            <w:pPr>
              <w:rPr>
                <w:rFonts w:ascii="Arial Narrow" w:hAnsi="Arial Narrow"/>
                <w:b/>
                <w:noProof/>
                <w:sz w:val="20"/>
              </w:rPr>
            </w:pPr>
          </w:p>
        </w:tc>
        <w:tc>
          <w:tcPr>
            <w:tcW w:w="1084" w:type="dxa"/>
            <w:tcBorders>
              <w:top w:val="nil"/>
              <w:left w:val="single" w:sz="4" w:space="0" w:color="auto"/>
              <w:bottom w:val="single" w:sz="4" w:space="0" w:color="auto"/>
              <w:right w:val="single" w:sz="4" w:space="0" w:color="auto"/>
            </w:tcBorders>
            <w:shd w:val="clear" w:color="auto" w:fill="BDD7EE"/>
            <w:vAlign w:val="center"/>
            <w:hideMark/>
          </w:tcPr>
          <w:p w14:paraId="279EBD6A" w14:textId="77777777" w:rsidR="003F5418" w:rsidRDefault="002A6C25">
            <w:pPr>
              <w:pStyle w:val="P68B1DB1-Normal3"/>
              <w:jc w:val="center"/>
              <w:rPr>
                <w:noProof/>
              </w:rPr>
            </w:pPr>
            <w:r>
              <w:rPr>
                <w:noProof/>
              </w:rPr>
              <w:t>Mértékegység</w:t>
            </w:r>
          </w:p>
        </w:tc>
        <w:tc>
          <w:tcPr>
            <w:tcW w:w="1276" w:type="dxa"/>
            <w:tcBorders>
              <w:top w:val="nil"/>
              <w:left w:val="nil"/>
              <w:bottom w:val="single" w:sz="4" w:space="0" w:color="auto"/>
              <w:right w:val="single" w:sz="4" w:space="0" w:color="auto"/>
            </w:tcBorders>
            <w:shd w:val="clear" w:color="auto" w:fill="BDD7EE"/>
            <w:vAlign w:val="center"/>
            <w:hideMark/>
          </w:tcPr>
          <w:p w14:paraId="0FD54E32" w14:textId="77777777" w:rsidR="003F5418" w:rsidRDefault="002A6C25">
            <w:pPr>
              <w:pStyle w:val="P68B1DB1-Normal3"/>
              <w:jc w:val="center"/>
              <w:rPr>
                <w:noProof/>
              </w:rPr>
            </w:pPr>
            <w:r>
              <w:rPr>
                <w:noProof/>
              </w:rPr>
              <w:t xml:space="preserve">Kiindulási </w:t>
            </w:r>
          </w:p>
        </w:tc>
        <w:tc>
          <w:tcPr>
            <w:tcW w:w="1219" w:type="dxa"/>
            <w:tcBorders>
              <w:top w:val="nil"/>
              <w:left w:val="nil"/>
              <w:bottom w:val="single" w:sz="4" w:space="0" w:color="auto"/>
              <w:right w:val="single" w:sz="4" w:space="0" w:color="auto"/>
            </w:tcBorders>
            <w:shd w:val="clear" w:color="auto" w:fill="BDD7EE"/>
            <w:vAlign w:val="center"/>
            <w:hideMark/>
          </w:tcPr>
          <w:p w14:paraId="0525A0F8" w14:textId="77777777" w:rsidR="003F5418" w:rsidRDefault="002A6C25">
            <w:pPr>
              <w:pStyle w:val="P68B1DB1-Normal3"/>
              <w:jc w:val="center"/>
              <w:rPr>
                <w:noProof/>
              </w:rPr>
            </w:pPr>
            <w:r>
              <w:rPr>
                <w:noProof/>
              </w:rPr>
              <w:t xml:space="preserve">Cél </w:t>
            </w:r>
          </w:p>
        </w:tc>
        <w:tc>
          <w:tcPr>
            <w:tcW w:w="995" w:type="dxa"/>
            <w:tcBorders>
              <w:top w:val="nil"/>
              <w:left w:val="nil"/>
              <w:bottom w:val="single" w:sz="4" w:space="0" w:color="auto"/>
              <w:right w:val="single" w:sz="4" w:space="0" w:color="auto"/>
            </w:tcBorders>
            <w:shd w:val="clear" w:color="auto" w:fill="BDD7EE"/>
            <w:vAlign w:val="center"/>
            <w:hideMark/>
          </w:tcPr>
          <w:p w14:paraId="0F9D048B" w14:textId="77777777" w:rsidR="003F5418" w:rsidRDefault="002A6C25">
            <w:pPr>
              <w:pStyle w:val="P68B1DB1-Normal3"/>
              <w:jc w:val="center"/>
              <w:rPr>
                <w:noProof/>
              </w:rPr>
            </w:pPr>
            <w:r>
              <w:rPr>
                <w:noProof/>
              </w:rPr>
              <w:t>Negyedév</w:t>
            </w:r>
          </w:p>
        </w:tc>
        <w:tc>
          <w:tcPr>
            <w:tcW w:w="704" w:type="dxa"/>
            <w:tcBorders>
              <w:top w:val="nil"/>
              <w:left w:val="nil"/>
              <w:bottom w:val="single" w:sz="4" w:space="0" w:color="auto"/>
              <w:right w:val="single" w:sz="4" w:space="0" w:color="auto"/>
            </w:tcBorders>
            <w:shd w:val="clear" w:color="auto" w:fill="BDD7EE"/>
            <w:vAlign w:val="center"/>
            <w:hideMark/>
          </w:tcPr>
          <w:p w14:paraId="15C3EFB0" w14:textId="77777777" w:rsidR="003F5418" w:rsidRDefault="002A6C25">
            <w:pPr>
              <w:pStyle w:val="P68B1DB1-Normal3"/>
              <w:jc w:val="center"/>
              <w:rPr>
                <w:noProof/>
              </w:rPr>
            </w:pPr>
            <w:r>
              <w:rPr>
                <w:noProof/>
              </w:rPr>
              <w:t>Éve</w:t>
            </w:r>
          </w:p>
        </w:tc>
        <w:tc>
          <w:tcPr>
            <w:tcW w:w="2647" w:type="dxa"/>
            <w:vMerge/>
            <w:tcBorders>
              <w:top w:val="single" w:sz="4" w:space="0" w:color="auto"/>
              <w:bottom w:val="single" w:sz="4" w:space="0" w:color="auto"/>
              <w:right w:val="single" w:sz="4" w:space="0" w:color="auto"/>
            </w:tcBorders>
            <w:vAlign w:val="center"/>
            <w:hideMark/>
          </w:tcPr>
          <w:p w14:paraId="18CEE657" w14:textId="77777777" w:rsidR="003F5418" w:rsidRDefault="003F5418">
            <w:pPr>
              <w:rPr>
                <w:rFonts w:ascii="Arial Narrow" w:hAnsi="Arial Narrow"/>
                <w:b/>
                <w:noProof/>
                <w:sz w:val="20"/>
              </w:rPr>
            </w:pPr>
          </w:p>
        </w:tc>
      </w:tr>
      <w:tr w:rsidR="003F5418" w14:paraId="4F0491FF" w14:textId="77777777">
        <w:trPr>
          <w:trHeight w:val="309"/>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1D334E36" w14:textId="77777777" w:rsidR="003F5418" w:rsidRDefault="002A6C25">
            <w:pPr>
              <w:pStyle w:val="P68B1DB1-Normal4"/>
              <w:spacing w:line="276" w:lineRule="auto"/>
              <w:jc w:val="center"/>
              <w:rPr>
                <w:noProof/>
              </w:rPr>
            </w:pPr>
            <w:r>
              <w:rPr>
                <w:noProof/>
              </w:rPr>
              <w:t>M2C3–1</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544C3B77" w14:textId="77777777" w:rsidR="003F5418" w:rsidRDefault="002A6C25">
            <w:pPr>
              <w:pStyle w:val="P68B1DB1-Normal4"/>
              <w:spacing w:line="276" w:lineRule="auto"/>
              <w:jc w:val="center"/>
              <w:rPr>
                <w:noProof/>
              </w:rPr>
            </w:pPr>
            <w:r>
              <w:rPr>
                <w:noProof/>
              </w:rPr>
              <w:t xml:space="preserve">Beruházás – Az Ecobonus megerősítése az energiahatékonyság érdekében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9239DF" w14:textId="77777777" w:rsidR="003F5418" w:rsidRDefault="002A6C25">
            <w:pPr>
              <w:pStyle w:val="P68B1DB1-Normal4"/>
              <w:spacing w:line="276" w:lineRule="auto"/>
              <w:jc w:val="center"/>
              <w:rPr>
                <w:noProof/>
              </w:rPr>
            </w:pPr>
            <w:r>
              <w:rPr>
                <w:noProof/>
              </w:rPr>
              <w:t>Mérföldkő</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3C2DA3C" w14:textId="77777777" w:rsidR="003F5418" w:rsidRDefault="002A6C25">
            <w:pPr>
              <w:pStyle w:val="P68B1DB1-Normal4"/>
              <w:spacing w:line="276" w:lineRule="auto"/>
              <w:jc w:val="center"/>
              <w:rPr>
                <w:noProof/>
              </w:rPr>
            </w:pPr>
            <w:r>
              <w:rPr>
                <w:noProof/>
              </w:rPr>
              <w:t>A Superbonus meghosszabbításának hatálybalépése</w:t>
            </w:r>
          </w:p>
        </w:tc>
        <w:tc>
          <w:tcPr>
            <w:tcW w:w="1609" w:type="dxa"/>
            <w:tcBorders>
              <w:top w:val="single" w:sz="4" w:space="0" w:color="auto"/>
              <w:left w:val="nil"/>
              <w:bottom w:val="single" w:sz="4" w:space="0" w:color="auto"/>
              <w:right w:val="single" w:sz="4" w:space="0" w:color="auto"/>
            </w:tcBorders>
            <w:shd w:val="clear" w:color="auto" w:fill="C6EFCE"/>
            <w:noWrap/>
            <w:vAlign w:val="center"/>
          </w:tcPr>
          <w:p w14:paraId="653AE871" w14:textId="77777777" w:rsidR="003F5418" w:rsidRDefault="002A6C25">
            <w:pPr>
              <w:pStyle w:val="P68B1DB1-Normal4"/>
              <w:spacing w:line="276" w:lineRule="auto"/>
              <w:jc w:val="center"/>
              <w:rPr>
                <w:noProof/>
              </w:rPr>
            </w:pPr>
            <w:r>
              <w:rPr>
                <w:noProof/>
              </w:rPr>
              <w:t>A jogi aktus(ok)ban szereplő, a hatálybalépést feltüntető rendelkezés</w:t>
            </w:r>
          </w:p>
        </w:tc>
        <w:tc>
          <w:tcPr>
            <w:tcW w:w="1084" w:type="dxa"/>
            <w:tcBorders>
              <w:top w:val="nil"/>
              <w:left w:val="nil"/>
              <w:bottom w:val="single" w:sz="4" w:space="0" w:color="auto"/>
              <w:right w:val="single" w:sz="4" w:space="0" w:color="auto"/>
            </w:tcBorders>
            <w:shd w:val="clear" w:color="auto" w:fill="C6EFCE"/>
            <w:noWrap/>
            <w:vAlign w:val="center"/>
          </w:tcPr>
          <w:p w14:paraId="1FF41D2E" w14:textId="77777777" w:rsidR="003F5418" w:rsidRDefault="002A6C25">
            <w:pPr>
              <w:pStyle w:val="P68B1DB1-Normal4"/>
              <w:spacing w:line="276" w:lineRule="auto"/>
              <w:jc w:val="center"/>
              <w:rPr>
                <w:noProof/>
              </w:rPr>
            </w:pPr>
            <w:r>
              <w:rPr>
                <w:noProof/>
              </w:rPr>
              <w:t>NINCS</w:t>
            </w:r>
          </w:p>
        </w:tc>
        <w:tc>
          <w:tcPr>
            <w:tcW w:w="1276" w:type="dxa"/>
            <w:tcBorders>
              <w:top w:val="nil"/>
              <w:left w:val="nil"/>
              <w:bottom w:val="single" w:sz="4" w:space="0" w:color="auto"/>
              <w:right w:val="single" w:sz="4" w:space="0" w:color="auto"/>
            </w:tcBorders>
            <w:shd w:val="clear" w:color="auto" w:fill="C6EFCE"/>
            <w:noWrap/>
            <w:vAlign w:val="center"/>
          </w:tcPr>
          <w:p w14:paraId="7310374A" w14:textId="77777777" w:rsidR="003F5418" w:rsidRDefault="002A6C25">
            <w:pPr>
              <w:pStyle w:val="P68B1DB1-Normal4"/>
              <w:spacing w:line="276" w:lineRule="auto"/>
              <w:jc w:val="center"/>
              <w:rPr>
                <w:noProof/>
              </w:rPr>
            </w:pPr>
            <w:r>
              <w:rPr>
                <w:noProof/>
              </w:rPr>
              <w:t>NINCS</w:t>
            </w:r>
          </w:p>
        </w:tc>
        <w:tc>
          <w:tcPr>
            <w:tcW w:w="1219" w:type="dxa"/>
            <w:tcBorders>
              <w:top w:val="nil"/>
              <w:left w:val="nil"/>
              <w:bottom w:val="single" w:sz="4" w:space="0" w:color="auto"/>
              <w:right w:val="single" w:sz="4" w:space="0" w:color="auto"/>
            </w:tcBorders>
            <w:shd w:val="clear" w:color="auto" w:fill="C6EFCE"/>
            <w:noWrap/>
            <w:vAlign w:val="center"/>
          </w:tcPr>
          <w:p w14:paraId="5025F9F5" w14:textId="77777777" w:rsidR="003F5418" w:rsidRDefault="002A6C25">
            <w:pPr>
              <w:pStyle w:val="P68B1DB1-Normal4"/>
              <w:spacing w:line="276" w:lineRule="auto"/>
              <w:jc w:val="center"/>
              <w:rPr>
                <w:noProof/>
              </w:rPr>
            </w:pPr>
            <w:r>
              <w:rPr>
                <w:noProof/>
              </w:rPr>
              <w:t>NINCS</w:t>
            </w:r>
          </w:p>
        </w:tc>
        <w:tc>
          <w:tcPr>
            <w:tcW w:w="995" w:type="dxa"/>
            <w:tcBorders>
              <w:top w:val="nil"/>
              <w:left w:val="nil"/>
              <w:bottom w:val="single" w:sz="4" w:space="0" w:color="auto"/>
              <w:right w:val="single" w:sz="4" w:space="0" w:color="auto"/>
            </w:tcBorders>
            <w:shd w:val="clear" w:color="auto" w:fill="C6EFCE"/>
            <w:noWrap/>
            <w:vAlign w:val="center"/>
          </w:tcPr>
          <w:p w14:paraId="5BF31161" w14:textId="77777777" w:rsidR="003F5418" w:rsidRDefault="002A6C25">
            <w:pPr>
              <w:pStyle w:val="P68B1DB1-Normal4"/>
              <w:spacing w:line="276" w:lineRule="auto"/>
              <w:jc w:val="center"/>
              <w:rPr>
                <w:noProof/>
              </w:rPr>
            </w:pPr>
            <w:r>
              <w:rPr>
                <w:noProof/>
              </w:rPr>
              <w:t>Q4</w:t>
            </w:r>
          </w:p>
        </w:tc>
        <w:tc>
          <w:tcPr>
            <w:tcW w:w="704" w:type="dxa"/>
            <w:tcBorders>
              <w:top w:val="nil"/>
              <w:left w:val="nil"/>
              <w:bottom w:val="single" w:sz="4" w:space="0" w:color="auto"/>
              <w:right w:val="single" w:sz="4" w:space="0" w:color="auto"/>
            </w:tcBorders>
            <w:shd w:val="clear" w:color="auto" w:fill="C6EFCE"/>
            <w:noWrap/>
            <w:vAlign w:val="center"/>
          </w:tcPr>
          <w:p w14:paraId="16EEAD3A" w14:textId="77777777" w:rsidR="003F5418" w:rsidRDefault="002A6C25">
            <w:pPr>
              <w:pStyle w:val="P68B1DB1-Normal4"/>
              <w:spacing w:line="276" w:lineRule="auto"/>
              <w:jc w:val="center"/>
              <w:rPr>
                <w:noProof/>
              </w:rPr>
            </w:pPr>
            <w:r>
              <w:rPr>
                <w:noProof/>
              </w:rPr>
              <w:t>2021</w:t>
            </w:r>
          </w:p>
        </w:tc>
        <w:tc>
          <w:tcPr>
            <w:tcW w:w="2647" w:type="dxa"/>
            <w:tcBorders>
              <w:top w:val="single" w:sz="4" w:space="0" w:color="auto"/>
              <w:left w:val="nil"/>
              <w:bottom w:val="single" w:sz="4" w:space="0" w:color="auto"/>
              <w:right w:val="single" w:sz="4" w:space="0" w:color="auto"/>
            </w:tcBorders>
            <w:shd w:val="clear" w:color="auto" w:fill="C6EFCE"/>
            <w:noWrap/>
            <w:vAlign w:val="center"/>
          </w:tcPr>
          <w:p w14:paraId="5D784EA1" w14:textId="77777777" w:rsidR="003F5418" w:rsidRDefault="002A6C25">
            <w:pPr>
              <w:pStyle w:val="P68B1DB1-Normal4"/>
              <w:spacing w:line="276" w:lineRule="auto"/>
              <w:rPr>
                <w:noProof/>
              </w:rPr>
            </w:pPr>
            <w:r>
              <w:rPr>
                <w:noProof/>
              </w:rPr>
              <w:t xml:space="preserve">A jogi </w:t>
            </w:r>
            <w:r>
              <w:rPr>
                <w:noProof/>
              </w:rPr>
              <w:t>aktus(ok)</w:t>
            </w:r>
          </w:p>
          <w:p w14:paraId="6B6D580B" w14:textId="77777777" w:rsidR="003F5418" w:rsidRDefault="002A6C25">
            <w:pPr>
              <w:pStyle w:val="P68B1DB1-Normal4"/>
              <w:spacing w:line="276" w:lineRule="auto"/>
              <w:rPr>
                <w:noProof/>
              </w:rPr>
            </w:pPr>
            <w:r>
              <w:rPr>
                <w:noProof/>
              </w:rPr>
              <w:t>az Ecobonus és a Sismabonus kedvezményeinek 2022. december 31-ig történő meghosszabbítása</w:t>
            </w:r>
          </w:p>
          <w:p w14:paraId="5CD78ADE" w14:textId="77777777" w:rsidR="003F5418" w:rsidRDefault="002A6C25">
            <w:pPr>
              <w:pStyle w:val="P68B1DB1-Normal4"/>
              <w:spacing w:line="276" w:lineRule="auto"/>
              <w:rPr>
                <w:noProof/>
              </w:rPr>
            </w:pPr>
            <w:r>
              <w:rPr>
                <w:noProof/>
              </w:rPr>
              <w:t>társasházak, 2023. június 30. a szociális partnerek esetében</w:t>
            </w:r>
          </w:p>
          <w:p w14:paraId="53F73DA4" w14:textId="77777777" w:rsidR="003F5418" w:rsidRDefault="002A6C25">
            <w:pPr>
              <w:pStyle w:val="P68B1DB1-Normal4"/>
              <w:spacing w:line="276" w:lineRule="auto"/>
              <w:rPr>
                <w:noProof/>
              </w:rPr>
            </w:pPr>
            <w:r>
              <w:rPr>
                <w:noProof/>
              </w:rPr>
              <w:t>lakhatás (IACP).</w:t>
            </w:r>
          </w:p>
        </w:tc>
      </w:tr>
      <w:tr w:rsidR="003F5418" w14:paraId="3902AF6B"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7D61C02B" w14:textId="77777777" w:rsidR="003F5418" w:rsidRDefault="002A6C25">
            <w:pPr>
              <w:pStyle w:val="P68B1DB1-Normal4"/>
              <w:spacing w:line="276" w:lineRule="auto"/>
              <w:jc w:val="center"/>
              <w:rPr>
                <w:noProof/>
              </w:rPr>
            </w:pPr>
            <w:r>
              <w:rPr>
                <w:noProof/>
              </w:rPr>
              <w:t>M2C3–2</w:t>
            </w:r>
          </w:p>
        </w:tc>
        <w:tc>
          <w:tcPr>
            <w:tcW w:w="1559" w:type="dxa"/>
            <w:tcBorders>
              <w:top w:val="nil"/>
              <w:left w:val="nil"/>
              <w:bottom w:val="single" w:sz="4" w:space="0" w:color="auto"/>
              <w:right w:val="single" w:sz="4" w:space="0" w:color="auto"/>
            </w:tcBorders>
            <w:shd w:val="clear" w:color="auto" w:fill="C6EFCE"/>
            <w:noWrap/>
            <w:vAlign w:val="center"/>
          </w:tcPr>
          <w:p w14:paraId="2A163E57" w14:textId="77777777" w:rsidR="003F5418" w:rsidRDefault="002A6C25">
            <w:pPr>
              <w:pStyle w:val="P68B1DB1-Normal4"/>
              <w:spacing w:line="276" w:lineRule="auto"/>
              <w:jc w:val="center"/>
              <w:rPr>
                <w:noProof/>
              </w:rPr>
            </w:pPr>
            <w:r>
              <w:rPr>
                <w:noProof/>
              </w:rPr>
              <w:t>Beruházás – Az Ecobonus megerősítése az energiahatékonyság érdekében</w:t>
            </w:r>
          </w:p>
        </w:tc>
        <w:tc>
          <w:tcPr>
            <w:tcW w:w="1134" w:type="dxa"/>
            <w:tcBorders>
              <w:top w:val="nil"/>
              <w:left w:val="nil"/>
              <w:bottom w:val="single" w:sz="4" w:space="0" w:color="auto"/>
              <w:right w:val="single" w:sz="4" w:space="0" w:color="auto"/>
            </w:tcBorders>
            <w:shd w:val="clear" w:color="auto" w:fill="C6EFCE"/>
            <w:noWrap/>
            <w:vAlign w:val="center"/>
          </w:tcPr>
          <w:p w14:paraId="326247E1" w14:textId="77777777" w:rsidR="003F5418" w:rsidRDefault="002A6C25">
            <w:pPr>
              <w:pStyle w:val="P68B1DB1-Normal4"/>
              <w:spacing w:line="276" w:lineRule="auto"/>
              <w:jc w:val="center"/>
              <w:rPr>
                <w:noProof/>
              </w:rPr>
            </w:pPr>
            <w:r>
              <w:rPr>
                <w:noProof/>
              </w:rPr>
              <w:t>Cél</w:t>
            </w:r>
          </w:p>
        </w:tc>
        <w:tc>
          <w:tcPr>
            <w:tcW w:w="1559" w:type="dxa"/>
            <w:tcBorders>
              <w:top w:val="nil"/>
              <w:left w:val="nil"/>
              <w:bottom w:val="single" w:sz="4" w:space="0" w:color="auto"/>
              <w:right w:val="single" w:sz="4" w:space="0" w:color="auto"/>
            </w:tcBorders>
            <w:shd w:val="clear" w:color="auto" w:fill="C6EFCE"/>
            <w:noWrap/>
            <w:vAlign w:val="center"/>
          </w:tcPr>
          <w:p w14:paraId="7F6C4605" w14:textId="77777777" w:rsidR="003F5418" w:rsidRDefault="002A6C25">
            <w:pPr>
              <w:pStyle w:val="P68B1DB1-Normal4"/>
              <w:spacing w:line="276" w:lineRule="auto"/>
              <w:jc w:val="center"/>
              <w:rPr>
                <w:noProof/>
              </w:rPr>
            </w:pPr>
            <w:r>
              <w:rPr>
                <w:noProof/>
              </w:rPr>
              <w:t>A Superbonus T1 épületfelújítása</w:t>
            </w:r>
          </w:p>
        </w:tc>
        <w:tc>
          <w:tcPr>
            <w:tcW w:w="1609" w:type="dxa"/>
            <w:tcBorders>
              <w:top w:val="nil"/>
              <w:left w:val="nil"/>
              <w:bottom w:val="single" w:sz="4" w:space="0" w:color="auto"/>
              <w:right w:val="single" w:sz="4" w:space="0" w:color="auto"/>
            </w:tcBorders>
            <w:shd w:val="clear" w:color="auto" w:fill="C6EFCE"/>
            <w:noWrap/>
            <w:vAlign w:val="center"/>
          </w:tcPr>
          <w:p w14:paraId="77C7325D" w14:textId="77777777" w:rsidR="003F5418" w:rsidRDefault="002A6C25">
            <w:pPr>
              <w:pStyle w:val="P68B1DB1-Normal4"/>
              <w:spacing w:line="276" w:lineRule="auto"/>
              <w:jc w:val="center"/>
              <w:rPr>
                <w:noProof/>
              </w:rPr>
            </w:pPr>
            <w:r>
              <w:rPr>
                <w:noProof/>
              </w:rPr>
              <w:t>NINCS</w:t>
            </w:r>
          </w:p>
        </w:tc>
        <w:tc>
          <w:tcPr>
            <w:tcW w:w="1084" w:type="dxa"/>
            <w:tcBorders>
              <w:top w:val="nil"/>
              <w:left w:val="nil"/>
              <w:bottom w:val="single" w:sz="4" w:space="0" w:color="auto"/>
              <w:right w:val="single" w:sz="4" w:space="0" w:color="auto"/>
            </w:tcBorders>
            <w:shd w:val="clear" w:color="auto" w:fill="C6EFCE"/>
            <w:noWrap/>
            <w:vAlign w:val="center"/>
          </w:tcPr>
          <w:p w14:paraId="2FE40010" w14:textId="77777777" w:rsidR="003F5418" w:rsidRDefault="002A6C25">
            <w:pPr>
              <w:pStyle w:val="P68B1DB1-Normal4"/>
              <w:spacing w:line="276" w:lineRule="auto"/>
              <w:jc w:val="center"/>
              <w:rPr>
                <w:noProof/>
              </w:rPr>
            </w:pPr>
            <w:r>
              <w:rPr>
                <w:noProof/>
              </w:rPr>
              <w:t xml:space="preserve">Szám </w:t>
            </w:r>
          </w:p>
        </w:tc>
        <w:tc>
          <w:tcPr>
            <w:tcW w:w="1276" w:type="dxa"/>
            <w:tcBorders>
              <w:top w:val="nil"/>
              <w:left w:val="nil"/>
              <w:bottom w:val="single" w:sz="4" w:space="0" w:color="auto"/>
              <w:right w:val="single" w:sz="4" w:space="0" w:color="auto"/>
            </w:tcBorders>
            <w:shd w:val="clear" w:color="auto" w:fill="C6EFCE"/>
            <w:noWrap/>
            <w:vAlign w:val="center"/>
          </w:tcPr>
          <w:p w14:paraId="58E33D67" w14:textId="77777777" w:rsidR="003F5418" w:rsidRDefault="002A6C25">
            <w:pPr>
              <w:pStyle w:val="P68B1DB1-Normal4"/>
              <w:spacing w:line="276" w:lineRule="auto"/>
              <w:jc w:val="center"/>
              <w:rPr>
                <w:noProof/>
              </w:rPr>
            </w:pPr>
            <w:r>
              <w:rPr>
                <w:noProof/>
              </w:rPr>
              <w:t>0</w:t>
            </w:r>
          </w:p>
        </w:tc>
        <w:tc>
          <w:tcPr>
            <w:tcW w:w="1219" w:type="dxa"/>
            <w:tcBorders>
              <w:top w:val="nil"/>
              <w:left w:val="nil"/>
              <w:bottom w:val="single" w:sz="4" w:space="0" w:color="auto"/>
              <w:right w:val="single" w:sz="4" w:space="0" w:color="auto"/>
            </w:tcBorders>
            <w:shd w:val="clear" w:color="auto" w:fill="C6EFCE"/>
            <w:noWrap/>
            <w:vAlign w:val="center"/>
          </w:tcPr>
          <w:p w14:paraId="20B77F39" w14:textId="77777777" w:rsidR="003F5418" w:rsidRDefault="002A6C25">
            <w:pPr>
              <w:pStyle w:val="P68B1DB1-Normal4"/>
              <w:spacing w:line="276" w:lineRule="auto"/>
              <w:jc w:val="center"/>
              <w:rPr>
                <w:noProof/>
              </w:rPr>
            </w:pPr>
            <w:r>
              <w:rPr>
                <w:noProof/>
              </w:rPr>
              <w:t>17 000 000</w:t>
            </w:r>
          </w:p>
        </w:tc>
        <w:tc>
          <w:tcPr>
            <w:tcW w:w="995" w:type="dxa"/>
            <w:tcBorders>
              <w:top w:val="nil"/>
              <w:left w:val="nil"/>
              <w:bottom w:val="single" w:sz="4" w:space="0" w:color="auto"/>
              <w:right w:val="single" w:sz="4" w:space="0" w:color="auto"/>
            </w:tcBorders>
            <w:shd w:val="clear" w:color="auto" w:fill="C6EFCE"/>
            <w:noWrap/>
            <w:vAlign w:val="center"/>
          </w:tcPr>
          <w:p w14:paraId="3A986947" w14:textId="77777777" w:rsidR="003F5418" w:rsidRDefault="002A6C25">
            <w:pPr>
              <w:pStyle w:val="P68B1DB1-Normal4"/>
              <w:spacing w:line="276" w:lineRule="auto"/>
              <w:jc w:val="center"/>
              <w:rPr>
                <w:noProof/>
              </w:rPr>
            </w:pPr>
            <w:r>
              <w:rPr>
                <w:noProof/>
              </w:rPr>
              <w:t>Q2</w:t>
            </w:r>
          </w:p>
        </w:tc>
        <w:tc>
          <w:tcPr>
            <w:tcW w:w="704" w:type="dxa"/>
            <w:tcBorders>
              <w:top w:val="nil"/>
              <w:left w:val="nil"/>
              <w:bottom w:val="single" w:sz="4" w:space="0" w:color="auto"/>
              <w:right w:val="single" w:sz="4" w:space="0" w:color="auto"/>
            </w:tcBorders>
            <w:shd w:val="clear" w:color="auto" w:fill="C6EFCE"/>
            <w:noWrap/>
            <w:vAlign w:val="center"/>
          </w:tcPr>
          <w:p w14:paraId="040B8BC8" w14:textId="77777777" w:rsidR="003F5418" w:rsidRDefault="002A6C25">
            <w:pPr>
              <w:pStyle w:val="P68B1DB1-Normal4"/>
              <w:spacing w:line="276" w:lineRule="auto"/>
              <w:jc w:val="center"/>
              <w:rPr>
                <w:noProof/>
              </w:rPr>
            </w:pPr>
            <w:r>
              <w:rPr>
                <w:noProof/>
              </w:rPr>
              <w:t>2023</w:t>
            </w:r>
          </w:p>
        </w:tc>
        <w:tc>
          <w:tcPr>
            <w:tcW w:w="2647" w:type="dxa"/>
            <w:tcBorders>
              <w:top w:val="nil"/>
              <w:left w:val="nil"/>
              <w:bottom w:val="single" w:sz="4" w:space="0" w:color="auto"/>
              <w:right w:val="single" w:sz="4" w:space="0" w:color="auto"/>
            </w:tcBorders>
            <w:shd w:val="clear" w:color="auto" w:fill="C6EFCE"/>
            <w:noWrap/>
            <w:vAlign w:val="center"/>
          </w:tcPr>
          <w:p w14:paraId="49FE39F8" w14:textId="75C9845B" w:rsidR="003F5418" w:rsidRDefault="002A6C25">
            <w:pPr>
              <w:pStyle w:val="P68B1DB1-Normal4"/>
              <w:spacing w:line="276" w:lineRule="auto"/>
              <w:rPr>
                <w:noProof/>
              </w:rPr>
            </w:pPr>
            <w:r>
              <w:rPr>
                <w:noProof/>
              </w:rPr>
              <w:t>Az épület teljes felújítása (legalább 17000000 négyzetméter, amely legalább 40%-os primerenergia-megtakarítást eredményez, és az energiahatékonysági tanúsítvány legalább két kategóriáját</w:t>
            </w:r>
            <w:r>
              <w:rPr>
                <w:noProof/>
              </w:rPr>
              <w:t xml:space="preserve"> növeli).</w:t>
            </w:r>
          </w:p>
        </w:tc>
      </w:tr>
      <w:tr w:rsidR="003F5418" w14:paraId="4E7DA9DC"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37106AEC" w14:textId="77777777" w:rsidR="003F5418" w:rsidRDefault="002A6C25">
            <w:pPr>
              <w:pStyle w:val="P68B1DB1-Normal4"/>
              <w:spacing w:line="276" w:lineRule="auto"/>
              <w:jc w:val="center"/>
              <w:rPr>
                <w:noProof/>
              </w:rPr>
            </w:pPr>
            <w:r>
              <w:rPr>
                <w:noProof/>
              </w:rPr>
              <w:t>M2C3–3</w:t>
            </w:r>
          </w:p>
        </w:tc>
        <w:tc>
          <w:tcPr>
            <w:tcW w:w="1559" w:type="dxa"/>
            <w:tcBorders>
              <w:top w:val="nil"/>
              <w:left w:val="nil"/>
              <w:bottom w:val="single" w:sz="4" w:space="0" w:color="auto"/>
              <w:right w:val="single" w:sz="4" w:space="0" w:color="auto"/>
            </w:tcBorders>
            <w:shd w:val="clear" w:color="auto" w:fill="C6EFCE"/>
            <w:noWrap/>
            <w:vAlign w:val="center"/>
          </w:tcPr>
          <w:p w14:paraId="0BE2AB6A" w14:textId="77777777" w:rsidR="003F5418" w:rsidRDefault="002A6C25">
            <w:pPr>
              <w:pStyle w:val="P68B1DB1-Normal4"/>
              <w:spacing w:line="276" w:lineRule="auto"/>
              <w:jc w:val="center"/>
              <w:rPr>
                <w:noProof/>
              </w:rPr>
            </w:pPr>
            <w:r>
              <w:rPr>
                <w:noProof/>
              </w:rPr>
              <w:t>Beruházás – Az Ecobonus megerősítése az energiahatékonyság érdekében</w:t>
            </w:r>
          </w:p>
        </w:tc>
        <w:tc>
          <w:tcPr>
            <w:tcW w:w="1134" w:type="dxa"/>
            <w:tcBorders>
              <w:top w:val="nil"/>
              <w:left w:val="nil"/>
              <w:bottom w:val="single" w:sz="4" w:space="0" w:color="auto"/>
              <w:right w:val="single" w:sz="4" w:space="0" w:color="auto"/>
            </w:tcBorders>
            <w:shd w:val="clear" w:color="auto" w:fill="C6EFCE"/>
            <w:noWrap/>
            <w:vAlign w:val="center"/>
          </w:tcPr>
          <w:p w14:paraId="11D6C685" w14:textId="77777777" w:rsidR="003F5418" w:rsidRDefault="002A6C25">
            <w:pPr>
              <w:pStyle w:val="P68B1DB1-Normal4"/>
              <w:spacing w:line="276" w:lineRule="auto"/>
              <w:jc w:val="center"/>
              <w:rPr>
                <w:noProof/>
              </w:rPr>
            </w:pPr>
            <w:r>
              <w:rPr>
                <w:noProof/>
              </w:rPr>
              <w:t>Cél</w:t>
            </w:r>
          </w:p>
        </w:tc>
        <w:tc>
          <w:tcPr>
            <w:tcW w:w="1559" w:type="dxa"/>
            <w:tcBorders>
              <w:top w:val="nil"/>
              <w:left w:val="nil"/>
              <w:bottom w:val="single" w:sz="4" w:space="0" w:color="auto"/>
              <w:right w:val="single" w:sz="4" w:space="0" w:color="auto"/>
            </w:tcBorders>
            <w:shd w:val="clear" w:color="auto" w:fill="C6EFCE"/>
            <w:noWrap/>
            <w:vAlign w:val="center"/>
          </w:tcPr>
          <w:p w14:paraId="778A9AF4" w14:textId="77777777" w:rsidR="003F5418" w:rsidRDefault="002A6C25">
            <w:pPr>
              <w:pStyle w:val="P68B1DB1-Normal4"/>
              <w:spacing w:line="276" w:lineRule="auto"/>
              <w:jc w:val="center"/>
              <w:rPr>
                <w:noProof/>
              </w:rPr>
            </w:pPr>
            <w:r>
              <w:rPr>
                <w:noProof/>
              </w:rPr>
              <w:t>A Superbonus T2 épületfelújítása</w:t>
            </w:r>
          </w:p>
        </w:tc>
        <w:tc>
          <w:tcPr>
            <w:tcW w:w="1609" w:type="dxa"/>
            <w:tcBorders>
              <w:top w:val="nil"/>
              <w:left w:val="nil"/>
              <w:bottom w:val="single" w:sz="4" w:space="0" w:color="auto"/>
              <w:right w:val="single" w:sz="4" w:space="0" w:color="auto"/>
            </w:tcBorders>
            <w:shd w:val="clear" w:color="auto" w:fill="C6EFCE"/>
            <w:noWrap/>
            <w:vAlign w:val="center"/>
          </w:tcPr>
          <w:p w14:paraId="1B677D27" w14:textId="77777777" w:rsidR="003F5418" w:rsidRDefault="002A6C25">
            <w:pPr>
              <w:pStyle w:val="P68B1DB1-Normal4"/>
              <w:spacing w:line="276" w:lineRule="auto"/>
              <w:jc w:val="center"/>
              <w:rPr>
                <w:noProof/>
              </w:rPr>
            </w:pPr>
            <w:r>
              <w:rPr>
                <w:noProof/>
              </w:rPr>
              <w:t>NINCS</w:t>
            </w:r>
          </w:p>
        </w:tc>
        <w:tc>
          <w:tcPr>
            <w:tcW w:w="1084" w:type="dxa"/>
            <w:tcBorders>
              <w:top w:val="nil"/>
              <w:left w:val="nil"/>
              <w:bottom w:val="single" w:sz="4" w:space="0" w:color="auto"/>
              <w:right w:val="single" w:sz="4" w:space="0" w:color="auto"/>
            </w:tcBorders>
            <w:shd w:val="clear" w:color="auto" w:fill="C6EFCE"/>
            <w:noWrap/>
            <w:vAlign w:val="center"/>
          </w:tcPr>
          <w:p w14:paraId="6C38F40B" w14:textId="77777777" w:rsidR="003F5418" w:rsidRDefault="002A6C25">
            <w:pPr>
              <w:pStyle w:val="P68B1DB1-Normal4"/>
              <w:spacing w:line="276" w:lineRule="auto"/>
              <w:jc w:val="center"/>
              <w:rPr>
                <w:noProof/>
              </w:rPr>
            </w:pPr>
            <w:r>
              <w:rPr>
                <w:noProof/>
              </w:rPr>
              <w:t xml:space="preserve">Szám </w:t>
            </w:r>
          </w:p>
        </w:tc>
        <w:tc>
          <w:tcPr>
            <w:tcW w:w="1276" w:type="dxa"/>
            <w:tcBorders>
              <w:top w:val="nil"/>
              <w:left w:val="nil"/>
              <w:bottom w:val="single" w:sz="4" w:space="0" w:color="auto"/>
              <w:right w:val="single" w:sz="4" w:space="0" w:color="auto"/>
            </w:tcBorders>
            <w:shd w:val="clear" w:color="auto" w:fill="C6EFCE"/>
            <w:noWrap/>
            <w:vAlign w:val="center"/>
          </w:tcPr>
          <w:p w14:paraId="5FF730A5" w14:textId="5789221F" w:rsidR="003F5418" w:rsidRDefault="002A6C25">
            <w:pPr>
              <w:pStyle w:val="P68B1DB1-Normal4"/>
              <w:spacing w:line="276" w:lineRule="auto"/>
              <w:jc w:val="center"/>
              <w:rPr>
                <w:noProof/>
              </w:rPr>
            </w:pPr>
            <w:r>
              <w:rPr>
                <w:noProof/>
              </w:rPr>
              <w:t>17 000 000</w:t>
            </w:r>
          </w:p>
        </w:tc>
        <w:tc>
          <w:tcPr>
            <w:tcW w:w="1219" w:type="dxa"/>
            <w:tcBorders>
              <w:top w:val="nil"/>
              <w:left w:val="nil"/>
              <w:bottom w:val="single" w:sz="4" w:space="0" w:color="auto"/>
              <w:right w:val="single" w:sz="4" w:space="0" w:color="auto"/>
            </w:tcBorders>
            <w:shd w:val="clear" w:color="auto" w:fill="C6EFCE"/>
            <w:noWrap/>
            <w:vAlign w:val="center"/>
          </w:tcPr>
          <w:p w14:paraId="29122473" w14:textId="5B5E8F7C" w:rsidR="003F5418" w:rsidRDefault="002A6C25">
            <w:pPr>
              <w:pStyle w:val="P68B1DB1-Normal4"/>
              <w:spacing w:line="276" w:lineRule="auto"/>
              <w:jc w:val="center"/>
              <w:rPr>
                <w:noProof/>
              </w:rPr>
            </w:pPr>
            <w:r>
              <w:rPr>
                <w:noProof/>
              </w:rPr>
              <w:t>35 800 000</w:t>
            </w:r>
          </w:p>
        </w:tc>
        <w:tc>
          <w:tcPr>
            <w:tcW w:w="995" w:type="dxa"/>
            <w:tcBorders>
              <w:top w:val="nil"/>
              <w:left w:val="nil"/>
              <w:bottom w:val="single" w:sz="4" w:space="0" w:color="auto"/>
              <w:right w:val="single" w:sz="4" w:space="0" w:color="auto"/>
            </w:tcBorders>
            <w:shd w:val="clear" w:color="auto" w:fill="C6EFCE"/>
            <w:noWrap/>
            <w:vAlign w:val="center"/>
          </w:tcPr>
          <w:p w14:paraId="380D28F1" w14:textId="77777777" w:rsidR="003F5418" w:rsidRDefault="002A6C25">
            <w:pPr>
              <w:pStyle w:val="P68B1DB1-Normal4"/>
              <w:spacing w:line="276" w:lineRule="auto"/>
              <w:jc w:val="center"/>
              <w:rPr>
                <w:noProof/>
              </w:rPr>
            </w:pPr>
            <w:r>
              <w:rPr>
                <w:noProof/>
              </w:rPr>
              <w:t>Q4</w:t>
            </w:r>
          </w:p>
        </w:tc>
        <w:tc>
          <w:tcPr>
            <w:tcW w:w="704" w:type="dxa"/>
            <w:tcBorders>
              <w:top w:val="nil"/>
              <w:left w:val="nil"/>
              <w:bottom w:val="single" w:sz="4" w:space="0" w:color="auto"/>
              <w:right w:val="single" w:sz="4" w:space="0" w:color="auto"/>
            </w:tcBorders>
            <w:shd w:val="clear" w:color="auto" w:fill="C6EFCE"/>
            <w:noWrap/>
            <w:vAlign w:val="center"/>
          </w:tcPr>
          <w:p w14:paraId="6BE8853B" w14:textId="77777777" w:rsidR="003F5418" w:rsidRDefault="002A6C25">
            <w:pPr>
              <w:pStyle w:val="P68B1DB1-Normal4"/>
              <w:spacing w:line="276" w:lineRule="auto"/>
              <w:jc w:val="center"/>
              <w:rPr>
                <w:noProof/>
              </w:rPr>
            </w:pPr>
            <w:r>
              <w:rPr>
                <w:noProof/>
              </w:rPr>
              <w:t>2025</w:t>
            </w:r>
          </w:p>
        </w:tc>
        <w:tc>
          <w:tcPr>
            <w:tcW w:w="2647" w:type="dxa"/>
            <w:tcBorders>
              <w:top w:val="nil"/>
              <w:left w:val="nil"/>
              <w:bottom w:val="single" w:sz="4" w:space="0" w:color="auto"/>
              <w:right w:val="single" w:sz="4" w:space="0" w:color="auto"/>
            </w:tcBorders>
            <w:shd w:val="clear" w:color="auto" w:fill="C6EFCE"/>
            <w:noWrap/>
            <w:vAlign w:val="center"/>
          </w:tcPr>
          <w:p w14:paraId="524C26E9" w14:textId="76692C13" w:rsidR="003F5418" w:rsidRDefault="002A6C25">
            <w:pPr>
              <w:pStyle w:val="P68B1DB1-Normal4"/>
              <w:spacing w:line="276" w:lineRule="auto"/>
              <w:rPr>
                <w:noProof/>
              </w:rPr>
            </w:pPr>
            <w:r>
              <w:rPr>
                <w:noProof/>
              </w:rPr>
              <w:t xml:space="preserve">Legalább 35800000 négyzetméteres teljes épületfelújítás, amely legalább 40%-os </w:t>
            </w:r>
            <w:r>
              <w:rPr>
                <w:noProof/>
              </w:rPr>
              <w:t>primerenergia-megtakarítást eredményez, és az energiahatékonysági tanúsítvány legalább két kategóriáját növeli.</w:t>
            </w:r>
          </w:p>
        </w:tc>
      </w:tr>
      <w:tr w:rsidR="003F5418" w14:paraId="674EF8C3" w14:textId="77777777">
        <w:trPr>
          <w:trHeight w:val="309"/>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45EA485E" w14:textId="77777777" w:rsidR="003F5418" w:rsidRDefault="002A6C25">
            <w:pPr>
              <w:pStyle w:val="P68B1DB1-Normal4"/>
              <w:spacing w:line="276" w:lineRule="auto"/>
              <w:jc w:val="center"/>
              <w:rPr>
                <w:noProof/>
              </w:rPr>
            </w:pPr>
            <w:r>
              <w:rPr>
                <w:noProof/>
              </w:rPr>
              <w:t>M2C3–4</w:t>
            </w:r>
          </w:p>
        </w:tc>
        <w:tc>
          <w:tcPr>
            <w:tcW w:w="1559" w:type="dxa"/>
            <w:tcBorders>
              <w:top w:val="nil"/>
              <w:left w:val="nil"/>
              <w:bottom w:val="single" w:sz="4" w:space="0" w:color="auto"/>
              <w:right w:val="single" w:sz="4" w:space="0" w:color="auto"/>
            </w:tcBorders>
            <w:shd w:val="clear" w:color="auto" w:fill="C6EFCE"/>
            <w:noWrap/>
            <w:vAlign w:val="center"/>
          </w:tcPr>
          <w:p w14:paraId="47E72A1F" w14:textId="77777777" w:rsidR="003F5418" w:rsidRDefault="002A6C25">
            <w:pPr>
              <w:pStyle w:val="P68B1DB1-Normal4"/>
              <w:spacing w:line="276" w:lineRule="auto"/>
              <w:jc w:val="center"/>
              <w:rPr>
                <w:noProof/>
              </w:rPr>
            </w:pPr>
            <w:r>
              <w:rPr>
                <w:noProof/>
              </w:rPr>
              <w:t>Reform: Az energiahatékonysági beavatkozások eljárásainak egyszerűsítése és felgyorsítása</w:t>
            </w:r>
          </w:p>
        </w:tc>
        <w:tc>
          <w:tcPr>
            <w:tcW w:w="1134" w:type="dxa"/>
            <w:tcBorders>
              <w:top w:val="nil"/>
              <w:left w:val="nil"/>
              <w:bottom w:val="single" w:sz="4" w:space="0" w:color="auto"/>
              <w:right w:val="single" w:sz="4" w:space="0" w:color="auto"/>
            </w:tcBorders>
            <w:shd w:val="clear" w:color="auto" w:fill="C6EFCE"/>
            <w:noWrap/>
            <w:vAlign w:val="center"/>
          </w:tcPr>
          <w:p w14:paraId="0A47B74A" w14:textId="77777777" w:rsidR="003F5418" w:rsidRDefault="002A6C25">
            <w:pPr>
              <w:pStyle w:val="P68B1DB1-Normal4"/>
              <w:spacing w:line="276" w:lineRule="auto"/>
              <w:jc w:val="center"/>
              <w:rPr>
                <w:noProof/>
              </w:rPr>
            </w:pPr>
            <w:r>
              <w:rPr>
                <w:noProof/>
              </w:rPr>
              <w:t>Mérföldkő</w:t>
            </w:r>
          </w:p>
        </w:tc>
        <w:tc>
          <w:tcPr>
            <w:tcW w:w="1559" w:type="dxa"/>
            <w:tcBorders>
              <w:top w:val="nil"/>
              <w:left w:val="nil"/>
              <w:bottom w:val="single" w:sz="4" w:space="0" w:color="auto"/>
              <w:right w:val="single" w:sz="4" w:space="0" w:color="auto"/>
            </w:tcBorders>
            <w:shd w:val="clear" w:color="auto" w:fill="C6EFCE"/>
            <w:noWrap/>
            <w:vAlign w:val="center"/>
          </w:tcPr>
          <w:p w14:paraId="7C4F450E" w14:textId="77777777" w:rsidR="003F5418" w:rsidRDefault="002A6C25">
            <w:pPr>
              <w:pStyle w:val="P68B1DB1-Normal4"/>
              <w:spacing w:line="276" w:lineRule="auto"/>
              <w:jc w:val="center"/>
              <w:rPr>
                <w:noProof/>
              </w:rPr>
            </w:pPr>
            <w:r>
              <w:rPr>
                <w:noProof/>
              </w:rPr>
              <w:t>Az energiahatékonysági beavatkozások</w:t>
            </w:r>
            <w:r>
              <w:rPr>
                <w:noProof/>
              </w:rPr>
              <w:t xml:space="preserve"> eljárásainak egyszerűsítése és felgyorsítása</w:t>
            </w:r>
          </w:p>
        </w:tc>
        <w:tc>
          <w:tcPr>
            <w:tcW w:w="1609" w:type="dxa"/>
            <w:tcBorders>
              <w:top w:val="nil"/>
              <w:left w:val="nil"/>
              <w:bottom w:val="single" w:sz="4" w:space="0" w:color="auto"/>
              <w:right w:val="single" w:sz="4" w:space="0" w:color="auto"/>
            </w:tcBorders>
            <w:shd w:val="clear" w:color="auto" w:fill="C6EFCE"/>
            <w:noWrap/>
            <w:vAlign w:val="center"/>
          </w:tcPr>
          <w:p w14:paraId="08192C9D" w14:textId="77777777" w:rsidR="003F5418" w:rsidRDefault="002A6C25">
            <w:pPr>
              <w:pStyle w:val="P68B1DB1-Normal4"/>
              <w:spacing w:line="276" w:lineRule="auto"/>
              <w:jc w:val="center"/>
              <w:rPr>
                <w:noProof/>
              </w:rPr>
            </w:pPr>
            <w:r>
              <w:rPr>
                <w:noProof/>
              </w:rPr>
              <w:t xml:space="preserve">A jogi aktus(ok)ban szereplő, a hatálybalépést feltüntető rendelkezés </w:t>
            </w:r>
          </w:p>
        </w:tc>
        <w:tc>
          <w:tcPr>
            <w:tcW w:w="1084" w:type="dxa"/>
            <w:tcBorders>
              <w:top w:val="nil"/>
              <w:left w:val="nil"/>
              <w:bottom w:val="single" w:sz="4" w:space="0" w:color="auto"/>
              <w:right w:val="single" w:sz="4" w:space="0" w:color="auto"/>
            </w:tcBorders>
            <w:shd w:val="clear" w:color="auto" w:fill="C6EFCE"/>
            <w:noWrap/>
            <w:vAlign w:val="center"/>
          </w:tcPr>
          <w:p w14:paraId="48D146B2" w14:textId="77777777" w:rsidR="003F5418" w:rsidRDefault="002A6C25">
            <w:pPr>
              <w:pStyle w:val="P68B1DB1-Normal4"/>
              <w:spacing w:line="276" w:lineRule="auto"/>
              <w:jc w:val="center"/>
              <w:rPr>
                <w:noProof/>
              </w:rPr>
            </w:pPr>
            <w:r>
              <w:rPr>
                <w:noProof/>
              </w:rPr>
              <w:t>NINCS</w:t>
            </w:r>
          </w:p>
        </w:tc>
        <w:tc>
          <w:tcPr>
            <w:tcW w:w="1276" w:type="dxa"/>
            <w:tcBorders>
              <w:top w:val="nil"/>
              <w:left w:val="nil"/>
              <w:bottom w:val="single" w:sz="4" w:space="0" w:color="auto"/>
              <w:right w:val="single" w:sz="4" w:space="0" w:color="auto"/>
            </w:tcBorders>
            <w:shd w:val="clear" w:color="auto" w:fill="C6EFCE"/>
            <w:noWrap/>
            <w:vAlign w:val="center"/>
          </w:tcPr>
          <w:p w14:paraId="1F91F554" w14:textId="77777777" w:rsidR="003F5418" w:rsidRDefault="002A6C25">
            <w:pPr>
              <w:pStyle w:val="P68B1DB1-Normal4"/>
              <w:spacing w:line="276" w:lineRule="auto"/>
              <w:jc w:val="center"/>
              <w:rPr>
                <w:noProof/>
              </w:rPr>
            </w:pPr>
            <w:r>
              <w:rPr>
                <w:noProof/>
              </w:rPr>
              <w:t>NINCS</w:t>
            </w:r>
          </w:p>
        </w:tc>
        <w:tc>
          <w:tcPr>
            <w:tcW w:w="1219" w:type="dxa"/>
            <w:tcBorders>
              <w:top w:val="nil"/>
              <w:left w:val="nil"/>
              <w:bottom w:val="single" w:sz="4" w:space="0" w:color="auto"/>
              <w:right w:val="single" w:sz="4" w:space="0" w:color="auto"/>
            </w:tcBorders>
            <w:shd w:val="clear" w:color="auto" w:fill="C6EFCE"/>
            <w:noWrap/>
            <w:vAlign w:val="center"/>
          </w:tcPr>
          <w:p w14:paraId="3D7D691D" w14:textId="77777777" w:rsidR="003F5418" w:rsidRDefault="002A6C25">
            <w:pPr>
              <w:pStyle w:val="P68B1DB1-Normal4"/>
              <w:spacing w:line="276" w:lineRule="auto"/>
              <w:jc w:val="center"/>
              <w:rPr>
                <w:noProof/>
              </w:rPr>
            </w:pPr>
            <w:r>
              <w:rPr>
                <w:noProof/>
              </w:rPr>
              <w:t>NINCS</w:t>
            </w:r>
          </w:p>
        </w:tc>
        <w:tc>
          <w:tcPr>
            <w:tcW w:w="995" w:type="dxa"/>
            <w:tcBorders>
              <w:top w:val="nil"/>
              <w:left w:val="nil"/>
              <w:bottom w:val="single" w:sz="4" w:space="0" w:color="auto"/>
              <w:right w:val="single" w:sz="4" w:space="0" w:color="auto"/>
            </w:tcBorders>
            <w:shd w:val="clear" w:color="auto" w:fill="C6EFCE"/>
            <w:noWrap/>
            <w:vAlign w:val="center"/>
          </w:tcPr>
          <w:p w14:paraId="0F364FF6" w14:textId="77777777" w:rsidR="003F5418" w:rsidRDefault="002A6C25">
            <w:pPr>
              <w:pStyle w:val="P68B1DB1-Normal4"/>
              <w:spacing w:line="276" w:lineRule="auto"/>
              <w:jc w:val="center"/>
              <w:rPr>
                <w:noProof/>
              </w:rPr>
            </w:pPr>
            <w:r>
              <w:rPr>
                <w:noProof/>
              </w:rPr>
              <w:t>Q2</w:t>
            </w:r>
          </w:p>
        </w:tc>
        <w:tc>
          <w:tcPr>
            <w:tcW w:w="704" w:type="dxa"/>
            <w:tcBorders>
              <w:top w:val="nil"/>
              <w:left w:val="nil"/>
              <w:bottom w:val="single" w:sz="4" w:space="0" w:color="auto"/>
              <w:right w:val="single" w:sz="4" w:space="0" w:color="auto"/>
            </w:tcBorders>
            <w:shd w:val="clear" w:color="auto" w:fill="C6EFCE"/>
            <w:noWrap/>
            <w:vAlign w:val="center"/>
          </w:tcPr>
          <w:p w14:paraId="31A63C5A" w14:textId="77777777" w:rsidR="003F5418" w:rsidRDefault="002A6C25">
            <w:pPr>
              <w:pStyle w:val="P68B1DB1-Normal4"/>
              <w:spacing w:line="276" w:lineRule="auto"/>
              <w:jc w:val="center"/>
              <w:rPr>
                <w:noProof/>
              </w:rPr>
            </w:pPr>
            <w:r>
              <w:rPr>
                <w:noProof/>
              </w:rPr>
              <w:t>2022</w:t>
            </w:r>
          </w:p>
        </w:tc>
        <w:tc>
          <w:tcPr>
            <w:tcW w:w="2647" w:type="dxa"/>
            <w:tcBorders>
              <w:top w:val="nil"/>
              <w:left w:val="nil"/>
              <w:bottom w:val="single" w:sz="4" w:space="0" w:color="auto"/>
              <w:right w:val="single" w:sz="4" w:space="0" w:color="auto"/>
            </w:tcBorders>
            <w:shd w:val="clear" w:color="auto" w:fill="C6EFCE"/>
            <w:noWrap/>
            <w:vAlign w:val="center"/>
          </w:tcPr>
          <w:p w14:paraId="51661413" w14:textId="77777777" w:rsidR="003F5418" w:rsidRDefault="002A6C25">
            <w:pPr>
              <w:pStyle w:val="P68B1DB1-Normal4"/>
              <w:spacing w:line="276" w:lineRule="auto"/>
              <w:rPr>
                <w:noProof/>
              </w:rPr>
            </w:pPr>
            <w:r>
              <w:rPr>
                <w:noProof/>
              </w:rPr>
              <w:t>A jogi aktus(ok) egyszerűsítik és felgyorsítják az energiahatékonysági beavatkozásokra vonatkozó eljárásokat:</w:t>
            </w:r>
          </w:p>
          <w:p w14:paraId="541CEC66" w14:textId="77777777" w:rsidR="003F5418" w:rsidRDefault="002A6C25">
            <w:pPr>
              <w:pStyle w:val="P68B1DB1-ListParagraph5"/>
              <w:numPr>
                <w:ilvl w:val="0"/>
                <w:numId w:val="90"/>
              </w:numPr>
              <w:spacing w:line="276" w:lineRule="auto"/>
              <w:jc w:val="left"/>
              <w:rPr>
                <w:noProof/>
              </w:rPr>
            </w:pPr>
            <w:r>
              <w:rPr>
                <w:noProof/>
              </w:rPr>
              <w:t xml:space="preserve">Az </w:t>
            </w:r>
            <w:r>
              <w:rPr>
                <w:noProof/>
              </w:rPr>
              <w:t>épületek energiahatékonyságával foglalkozó nemzeti portál elindítása</w:t>
            </w:r>
          </w:p>
          <w:p w14:paraId="74A5FA8A" w14:textId="77777777" w:rsidR="003F5418" w:rsidRDefault="002A6C25">
            <w:pPr>
              <w:pStyle w:val="P68B1DB1-ListParagraph5"/>
              <w:numPr>
                <w:ilvl w:val="0"/>
                <w:numId w:val="90"/>
              </w:numPr>
              <w:spacing w:line="276" w:lineRule="auto"/>
              <w:jc w:val="left"/>
              <w:rPr>
                <w:noProof/>
              </w:rPr>
            </w:pPr>
            <w:r>
              <w:rPr>
                <w:noProof/>
              </w:rPr>
              <w:t>A civil szektort célzó tájékoztatási és képzési terv tevékenységeinek megerősítése</w:t>
            </w:r>
          </w:p>
          <w:p w14:paraId="1E897925" w14:textId="77777777" w:rsidR="003F5418" w:rsidRDefault="002A6C25">
            <w:pPr>
              <w:pStyle w:val="P68B1DB1-ListParagraph5"/>
              <w:numPr>
                <w:ilvl w:val="0"/>
                <w:numId w:val="90"/>
              </w:numPr>
              <w:spacing w:line="276" w:lineRule="auto"/>
              <w:jc w:val="left"/>
              <w:rPr>
                <w:noProof/>
              </w:rPr>
            </w:pPr>
            <w:r>
              <w:rPr>
                <w:noProof/>
              </w:rPr>
              <w:t>A Nemzeti Energiahatékonysági Alap aktualizálása és megerősítése</w:t>
            </w:r>
          </w:p>
          <w:p w14:paraId="1AF94168" w14:textId="77777777" w:rsidR="003F5418" w:rsidRDefault="002A6C25">
            <w:pPr>
              <w:pStyle w:val="P68B1DB1-ListParagraph5"/>
              <w:numPr>
                <w:ilvl w:val="0"/>
                <w:numId w:val="90"/>
              </w:numPr>
              <w:spacing w:line="276" w:lineRule="auto"/>
              <w:jc w:val="left"/>
              <w:rPr>
                <w:noProof/>
              </w:rPr>
            </w:pPr>
            <w:r>
              <w:rPr>
                <w:noProof/>
              </w:rPr>
              <w:t>A PREPAC program által finanszírozott p</w:t>
            </w:r>
            <w:r>
              <w:rPr>
                <w:noProof/>
              </w:rPr>
              <w:t>rojektek végrehajtási szakaszának felgyorsítása</w:t>
            </w:r>
          </w:p>
        </w:tc>
      </w:tr>
    </w:tbl>
    <w:p w14:paraId="5BAA43B4" w14:textId="77777777" w:rsidR="003F5418" w:rsidRDefault="003F5418">
      <w:pPr>
        <w:spacing w:before="120" w:after="120"/>
        <w:ind w:left="709"/>
        <w:jc w:val="both"/>
        <w:rPr>
          <w:noProof/>
        </w:rPr>
        <w:sectPr w:rsidR="003F5418">
          <w:headerReference w:type="even" r:id="rId170"/>
          <w:headerReference w:type="default" r:id="rId171"/>
          <w:footerReference w:type="even" r:id="rId172"/>
          <w:footerReference w:type="default" r:id="rId173"/>
          <w:headerReference w:type="first" r:id="rId174"/>
          <w:footerReference w:type="first" r:id="rId175"/>
          <w:pgSz w:w="16839" w:h="11907" w:orient="landscape"/>
          <w:pgMar w:top="1134" w:right="1134" w:bottom="1134" w:left="1134" w:header="567" w:footer="567" w:gutter="0"/>
          <w:cols w:space="720"/>
          <w:docGrid w:linePitch="360"/>
        </w:sectPr>
      </w:pPr>
    </w:p>
    <w:p w14:paraId="2DF43BB0"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F.3. </w:t>
      </w:r>
      <w:r>
        <w:rPr>
          <w:noProof/>
        </w:rPr>
        <w:t xml:space="preserve"> </w:t>
      </w:r>
      <w:r>
        <w:rPr>
          <w:b/>
          <w:i w:val="0"/>
          <w:noProof/>
          <w:u w:val="single"/>
        </w:rPr>
        <w:t xml:space="preserve">A hitelhez kapcsolódó reformok és beruházások ismertetése </w:t>
      </w:r>
    </w:p>
    <w:p w14:paraId="0DA2ACFA" w14:textId="5A5DBDA0" w:rsidR="003F5418" w:rsidRDefault="00B51A1C">
      <w:pPr>
        <w:pStyle w:val="P68B1DB1-Normal21"/>
        <w:spacing w:before="120" w:after="120"/>
        <w:jc w:val="both"/>
        <w:rPr>
          <w:rFonts w:eastAsia="Calibri"/>
          <w:noProof/>
          <w:color w:val="4472C4" w:themeColor="accent1"/>
        </w:rPr>
      </w:pPr>
      <w:r>
        <w:rPr>
          <w:noProof/>
        </w:rPr>
        <w:t>1</w:t>
      </w:r>
      <w:r w:rsidRPr="00B07E42">
        <w:rPr>
          <w:noProof/>
        </w:rPr>
        <w:t>.1.</w:t>
      </w:r>
      <w:r>
        <w:rPr>
          <w:noProof/>
        </w:rPr>
        <w:t xml:space="preserve"> Beruházás: Új iskolák építése épületpótlással </w:t>
      </w:r>
    </w:p>
    <w:p w14:paraId="34D2A4B9" w14:textId="77777777" w:rsidR="003F5418" w:rsidRDefault="002A6C25">
      <w:pPr>
        <w:spacing w:before="120" w:after="120"/>
        <w:jc w:val="both"/>
        <w:rPr>
          <w:noProof/>
        </w:rPr>
      </w:pPr>
      <w:r>
        <w:rPr>
          <w:noProof/>
        </w:rPr>
        <w:t xml:space="preserve">Ez az intézkedés az állami </w:t>
      </w:r>
      <w:r>
        <w:rPr>
          <w:noProof/>
        </w:rPr>
        <w:t>iskolák épületállománya egy részének fokozatos cseréjére összpontosít, korszerű és fenntartható struktúrák létrehozása céljából.</w:t>
      </w:r>
    </w:p>
    <w:p w14:paraId="10062600" w14:textId="77777777" w:rsidR="003F5418" w:rsidRDefault="002A6C25">
      <w:pPr>
        <w:spacing w:before="120" w:after="120"/>
        <w:jc w:val="both"/>
        <w:rPr>
          <w:noProof/>
        </w:rPr>
      </w:pPr>
      <w:r>
        <w:rPr>
          <w:noProof/>
        </w:rPr>
        <w:t xml:space="preserve">A beavatkozások célja az energiafogyasztás csökkentése, az épületek szeizmikus biztonságának növelése, valamint zöld területek </w:t>
      </w:r>
      <w:r>
        <w:rPr>
          <w:noProof/>
        </w:rPr>
        <w:t>kialakítása.</w:t>
      </w:r>
    </w:p>
    <w:p w14:paraId="56EC8AD7" w14:textId="77777777" w:rsidR="003F5418" w:rsidRDefault="002A6C25">
      <w:pPr>
        <w:spacing w:before="120" w:after="120"/>
        <w:jc w:val="both"/>
        <w:rPr>
          <w:noProof/>
        </w:rPr>
      </w:pPr>
      <w:r>
        <w:rPr>
          <w:noProof/>
        </w:rPr>
        <w:t xml:space="preserve">A terv várhatóan 166 iskolaépületre vonatkozik, összesen 400 ezer m²-re. </w:t>
      </w:r>
    </w:p>
    <w:p w14:paraId="4B9746D3" w14:textId="2BB4079A" w:rsidR="003F5418" w:rsidRDefault="00B51A1C">
      <w:pPr>
        <w:pStyle w:val="P68B1DB1-Normal2"/>
        <w:spacing w:before="120" w:after="120"/>
        <w:jc w:val="both"/>
        <w:rPr>
          <w:rFonts w:eastAsia="Calibri"/>
          <w:noProof/>
        </w:rPr>
      </w:pPr>
      <w:r>
        <w:rPr>
          <w:noProof/>
        </w:rPr>
        <w:t>1</w:t>
      </w:r>
      <w:r w:rsidRPr="00B07E42">
        <w:rPr>
          <w:noProof/>
        </w:rPr>
        <w:t>.</w:t>
      </w:r>
      <w:r>
        <w:rPr>
          <w:noProof/>
        </w:rPr>
        <w:t>2</w:t>
      </w:r>
      <w:r w:rsidRPr="00B07E42">
        <w:rPr>
          <w:noProof/>
        </w:rPr>
        <w:t>.</w:t>
      </w:r>
      <w:r>
        <w:rPr>
          <w:noProof/>
        </w:rPr>
        <w:t xml:space="preserve"> Beruházás – Épületek építése, az igazságszolgáltatás ingatlanvagyonának átminősítése és megerősítése</w:t>
      </w:r>
    </w:p>
    <w:p w14:paraId="0584FC00" w14:textId="77777777" w:rsidR="003F5418" w:rsidRDefault="002A6C25">
      <w:pPr>
        <w:spacing w:before="120" w:after="120"/>
        <w:jc w:val="both"/>
        <w:rPr>
          <w:rFonts w:eastAsia="Calibri"/>
          <w:noProof/>
        </w:rPr>
      </w:pPr>
      <w:r>
        <w:rPr>
          <w:noProof/>
        </w:rPr>
        <w:t>Ezen intézkedés célja az igazságszolgáltatás nem megfelelő stru</w:t>
      </w:r>
      <w:r>
        <w:rPr>
          <w:noProof/>
        </w:rPr>
        <w:t xml:space="preserve">ktúráinak felújítása és átminősítése. </w:t>
      </w:r>
    </w:p>
    <w:p w14:paraId="59C43C54" w14:textId="77777777" w:rsidR="003F5418" w:rsidRDefault="002A6C25">
      <w:pPr>
        <w:spacing w:before="120" w:after="120"/>
        <w:jc w:val="both"/>
        <w:rPr>
          <w:b/>
          <w:noProof/>
          <w:u w:val="single"/>
        </w:rPr>
      </w:pPr>
      <w:r>
        <w:rPr>
          <w:noProof/>
        </w:rPr>
        <w:t>A beavatkozás a meglévő eszközök fenntartására összpontosít, lehetővé téve a történelmi örökség védelmét, hasznosítását és helyreállítását, amely gyakran jellemzi a közigazgatás hivatalait, az olasz igazságszolgáltatá</w:t>
      </w:r>
      <w:r>
        <w:rPr>
          <w:noProof/>
        </w:rPr>
        <w:t>si rendszert. Az energiahatékonyság mellett a program célja a beavatkozások gazdasági, környezeti és társadalmi fenntarthatóságának biztosítása a fenntartható anyagok használata és a megújuló energiaforrásokból saját előállítású villamos energia használata</w:t>
      </w:r>
      <w:r>
        <w:rPr>
          <w:noProof/>
        </w:rPr>
        <w:t xml:space="preserve"> révén. A beavatkozások az épületek szeizmikus sebezhetőségének csökkentése érdekében is kiigazíthatják a struktúrákat.</w:t>
      </w:r>
    </w:p>
    <w:p w14:paraId="584B426C" w14:textId="77777777" w:rsidR="003F5418" w:rsidRDefault="002A6C25">
      <w:pPr>
        <w:spacing w:before="120" w:after="120"/>
        <w:jc w:val="both"/>
        <w:rPr>
          <w:noProof/>
        </w:rPr>
      </w:pPr>
      <w:r>
        <w:rPr>
          <w:noProof/>
        </w:rPr>
        <w:t>A beavatkozások helyszínéül szolgáló települések indikatív listája a következő: Bari, Bergamo, Bologna, Cagliari, Firenze, Genova, Latin</w:t>
      </w:r>
      <w:r>
        <w:rPr>
          <w:noProof/>
        </w:rPr>
        <w:t>a, Messina, Milánó, Monza, Nápoly, Palermo, Perugia, Reggio Calabria, Róma, Róma, Trani, Torino, Velletri és Velence.</w:t>
      </w:r>
    </w:p>
    <w:p w14:paraId="5A401641" w14:textId="77777777" w:rsidR="003F5418" w:rsidRDefault="002A6C25">
      <w:pPr>
        <w:spacing w:before="120" w:after="120"/>
        <w:jc w:val="both"/>
        <w:rPr>
          <w:noProof/>
        </w:rPr>
      </w:pPr>
      <w:r>
        <w:rPr>
          <w:noProof/>
        </w:rPr>
        <w:t>A beavatkozás nem terjed ki a földgázkazánokra.</w:t>
      </w:r>
    </w:p>
    <w:p w14:paraId="67A2A077" w14:textId="6A998571" w:rsidR="003F5418" w:rsidRDefault="00B51A1C">
      <w:pPr>
        <w:pStyle w:val="P68B1DB1-Normal2"/>
        <w:spacing w:before="120" w:after="120"/>
        <w:jc w:val="both"/>
        <w:rPr>
          <w:rFonts w:eastAsia="Calibri"/>
          <w:noProof/>
        </w:rPr>
      </w:pPr>
      <w:r>
        <w:rPr>
          <w:noProof/>
        </w:rPr>
        <w:t>3</w:t>
      </w:r>
      <w:r w:rsidRPr="00B07E42">
        <w:rPr>
          <w:noProof/>
        </w:rPr>
        <w:t>.1.</w:t>
      </w:r>
      <w:r>
        <w:rPr>
          <w:noProof/>
        </w:rPr>
        <w:t xml:space="preserve"> Beruházás: A hatékony távfűtés előmozdítása</w:t>
      </w:r>
    </w:p>
    <w:p w14:paraId="64F2E1CD" w14:textId="77777777" w:rsidR="003F5418" w:rsidRDefault="002A6C25">
      <w:pPr>
        <w:spacing w:before="120" w:after="120"/>
        <w:jc w:val="both"/>
        <w:rPr>
          <w:rFonts w:eastAsia="Calibri"/>
          <w:noProof/>
        </w:rPr>
      </w:pPr>
      <w:r>
        <w:rPr>
          <w:noProof/>
        </w:rPr>
        <w:t>A távfűtés fontos szerepet játszik a fűté</w:t>
      </w:r>
      <w:r>
        <w:rPr>
          <w:noProof/>
        </w:rPr>
        <w:t>si és hűtési ágazat környezetvédelmi célkitűzéseinek elérésében, különösen a nagy városi területeken, ahol a probléma még súlyosabb.</w:t>
      </w:r>
    </w:p>
    <w:p w14:paraId="54CD56E1" w14:textId="77777777" w:rsidR="003F5418" w:rsidRDefault="002A6C25">
      <w:pPr>
        <w:spacing w:before="120" w:after="120"/>
        <w:jc w:val="both"/>
        <w:rPr>
          <w:rFonts w:eastAsia="Calibri"/>
          <w:noProof/>
        </w:rPr>
      </w:pPr>
      <w:r>
        <w:rPr>
          <w:noProof/>
        </w:rPr>
        <w:t>Az intézkedésnek hatékony távfűtést kell kifejlesztenie, amely a megújuló energiaforrásokból, a hulladékhőből vagy a nagy t</w:t>
      </w:r>
      <w:r>
        <w:rPr>
          <w:noProof/>
        </w:rPr>
        <w:t>eljesítményű erőművekben kapcsolt energiatermelésből származó hő elosztásán alapul. Az intézkedés olyan projekteket finanszíroz, amelyeket 2022-ben indítandó pályázati eljárás keretében fognak kiválasztani, és amelyek új hálózatok kiépítésével vagy meglévő</w:t>
      </w:r>
      <w:r>
        <w:rPr>
          <w:noProof/>
        </w:rPr>
        <w:t xml:space="preserve"> távfűtési hálózatok bővítésével kapcsolatosak. 2023-ban egy későbbi pályázat is kiírható. Elsőbbséget élveznek azok a projektek, amelyek a legnagyobb megtakarítást biztosítják a nem megújuló primer energia terén. </w:t>
      </w:r>
    </w:p>
    <w:p w14:paraId="648AD4AC" w14:textId="77777777" w:rsidR="003F5418" w:rsidRDefault="002A6C25">
      <w:pPr>
        <w:spacing w:before="120" w:after="120"/>
        <w:jc w:val="both"/>
        <w:rPr>
          <w:rFonts w:eastAsia="Calibri"/>
          <w:noProof/>
        </w:rPr>
      </w:pPr>
      <w:r>
        <w:rPr>
          <w:noProof/>
        </w:rPr>
        <w:t>Várhatóan elérik az évi 20 ktoe primer fo</w:t>
      </w:r>
      <w:r>
        <w:rPr>
          <w:noProof/>
        </w:rPr>
        <w:t xml:space="preserve">sszilis energiának és a kibocsátáskereskedelmi rendszeren kívüli ágazatokban elkerült üvegházhatásúgáz-kibocsátás 40 ezer tonna CO2-nek megfelelő energia-környezetvédelmi előnyöket. </w:t>
      </w:r>
    </w:p>
    <w:p w14:paraId="3D0DA9A5" w14:textId="77777777" w:rsidR="003F5418" w:rsidRDefault="002A6C25">
      <w:pPr>
        <w:spacing w:before="120" w:after="120"/>
        <w:jc w:val="both"/>
        <w:rPr>
          <w:rFonts w:eastAsia="Calibri"/>
          <w:noProof/>
        </w:rPr>
      </w:pPr>
      <w:r>
        <w:rPr>
          <w:noProof/>
        </w:rPr>
        <w:t>Az intézkedés várhatóan nem sérti jelentősen az (EU) 2020/852 rendelet 17</w:t>
      </w:r>
      <w:r>
        <w:rPr>
          <w:noProof/>
        </w:rPr>
        <w:t>. cikke szerinti környezetvédelmi célkitűzéseket, figyelembe véve az intézkedés leírását és a helyreállítási és rezilienciaépítési tervben meghatározott enyhítő lépéseket a jelentős károkozás elkerülését célzó elvről szóló technikai iránymutatásnak (2021/C</w:t>
      </w:r>
      <w:r>
        <w:rPr>
          <w:noProof/>
        </w:rPr>
        <w:t>58/01) megfelelően. A hatékony távfűtési rendszer kiépítése nem használhat hőforrásként fosszilis tüzelőanyagokat, hanem kizárólag megújuló forrásokból, hulladékhőből vagy nagy teljesítményű erőművekben kapcsolt energiatermelésből származó hőre támaszkodha</w:t>
      </w:r>
      <w:r>
        <w:rPr>
          <w:noProof/>
        </w:rPr>
        <w:t>t. A kapcsolódó távfűtési infrastruktúra az energiahatékonyságról, a 2009/125/EK és a 2010/30/EU irányelv módosításáról, valamint a 2004/8/EK és a 2006/32/EK irányelv hatályon kívül helyezéséről szóló, 2012. október 25-i 2012/27/EU európai parlamenti és ta</w:t>
      </w:r>
      <w:r>
        <w:rPr>
          <w:noProof/>
        </w:rPr>
        <w:t>nácsi irányelvet (HL L 315., 2012.11.14., 1. o.) követi, és várhatóan 0,04 millió tonna CO2/év csökkentést garantál.</w:t>
      </w:r>
    </w:p>
    <w:p w14:paraId="5031ECA4" w14:textId="77777777" w:rsidR="003F5418" w:rsidRDefault="002A6C25">
      <w:pPr>
        <w:pStyle w:val="Heading3"/>
        <w:numPr>
          <w:ilvl w:val="0"/>
          <w:numId w:val="0"/>
        </w:numPr>
        <w:ind w:left="850" w:hanging="850"/>
        <w:rPr>
          <w:b/>
          <w:i w:val="0"/>
          <w:noProof/>
          <w:u w:val="single"/>
        </w:rPr>
      </w:pPr>
      <w:r>
        <w:rPr>
          <w:b/>
          <w:i w:val="0"/>
          <w:noProof/>
          <w:u w:val="single"/>
        </w:rPr>
        <w:t xml:space="preserve">F.4. </w:t>
      </w:r>
      <w:r>
        <w:rPr>
          <w:noProof/>
        </w:rPr>
        <w:t xml:space="preserve"> </w:t>
      </w:r>
      <w:r>
        <w:rPr>
          <w:b/>
          <w:i w:val="0"/>
          <w:noProof/>
          <w:u w:val="single"/>
        </w:rPr>
        <w:t xml:space="preserve">Hitel – a végrehajtáshoz és a nyomon követéshez kapcsolódó mérföldkövek, célok, mutatók és ütemterv </w:t>
      </w:r>
    </w:p>
    <w:p w14:paraId="26503748" w14:textId="77777777" w:rsidR="003F5418" w:rsidRDefault="003F5418">
      <w:pPr>
        <w:spacing w:before="120" w:after="120"/>
        <w:ind w:left="709"/>
        <w:contextualSpacing/>
        <w:jc w:val="both"/>
        <w:rPr>
          <w:noProof/>
        </w:rPr>
        <w:sectPr w:rsidR="003F5418">
          <w:headerReference w:type="even" r:id="rId176"/>
          <w:headerReference w:type="default" r:id="rId177"/>
          <w:footerReference w:type="even" r:id="rId178"/>
          <w:footerReference w:type="default" r:id="rId179"/>
          <w:headerReference w:type="first" r:id="rId180"/>
          <w:footerReference w:type="first" r:id="rId181"/>
          <w:pgSz w:w="11907" w:h="16839"/>
          <w:pgMar w:top="1134" w:right="1134" w:bottom="1134" w:left="1134" w:header="567" w:footer="567" w:gutter="0"/>
          <w:cols w:space="720"/>
          <w:docGrid w:linePitch="360"/>
        </w:sectPr>
      </w:pPr>
    </w:p>
    <w:tbl>
      <w:tblPr>
        <w:tblpPr w:leftFromText="180" w:rightFromText="180" w:horzAnchor="margin" w:tblpXSpec="center" w:tblpY="-720"/>
        <w:tblW w:w="14789" w:type="dxa"/>
        <w:tblLook w:val="04A0" w:firstRow="1" w:lastRow="0" w:firstColumn="1" w:lastColumn="0" w:noHBand="0" w:noVBand="1"/>
      </w:tblPr>
      <w:tblGrid>
        <w:gridCol w:w="1271"/>
        <w:gridCol w:w="1676"/>
        <w:gridCol w:w="1274"/>
        <w:gridCol w:w="1985"/>
        <w:gridCol w:w="1701"/>
        <w:gridCol w:w="1310"/>
        <w:gridCol w:w="1000"/>
        <w:gridCol w:w="1022"/>
        <w:gridCol w:w="991"/>
        <w:gridCol w:w="653"/>
        <w:gridCol w:w="2461"/>
      </w:tblGrid>
      <w:tr w:rsidR="003F5418" w14:paraId="06B35A30" w14:textId="77777777">
        <w:trPr>
          <w:trHeight w:val="939"/>
          <w:tblHeader/>
        </w:trPr>
        <w:tc>
          <w:tcPr>
            <w:tcW w:w="127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E65879D" w14:textId="77777777" w:rsidR="003F5418" w:rsidRDefault="002A6C25">
            <w:pPr>
              <w:pStyle w:val="P68B1DB1-Normal3"/>
              <w:jc w:val="center"/>
              <w:rPr>
                <w:noProof/>
              </w:rPr>
            </w:pPr>
            <w:r>
              <w:rPr>
                <w:noProof/>
              </w:rPr>
              <w:t>Sorszám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81096A8" w14:textId="77777777" w:rsidR="003F5418" w:rsidRDefault="002A6C25">
            <w:pPr>
              <w:pStyle w:val="P68B1DB1-Normal3"/>
              <w:jc w:val="center"/>
              <w:rPr>
                <w:noProof/>
              </w:rPr>
            </w:pPr>
            <w:r>
              <w:rPr>
                <w:noProof/>
              </w:rPr>
              <w:t>Kapcsolódó intézkedés (reform vagy beruházás)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70985A" w14:textId="77777777" w:rsidR="003F5418" w:rsidRDefault="002A6C25">
            <w:pPr>
              <w:pStyle w:val="P68B1DB1-Normal3"/>
              <w:jc w:val="center"/>
              <w:rPr>
                <w:noProof/>
              </w:rPr>
            </w:pPr>
            <w:r>
              <w:rPr>
                <w:noProof/>
              </w:rPr>
              <w:t>Mérföldkő/cél</w:t>
            </w:r>
          </w:p>
        </w:tc>
        <w:tc>
          <w:tcPr>
            <w:tcW w:w="1985" w:type="dxa"/>
            <w:vMerge w:val="restart"/>
            <w:tcBorders>
              <w:top w:val="single" w:sz="4" w:space="0" w:color="auto"/>
              <w:left w:val="nil"/>
              <w:bottom w:val="single" w:sz="4" w:space="0" w:color="auto"/>
              <w:right w:val="single" w:sz="4" w:space="0" w:color="auto"/>
            </w:tcBorders>
            <w:shd w:val="clear" w:color="auto" w:fill="BDD7EE"/>
            <w:vAlign w:val="center"/>
            <w:hideMark/>
          </w:tcPr>
          <w:p w14:paraId="5D918F0F" w14:textId="77777777" w:rsidR="003F5418" w:rsidRDefault="002A6C25">
            <w:pPr>
              <w:pStyle w:val="P68B1DB1-Normal3"/>
              <w:jc w:val="center"/>
              <w:rPr>
                <w:noProof/>
              </w:rPr>
            </w:pPr>
            <w:r>
              <w:rPr>
                <w:noProof/>
              </w:rPr>
              <w:t>Név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2A0E8A"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216" w:type="dxa"/>
            <w:gridSpan w:val="3"/>
            <w:tcBorders>
              <w:top w:val="single" w:sz="4" w:space="0" w:color="auto"/>
              <w:left w:val="nil"/>
              <w:bottom w:val="single" w:sz="4" w:space="0" w:color="auto"/>
              <w:right w:val="single" w:sz="4" w:space="0" w:color="auto"/>
            </w:tcBorders>
            <w:shd w:val="clear" w:color="auto" w:fill="BDD7EE"/>
            <w:vAlign w:val="center"/>
            <w:hideMark/>
          </w:tcPr>
          <w:p w14:paraId="4C7C80AD"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462" w:type="dxa"/>
            <w:gridSpan w:val="2"/>
            <w:tcBorders>
              <w:top w:val="single" w:sz="4" w:space="0" w:color="auto"/>
              <w:left w:val="nil"/>
              <w:bottom w:val="single" w:sz="4" w:space="0" w:color="auto"/>
              <w:right w:val="single" w:sz="4" w:space="0" w:color="auto"/>
            </w:tcBorders>
            <w:shd w:val="clear" w:color="auto" w:fill="BDD7EE"/>
            <w:vAlign w:val="center"/>
            <w:hideMark/>
          </w:tcPr>
          <w:p w14:paraId="5F613DB2" w14:textId="77777777" w:rsidR="003F5418" w:rsidRDefault="002A6C25">
            <w:pPr>
              <w:pStyle w:val="P68B1DB1-Normal3"/>
              <w:jc w:val="center"/>
              <w:rPr>
                <w:noProof/>
              </w:rPr>
            </w:pPr>
            <w:r>
              <w:rPr>
                <w:noProof/>
              </w:rPr>
              <w:t xml:space="preserve">A végrehajtás indikatív ütemterve </w:t>
            </w:r>
          </w:p>
        </w:tc>
        <w:tc>
          <w:tcPr>
            <w:tcW w:w="246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088AF21" w14:textId="77777777" w:rsidR="003F5418" w:rsidRDefault="002A6C25">
            <w:pPr>
              <w:pStyle w:val="P68B1DB1-Normal3"/>
              <w:jc w:val="center"/>
              <w:rPr>
                <w:noProof/>
              </w:rPr>
            </w:pPr>
            <w:r>
              <w:rPr>
                <w:noProof/>
              </w:rPr>
              <w:t>Az egyes mérföldkövek és célértékek le</w:t>
            </w:r>
            <w:r>
              <w:rPr>
                <w:noProof/>
              </w:rPr>
              <w:t>írása</w:t>
            </w:r>
          </w:p>
        </w:tc>
      </w:tr>
      <w:tr w:rsidR="003F5418" w14:paraId="5E197004" w14:textId="77777777">
        <w:trPr>
          <w:trHeight w:val="1027"/>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99784B5" w14:textId="77777777" w:rsidR="003F5418" w:rsidRDefault="003F5418">
            <w:pPr>
              <w:rPr>
                <w:rFonts w:ascii="Arial Narrow" w:hAnsi="Arial Narrow"/>
                <w:b/>
                <w:noProof/>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CAE01B" w14:textId="77777777" w:rsidR="003F5418" w:rsidRDefault="003F5418">
            <w:pPr>
              <w:rPr>
                <w:rFonts w:ascii="Arial Narrow" w:hAnsi="Arial Narrow"/>
                <w:b/>
                <w:noProof/>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04492B" w14:textId="77777777" w:rsidR="003F5418" w:rsidRDefault="003F5418">
            <w:pP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D77DCE6" w14:textId="77777777" w:rsidR="003F5418" w:rsidRDefault="003F5418">
            <w:pP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623B13" w14:textId="77777777" w:rsidR="003F5418" w:rsidRDefault="003F5418">
            <w:pPr>
              <w:rPr>
                <w:rFonts w:ascii="Arial Narrow" w:hAnsi="Arial Narrow"/>
                <w:b/>
                <w:noProof/>
                <w:sz w:val="20"/>
              </w:rPr>
            </w:pPr>
          </w:p>
        </w:tc>
        <w:tc>
          <w:tcPr>
            <w:tcW w:w="127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581015F" w14:textId="77777777" w:rsidR="003F5418" w:rsidRDefault="002A6C25">
            <w:pPr>
              <w:pStyle w:val="P68B1DB1-Normal3"/>
              <w:jc w:val="center"/>
              <w:rPr>
                <w:noProof/>
              </w:rPr>
            </w:pPr>
            <w:r>
              <w:rPr>
                <w:noProof/>
              </w:rPr>
              <w:t>Mértékegység</w:t>
            </w:r>
          </w:p>
        </w:tc>
        <w:tc>
          <w:tcPr>
            <w:tcW w:w="9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11E7F90" w14:textId="77777777" w:rsidR="003F5418" w:rsidRDefault="002A6C25">
            <w:pPr>
              <w:pStyle w:val="P68B1DB1-Normal3"/>
              <w:jc w:val="center"/>
              <w:rPr>
                <w:noProof/>
              </w:rPr>
            </w:pPr>
            <w:r>
              <w:rPr>
                <w:noProof/>
              </w:rPr>
              <w:t xml:space="preserve">Kiindulási </w:t>
            </w:r>
          </w:p>
        </w:tc>
        <w:tc>
          <w:tcPr>
            <w:tcW w:w="102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A10A070" w14:textId="77777777" w:rsidR="003F5418" w:rsidRDefault="002A6C25">
            <w:pPr>
              <w:pStyle w:val="P68B1DB1-Normal3"/>
              <w:jc w:val="center"/>
              <w:rPr>
                <w:noProof/>
              </w:rPr>
            </w:pPr>
            <w:r>
              <w:rPr>
                <w:noProof/>
              </w:rPr>
              <w:t xml:space="preserve">Cél </w:t>
            </w:r>
          </w:p>
        </w:tc>
        <w:tc>
          <w:tcPr>
            <w:tcW w:w="8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AE7BC89" w14:textId="77777777" w:rsidR="003F5418" w:rsidRDefault="002A6C25">
            <w:pPr>
              <w:pStyle w:val="P68B1DB1-Normal3"/>
              <w:jc w:val="center"/>
              <w:rPr>
                <w:noProof/>
              </w:rPr>
            </w:pPr>
            <w:r>
              <w:rPr>
                <w:noProof/>
              </w:rPr>
              <w:t>Negyedév</w:t>
            </w:r>
          </w:p>
        </w:tc>
        <w:tc>
          <w:tcPr>
            <w:tcW w:w="65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7389110" w14:textId="77777777" w:rsidR="003F5418" w:rsidRDefault="002A6C25">
            <w:pPr>
              <w:pStyle w:val="P68B1DB1-Normal3"/>
              <w:jc w:val="center"/>
              <w:rPr>
                <w:noProof/>
              </w:rPr>
            </w:pPr>
            <w:r>
              <w:rPr>
                <w:noProof/>
              </w:rPr>
              <w:t>Éve</w:t>
            </w:r>
          </w:p>
        </w:tc>
        <w:tc>
          <w:tcPr>
            <w:tcW w:w="2461" w:type="dxa"/>
            <w:vMerge/>
            <w:tcBorders>
              <w:top w:val="single" w:sz="4" w:space="0" w:color="auto"/>
              <w:left w:val="single" w:sz="4" w:space="0" w:color="auto"/>
              <w:bottom w:val="single" w:sz="4" w:space="0" w:color="auto"/>
              <w:right w:val="single" w:sz="4" w:space="0" w:color="auto"/>
            </w:tcBorders>
            <w:vAlign w:val="center"/>
            <w:hideMark/>
          </w:tcPr>
          <w:p w14:paraId="7021DC9D" w14:textId="77777777" w:rsidR="003F5418" w:rsidRDefault="003F5418">
            <w:pPr>
              <w:rPr>
                <w:rFonts w:ascii="Arial Narrow" w:hAnsi="Arial Narrow"/>
                <w:b/>
                <w:noProof/>
                <w:sz w:val="20"/>
              </w:rPr>
            </w:pPr>
          </w:p>
        </w:tc>
      </w:tr>
      <w:tr w:rsidR="003F5418" w14:paraId="32EA6846"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EB2265" w14:textId="77777777" w:rsidR="003F5418" w:rsidRDefault="002A6C25">
            <w:pPr>
              <w:pStyle w:val="P68B1DB1-Normal4"/>
              <w:spacing w:line="276" w:lineRule="auto"/>
              <w:jc w:val="center"/>
              <w:rPr>
                <w:noProof/>
              </w:rPr>
            </w:pPr>
            <w:r>
              <w:rPr>
                <w:noProof/>
              </w:rPr>
              <w:t>M2C3–5</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27934779" w14:textId="77777777" w:rsidR="003F5418" w:rsidRDefault="002A6C25">
            <w:pPr>
              <w:pStyle w:val="P68B1DB1-Normal4"/>
              <w:spacing w:line="276" w:lineRule="auto"/>
              <w:jc w:val="center"/>
              <w:rPr>
                <w:noProof/>
              </w:rPr>
            </w:pPr>
            <w:r>
              <w:rPr>
                <w:noProof/>
              </w:rPr>
              <w:t xml:space="preserve">Beruházás: Új iskolák építése épületpótlással </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29AB12" w14:textId="77777777" w:rsidR="003F5418" w:rsidRDefault="002A6C25">
            <w:pPr>
              <w:pStyle w:val="P68B1DB1-Normal4"/>
              <w:spacing w:line="276" w:lineRule="auto"/>
              <w:jc w:val="center"/>
              <w:rPr>
                <w:noProof/>
              </w:rPr>
            </w:pPr>
            <w:r>
              <w:rPr>
                <w:noProof/>
              </w:rPr>
              <w:t>Mérföldkő</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194C1A2" w14:textId="77777777" w:rsidR="003F5418" w:rsidRDefault="002A6C25">
            <w:pPr>
              <w:pStyle w:val="P68B1DB1-Normal4"/>
              <w:spacing w:line="276" w:lineRule="auto"/>
              <w:jc w:val="center"/>
              <w:rPr>
                <w:noProof/>
              </w:rPr>
            </w:pPr>
            <w:r>
              <w:rPr>
                <w:noProof/>
              </w:rPr>
              <w:t xml:space="preserve">Az új iskolák építésére vonatkozó valamennyi közbeszerzési szerződés odaítélése az iskolaépületek energetikai korszerűsítését célzó épületcsere révén, közbeszerzési eljárást követően </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2D53380" w14:textId="77777777" w:rsidR="003F5418" w:rsidRDefault="002A6C25">
            <w:pPr>
              <w:pStyle w:val="P68B1DB1-Normal4"/>
              <w:spacing w:line="276" w:lineRule="auto"/>
              <w:jc w:val="center"/>
              <w:rPr>
                <w:noProof/>
              </w:rPr>
            </w:pPr>
            <w:r>
              <w:rPr>
                <w:noProof/>
              </w:rPr>
              <w:t>Értesítés valamennyi közbeszerzési szerződés közbeszerzési eljárást köve</w:t>
            </w:r>
            <w:r>
              <w:rPr>
                <w:noProof/>
              </w:rPr>
              <w:t>tő odaítéléséről</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5825928F" w14:textId="77777777" w:rsidR="003F5418" w:rsidRDefault="002A6C25">
            <w:pPr>
              <w:pStyle w:val="P68B1DB1-Normal4"/>
              <w:spacing w:line="276" w:lineRule="auto"/>
              <w:jc w:val="center"/>
              <w:rPr>
                <w:noProof/>
              </w:rPr>
            </w:pPr>
            <w:r>
              <w:rPr>
                <w:noProof/>
              </w:rPr>
              <w:t>NINCS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347468B8" w14:textId="77777777" w:rsidR="003F5418" w:rsidRDefault="002A6C25">
            <w:pPr>
              <w:pStyle w:val="P68B1DB1-Normal4"/>
              <w:spacing w:line="276" w:lineRule="auto"/>
              <w:jc w:val="center"/>
              <w:rPr>
                <w:noProof/>
              </w:rPr>
            </w:pPr>
            <w:r>
              <w:rPr>
                <w:noProof/>
              </w:rPr>
              <w:t>NINCS</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70E21C7A" w14:textId="77777777" w:rsidR="003F5418" w:rsidRDefault="002A6C25">
            <w:pPr>
              <w:pStyle w:val="P68B1DB1-Normal4"/>
              <w:spacing w:line="276" w:lineRule="auto"/>
              <w:jc w:val="center"/>
              <w:rPr>
                <w:noProof/>
              </w:rPr>
            </w:pPr>
            <w:r>
              <w:rPr>
                <w:noProof/>
              </w:rPr>
              <w:t>NINCS</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D6B7905" w14:textId="77777777" w:rsidR="003F5418" w:rsidRDefault="002A6C25">
            <w:pPr>
              <w:pStyle w:val="P68B1DB1-Normal4"/>
              <w:spacing w:line="276" w:lineRule="auto"/>
              <w:jc w:val="center"/>
              <w:rPr>
                <w:noProof/>
              </w:rPr>
            </w:pPr>
            <w:r>
              <w:rPr>
                <w:noProof/>
              </w:rPr>
              <w:t>Q3</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0F0E82AC" w14:textId="77777777" w:rsidR="003F5418" w:rsidRDefault="002A6C25">
            <w:pPr>
              <w:pStyle w:val="P68B1DB1-Normal4"/>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3AB7A965" w14:textId="56074B63" w:rsidR="003F5418" w:rsidRDefault="002A6C25">
            <w:pPr>
              <w:pStyle w:val="P68B1DB1-Normal4"/>
              <w:spacing w:after="120"/>
              <w:rPr>
                <w:noProof/>
              </w:rPr>
            </w:pPr>
            <w:r>
              <w:rPr>
                <w:noProof/>
              </w:rPr>
              <w:t>Értesítés a helyi hatóságok által hivatalossá tett, legalább 400000 négyzetméter összterületű, új iskolaépületek helyettesítésére vonatkozó valamennyi közbeszerzési szerződés odaítéléséről</w:t>
            </w:r>
          </w:p>
        </w:tc>
      </w:tr>
      <w:tr w:rsidR="003F5418" w14:paraId="02DD3217"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5AF2470" w14:textId="77777777" w:rsidR="003F5418" w:rsidRDefault="002A6C25">
            <w:pPr>
              <w:pStyle w:val="P68B1DB1-Normal4"/>
              <w:spacing w:line="276" w:lineRule="auto"/>
              <w:jc w:val="center"/>
              <w:rPr>
                <w:noProof/>
              </w:rPr>
            </w:pPr>
            <w:r>
              <w:rPr>
                <w:noProof/>
              </w:rPr>
              <w:t>M2C3–6</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B15C2D1" w14:textId="77777777" w:rsidR="003F5418" w:rsidRDefault="002A6C25">
            <w:pPr>
              <w:pStyle w:val="P68B1DB1-Normal4"/>
              <w:spacing w:line="276" w:lineRule="auto"/>
              <w:jc w:val="center"/>
              <w:rPr>
                <w:noProof/>
              </w:rPr>
            </w:pPr>
            <w:r>
              <w:rPr>
                <w:noProof/>
              </w:rPr>
              <w:t xml:space="preserve">Beruházás: Új </w:t>
            </w:r>
            <w:r>
              <w:rPr>
                <w:noProof/>
              </w:rPr>
              <w:t>iskolák építése épületpótlással</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DF9581" w14:textId="77777777" w:rsidR="003F5418" w:rsidRDefault="002A6C25">
            <w:pPr>
              <w:pStyle w:val="P68B1DB1-Normal4"/>
              <w:spacing w:line="276" w:lineRule="auto"/>
              <w:jc w:val="center"/>
              <w:rPr>
                <w:noProof/>
              </w:rPr>
            </w:pPr>
            <w:r>
              <w:rPr>
                <w:noProof/>
              </w:rPr>
              <w:t>Cél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8775DF1" w14:textId="77777777" w:rsidR="003F5418" w:rsidRDefault="002A6C25">
            <w:pPr>
              <w:pStyle w:val="P68B1DB1-Normal9"/>
              <w:spacing w:line="276" w:lineRule="auto"/>
              <w:jc w:val="center"/>
              <w:rPr>
                <w:rFonts w:ascii="Arial Narrow" w:hAnsi="Arial Narrow"/>
                <w:noProof/>
              </w:rPr>
            </w:pPr>
            <w:r>
              <w:rPr>
                <w:rFonts w:ascii="Arial Narrow" w:hAnsi="Arial Narrow"/>
                <w:noProof/>
              </w:rPr>
              <w:t>Legalább 400000</w:t>
            </w:r>
            <w:r>
              <w:rPr>
                <w:noProof/>
              </w:rPr>
              <w:t xml:space="preserve"> </w:t>
            </w:r>
            <w:r>
              <w:rPr>
                <w:rFonts w:ascii="Arial Narrow" w:hAnsi="Arial Narrow"/>
                <w:noProof/>
              </w:rPr>
              <w:t>mqmt új iskola építésére kerül sor épületváltással.</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5BA57D" w14:textId="77777777" w:rsidR="003F5418" w:rsidRDefault="002A6C25">
            <w:pPr>
              <w:pStyle w:val="P68B1DB1-Normal4"/>
              <w:spacing w:line="276" w:lineRule="auto"/>
              <w:jc w:val="center"/>
              <w:rPr>
                <w:noProof/>
              </w:rPr>
            </w:pPr>
            <w:r>
              <w:rPr>
                <w:noProof/>
              </w:rPr>
              <w:t>NINCS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64E89C6D" w14:textId="77777777" w:rsidR="003F5418" w:rsidRDefault="002A6C25">
            <w:pPr>
              <w:pStyle w:val="P68B1DB1-Normal4"/>
              <w:spacing w:line="276" w:lineRule="auto"/>
              <w:jc w:val="center"/>
              <w:rPr>
                <w:noProof/>
              </w:rPr>
            </w:pPr>
            <w:r>
              <w:rPr>
                <w:noProof/>
              </w:rPr>
              <w:t>Szám</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4AC5F0A4" w14:textId="77777777" w:rsidR="003F5418" w:rsidRDefault="002A6C25">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6ADA4C3" w14:textId="76B13F73" w:rsidR="003F5418" w:rsidRDefault="002A6C25">
            <w:pPr>
              <w:pStyle w:val="P68B1DB1-Normal4"/>
              <w:spacing w:line="276" w:lineRule="auto"/>
              <w:jc w:val="center"/>
              <w:rPr>
                <w:noProof/>
              </w:rPr>
            </w:pPr>
            <w:r>
              <w:rPr>
                <w:noProof/>
              </w:rPr>
              <w:t>400 000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6E9696DE" w14:textId="77777777" w:rsidR="003F5418" w:rsidRDefault="002A6C25">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2226AE2C" w14:textId="77777777" w:rsidR="003F5418" w:rsidRDefault="002A6C25">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40F49AA3" w14:textId="7D0272EE" w:rsidR="003F5418" w:rsidRDefault="002A6C25">
            <w:pPr>
              <w:pStyle w:val="P68B1DB1-Normal4"/>
              <w:spacing w:after="120"/>
              <w:rPr>
                <w:noProof/>
              </w:rPr>
            </w:pPr>
            <w:r>
              <w:rPr>
                <w:noProof/>
              </w:rPr>
              <w:t xml:space="preserve">Legalább 400000 négyzetméternyi új iskola építése épületcserével, aminek következtében a primerenergia-fogyasztás legalább </w:t>
            </w:r>
            <w:r>
              <w:rPr>
                <w:noProof/>
              </w:rPr>
              <w:t>20%-kal alacsonyabb a közel nulla energiaigényű épületekre vonatkozó követelménynél</w:t>
            </w:r>
          </w:p>
        </w:tc>
      </w:tr>
      <w:tr w:rsidR="003F5418" w14:paraId="34583781"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D74BC8" w14:textId="77777777" w:rsidR="003F5418" w:rsidRDefault="002A6C25">
            <w:pPr>
              <w:pStyle w:val="P68B1DB1-Normal4"/>
              <w:spacing w:line="276" w:lineRule="auto"/>
              <w:jc w:val="center"/>
              <w:rPr>
                <w:noProof/>
              </w:rPr>
            </w:pPr>
            <w:r>
              <w:rPr>
                <w:noProof/>
              </w:rPr>
              <w:t>M2C3–7</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3083370A" w14:textId="77777777" w:rsidR="003F5418" w:rsidRDefault="002A6C25">
            <w:pPr>
              <w:pStyle w:val="P68B1DB1-Normal4"/>
              <w:spacing w:line="276" w:lineRule="auto"/>
              <w:jc w:val="center"/>
              <w:rPr>
                <w:noProof/>
              </w:rPr>
            </w:pPr>
            <w:r>
              <w:rPr>
                <w:noProof/>
              </w:rPr>
              <w:t>Beruházás – Épületek építése, az igazságszolgáltatás ingatlanvagyonának átminősítése és megerősítése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4E33D18" w14:textId="77777777" w:rsidR="003F5418" w:rsidRDefault="002A6C25">
            <w:pPr>
              <w:pStyle w:val="P68B1DB1-Normal4"/>
              <w:spacing w:line="276" w:lineRule="auto"/>
              <w:jc w:val="center"/>
              <w:rPr>
                <w:noProof/>
              </w:rPr>
            </w:pPr>
            <w:r>
              <w:rPr>
                <w:noProof/>
              </w:rPr>
              <w:t>Mérföldkő</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CAB9FFB" w14:textId="77777777" w:rsidR="003F5418" w:rsidRDefault="002A6C25">
            <w:pPr>
              <w:pStyle w:val="P68B1DB1-Normal4"/>
              <w:spacing w:line="276" w:lineRule="auto"/>
              <w:jc w:val="center"/>
              <w:rPr>
                <w:noProof/>
              </w:rPr>
            </w:pPr>
            <w:r>
              <w:rPr>
                <w:noProof/>
              </w:rPr>
              <w:t xml:space="preserve">Az új épületek építésére, az igazságszolgáltatás </w:t>
            </w:r>
            <w:r>
              <w:rPr>
                <w:noProof/>
              </w:rPr>
              <w:t>ingatlanvagyonának újraminősítésére és megerősítésére irányuló valamennyi közbeszerzési szerződés odaítélését az ajánlatkérő szerv közbeszerzési eljárást követően írja alá.</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2F2526FE" w14:textId="77777777" w:rsidR="003F5418" w:rsidRDefault="002A6C25">
            <w:pPr>
              <w:pStyle w:val="P68B1DB1-Normal4"/>
              <w:spacing w:line="276" w:lineRule="auto"/>
              <w:jc w:val="center"/>
              <w:rPr>
                <w:noProof/>
              </w:rPr>
            </w:pPr>
            <w:r>
              <w:rPr>
                <w:noProof/>
              </w:rPr>
              <w:t>Értesítés valamennyi közbeszerzési szerződés közbeszerzési eljárást követő odaítélé</w:t>
            </w:r>
            <w:r>
              <w:rPr>
                <w:noProof/>
              </w:rPr>
              <w:t>séről</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3F55AAB3" w14:textId="77777777" w:rsidR="003F5418" w:rsidRDefault="002A6C25">
            <w:pPr>
              <w:pStyle w:val="P68B1DB1-Normal4"/>
              <w:spacing w:line="276" w:lineRule="auto"/>
              <w:jc w:val="center"/>
              <w:rPr>
                <w:noProof/>
              </w:rPr>
            </w:pPr>
            <w:r>
              <w:rPr>
                <w:noProof/>
              </w:rPr>
              <w:t>NINCS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5482795B" w14:textId="77777777" w:rsidR="003F5418" w:rsidRDefault="002A6C25">
            <w:pPr>
              <w:pStyle w:val="P68B1DB1-Normal4"/>
              <w:spacing w:line="276" w:lineRule="auto"/>
              <w:jc w:val="center"/>
              <w:rPr>
                <w:noProof/>
              </w:rPr>
            </w:pPr>
            <w:r>
              <w:rPr>
                <w:noProof/>
              </w:rPr>
              <w:t>NINCS</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2C767A37" w14:textId="77777777" w:rsidR="003F5418" w:rsidRDefault="002A6C25">
            <w:pPr>
              <w:pStyle w:val="P68B1DB1-Normal4"/>
              <w:spacing w:line="276" w:lineRule="auto"/>
              <w:jc w:val="center"/>
              <w:rPr>
                <w:noProof/>
              </w:rPr>
            </w:pPr>
            <w:r>
              <w:rPr>
                <w:noProof/>
              </w:rPr>
              <w:t>NINCS</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83B67DF" w14:textId="77777777" w:rsidR="003F5418" w:rsidRDefault="002A6C25">
            <w:pPr>
              <w:pStyle w:val="P68B1DB1-Normal4"/>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A0CB252" w14:textId="77777777" w:rsidR="003F5418" w:rsidRDefault="002A6C25">
            <w:pPr>
              <w:pStyle w:val="P68B1DB1-Normal4"/>
              <w:spacing w:line="276" w:lineRule="auto"/>
              <w:jc w:val="center"/>
              <w:rPr>
                <w:noProof/>
              </w:rPr>
            </w:pPr>
            <w:r>
              <w:rPr>
                <w:noProof/>
              </w:rPr>
              <w:t>2023</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421EB99" w14:textId="77777777" w:rsidR="003F5418" w:rsidRDefault="002A6C25">
            <w:pPr>
              <w:pStyle w:val="P68B1DB1-Normal4"/>
              <w:spacing w:after="120"/>
              <w:rPr>
                <w:noProof/>
              </w:rPr>
            </w:pPr>
            <w:r>
              <w:rPr>
                <w:noProof/>
              </w:rPr>
              <w:t>Értesítés az épületek építésére, az igazságszolgáltatás ingatlanvagyonának átminősítésére és megerősítésére vonatkozó valamennyi közbeszerzési szerződés odaítéléséről.</w:t>
            </w:r>
          </w:p>
        </w:tc>
      </w:tr>
      <w:tr w:rsidR="003F5418" w14:paraId="721D870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56316C" w14:textId="77777777" w:rsidR="003F5418" w:rsidRDefault="002A6C25">
            <w:pPr>
              <w:pStyle w:val="P68B1DB1-Normal4"/>
              <w:spacing w:line="276" w:lineRule="auto"/>
              <w:jc w:val="center"/>
              <w:rPr>
                <w:noProof/>
              </w:rPr>
            </w:pPr>
            <w:r>
              <w:rPr>
                <w:noProof/>
              </w:rPr>
              <w:t>M2C3–8</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00B2C2BF" w14:textId="77777777" w:rsidR="003F5418" w:rsidRDefault="002A6C25">
            <w:pPr>
              <w:pStyle w:val="P68B1DB1-Normal4"/>
              <w:spacing w:line="276" w:lineRule="auto"/>
              <w:jc w:val="center"/>
              <w:rPr>
                <w:noProof/>
              </w:rPr>
            </w:pPr>
            <w:r>
              <w:rPr>
                <w:noProof/>
              </w:rPr>
              <w:t xml:space="preserve">Beruházás – Épületek építése, az </w:t>
            </w:r>
            <w:r>
              <w:rPr>
                <w:noProof/>
              </w:rPr>
              <w:t>igazságszolgáltatás ingatlanvagyonának átminősítése és megerősítése</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E5C9F0" w14:textId="77777777" w:rsidR="003F5418" w:rsidRDefault="002A6C25">
            <w:pPr>
              <w:pStyle w:val="P68B1DB1-Normal4"/>
              <w:spacing w:line="276" w:lineRule="auto"/>
              <w:jc w:val="center"/>
              <w:rPr>
                <w:noProof/>
              </w:rPr>
            </w:pPr>
            <w:r>
              <w:rPr>
                <w:noProof/>
              </w:rPr>
              <w:t>Cél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5E80F100" w14:textId="77777777" w:rsidR="003F5418" w:rsidRDefault="002A6C25">
            <w:pPr>
              <w:pStyle w:val="P68B1DB1-Normal4"/>
              <w:spacing w:line="276" w:lineRule="auto"/>
              <w:jc w:val="center"/>
              <w:rPr>
                <w:noProof/>
              </w:rPr>
            </w:pPr>
            <w:r>
              <w:rPr>
                <w:noProof/>
              </w:rPr>
              <w:t>Épületek építése, az igazságszolgáltatás ingatlanvagyonának átminősítése és megerősítése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3AA7920" w14:textId="77777777" w:rsidR="003F5418" w:rsidRDefault="002A6C25">
            <w:pPr>
              <w:pStyle w:val="P68B1DB1-Normal4"/>
              <w:spacing w:line="276" w:lineRule="auto"/>
              <w:jc w:val="center"/>
              <w:rPr>
                <w:noProof/>
              </w:rPr>
            </w:pPr>
            <w:r>
              <w:rPr>
                <w:noProof/>
              </w:rPr>
              <w:t>NINCS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DF5783A" w14:textId="77777777" w:rsidR="003F5418" w:rsidRDefault="002A6C25">
            <w:pPr>
              <w:pStyle w:val="P68B1DB1-Normal4"/>
              <w:spacing w:line="276" w:lineRule="auto"/>
              <w:jc w:val="center"/>
              <w:rPr>
                <w:noProof/>
              </w:rPr>
            </w:pPr>
            <w:r>
              <w:rPr>
                <w:noProof/>
              </w:rPr>
              <w:t>Szám</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1D11F402" w14:textId="77777777" w:rsidR="003F5418" w:rsidRDefault="002A6C25">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54CAA746" w14:textId="38ACA981" w:rsidR="003F5418" w:rsidRDefault="002A6C25">
            <w:pPr>
              <w:pStyle w:val="P68B1DB1-Normal4"/>
              <w:spacing w:line="276" w:lineRule="auto"/>
              <w:jc w:val="center"/>
              <w:rPr>
                <w:noProof/>
              </w:rPr>
            </w:pPr>
            <w:r>
              <w:rPr>
                <w:noProof/>
              </w:rPr>
              <w:t>289 000</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7D800B42" w14:textId="77777777" w:rsidR="003F5418" w:rsidRDefault="002A6C25">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343CD338" w14:textId="77777777" w:rsidR="003F5418" w:rsidRDefault="002A6C25">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1C7FE915" w14:textId="77777777" w:rsidR="003F5418" w:rsidRDefault="002A6C25">
            <w:pPr>
              <w:pStyle w:val="P68B1DB1-Normal9"/>
              <w:spacing w:after="120"/>
              <w:rPr>
                <w:rFonts w:ascii="Arial Narrow" w:hAnsi="Arial Narrow"/>
                <w:noProof/>
              </w:rPr>
            </w:pPr>
            <w:r>
              <w:rPr>
                <w:rFonts w:ascii="Arial Narrow" w:hAnsi="Arial Narrow"/>
                <w:noProof/>
              </w:rPr>
              <w:t xml:space="preserve">Épületek építése, legalább 289000 négyzetméternyi ingatlanvagyon </w:t>
            </w:r>
            <w:r>
              <w:rPr>
                <w:rFonts w:ascii="Arial Narrow" w:hAnsi="Arial Narrow"/>
                <w:noProof/>
              </w:rPr>
              <w:t>átminősítése és megerősítése azigazságszolgáltatásban</w:t>
            </w:r>
          </w:p>
        </w:tc>
      </w:tr>
      <w:tr w:rsidR="003F5418" w14:paraId="74EB4515"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D1B417" w14:textId="77777777" w:rsidR="003F5418" w:rsidRDefault="002A6C25">
            <w:pPr>
              <w:pStyle w:val="P68B1DB1-Normal4"/>
              <w:spacing w:line="276" w:lineRule="auto"/>
              <w:jc w:val="center"/>
              <w:rPr>
                <w:noProof/>
              </w:rPr>
            </w:pPr>
            <w:r>
              <w:rPr>
                <w:noProof/>
              </w:rPr>
              <w:t>M2C3–9</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14F6B824" w14:textId="77777777" w:rsidR="003F5418" w:rsidRDefault="002A6C25">
            <w:pPr>
              <w:pStyle w:val="P68B1DB1-Normal4"/>
              <w:spacing w:line="276" w:lineRule="auto"/>
              <w:jc w:val="center"/>
              <w:rPr>
                <w:noProof/>
              </w:rPr>
            </w:pPr>
            <w:r>
              <w:rPr>
                <w:noProof/>
              </w:rPr>
              <w:t>Beruházás: A hatékony távfűtés előmozdítása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802F233" w14:textId="77777777" w:rsidR="003F5418" w:rsidRDefault="002A6C25">
            <w:pPr>
              <w:pStyle w:val="P68B1DB1-Normal4"/>
              <w:spacing w:line="276" w:lineRule="auto"/>
              <w:jc w:val="center"/>
              <w:rPr>
                <w:noProof/>
              </w:rPr>
            </w:pPr>
            <w:r>
              <w:rPr>
                <w:noProof/>
              </w:rPr>
              <w:t>Mérföldkő</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0412866B" w14:textId="77777777" w:rsidR="003F5418" w:rsidRDefault="002A6C25">
            <w:pPr>
              <w:pStyle w:val="P68B1DB1-Normal4"/>
              <w:spacing w:line="276" w:lineRule="auto"/>
              <w:jc w:val="center"/>
              <w:rPr>
                <w:noProof/>
              </w:rPr>
            </w:pPr>
            <w:r>
              <w:rPr>
                <w:noProof/>
              </w:rPr>
              <w:t xml:space="preserve">A fűtési hálózatok fejlesztésére irányuló szerződéseket az ökológiai átállásért felelős minisztérium közbeszerzési eljárást követően ítéli </w:t>
            </w:r>
            <w:r>
              <w:rPr>
                <w:noProof/>
              </w:rPr>
              <w:t>oda.</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55BB5BF6" w14:textId="77777777" w:rsidR="003F5418" w:rsidRDefault="002A6C25">
            <w:pPr>
              <w:pStyle w:val="P68B1DB1-Normal4"/>
              <w:spacing w:line="276" w:lineRule="auto"/>
              <w:jc w:val="center"/>
              <w:rPr>
                <w:noProof/>
              </w:rPr>
            </w:pPr>
            <w:r>
              <w:rPr>
                <w:noProof/>
              </w:rPr>
              <w:t>Értesítés valamennyi közbeszerzési szerződés közbeszerzési eljárást követő odaítéléséről</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0FC3C2D6" w14:textId="77777777" w:rsidR="003F5418" w:rsidRDefault="002A6C25">
            <w:pPr>
              <w:pStyle w:val="P68B1DB1-Normal4"/>
              <w:spacing w:line="276" w:lineRule="auto"/>
              <w:jc w:val="center"/>
              <w:rPr>
                <w:noProof/>
              </w:rPr>
            </w:pPr>
            <w:r>
              <w:rPr>
                <w:noProof/>
              </w:rPr>
              <w:t>NINCS</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41656BE" w14:textId="77777777" w:rsidR="003F5418" w:rsidRDefault="002A6C25">
            <w:pPr>
              <w:pStyle w:val="P68B1DB1-Normal4"/>
              <w:spacing w:line="276" w:lineRule="auto"/>
              <w:jc w:val="center"/>
              <w:rPr>
                <w:noProof/>
              </w:rPr>
            </w:pPr>
            <w:r>
              <w:rPr>
                <w:noProof/>
              </w:rPr>
              <w:t>NINCS</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480AB068" w14:textId="77777777" w:rsidR="003F5418" w:rsidRDefault="002A6C25">
            <w:pPr>
              <w:pStyle w:val="P68B1DB1-Normal4"/>
              <w:spacing w:line="276" w:lineRule="auto"/>
              <w:jc w:val="center"/>
              <w:rPr>
                <w:noProof/>
              </w:rPr>
            </w:pPr>
            <w:r>
              <w:rPr>
                <w:noProof/>
              </w:rPr>
              <w:t>NINCS</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5D1E6982" w14:textId="77777777" w:rsidR="003F5418" w:rsidRDefault="002A6C25">
            <w:pPr>
              <w:pStyle w:val="P68B1DB1-Normal4"/>
              <w:spacing w:line="276" w:lineRule="auto"/>
              <w:jc w:val="center"/>
              <w:rPr>
                <w:noProof/>
              </w:rPr>
            </w:pPr>
            <w:r>
              <w:rPr>
                <w:noProof/>
              </w:rPr>
              <w:t>Q4</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2C2975C" w14:textId="77777777" w:rsidR="003F5418" w:rsidRDefault="002A6C25">
            <w:pPr>
              <w:pStyle w:val="P68B1DB1-Normal4"/>
              <w:spacing w:line="276" w:lineRule="auto"/>
              <w:jc w:val="center"/>
              <w:rPr>
                <w:noProof/>
              </w:rPr>
            </w:pPr>
            <w:r>
              <w:rPr>
                <w:noProof/>
              </w:rPr>
              <w:t>2022</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2E359D48" w14:textId="77777777" w:rsidR="003F5418" w:rsidRDefault="002A6C25">
            <w:pPr>
              <w:pStyle w:val="P68B1DB1-Normal4"/>
              <w:spacing w:after="120"/>
              <w:rPr>
                <w:noProof/>
              </w:rPr>
            </w:pPr>
            <w:r>
              <w:rPr>
                <w:noProof/>
              </w:rPr>
              <w:t>Az új távfűtési hálózatok építésére vagy a meglévő távfűtési hálózatok bővítésére vonatkozó valamennyi közbeszerzési szerződés odaítélés</w:t>
            </w:r>
            <w:r>
              <w:rPr>
                <w:noProof/>
              </w:rPr>
              <w:t>e, amelyeknek tartalmazniuk kell az energiafogyasztás csökkentésére vonatkozó követelményt.</w:t>
            </w:r>
          </w:p>
          <w:p w14:paraId="59DFAC8B" w14:textId="77777777" w:rsidR="003F5418" w:rsidRDefault="002A6C25">
            <w:pPr>
              <w:pStyle w:val="P68B1DB1-Normal4"/>
              <w:spacing w:after="120"/>
              <w:rPr>
                <w:noProof/>
              </w:rPr>
            </w:pPr>
            <w:r>
              <w:rPr>
                <w:noProof/>
              </w:rPr>
              <w:t>A szerződések odaítélése a versenypályázati felhívások keretében a jelentős károkozás elkerülését célzó technikai iránymutatásnak (2021/C58/01) megfelelően kiválasz</w:t>
            </w:r>
            <w:r>
              <w:rPr>
                <w:noProof/>
              </w:rPr>
              <w:t>tott projektek számára kizárási lista, valamint a vonatkozó uniós és nemzeti környezetvédelmi jogszabályoknak való megfelelés követelménye révén.</w:t>
            </w:r>
          </w:p>
        </w:tc>
      </w:tr>
      <w:tr w:rsidR="003F5418" w14:paraId="0E69C14D" w14:textId="77777777">
        <w:trPr>
          <w:trHeight w:val="313"/>
        </w:trPr>
        <w:tc>
          <w:tcPr>
            <w:tcW w:w="127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C628C0" w14:textId="77777777" w:rsidR="003F5418" w:rsidRDefault="002A6C25">
            <w:pPr>
              <w:pStyle w:val="P68B1DB1-Normal4"/>
              <w:spacing w:line="276" w:lineRule="auto"/>
              <w:jc w:val="center"/>
              <w:rPr>
                <w:noProof/>
              </w:rPr>
            </w:pPr>
            <w:r>
              <w:rPr>
                <w:noProof/>
              </w:rPr>
              <w:t>M2C3–10</w:t>
            </w:r>
          </w:p>
        </w:tc>
        <w:tc>
          <w:tcPr>
            <w:tcW w:w="1559" w:type="dxa"/>
            <w:tcBorders>
              <w:top w:val="single" w:sz="4" w:space="0" w:color="auto"/>
              <w:left w:val="nil"/>
              <w:bottom w:val="single" w:sz="4" w:space="0" w:color="auto"/>
              <w:right w:val="single" w:sz="4" w:space="0" w:color="auto"/>
            </w:tcBorders>
            <w:shd w:val="clear" w:color="auto" w:fill="C6EFCE"/>
            <w:noWrap/>
            <w:vAlign w:val="center"/>
          </w:tcPr>
          <w:p w14:paraId="4D15F370" w14:textId="77777777" w:rsidR="003F5418" w:rsidRDefault="002A6C25">
            <w:pPr>
              <w:pStyle w:val="P68B1DB1-Normal4"/>
              <w:spacing w:line="276" w:lineRule="auto"/>
              <w:jc w:val="center"/>
              <w:rPr>
                <w:noProof/>
              </w:rPr>
            </w:pPr>
            <w:r>
              <w:rPr>
                <w:noProof/>
              </w:rPr>
              <w:t>Beruházás: A hatékony távfűtés előmozdítása</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E28F78A" w14:textId="77777777" w:rsidR="003F5418" w:rsidRDefault="002A6C25">
            <w:pPr>
              <w:pStyle w:val="P68B1DB1-Normal4"/>
              <w:spacing w:line="276" w:lineRule="auto"/>
              <w:jc w:val="center"/>
              <w:rPr>
                <w:noProof/>
              </w:rPr>
            </w:pPr>
            <w:r>
              <w:rPr>
                <w:noProof/>
              </w:rPr>
              <w:t>Cél</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64AD44FE" w14:textId="77777777" w:rsidR="003F5418" w:rsidRDefault="002A6C25">
            <w:pPr>
              <w:pStyle w:val="P68B1DB1-Normal4"/>
              <w:spacing w:line="276" w:lineRule="auto"/>
              <w:jc w:val="center"/>
              <w:rPr>
                <w:noProof/>
              </w:rPr>
            </w:pPr>
            <w:r>
              <w:rPr>
                <w:noProof/>
              </w:rPr>
              <w:t>Távfűtési hálózatok kiépítése vagy bővítése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663CB8A3" w14:textId="77777777" w:rsidR="003F5418" w:rsidRDefault="002A6C25">
            <w:pPr>
              <w:pStyle w:val="P68B1DB1-Normal4"/>
              <w:spacing w:line="276" w:lineRule="auto"/>
              <w:jc w:val="center"/>
              <w:rPr>
                <w:noProof/>
              </w:rPr>
            </w:pPr>
            <w:r>
              <w:rPr>
                <w:noProof/>
              </w:rPr>
              <w:t>NINCS</w:t>
            </w:r>
          </w:p>
        </w:tc>
        <w:tc>
          <w:tcPr>
            <w:tcW w:w="1276" w:type="dxa"/>
            <w:tcBorders>
              <w:top w:val="single" w:sz="4" w:space="0" w:color="auto"/>
              <w:left w:val="nil"/>
              <w:bottom w:val="single" w:sz="4" w:space="0" w:color="auto"/>
              <w:right w:val="single" w:sz="4" w:space="0" w:color="auto"/>
            </w:tcBorders>
            <w:shd w:val="clear" w:color="auto" w:fill="C6EFCE"/>
            <w:noWrap/>
            <w:vAlign w:val="center"/>
          </w:tcPr>
          <w:p w14:paraId="4284226D" w14:textId="77777777" w:rsidR="003F5418" w:rsidRDefault="002A6C25">
            <w:pPr>
              <w:pStyle w:val="P68B1DB1-Normal4"/>
              <w:spacing w:line="276" w:lineRule="auto"/>
              <w:jc w:val="center"/>
              <w:rPr>
                <w:noProof/>
              </w:rPr>
            </w:pPr>
            <w:r>
              <w:rPr>
                <w:noProof/>
              </w:rPr>
              <w:t>Szám</w:t>
            </w:r>
          </w:p>
        </w:tc>
        <w:tc>
          <w:tcPr>
            <w:tcW w:w="918" w:type="dxa"/>
            <w:tcBorders>
              <w:top w:val="single" w:sz="4" w:space="0" w:color="auto"/>
              <w:left w:val="nil"/>
              <w:bottom w:val="single" w:sz="4" w:space="0" w:color="auto"/>
              <w:right w:val="single" w:sz="4" w:space="0" w:color="auto"/>
            </w:tcBorders>
            <w:shd w:val="clear" w:color="auto" w:fill="C6EFCE"/>
            <w:noWrap/>
            <w:vAlign w:val="center"/>
          </w:tcPr>
          <w:p w14:paraId="622987F0" w14:textId="77777777" w:rsidR="003F5418" w:rsidRDefault="002A6C25">
            <w:pPr>
              <w:pStyle w:val="P68B1DB1-Normal4"/>
              <w:spacing w:line="276" w:lineRule="auto"/>
              <w:jc w:val="center"/>
              <w:rPr>
                <w:noProof/>
              </w:rPr>
            </w:pPr>
            <w:r>
              <w:rPr>
                <w:noProof/>
              </w:rPr>
              <w:t>0</w:t>
            </w:r>
          </w:p>
        </w:tc>
        <w:tc>
          <w:tcPr>
            <w:tcW w:w="1022" w:type="dxa"/>
            <w:tcBorders>
              <w:top w:val="single" w:sz="4" w:space="0" w:color="auto"/>
              <w:left w:val="nil"/>
              <w:bottom w:val="single" w:sz="4" w:space="0" w:color="auto"/>
              <w:right w:val="single" w:sz="4" w:space="0" w:color="auto"/>
            </w:tcBorders>
            <w:shd w:val="clear" w:color="auto" w:fill="C6EFCE"/>
            <w:noWrap/>
            <w:vAlign w:val="center"/>
          </w:tcPr>
          <w:p w14:paraId="6E50E1F1" w14:textId="77777777" w:rsidR="003F5418" w:rsidRDefault="002A6C25">
            <w:pPr>
              <w:pStyle w:val="P68B1DB1-Normal4"/>
              <w:spacing w:line="276" w:lineRule="auto"/>
              <w:jc w:val="center"/>
              <w:rPr>
                <w:noProof/>
              </w:rPr>
            </w:pPr>
            <w:r>
              <w:rPr>
                <w:noProof/>
              </w:rPr>
              <w:t xml:space="preserve">20 </w:t>
            </w:r>
          </w:p>
        </w:tc>
        <w:tc>
          <w:tcPr>
            <w:tcW w:w="809" w:type="dxa"/>
            <w:tcBorders>
              <w:top w:val="single" w:sz="4" w:space="0" w:color="auto"/>
              <w:left w:val="nil"/>
              <w:bottom w:val="single" w:sz="4" w:space="0" w:color="auto"/>
              <w:right w:val="single" w:sz="4" w:space="0" w:color="auto"/>
            </w:tcBorders>
            <w:shd w:val="clear" w:color="auto" w:fill="C6EFCE"/>
            <w:noWrap/>
            <w:vAlign w:val="center"/>
          </w:tcPr>
          <w:p w14:paraId="2FF8E000" w14:textId="77777777" w:rsidR="003F5418" w:rsidRDefault="002A6C25">
            <w:pPr>
              <w:pStyle w:val="P68B1DB1-Normal4"/>
              <w:spacing w:line="276" w:lineRule="auto"/>
              <w:jc w:val="center"/>
              <w:rPr>
                <w:noProof/>
              </w:rPr>
            </w:pPr>
            <w:r>
              <w:rPr>
                <w:noProof/>
              </w:rPr>
              <w:t>Q1</w:t>
            </w:r>
          </w:p>
        </w:tc>
        <w:tc>
          <w:tcPr>
            <w:tcW w:w="653" w:type="dxa"/>
            <w:tcBorders>
              <w:top w:val="single" w:sz="4" w:space="0" w:color="auto"/>
              <w:left w:val="nil"/>
              <w:bottom w:val="single" w:sz="4" w:space="0" w:color="auto"/>
              <w:right w:val="single" w:sz="4" w:space="0" w:color="auto"/>
            </w:tcBorders>
            <w:shd w:val="clear" w:color="auto" w:fill="C6EFCE"/>
            <w:noWrap/>
            <w:vAlign w:val="center"/>
          </w:tcPr>
          <w:p w14:paraId="79B626CE" w14:textId="77777777" w:rsidR="003F5418" w:rsidRDefault="002A6C25">
            <w:pPr>
              <w:pStyle w:val="P68B1DB1-Normal4"/>
              <w:spacing w:line="276" w:lineRule="auto"/>
              <w:jc w:val="center"/>
              <w:rPr>
                <w:noProof/>
              </w:rPr>
            </w:pPr>
            <w:r>
              <w:rPr>
                <w:noProof/>
              </w:rPr>
              <w:t>2026</w:t>
            </w:r>
          </w:p>
        </w:tc>
        <w:tc>
          <w:tcPr>
            <w:tcW w:w="2461" w:type="dxa"/>
            <w:tcBorders>
              <w:top w:val="single" w:sz="4" w:space="0" w:color="auto"/>
              <w:left w:val="nil"/>
              <w:bottom w:val="single" w:sz="4" w:space="0" w:color="auto"/>
              <w:right w:val="single" w:sz="4" w:space="0" w:color="auto"/>
            </w:tcBorders>
            <w:shd w:val="clear" w:color="auto" w:fill="C6EFCE"/>
            <w:noWrap/>
            <w:vAlign w:val="center"/>
          </w:tcPr>
          <w:p w14:paraId="5BFB9FA0" w14:textId="77777777" w:rsidR="003F5418" w:rsidRDefault="002A6C25">
            <w:pPr>
              <w:pStyle w:val="P68B1DB1-Normal4"/>
              <w:spacing w:after="120"/>
              <w:rPr>
                <w:noProof/>
              </w:rPr>
            </w:pPr>
            <w:r>
              <w:rPr>
                <w:noProof/>
              </w:rPr>
              <w:t>Új távfűtési hálózatok kiépítésének vagy a meglévő hálózatok bővítésének befejezése az energiafogyasztás legalább évi 20 KTOE-val történő csökkentése érdekében.</w:t>
            </w:r>
          </w:p>
          <w:p w14:paraId="5F27A174" w14:textId="77777777" w:rsidR="003F5418" w:rsidRDefault="002A6C25">
            <w:pPr>
              <w:pStyle w:val="P68B1DB1-Normal4"/>
              <w:spacing w:after="120"/>
              <w:rPr>
                <w:noProof/>
              </w:rPr>
            </w:pPr>
            <w:r>
              <w:rPr>
                <w:noProof/>
              </w:rPr>
              <w:t>A beruházásnak meg kell felelnie a Helyreállítási és Rezilienciaépítési Eszk</w:t>
            </w:r>
            <w:r>
              <w:rPr>
                <w:noProof/>
              </w:rPr>
              <w:t>özről szóló 241/2021/EU rendelet VI. mellékletének 9. lábjegyzetében meghatározott feltételeknek.</w:t>
            </w:r>
          </w:p>
        </w:tc>
      </w:tr>
    </w:tbl>
    <w:p w14:paraId="0A295881" w14:textId="77777777" w:rsidR="003F5418" w:rsidRDefault="003F5418">
      <w:pPr>
        <w:keepNext/>
        <w:tabs>
          <w:tab w:val="left" w:pos="4252"/>
        </w:tabs>
        <w:spacing w:before="720"/>
        <w:jc w:val="both"/>
        <w:rPr>
          <w:i/>
          <w:noProof/>
        </w:rPr>
        <w:sectPr w:rsidR="003F5418">
          <w:headerReference w:type="even" r:id="rId182"/>
          <w:headerReference w:type="default" r:id="rId183"/>
          <w:footerReference w:type="even" r:id="rId184"/>
          <w:footerReference w:type="default" r:id="rId185"/>
          <w:headerReference w:type="first" r:id="rId186"/>
          <w:footerReference w:type="first" r:id="rId187"/>
          <w:pgSz w:w="16839" w:h="11907" w:orient="landscape"/>
          <w:pgMar w:top="1134" w:right="1134" w:bottom="1134" w:left="1134" w:header="567" w:footer="567" w:gutter="0"/>
          <w:cols w:space="720"/>
          <w:docGrid w:linePitch="360"/>
        </w:sectPr>
      </w:pPr>
    </w:p>
    <w:p w14:paraId="6F3502CF" w14:textId="77777777" w:rsidR="003F5418" w:rsidRDefault="002A6C25">
      <w:pPr>
        <w:pStyle w:val="Heading2"/>
        <w:numPr>
          <w:ilvl w:val="0"/>
          <w:numId w:val="0"/>
        </w:numPr>
        <w:ind w:left="850" w:hanging="850"/>
        <w:rPr>
          <w:noProof/>
        </w:rPr>
      </w:pPr>
      <w:r>
        <w:rPr>
          <w:noProof/>
        </w:rPr>
        <w:t>G. 2. FEJEZET 4. TERMÉK – Területrendezés és vízkészletek</w:t>
      </w:r>
    </w:p>
    <w:p w14:paraId="5FB9B702" w14:textId="77777777" w:rsidR="003F5418" w:rsidRDefault="002A6C25">
      <w:pPr>
        <w:spacing w:before="120" w:after="120"/>
        <w:jc w:val="both"/>
        <w:rPr>
          <w:noProof/>
        </w:rPr>
      </w:pPr>
      <w:r>
        <w:rPr>
          <w:noProof/>
        </w:rPr>
        <w:t xml:space="preserve">Az olasz helyreállítási és </w:t>
      </w:r>
      <w:r>
        <w:rPr>
          <w:noProof/>
        </w:rPr>
        <w:t>rezilienciaépítési terv ezen komponensének célja az olaszországi vízkészlet-gazdálkodással és hidrogeológiai kockázatokkal kapcsolatos számos tartós hiányosság kezelése, valamint a biológiai sokféleség megőrzését célzó intézkedések elfogadása. Ezt az e kül</w:t>
      </w:r>
      <w:r>
        <w:rPr>
          <w:noProof/>
        </w:rPr>
        <w:t>önböző dimenziókban végrehajtott reformok és beruházások jelentős és kiegyensúlyozott kombinációjával kell elérni.</w:t>
      </w:r>
    </w:p>
    <w:p w14:paraId="72AEB2A5" w14:textId="77777777" w:rsidR="003F5418" w:rsidRDefault="002A6C25">
      <w:pPr>
        <w:spacing w:before="120" w:after="120"/>
        <w:jc w:val="both"/>
        <w:rPr>
          <w:noProof/>
        </w:rPr>
      </w:pPr>
      <w:r>
        <w:rPr>
          <w:noProof/>
        </w:rPr>
        <w:t>Ami a reformokat illeti, a komponens olyan intézkedéscsomagot javasol, amelynek célja elsősorban a vízkészlet-gazdálkodás hatékonyságának jav</w:t>
      </w:r>
      <w:r>
        <w:rPr>
          <w:noProof/>
        </w:rPr>
        <w:t>ítása az ágazat széttöredezettségének csökkentése, megfelelő árképzési politika kialakítása és a szennyvízgazdálkodással kapcsolatos meglévő problémák kezelésére irányuló ösztönzők meghatározása révén. Az e komponenst érintő reformok magukban foglalnak egy</w:t>
      </w:r>
      <w:r>
        <w:rPr>
          <w:noProof/>
        </w:rPr>
        <w:t xml:space="preserve"> sor olyan intézkedést is, amelyek egyszerűsítik a vízügyi infrastruktúrával, valamint a hidrológiai kockázatok kezelésével és csökkentésével kapcsolatos projektek tervezését és végrehajtását.  </w:t>
      </w:r>
    </w:p>
    <w:p w14:paraId="33086BDD" w14:textId="77777777" w:rsidR="003F5418" w:rsidRDefault="002A6C25">
      <w:pPr>
        <w:spacing w:before="120" w:after="120"/>
        <w:jc w:val="both"/>
        <w:rPr>
          <w:noProof/>
        </w:rPr>
      </w:pPr>
      <w:r>
        <w:rPr>
          <w:noProof/>
        </w:rPr>
        <w:t>Az e komponenshez kapcsolódó beruházásoknak hozzá kell járuln</w:t>
      </w:r>
      <w:r>
        <w:rPr>
          <w:noProof/>
        </w:rPr>
        <w:t>iuk az olaszországi hidrogeológiai kockázatok mérsékléséhez és jobb kezeléséhez, mind a megelőzés, mind az alkalmazkodás szempontjából, és a vízzel kapcsolatos infrastruktúra ellenállóbbá tételére kell irányulniuk. Céljuk továbbá a vízkészlet-gazdálkodás j</w:t>
      </w:r>
      <w:r>
        <w:rPr>
          <w:noProof/>
        </w:rPr>
        <w:t>elentős javítása a jobb szennyvízkezelés és a vízszivárgások jelentős csökkentése révén, többek között a mezőgazdasági ágazatban. A beruházásoknak erősíteniük kell ezen ágazatok digitalizációját, és energiahatékonyabbá és az éghajlatváltozáshoz való jobb a</w:t>
      </w:r>
      <w:r>
        <w:rPr>
          <w:noProof/>
        </w:rPr>
        <w:t>lkalmazkodást kell eredményezniük. Ez a komponens magában foglal egy sor olyan intézkedést is, amelyek célja a biológiai sokféleség és a zöld területek megőrzése a 2030-ig tartó időszakra szóló uniós biodiverzitási stratégiával összhangban.</w:t>
      </w:r>
    </w:p>
    <w:p w14:paraId="651EC3F1" w14:textId="77777777" w:rsidR="003F5418" w:rsidRDefault="002A6C25">
      <w:pPr>
        <w:spacing w:before="120" w:after="120"/>
        <w:jc w:val="both"/>
        <w:rPr>
          <w:noProof/>
        </w:rPr>
      </w:pPr>
      <w:r>
        <w:rPr>
          <w:noProof/>
        </w:rPr>
        <w:t xml:space="preserve">Ez a komponens </w:t>
      </w:r>
      <w:r>
        <w:rPr>
          <w:noProof/>
        </w:rPr>
        <w:t>a 2020. évi 3. országspecifikus ajánlás egy részével foglalkozik, amelyben az Európai Unió Tanácsa azt ajánlotta Olaszországnak, hogy hozzon intézkedéseket „A zöld és digitális átállásra, különösen [...] a vízgazdálkodásra, valamint az alapvető szolgáltatá</w:t>
      </w:r>
      <w:r>
        <w:rPr>
          <w:noProof/>
        </w:rPr>
        <w:t>sok nyújtását biztosító megerősített digitális infrastruktúrára irányuló beruházások” érdekében. Foglalkozik továbbá a 2019. évi 3. országspecifikus ajánlás („Az infrastruktúra minőségével kapcsolatos, befektetésekkel kapcsolatos gazdaságpolitika, figyelem</w:t>
      </w:r>
      <w:r>
        <w:rPr>
          <w:noProof/>
        </w:rPr>
        <w:t>be véve a regionális különbségeket. [...] valamint a közigazgatás hatékonyságának javítása [...] a digitalizáció felgyorsítása, valamint a helyi közszolgáltatások hatékonyságának és minőségének javítása révén”).</w:t>
      </w:r>
    </w:p>
    <w:p w14:paraId="684FD967" w14:textId="77777777" w:rsidR="003F5418" w:rsidRDefault="002A6C25">
      <w:pPr>
        <w:spacing w:before="120" w:after="120"/>
        <w:jc w:val="both"/>
        <w:rPr>
          <w:noProof/>
        </w:rPr>
      </w:pPr>
      <w:r>
        <w:rPr>
          <w:noProof/>
        </w:rPr>
        <w:t>A jelentős károkozás elkerülését célzó elvrő</w:t>
      </w:r>
      <w:r>
        <w:rPr>
          <w:noProof/>
        </w:rPr>
        <w:t>l szóló technikai iránymutatásnak (2021/C58/01) megfelelően a helyreállítási és rezilienciaépítési tervben meghatározott intézkedések leírását és a helyreállítási és rezilienciaépítési tervben meghatározott enyhítő lépéseket figyelembe véve ebben a kompone</w:t>
      </w:r>
      <w:r>
        <w:rPr>
          <w:noProof/>
        </w:rPr>
        <w:t>nsben várhatóan egyetlen intézkedés sem sérti jelentős mértékben az (EU) 2020/852 rendelet 17. cikke szerinti környezeti célkitűzéseket.</w:t>
      </w:r>
    </w:p>
    <w:p w14:paraId="5A5430FD"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G.1. </w:t>
      </w:r>
      <w:r>
        <w:rPr>
          <w:noProof/>
        </w:rPr>
        <w:t xml:space="preserve"> </w:t>
      </w:r>
      <w:r>
        <w:rPr>
          <w:b/>
          <w:i w:val="0"/>
          <w:noProof/>
          <w:u w:val="single"/>
        </w:rPr>
        <w:t>Vissza nem térítendő pénzügyi támogatás – a reformok és beruházások ismertetése</w:t>
      </w:r>
    </w:p>
    <w:p w14:paraId="6AE83B51" w14:textId="1AB7F9AC" w:rsidR="003F5418" w:rsidRDefault="00B51A1C">
      <w:pPr>
        <w:pStyle w:val="P68B1DB1-Normal2"/>
        <w:spacing w:before="120" w:after="120" w:line="257" w:lineRule="auto"/>
        <w:jc w:val="both"/>
        <w:rPr>
          <w:noProof/>
        </w:rPr>
      </w:pPr>
      <w:r>
        <w:rPr>
          <w:noProof/>
        </w:rPr>
        <w:t>2</w:t>
      </w:r>
      <w:r w:rsidRPr="00B07E42">
        <w:rPr>
          <w:noProof/>
        </w:rPr>
        <w:t>.1.</w:t>
      </w:r>
      <w:r>
        <w:rPr>
          <w:noProof/>
        </w:rPr>
        <w:t xml:space="preserve"> Reform – A hidrogeológiai instabilitás elleni beavatkozások végrehajtási eljárásainak egyszerűsítése és felgyorsítása </w:t>
      </w:r>
    </w:p>
    <w:p w14:paraId="6A38715C" w14:textId="77777777" w:rsidR="003F5418" w:rsidRDefault="002A6C25">
      <w:pPr>
        <w:spacing w:before="120" w:after="120"/>
        <w:jc w:val="both"/>
        <w:rPr>
          <w:noProof/>
        </w:rPr>
      </w:pPr>
      <w:r>
        <w:rPr>
          <w:noProof/>
        </w:rPr>
        <w:t>E reform célja az olasz Számvevőszék által a hidrogeológiai kockázatok kezelése terén feltárt hiányosságok orvoslása. Ez az e területen megvalósuló projektek végreha</w:t>
      </w:r>
      <w:r>
        <w:rPr>
          <w:noProof/>
        </w:rPr>
        <w:t>jtására vonatkozó eljárások egyszerűsítéséből és felgyorsításából áll, beleértve az egyes szakaszokra vonatkozó maximális határidők megállapítását is; a beavatkozások rangsorolása a nemzeti kockázatértékeléssel és az 1313/2013/EU határozat 6. cikkével, a k</w:t>
      </w:r>
      <w:r>
        <w:rPr>
          <w:noProof/>
        </w:rPr>
        <w:t>ockázatkezelési képesség értékelésével és a jelentős károkozás elkerülését célzó elvvel összhangban; terv kidolgozása az e projektek végrehajtásáért felelős szervek igazgatási kapacitásának növelésére, valamint a különböző érintett kormányzati szintek közö</w:t>
      </w:r>
      <w:r>
        <w:rPr>
          <w:noProof/>
        </w:rPr>
        <w:t>tti koordináció megerősítésére, többek között az információáramlás észszerűsítése révén.</w:t>
      </w:r>
    </w:p>
    <w:p w14:paraId="1261B5A9" w14:textId="59E80F81" w:rsidR="003F5418" w:rsidRDefault="00B51A1C">
      <w:pPr>
        <w:pStyle w:val="P68B1DB1-Normal2"/>
        <w:spacing w:before="120" w:after="120" w:line="257" w:lineRule="auto"/>
        <w:jc w:val="both"/>
        <w:rPr>
          <w:noProof/>
        </w:rPr>
      </w:pPr>
      <w:r>
        <w:rPr>
          <w:noProof/>
        </w:rPr>
        <w:t>2</w:t>
      </w:r>
      <w:r w:rsidRPr="00B07E42">
        <w:rPr>
          <w:noProof/>
        </w:rPr>
        <w:t>.</w:t>
      </w:r>
      <w:r>
        <w:rPr>
          <w:noProof/>
        </w:rPr>
        <w:t xml:space="preserve"> Reform – A jobb vízgazdálkodást és a fenntartható vízhasználatot célzó jogi keret reformja </w:t>
      </w:r>
    </w:p>
    <w:p w14:paraId="4982C2B3" w14:textId="77777777" w:rsidR="003F5418" w:rsidRDefault="002A6C25">
      <w:pPr>
        <w:spacing w:before="120" w:after="120"/>
        <w:jc w:val="both"/>
        <w:rPr>
          <w:noProof/>
        </w:rPr>
      </w:pPr>
      <w:r>
        <w:rPr>
          <w:noProof/>
        </w:rPr>
        <w:t>E reform célja az olaszországi vízügyi ágazat hosszú távú problémáinak k</w:t>
      </w:r>
      <w:r>
        <w:rPr>
          <w:noProof/>
        </w:rPr>
        <w:t>ezelése, amelyek a 91/271/EGK tanácsi irányelvnek való meg nem felelés miatt folyamatban lévő számos kötelezettségszegési eljárásban, az ágazat túlzott széttöredezettségében, valamint a megfelelő ösztönzők és árképzési politikák hiányában tükröződnek. A te</w:t>
      </w:r>
      <w:r>
        <w:rPr>
          <w:noProof/>
        </w:rPr>
        <w:t xml:space="preserve">rvezett intézkedések várhatóan jelentősen csökkentik az ágazat széttagoltságát azáltal, hogy csökkentik az üzemeltetők számát és ösztönzik a méretgazdaságosságot, ösztönzőket vezetnek be a vízszivárgások és a mezőgazdasági ágazat túlzott vízfogyasztásának </w:t>
      </w:r>
      <w:r>
        <w:rPr>
          <w:noProof/>
        </w:rPr>
        <w:t xml:space="preserve">csökkentésére, valamint megfelelő árképzési politikákat alakítanak ki a fenntarthatóbb vízfogyasztás érdekében. </w:t>
      </w:r>
    </w:p>
    <w:p w14:paraId="3874309C" w14:textId="77777777" w:rsidR="003F5418" w:rsidRDefault="002A6C25">
      <w:pPr>
        <w:spacing w:before="120" w:after="120"/>
        <w:jc w:val="both"/>
        <w:rPr>
          <w:noProof/>
        </w:rPr>
      </w:pPr>
      <w:r>
        <w:rPr>
          <w:noProof/>
        </w:rPr>
        <w:t xml:space="preserve">Egyetértési megállapodásokat kell aláírni Campania, Calabria, Molise és Szicília régiókkal a vízszolgáltatást nyújtó szolgáltatók számának </w:t>
      </w:r>
      <w:r>
        <w:rPr>
          <w:noProof/>
        </w:rPr>
        <w:t>széttagoltsága csökkentése érdekében. Az egyetértési megállapodás célkitűzéseket határoz meg a helyi önkormányzati szervek létrehozása, a gazdasági szereplők számának csökkentése és a méretgazdaságosság elérése tekintetében azzal a céllal, hogy az egyetért</w:t>
      </w:r>
      <w:r>
        <w:rPr>
          <w:noProof/>
        </w:rPr>
        <w:t>ési megállapodás aláírását követő két éven belül legalább</w:t>
      </w:r>
      <w:r>
        <w:rPr>
          <w:noProof/>
          <w:color w:val="006100"/>
          <w:sz w:val="20"/>
        </w:rPr>
        <w:t xml:space="preserve"> </w:t>
      </w:r>
      <w:r>
        <w:rPr>
          <w:noProof/>
        </w:rPr>
        <w:t xml:space="preserve">40000 lakosonként egyetlen gazdasági szereplő legyen.   </w:t>
      </w:r>
    </w:p>
    <w:p w14:paraId="5C799382" w14:textId="5FEFD235" w:rsidR="003F5418" w:rsidRDefault="00B51A1C">
      <w:pPr>
        <w:pStyle w:val="P68B1DB1-Normal2"/>
        <w:spacing w:before="120" w:after="120" w:line="257" w:lineRule="auto"/>
        <w:jc w:val="both"/>
        <w:rPr>
          <w:noProof/>
        </w:rPr>
      </w:pPr>
      <w:r w:rsidRPr="00B07E42">
        <w:rPr>
          <w:noProof/>
        </w:rPr>
        <w:t>4.</w:t>
      </w:r>
      <w:r>
        <w:rPr>
          <w:noProof/>
        </w:rPr>
        <w:t>2</w:t>
      </w:r>
      <w:r w:rsidRPr="00B07E42">
        <w:rPr>
          <w:noProof/>
        </w:rPr>
        <w:t>.</w:t>
      </w:r>
      <w:r>
        <w:rPr>
          <w:noProof/>
        </w:rPr>
        <w:t xml:space="preserve"> Reform: „Az integrált vízszolgáltatások teljes irányítási kapacitásának biztosítását célzó intézkedések”</w:t>
      </w:r>
    </w:p>
    <w:p w14:paraId="3F1CBCF7" w14:textId="77777777" w:rsidR="003F5418" w:rsidRDefault="002A6C25">
      <w:pPr>
        <w:spacing w:before="120" w:after="120"/>
        <w:jc w:val="both"/>
        <w:rPr>
          <w:noProof/>
        </w:rPr>
      </w:pPr>
      <w:r>
        <w:rPr>
          <w:noProof/>
        </w:rPr>
        <w:t>E reform célja a vízkészlet-gaz</w:t>
      </w:r>
      <w:r>
        <w:rPr>
          <w:noProof/>
        </w:rPr>
        <w:t xml:space="preserve">dálkodással kapcsolatos főbb problémák kezelése és a rendszer hatékonyabbá tétele. </w:t>
      </w:r>
    </w:p>
    <w:p w14:paraId="4C8A284C" w14:textId="77777777" w:rsidR="003F5418" w:rsidRDefault="002A6C25">
      <w:pPr>
        <w:spacing w:before="120" w:after="120"/>
        <w:jc w:val="both"/>
        <w:rPr>
          <w:noProof/>
        </w:rPr>
      </w:pPr>
      <w:r>
        <w:rPr>
          <w:noProof/>
        </w:rPr>
        <w:t>A rendszer várhatóan csökkenteni fogja az üzemeltetők számának jelenlegi széttagoltságát, ami jelenleg az ország egyes részein akadályozza a vízkészletek hatékony felhaszná</w:t>
      </w:r>
      <w:r>
        <w:rPr>
          <w:noProof/>
        </w:rPr>
        <w:t>lását. A reform várhatóan megfelelő ösztönzőket teremt a vízkészletek mezőgazdasági ágazatban történő jobb kihasználásához, az illegális vízkitermelésre vonatkozó szankciórendszert vezet be, valamint olyan árrendszert vezet be, amely jobban tükrözi a „szen</w:t>
      </w:r>
      <w:r>
        <w:rPr>
          <w:noProof/>
        </w:rPr>
        <w:t>nyező fizet” elvet, ugyanakkor elkerüli a meglévő öntözőrendszerek bővítését. Az intézkedéseket azokkal a régiókkal együttműködésben kell elfogadni, ahol a vízkészletekkel való gazdálkodás jelenleg nagyobb problémát jelent.</w:t>
      </w:r>
    </w:p>
    <w:p w14:paraId="6B38B9E8" w14:textId="06D9CE9C" w:rsidR="003F5418" w:rsidRDefault="00B51A1C">
      <w:pPr>
        <w:pStyle w:val="P68B1DB1-Normal2"/>
        <w:spacing w:before="120" w:after="120" w:line="257" w:lineRule="auto"/>
        <w:jc w:val="both"/>
        <w:rPr>
          <w:noProof/>
        </w:rPr>
      </w:pPr>
      <w:r>
        <w:rPr>
          <w:noProof/>
        </w:rPr>
        <w:t>3</w:t>
      </w:r>
      <w:r w:rsidRPr="00B07E42">
        <w:rPr>
          <w:noProof/>
        </w:rPr>
        <w:t>.</w:t>
      </w:r>
      <w:r>
        <w:rPr>
          <w:noProof/>
        </w:rPr>
        <w:t>2</w:t>
      </w:r>
      <w:r w:rsidRPr="00B07E42">
        <w:rPr>
          <w:noProof/>
        </w:rPr>
        <w:t>.</w:t>
      </w:r>
      <w:r>
        <w:rPr>
          <w:noProof/>
        </w:rPr>
        <w:t xml:space="preserve"> Beruházás – Nemzeti parkok és védett tengeri területek digitalizálása</w:t>
      </w:r>
    </w:p>
    <w:p w14:paraId="7A40F25D" w14:textId="77777777" w:rsidR="003F5418" w:rsidRDefault="002A6C25">
      <w:pPr>
        <w:spacing w:before="120" w:after="120"/>
        <w:jc w:val="both"/>
        <w:rPr>
          <w:noProof/>
        </w:rPr>
      </w:pPr>
      <w:r>
        <w:rPr>
          <w:noProof/>
        </w:rPr>
        <w:t xml:space="preserve">Ez az intézkedés szabványosított és digitalizált eljárásokat határoz meg a védett területek korszerűsítésére, hatékonyságára és hatékony működésére vonatkozóan annak különböző dimenziói tekintetében, mint például </w:t>
      </w:r>
      <w:r>
        <w:rPr>
          <w:noProof/>
        </w:rPr>
        <w:t>a természetvédelem, az eljárások és a nemzeti parkok és védett tengeri területek látogatói számára nyújtott szolgáltatások adminisztratív egyszerűsítése. A beavatkozást követően a természeti erőforrások nyomon követése várhatóan javulni fog annak érdekében</w:t>
      </w:r>
      <w:r>
        <w:rPr>
          <w:noProof/>
        </w:rPr>
        <w:t>, hogy a biológiai sokféleség védelme érdekében szükség esetén meg lehessen tenni a szükséges megelőző és korrekciós intézkedéseket. Emellett várhatóan jobb szolgáltatásokat és a biológiai sokféleséggel kapcsolatos tudatosságot is eredményez majd a nemzeti</w:t>
      </w:r>
      <w:r>
        <w:rPr>
          <w:noProof/>
        </w:rPr>
        <w:t xml:space="preserve"> parkok és védett tengeri területek látogatói számára a fenntarthatóbb turizmus és a természeti erőforrások felelősségteljes felhasználása érdekében.</w:t>
      </w:r>
    </w:p>
    <w:p w14:paraId="289EC802" w14:textId="77777777" w:rsidR="003F5418" w:rsidRDefault="002A6C25">
      <w:pPr>
        <w:pStyle w:val="Heading3"/>
        <w:numPr>
          <w:ilvl w:val="0"/>
          <w:numId w:val="0"/>
        </w:numPr>
        <w:ind w:left="850" w:hanging="850"/>
        <w:rPr>
          <w:b/>
          <w:i w:val="0"/>
          <w:noProof/>
          <w:u w:val="single"/>
        </w:rPr>
      </w:pPr>
      <w:r>
        <w:rPr>
          <w:b/>
          <w:i w:val="0"/>
          <w:noProof/>
          <w:u w:val="single"/>
        </w:rPr>
        <w:t xml:space="preserve">G.2. </w:t>
      </w:r>
      <w:r>
        <w:rPr>
          <w:noProof/>
        </w:rPr>
        <w:t xml:space="preserve"> </w:t>
      </w:r>
      <w:r>
        <w:rPr>
          <w:b/>
          <w:i w:val="0"/>
          <w:noProof/>
          <w:u w:val="single"/>
        </w:rPr>
        <w:t>Vissza nem térítendő pénzügyi támogatás – a végrehajtáshoz és a nyomon követéshez kapcsolódó mérföld</w:t>
      </w:r>
      <w:r>
        <w:rPr>
          <w:b/>
          <w:i w:val="0"/>
          <w:noProof/>
          <w:u w:val="single"/>
        </w:rPr>
        <w:t>kövek, célok, mutatók és ütemterv</w:t>
      </w:r>
    </w:p>
    <w:p w14:paraId="6E6BAFB1" w14:textId="77777777" w:rsidR="003F5418" w:rsidRDefault="003F5418">
      <w:pPr>
        <w:spacing w:before="120" w:after="120"/>
        <w:ind w:left="709"/>
        <w:jc w:val="both"/>
        <w:rPr>
          <w:noProof/>
        </w:rPr>
        <w:sectPr w:rsidR="003F5418">
          <w:headerReference w:type="even" r:id="rId188"/>
          <w:headerReference w:type="default" r:id="rId189"/>
          <w:footerReference w:type="even" r:id="rId190"/>
          <w:footerReference w:type="default" r:id="rId191"/>
          <w:headerReference w:type="first" r:id="rId192"/>
          <w:footerReference w:type="first" r:id="rId193"/>
          <w:pgSz w:w="11907" w:h="16839"/>
          <w:pgMar w:top="1440" w:right="1440" w:bottom="1440" w:left="1440" w:header="567" w:footer="567" w:gutter="0"/>
          <w:cols w:space="720"/>
          <w:docGrid w:linePitch="360"/>
        </w:sectPr>
      </w:pPr>
    </w:p>
    <w:tbl>
      <w:tblPr>
        <w:tblW w:w="14560" w:type="dxa"/>
        <w:jc w:val="center"/>
        <w:tblLook w:val="04A0" w:firstRow="1" w:lastRow="0" w:firstColumn="1" w:lastColumn="0" w:noHBand="0" w:noVBand="1"/>
      </w:tblPr>
      <w:tblGrid>
        <w:gridCol w:w="1318"/>
        <w:gridCol w:w="1462"/>
        <w:gridCol w:w="1247"/>
        <w:gridCol w:w="1549"/>
        <w:gridCol w:w="1383"/>
        <w:gridCol w:w="1379"/>
        <w:gridCol w:w="1026"/>
        <w:gridCol w:w="714"/>
        <w:gridCol w:w="971"/>
        <w:gridCol w:w="779"/>
        <w:gridCol w:w="2732"/>
      </w:tblGrid>
      <w:tr w:rsidR="003F5418" w14:paraId="186666D3" w14:textId="77777777">
        <w:trPr>
          <w:trHeight w:val="927"/>
          <w:tblHeade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44017A2" w14:textId="77777777" w:rsidR="003F5418" w:rsidRDefault="002A6C25">
            <w:pPr>
              <w:pStyle w:val="P68B1DB1-Normal3"/>
              <w:jc w:val="center"/>
              <w:rPr>
                <w:noProof/>
              </w:rPr>
            </w:pPr>
            <w:r>
              <w:rPr>
                <w:noProof/>
              </w:rPr>
              <w:t>Sorszám</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D75EEC" w14:textId="77777777" w:rsidR="003F5418" w:rsidRDefault="002A6C25">
            <w:pPr>
              <w:pStyle w:val="P68B1DB1-Normal3"/>
              <w:jc w:val="center"/>
              <w:rPr>
                <w:noProof/>
              </w:rPr>
            </w:pPr>
            <w:r>
              <w:rPr>
                <w:noProof/>
              </w:rPr>
              <w:t>Kapcsolódó intézkedés (reform vagy beruházás)</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66138A1" w14:textId="77777777" w:rsidR="003F5418" w:rsidRDefault="002A6C25">
            <w:pPr>
              <w:pStyle w:val="P68B1DB1-Normal3"/>
              <w:jc w:val="center"/>
              <w:rPr>
                <w:noProof/>
              </w:rPr>
            </w:pPr>
            <w:r>
              <w:rPr>
                <w:noProof/>
              </w:rPr>
              <w:t>Mérföldkő/cél</w:t>
            </w:r>
          </w:p>
        </w:tc>
        <w:tc>
          <w:tcPr>
            <w:tcW w:w="1460" w:type="dxa"/>
            <w:vMerge w:val="restart"/>
            <w:tcBorders>
              <w:top w:val="single" w:sz="4" w:space="0" w:color="auto"/>
              <w:left w:val="nil"/>
              <w:bottom w:val="single" w:sz="4" w:space="0" w:color="auto"/>
              <w:right w:val="single" w:sz="4" w:space="0" w:color="auto"/>
            </w:tcBorders>
            <w:shd w:val="clear" w:color="auto" w:fill="BDD7EE"/>
            <w:vAlign w:val="center"/>
            <w:hideMark/>
          </w:tcPr>
          <w:p w14:paraId="0AC681D6" w14:textId="77777777" w:rsidR="003F5418" w:rsidRDefault="002A6C25">
            <w:pPr>
              <w:pStyle w:val="P68B1DB1-Normal3"/>
              <w:jc w:val="center"/>
              <w:rPr>
                <w:noProof/>
              </w:rPr>
            </w:pPr>
            <w:r>
              <w:rPr>
                <w:noProof/>
              </w:rPr>
              <w:t>Név</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C6FA044"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176" w:type="dxa"/>
            <w:gridSpan w:val="3"/>
            <w:tcBorders>
              <w:top w:val="single" w:sz="4" w:space="0" w:color="auto"/>
              <w:left w:val="nil"/>
              <w:bottom w:val="single" w:sz="4" w:space="0" w:color="auto"/>
              <w:right w:val="single" w:sz="4" w:space="0" w:color="auto"/>
            </w:tcBorders>
            <w:shd w:val="clear" w:color="auto" w:fill="BDD7EE"/>
            <w:vAlign w:val="center"/>
            <w:hideMark/>
          </w:tcPr>
          <w:p w14:paraId="61645360"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603" w:type="dxa"/>
            <w:gridSpan w:val="2"/>
            <w:tcBorders>
              <w:top w:val="single" w:sz="4" w:space="0" w:color="auto"/>
              <w:left w:val="nil"/>
              <w:bottom w:val="single" w:sz="4" w:space="0" w:color="auto"/>
              <w:right w:val="single" w:sz="4" w:space="0" w:color="auto"/>
            </w:tcBorders>
            <w:shd w:val="clear" w:color="auto" w:fill="BDD7EE"/>
            <w:vAlign w:val="center"/>
            <w:hideMark/>
          </w:tcPr>
          <w:p w14:paraId="60DF81AF" w14:textId="77777777" w:rsidR="003F5418" w:rsidRDefault="002A6C25">
            <w:pPr>
              <w:pStyle w:val="P68B1DB1-Normal3"/>
              <w:jc w:val="center"/>
              <w:rPr>
                <w:noProof/>
              </w:rPr>
            </w:pPr>
            <w:r>
              <w:rPr>
                <w:noProof/>
              </w:rPr>
              <w:t xml:space="preserve">A végrehajtás </w:t>
            </w:r>
            <w:r>
              <w:rPr>
                <w:noProof/>
              </w:rPr>
              <w:t>indikatív ütemterve</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97F016B" w14:textId="77777777" w:rsidR="003F5418" w:rsidRDefault="002A6C25">
            <w:pPr>
              <w:pStyle w:val="P68B1DB1-Normal3"/>
              <w:jc w:val="center"/>
              <w:rPr>
                <w:noProof/>
              </w:rPr>
            </w:pPr>
            <w:r>
              <w:rPr>
                <w:noProof/>
              </w:rPr>
              <w:t>Az egyes mérföldkövek és célértékek leírása</w:t>
            </w:r>
          </w:p>
        </w:tc>
      </w:tr>
      <w:tr w:rsidR="003F5418" w14:paraId="60814979" w14:textId="77777777">
        <w:trPr>
          <w:trHeight w:val="1013"/>
          <w:tblHeade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14:paraId="2B83775C" w14:textId="77777777" w:rsidR="003F5418" w:rsidRDefault="003F5418">
            <w:pPr>
              <w:jc w:val="center"/>
              <w:rPr>
                <w:rFonts w:ascii="Arial Narrow" w:hAnsi="Arial Narrow"/>
                <w:b/>
                <w:noProof/>
                <w:sz w:val="20"/>
              </w:rPr>
            </w:pPr>
          </w:p>
        </w:tc>
        <w:tc>
          <w:tcPr>
            <w:tcW w:w="1495" w:type="dxa"/>
            <w:vMerge/>
            <w:tcBorders>
              <w:left w:val="single" w:sz="4" w:space="0" w:color="auto"/>
              <w:right w:val="single" w:sz="4" w:space="0" w:color="auto"/>
            </w:tcBorders>
            <w:vAlign w:val="center"/>
            <w:hideMark/>
          </w:tcPr>
          <w:p w14:paraId="6D86BB91" w14:textId="77777777" w:rsidR="003F5418" w:rsidRDefault="003F5418">
            <w:pPr>
              <w:jc w:val="center"/>
              <w:rPr>
                <w:rFonts w:ascii="Arial Narrow" w:hAnsi="Arial Narrow"/>
                <w:b/>
                <w:noProof/>
                <w:sz w:val="20"/>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64D69DE3" w14:textId="77777777" w:rsidR="003F5418" w:rsidRDefault="003F5418">
            <w:pPr>
              <w:jc w:val="center"/>
              <w:rPr>
                <w:rFonts w:ascii="Arial Narrow" w:hAnsi="Arial Narrow"/>
                <w:b/>
                <w:noProof/>
                <w:sz w:val="20"/>
              </w:rPr>
            </w:pPr>
          </w:p>
        </w:tc>
        <w:tc>
          <w:tcPr>
            <w:tcW w:w="1460" w:type="dxa"/>
            <w:vMerge/>
            <w:tcBorders>
              <w:left w:val="single" w:sz="4" w:space="0" w:color="auto"/>
              <w:right w:val="single" w:sz="4" w:space="0" w:color="auto"/>
            </w:tcBorders>
            <w:vAlign w:val="center"/>
            <w:hideMark/>
          </w:tcPr>
          <w:p w14:paraId="1874032E" w14:textId="77777777" w:rsidR="003F5418" w:rsidRDefault="003F5418">
            <w:pPr>
              <w:jc w:val="center"/>
              <w:rPr>
                <w:rFonts w:ascii="Arial Narrow" w:hAnsi="Arial Narrow"/>
                <w:b/>
                <w:noProof/>
                <w:sz w:val="20"/>
              </w:rPr>
            </w:pPr>
          </w:p>
        </w:tc>
        <w:tc>
          <w:tcPr>
            <w:tcW w:w="1414" w:type="dxa"/>
            <w:vMerge/>
            <w:tcBorders>
              <w:top w:val="single" w:sz="4" w:space="0" w:color="auto"/>
              <w:left w:val="single" w:sz="4" w:space="0" w:color="auto"/>
              <w:bottom w:val="single" w:sz="4" w:space="0" w:color="auto"/>
            </w:tcBorders>
            <w:vAlign w:val="center"/>
            <w:hideMark/>
          </w:tcPr>
          <w:p w14:paraId="35AABCE6" w14:textId="77777777" w:rsidR="003F5418" w:rsidRDefault="003F5418">
            <w:pPr>
              <w:jc w:val="center"/>
              <w:rPr>
                <w:rFonts w:ascii="Arial Narrow" w:hAnsi="Arial Narrow"/>
                <w:b/>
                <w:noProof/>
                <w:sz w:val="20"/>
              </w:rPr>
            </w:pPr>
          </w:p>
        </w:tc>
        <w:tc>
          <w:tcPr>
            <w:tcW w:w="1410" w:type="dxa"/>
            <w:tcBorders>
              <w:top w:val="nil"/>
              <w:left w:val="single" w:sz="4" w:space="0" w:color="auto"/>
              <w:bottom w:val="single" w:sz="4" w:space="0" w:color="auto"/>
              <w:right w:val="single" w:sz="4" w:space="0" w:color="auto"/>
            </w:tcBorders>
            <w:shd w:val="clear" w:color="auto" w:fill="BDD7EE"/>
            <w:vAlign w:val="center"/>
            <w:hideMark/>
          </w:tcPr>
          <w:p w14:paraId="721D9E71" w14:textId="77777777" w:rsidR="003F5418" w:rsidRDefault="002A6C25">
            <w:pPr>
              <w:pStyle w:val="P68B1DB1-Normal3"/>
              <w:jc w:val="center"/>
              <w:rPr>
                <w:noProof/>
              </w:rPr>
            </w:pPr>
            <w:r>
              <w:rPr>
                <w:noProof/>
              </w:rPr>
              <w:t>Mértékegység</w:t>
            </w:r>
          </w:p>
        </w:tc>
        <w:tc>
          <w:tcPr>
            <w:tcW w:w="1047" w:type="dxa"/>
            <w:tcBorders>
              <w:top w:val="nil"/>
              <w:left w:val="nil"/>
              <w:bottom w:val="single" w:sz="4" w:space="0" w:color="auto"/>
              <w:right w:val="single" w:sz="4" w:space="0" w:color="auto"/>
            </w:tcBorders>
            <w:shd w:val="clear" w:color="auto" w:fill="BDD7EE"/>
            <w:vAlign w:val="center"/>
            <w:hideMark/>
          </w:tcPr>
          <w:p w14:paraId="75543B8D" w14:textId="77777777" w:rsidR="003F5418" w:rsidRDefault="002A6C25">
            <w:pPr>
              <w:pStyle w:val="P68B1DB1-Normal3"/>
              <w:jc w:val="center"/>
              <w:rPr>
                <w:noProof/>
              </w:rPr>
            </w:pPr>
            <w:r>
              <w:rPr>
                <w:noProof/>
              </w:rPr>
              <w:t>Kiindulási</w:t>
            </w:r>
          </w:p>
        </w:tc>
        <w:tc>
          <w:tcPr>
            <w:tcW w:w="719" w:type="dxa"/>
            <w:tcBorders>
              <w:top w:val="nil"/>
              <w:left w:val="nil"/>
              <w:bottom w:val="single" w:sz="4" w:space="0" w:color="auto"/>
              <w:right w:val="single" w:sz="4" w:space="0" w:color="auto"/>
            </w:tcBorders>
            <w:shd w:val="clear" w:color="auto" w:fill="BDD7EE"/>
            <w:vAlign w:val="center"/>
            <w:hideMark/>
          </w:tcPr>
          <w:p w14:paraId="3B7D7CA5" w14:textId="77777777" w:rsidR="003F5418" w:rsidRDefault="002A6C25">
            <w:pPr>
              <w:pStyle w:val="P68B1DB1-Normal3"/>
              <w:jc w:val="center"/>
              <w:rPr>
                <w:noProof/>
              </w:rPr>
            </w:pPr>
            <w:r>
              <w:rPr>
                <w:noProof/>
              </w:rPr>
              <w:t>Cél</w:t>
            </w:r>
          </w:p>
        </w:tc>
        <w:tc>
          <w:tcPr>
            <w:tcW w:w="809" w:type="dxa"/>
            <w:tcBorders>
              <w:top w:val="nil"/>
              <w:left w:val="nil"/>
              <w:bottom w:val="single" w:sz="4" w:space="0" w:color="auto"/>
              <w:right w:val="single" w:sz="4" w:space="0" w:color="auto"/>
            </w:tcBorders>
            <w:shd w:val="clear" w:color="auto" w:fill="BDD7EE"/>
            <w:vAlign w:val="center"/>
            <w:hideMark/>
          </w:tcPr>
          <w:p w14:paraId="5823997C" w14:textId="77777777" w:rsidR="003F5418" w:rsidRDefault="002A6C25">
            <w:pPr>
              <w:pStyle w:val="P68B1DB1-Normal3"/>
              <w:jc w:val="center"/>
              <w:rPr>
                <w:noProof/>
              </w:rPr>
            </w:pPr>
            <w:r>
              <w:rPr>
                <w:noProof/>
              </w:rPr>
              <w:t>Negyedév</w:t>
            </w:r>
          </w:p>
        </w:tc>
        <w:tc>
          <w:tcPr>
            <w:tcW w:w="794" w:type="dxa"/>
            <w:tcBorders>
              <w:top w:val="nil"/>
              <w:left w:val="nil"/>
              <w:bottom w:val="single" w:sz="4" w:space="0" w:color="auto"/>
              <w:right w:val="single" w:sz="4" w:space="0" w:color="auto"/>
            </w:tcBorders>
            <w:shd w:val="clear" w:color="auto" w:fill="BDD7EE"/>
            <w:vAlign w:val="center"/>
            <w:hideMark/>
          </w:tcPr>
          <w:p w14:paraId="68C41830" w14:textId="77777777" w:rsidR="003F5418" w:rsidRDefault="002A6C25">
            <w:pPr>
              <w:pStyle w:val="P68B1DB1-Normal3"/>
              <w:jc w:val="center"/>
              <w:rPr>
                <w:noProof/>
              </w:rPr>
            </w:pPr>
            <w:r>
              <w:rPr>
                <w:noProof/>
              </w:rPr>
              <w:t>Éve</w:t>
            </w:r>
          </w:p>
        </w:tc>
        <w:tc>
          <w:tcPr>
            <w:tcW w:w="2799" w:type="dxa"/>
            <w:vMerge/>
            <w:tcBorders>
              <w:top w:val="single" w:sz="4" w:space="0" w:color="auto"/>
              <w:bottom w:val="single" w:sz="4" w:space="0" w:color="auto"/>
              <w:right w:val="single" w:sz="4" w:space="0" w:color="auto"/>
            </w:tcBorders>
            <w:vAlign w:val="center"/>
            <w:hideMark/>
          </w:tcPr>
          <w:p w14:paraId="45E0EA17" w14:textId="77777777" w:rsidR="003F5418" w:rsidRDefault="003F5418">
            <w:pPr>
              <w:rPr>
                <w:rFonts w:ascii="Arial Narrow" w:hAnsi="Arial Narrow"/>
                <w:b/>
                <w:noProof/>
                <w:sz w:val="20"/>
              </w:rPr>
            </w:pPr>
          </w:p>
        </w:tc>
      </w:tr>
      <w:tr w:rsidR="003F5418" w14:paraId="1D1EF03D" w14:textId="77777777">
        <w:trPr>
          <w:trHeight w:val="170"/>
          <w:jc w:val="center"/>
        </w:trPr>
        <w:tc>
          <w:tcPr>
            <w:tcW w:w="1347"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AEC8DFB" w14:textId="77777777" w:rsidR="003F5418" w:rsidRDefault="002A6C25">
            <w:pPr>
              <w:pStyle w:val="P68B1DB1-Normal4"/>
              <w:spacing w:line="276" w:lineRule="auto"/>
              <w:jc w:val="center"/>
              <w:rPr>
                <w:noProof/>
              </w:rPr>
            </w:pPr>
            <w:r>
              <w:rPr>
                <w:noProof/>
              </w:rPr>
              <w:t>M2C4–1</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00FCD05" w14:textId="77777777" w:rsidR="003F5418" w:rsidRDefault="002A6C25">
            <w:pPr>
              <w:pStyle w:val="P68B1DB1-Normal4"/>
              <w:spacing w:line="276" w:lineRule="auto"/>
              <w:jc w:val="center"/>
              <w:rPr>
                <w:noProof/>
              </w:rPr>
            </w:pPr>
            <w:r>
              <w:rPr>
                <w:noProof/>
              </w:rPr>
              <w:t>Reform: A hidrogeológiai instabilitás elleni beavatkozások végrehajtási eljárásainak egyszerűsítése és felgyorsítása</w:t>
            </w:r>
          </w:p>
        </w:tc>
        <w:tc>
          <w:tcPr>
            <w:tcW w:w="1266" w:type="dxa"/>
            <w:tcBorders>
              <w:top w:val="single" w:sz="4" w:space="0" w:color="auto"/>
              <w:left w:val="nil"/>
              <w:bottom w:val="single" w:sz="4" w:space="0" w:color="auto"/>
              <w:right w:val="single" w:sz="4" w:space="0" w:color="auto"/>
            </w:tcBorders>
            <w:shd w:val="clear" w:color="auto" w:fill="C6EFCE"/>
            <w:noWrap/>
            <w:vAlign w:val="center"/>
            <w:hideMark/>
          </w:tcPr>
          <w:p w14:paraId="393915CE" w14:textId="77777777" w:rsidR="003F5418" w:rsidRDefault="002A6C25">
            <w:pPr>
              <w:pStyle w:val="P68B1DB1-Normal4"/>
              <w:spacing w:line="276" w:lineRule="auto"/>
              <w:jc w:val="center"/>
              <w:rPr>
                <w:noProof/>
              </w:rPr>
            </w:pPr>
            <w:r>
              <w:rPr>
                <w:noProof/>
              </w:rPr>
              <w:t>Mérföldkő</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5E064345" w14:textId="77777777" w:rsidR="003F5418" w:rsidRDefault="002A6C25">
            <w:pPr>
              <w:pStyle w:val="P68B1DB1-Normal4"/>
              <w:spacing w:line="276" w:lineRule="auto"/>
              <w:jc w:val="center"/>
              <w:rPr>
                <w:noProof/>
              </w:rPr>
            </w:pPr>
            <w:r>
              <w:rPr>
                <w:noProof/>
              </w:rPr>
              <w:t>A hidrológiai kockázatok jobb kezelését célzó jogi keret egyszerűsítésének hatálybalépése</w:t>
            </w:r>
          </w:p>
        </w:tc>
        <w:tc>
          <w:tcPr>
            <w:tcW w:w="1414" w:type="dxa"/>
            <w:tcBorders>
              <w:top w:val="single" w:sz="4" w:space="0" w:color="auto"/>
              <w:left w:val="nil"/>
              <w:bottom w:val="single" w:sz="4" w:space="0" w:color="auto"/>
              <w:right w:val="single" w:sz="4" w:space="0" w:color="auto"/>
            </w:tcBorders>
            <w:shd w:val="clear" w:color="auto" w:fill="C6EFCE"/>
            <w:noWrap/>
            <w:vAlign w:val="center"/>
            <w:hideMark/>
          </w:tcPr>
          <w:p w14:paraId="314F9A30" w14:textId="77777777" w:rsidR="003F5418" w:rsidRDefault="002A6C25">
            <w:pPr>
              <w:pStyle w:val="P68B1DB1-Normal4"/>
              <w:spacing w:line="276" w:lineRule="auto"/>
              <w:jc w:val="center"/>
              <w:rPr>
                <w:noProof/>
              </w:rPr>
            </w:pPr>
            <w:r>
              <w:rPr>
                <w:noProof/>
              </w:rPr>
              <w:t xml:space="preserve">A </w:t>
            </w:r>
            <w:r>
              <w:rPr>
                <w:noProof/>
              </w:rPr>
              <w:t>vonatkozó jogi aktus(ok)ban szereplő, a hatálybalépést feltüntető rendelkezés</w:t>
            </w:r>
          </w:p>
        </w:tc>
        <w:tc>
          <w:tcPr>
            <w:tcW w:w="1410" w:type="dxa"/>
            <w:tcBorders>
              <w:top w:val="nil"/>
              <w:left w:val="nil"/>
              <w:bottom w:val="single" w:sz="4" w:space="0" w:color="auto"/>
              <w:right w:val="single" w:sz="4" w:space="0" w:color="auto"/>
            </w:tcBorders>
            <w:shd w:val="clear" w:color="auto" w:fill="C6EFCE"/>
            <w:noWrap/>
            <w:vAlign w:val="center"/>
            <w:hideMark/>
          </w:tcPr>
          <w:p w14:paraId="55DB0166" w14:textId="77777777" w:rsidR="003F5418" w:rsidRDefault="002A6C25">
            <w:pPr>
              <w:pStyle w:val="P68B1DB1-Normal4"/>
              <w:spacing w:line="276" w:lineRule="auto"/>
              <w:jc w:val="center"/>
              <w:rPr>
                <w:noProof/>
              </w:rPr>
            </w:pPr>
            <w:r>
              <w:rPr>
                <w:noProof/>
              </w:rPr>
              <w:t>NINCS</w:t>
            </w:r>
          </w:p>
        </w:tc>
        <w:tc>
          <w:tcPr>
            <w:tcW w:w="1047" w:type="dxa"/>
            <w:tcBorders>
              <w:top w:val="nil"/>
              <w:left w:val="nil"/>
              <w:bottom w:val="single" w:sz="4" w:space="0" w:color="auto"/>
              <w:right w:val="single" w:sz="4" w:space="0" w:color="auto"/>
            </w:tcBorders>
            <w:shd w:val="clear" w:color="auto" w:fill="C6EFCE"/>
            <w:noWrap/>
            <w:vAlign w:val="center"/>
            <w:hideMark/>
          </w:tcPr>
          <w:p w14:paraId="4DD1775A" w14:textId="77777777" w:rsidR="003F5418" w:rsidRDefault="002A6C25">
            <w:pPr>
              <w:pStyle w:val="P68B1DB1-Normal4"/>
              <w:spacing w:line="276" w:lineRule="auto"/>
              <w:jc w:val="center"/>
              <w:rPr>
                <w:noProof/>
              </w:rPr>
            </w:pPr>
            <w:r>
              <w:rPr>
                <w:noProof/>
              </w:rPr>
              <w:t>NINCS</w:t>
            </w:r>
          </w:p>
        </w:tc>
        <w:tc>
          <w:tcPr>
            <w:tcW w:w="719" w:type="dxa"/>
            <w:tcBorders>
              <w:top w:val="nil"/>
              <w:left w:val="nil"/>
              <w:bottom w:val="single" w:sz="4" w:space="0" w:color="auto"/>
              <w:right w:val="single" w:sz="4" w:space="0" w:color="auto"/>
            </w:tcBorders>
            <w:shd w:val="clear" w:color="auto" w:fill="C6EFCE"/>
            <w:noWrap/>
            <w:vAlign w:val="center"/>
            <w:hideMark/>
          </w:tcPr>
          <w:p w14:paraId="77DC949A" w14:textId="77777777" w:rsidR="003F5418" w:rsidRDefault="002A6C25">
            <w:pPr>
              <w:pStyle w:val="P68B1DB1-Normal4"/>
              <w:spacing w:line="276" w:lineRule="auto"/>
              <w:jc w:val="center"/>
              <w:rPr>
                <w:noProof/>
              </w:rPr>
            </w:pPr>
            <w:r>
              <w:rPr>
                <w:noProof/>
              </w:rPr>
              <w:t>NINCS</w:t>
            </w:r>
          </w:p>
        </w:tc>
        <w:tc>
          <w:tcPr>
            <w:tcW w:w="809" w:type="dxa"/>
            <w:tcBorders>
              <w:top w:val="nil"/>
              <w:left w:val="nil"/>
              <w:bottom w:val="single" w:sz="4" w:space="0" w:color="auto"/>
              <w:right w:val="single" w:sz="4" w:space="0" w:color="auto"/>
            </w:tcBorders>
            <w:shd w:val="clear" w:color="auto" w:fill="C6EFCE"/>
            <w:noWrap/>
            <w:vAlign w:val="center"/>
            <w:hideMark/>
          </w:tcPr>
          <w:p w14:paraId="643DE123" w14:textId="77777777" w:rsidR="003F5418" w:rsidRDefault="002A6C25">
            <w:pPr>
              <w:pStyle w:val="P68B1DB1-Normal4"/>
              <w:spacing w:line="276" w:lineRule="auto"/>
              <w:jc w:val="center"/>
              <w:rPr>
                <w:noProof/>
              </w:rPr>
            </w:pPr>
            <w:r>
              <w:rPr>
                <w:noProof/>
              </w:rPr>
              <w:t>Q2</w:t>
            </w:r>
          </w:p>
        </w:tc>
        <w:tc>
          <w:tcPr>
            <w:tcW w:w="794" w:type="dxa"/>
            <w:tcBorders>
              <w:top w:val="nil"/>
              <w:left w:val="nil"/>
              <w:bottom w:val="single" w:sz="4" w:space="0" w:color="auto"/>
              <w:right w:val="single" w:sz="4" w:space="0" w:color="auto"/>
            </w:tcBorders>
            <w:shd w:val="clear" w:color="auto" w:fill="C6EFCE"/>
            <w:noWrap/>
            <w:vAlign w:val="center"/>
            <w:hideMark/>
          </w:tcPr>
          <w:p w14:paraId="34F2EC09" w14:textId="77777777" w:rsidR="003F5418" w:rsidRDefault="002A6C25">
            <w:pPr>
              <w:pStyle w:val="P68B1DB1-Normal4"/>
              <w:spacing w:line="276" w:lineRule="auto"/>
              <w:jc w:val="center"/>
              <w:rPr>
                <w:noProof/>
              </w:rPr>
            </w:pPr>
            <w:r>
              <w:rPr>
                <w:noProof/>
              </w:rPr>
              <w:t>2022</w:t>
            </w:r>
          </w:p>
        </w:tc>
        <w:tc>
          <w:tcPr>
            <w:tcW w:w="2799" w:type="dxa"/>
            <w:tcBorders>
              <w:top w:val="single" w:sz="4" w:space="0" w:color="auto"/>
              <w:left w:val="nil"/>
              <w:bottom w:val="single" w:sz="4" w:space="0" w:color="auto"/>
              <w:right w:val="single" w:sz="4" w:space="0" w:color="auto"/>
            </w:tcBorders>
            <w:shd w:val="clear" w:color="auto" w:fill="C6EFCE"/>
            <w:noWrap/>
            <w:vAlign w:val="center"/>
          </w:tcPr>
          <w:p w14:paraId="6655D375" w14:textId="0553C324" w:rsidR="003F5418" w:rsidRDefault="002A6C25">
            <w:pPr>
              <w:pStyle w:val="P68B1DB1-Normal4"/>
              <w:spacing w:line="276" w:lineRule="auto"/>
              <w:rPr>
                <w:noProof/>
              </w:rPr>
            </w:pPr>
            <w:r>
              <w:rPr>
                <w:noProof/>
              </w:rPr>
              <w:t>Az új jogi keret (legalább):</w:t>
            </w:r>
          </w:p>
          <w:p w14:paraId="1F3A5435"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 xml:space="preserve">A nemzeti kockázatértékeléssel és az 1313/2013/EU határozat 6. cikkével, a kockázatkezelési képesség értékelésével és a </w:t>
            </w:r>
            <w:r>
              <w:rPr>
                <w:noProof/>
              </w:rPr>
              <w:t>jelentős károkozás elkerülését célzó elvvel összhangban rangsorolja a megelőző beavatkozásokat;</w:t>
            </w:r>
          </w:p>
          <w:p w14:paraId="435A5966"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 xml:space="preserve">Gyorsítsák fel a projekttervezési eljárásokat, és határozzanak meg általános elveket a projektvégrehajtási és -finanszírozási eljárások, valamint a hidrológiai </w:t>
            </w:r>
            <w:r>
              <w:rPr>
                <w:noProof/>
              </w:rPr>
              <w:t>kockázati projektek egyszerűsítése érdekében;</w:t>
            </w:r>
          </w:p>
          <w:p w14:paraId="1D2128FD"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Az olasz Számvevőszék ajánlásaival összhangban harmonizálja és észszerűsíti az információáramlást annak érdekében, hogy csökkentse az állam különböző információs rendszerei közötti jelentéstétel redundanciáját,</w:t>
            </w:r>
            <w:r>
              <w:rPr>
                <w:noProof/>
              </w:rPr>
              <w:t xml:space="preserve"> és dolgozzon ki a hidrológiai kockázatok jobb azonosítására szolgáló mutatórendszert.</w:t>
            </w:r>
          </w:p>
          <w:p w14:paraId="1C2E2E15"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Az olasz Számvevőszék ajánlásaival összhangban erősítse meg a beavatkozások összehangolását a különböző kormányzati szintek között;</w:t>
            </w:r>
          </w:p>
          <w:p w14:paraId="536EF9EC"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Hozzon létre közös adatbázisokat az e</w:t>
            </w:r>
            <w:r>
              <w:rPr>
                <w:noProof/>
              </w:rPr>
              <w:t>seményekről („dissesto”) az olasz Számvevőszék ajánlásaival összhangban;</w:t>
            </w:r>
          </w:p>
          <w:p w14:paraId="59CD4053"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Határozza meg az egyes szakaszokra vonatkozó maximális határidőket.</w:t>
            </w:r>
          </w:p>
          <w:p w14:paraId="008B30D6"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Tervet dolgoz ki az érintett szervezetek kapacitásának megerősítésére.</w:t>
            </w:r>
          </w:p>
          <w:p w14:paraId="76DD269B" w14:textId="77777777" w:rsidR="003F5418" w:rsidRDefault="003F5418">
            <w:pPr>
              <w:spacing w:line="276" w:lineRule="auto"/>
              <w:rPr>
                <w:rFonts w:ascii="Arial Narrow" w:hAnsi="Arial Narrow"/>
                <w:noProof/>
                <w:color w:val="006100"/>
                <w:sz w:val="20"/>
              </w:rPr>
            </w:pPr>
          </w:p>
        </w:tc>
      </w:tr>
      <w:tr w:rsidR="003F5418" w14:paraId="565BD01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46F310C7" w14:textId="77777777" w:rsidR="003F5418" w:rsidRDefault="002A6C25">
            <w:pPr>
              <w:pStyle w:val="P68B1DB1-Normal4"/>
              <w:spacing w:line="276" w:lineRule="auto"/>
              <w:jc w:val="center"/>
              <w:rPr>
                <w:noProof/>
              </w:rPr>
            </w:pPr>
            <w:r>
              <w:rPr>
                <w:noProof/>
              </w:rPr>
              <w:t>M2C4–2</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75D77A1B" w14:textId="77777777" w:rsidR="003F5418" w:rsidRDefault="002A6C25">
            <w:pPr>
              <w:pStyle w:val="P68B1DB1-Normal4"/>
              <w:spacing w:line="276" w:lineRule="auto"/>
              <w:jc w:val="center"/>
              <w:rPr>
                <w:noProof/>
              </w:rPr>
            </w:pPr>
            <w:r>
              <w:rPr>
                <w:noProof/>
              </w:rPr>
              <w:t xml:space="preserve">Reform: „Az integrált </w:t>
            </w:r>
            <w:r>
              <w:rPr>
                <w:noProof/>
              </w:rPr>
              <w:t>vízszolgáltatások teljes irányítási kapacitásának biztosítását célzó intézkedések”</w:t>
            </w:r>
          </w:p>
        </w:tc>
        <w:tc>
          <w:tcPr>
            <w:tcW w:w="1266" w:type="dxa"/>
            <w:tcBorders>
              <w:top w:val="nil"/>
              <w:left w:val="nil"/>
              <w:bottom w:val="single" w:sz="4" w:space="0" w:color="auto"/>
              <w:right w:val="single" w:sz="4" w:space="0" w:color="auto"/>
            </w:tcBorders>
            <w:shd w:val="clear" w:color="auto" w:fill="C6EFCE"/>
            <w:noWrap/>
            <w:vAlign w:val="center"/>
            <w:hideMark/>
          </w:tcPr>
          <w:p w14:paraId="66745983" w14:textId="77777777" w:rsidR="003F5418" w:rsidRDefault="002A6C25">
            <w:pPr>
              <w:pStyle w:val="P68B1DB1-Normal4"/>
              <w:spacing w:line="276" w:lineRule="auto"/>
              <w:jc w:val="center"/>
              <w:rPr>
                <w:noProof/>
              </w:rPr>
            </w:pPr>
            <w:r>
              <w:rPr>
                <w:noProof/>
              </w:rPr>
              <w:t>Mérföldkő</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189AF299" w14:textId="77777777" w:rsidR="003F5418" w:rsidRDefault="002A6C25">
            <w:pPr>
              <w:pStyle w:val="P68B1DB1-Normal4"/>
              <w:spacing w:line="276" w:lineRule="auto"/>
              <w:jc w:val="center"/>
              <w:rPr>
                <w:noProof/>
              </w:rPr>
            </w:pPr>
            <w:r>
              <w:rPr>
                <w:noProof/>
              </w:rPr>
              <w:t>Az integrált vízszolgáltatások teljes irányítási kapacitásának biztosítását célzó reform hatálybalépése</w:t>
            </w:r>
          </w:p>
        </w:tc>
        <w:tc>
          <w:tcPr>
            <w:tcW w:w="1414" w:type="dxa"/>
            <w:tcBorders>
              <w:top w:val="nil"/>
              <w:left w:val="nil"/>
              <w:bottom w:val="single" w:sz="4" w:space="0" w:color="auto"/>
              <w:right w:val="single" w:sz="4" w:space="0" w:color="auto"/>
            </w:tcBorders>
            <w:shd w:val="clear" w:color="auto" w:fill="C6EFCE"/>
            <w:noWrap/>
            <w:vAlign w:val="center"/>
            <w:hideMark/>
          </w:tcPr>
          <w:p w14:paraId="0B59A2AA" w14:textId="77777777" w:rsidR="003F5418" w:rsidRDefault="002A6C25">
            <w:pPr>
              <w:pStyle w:val="P68B1DB1-Normal4"/>
              <w:spacing w:line="276" w:lineRule="auto"/>
              <w:jc w:val="center"/>
              <w:rPr>
                <w:noProof/>
              </w:rPr>
            </w:pPr>
            <w:r>
              <w:rPr>
                <w:noProof/>
              </w:rPr>
              <w:t>A vonatkozó jogi aktus(ok)ban szereplő, a hatálybalépést fe</w:t>
            </w:r>
            <w:r>
              <w:rPr>
                <w:noProof/>
              </w:rPr>
              <w:t>ltüntető rendelkezés</w:t>
            </w:r>
          </w:p>
        </w:tc>
        <w:tc>
          <w:tcPr>
            <w:tcW w:w="1410" w:type="dxa"/>
            <w:tcBorders>
              <w:top w:val="nil"/>
              <w:left w:val="nil"/>
              <w:bottom w:val="single" w:sz="4" w:space="0" w:color="auto"/>
              <w:right w:val="single" w:sz="4" w:space="0" w:color="auto"/>
            </w:tcBorders>
            <w:shd w:val="clear" w:color="auto" w:fill="C6EFCE"/>
            <w:noWrap/>
            <w:vAlign w:val="center"/>
            <w:hideMark/>
          </w:tcPr>
          <w:p w14:paraId="08C20763" w14:textId="77777777" w:rsidR="003F5418" w:rsidRDefault="002A6C25">
            <w:pPr>
              <w:pStyle w:val="P68B1DB1-Normal4"/>
              <w:spacing w:line="276" w:lineRule="auto"/>
              <w:jc w:val="center"/>
              <w:rPr>
                <w:noProof/>
              </w:rPr>
            </w:pPr>
            <w:r>
              <w:rPr>
                <w:noProof/>
              </w:rPr>
              <w:t>NINCS</w:t>
            </w:r>
          </w:p>
        </w:tc>
        <w:tc>
          <w:tcPr>
            <w:tcW w:w="1047" w:type="dxa"/>
            <w:tcBorders>
              <w:top w:val="nil"/>
              <w:left w:val="nil"/>
              <w:bottom w:val="single" w:sz="4" w:space="0" w:color="auto"/>
              <w:right w:val="single" w:sz="4" w:space="0" w:color="auto"/>
            </w:tcBorders>
            <w:shd w:val="clear" w:color="auto" w:fill="C6EFCE"/>
            <w:noWrap/>
            <w:vAlign w:val="center"/>
            <w:hideMark/>
          </w:tcPr>
          <w:p w14:paraId="16A21A37" w14:textId="77777777" w:rsidR="003F5418" w:rsidRDefault="002A6C25">
            <w:pPr>
              <w:pStyle w:val="P68B1DB1-Normal4"/>
              <w:spacing w:line="276" w:lineRule="auto"/>
              <w:jc w:val="center"/>
              <w:rPr>
                <w:noProof/>
              </w:rPr>
            </w:pPr>
            <w:r>
              <w:rPr>
                <w:noProof/>
              </w:rPr>
              <w:t>NINCS</w:t>
            </w:r>
          </w:p>
        </w:tc>
        <w:tc>
          <w:tcPr>
            <w:tcW w:w="719" w:type="dxa"/>
            <w:tcBorders>
              <w:top w:val="nil"/>
              <w:left w:val="nil"/>
              <w:bottom w:val="single" w:sz="4" w:space="0" w:color="auto"/>
              <w:right w:val="single" w:sz="4" w:space="0" w:color="auto"/>
            </w:tcBorders>
            <w:shd w:val="clear" w:color="auto" w:fill="C6EFCE"/>
            <w:noWrap/>
            <w:vAlign w:val="center"/>
            <w:hideMark/>
          </w:tcPr>
          <w:p w14:paraId="63D45AC3" w14:textId="77777777" w:rsidR="003F5418" w:rsidRDefault="002A6C25">
            <w:pPr>
              <w:pStyle w:val="P68B1DB1-Normal4"/>
              <w:spacing w:line="276" w:lineRule="auto"/>
              <w:jc w:val="center"/>
              <w:rPr>
                <w:noProof/>
              </w:rPr>
            </w:pPr>
            <w:r>
              <w:rPr>
                <w:noProof/>
              </w:rPr>
              <w:t>NINCS</w:t>
            </w:r>
          </w:p>
        </w:tc>
        <w:tc>
          <w:tcPr>
            <w:tcW w:w="809" w:type="dxa"/>
            <w:tcBorders>
              <w:top w:val="nil"/>
              <w:left w:val="nil"/>
              <w:bottom w:val="single" w:sz="4" w:space="0" w:color="auto"/>
              <w:right w:val="single" w:sz="4" w:space="0" w:color="auto"/>
            </w:tcBorders>
            <w:shd w:val="clear" w:color="auto" w:fill="C6EFCE"/>
            <w:noWrap/>
            <w:vAlign w:val="center"/>
            <w:hideMark/>
          </w:tcPr>
          <w:p w14:paraId="64AAE02D" w14:textId="77777777" w:rsidR="003F5418" w:rsidRDefault="002A6C25">
            <w:pPr>
              <w:pStyle w:val="P68B1DB1-Normal4"/>
              <w:spacing w:line="276" w:lineRule="auto"/>
              <w:jc w:val="center"/>
              <w:rPr>
                <w:noProof/>
              </w:rPr>
            </w:pPr>
            <w:r>
              <w:rPr>
                <w:noProof/>
              </w:rPr>
              <w:t>Q3</w:t>
            </w:r>
          </w:p>
        </w:tc>
        <w:tc>
          <w:tcPr>
            <w:tcW w:w="794" w:type="dxa"/>
            <w:tcBorders>
              <w:top w:val="nil"/>
              <w:left w:val="nil"/>
              <w:bottom w:val="single" w:sz="4" w:space="0" w:color="auto"/>
              <w:right w:val="single" w:sz="4" w:space="0" w:color="auto"/>
            </w:tcBorders>
            <w:shd w:val="clear" w:color="auto" w:fill="C6EFCE"/>
            <w:noWrap/>
            <w:vAlign w:val="center"/>
            <w:hideMark/>
          </w:tcPr>
          <w:p w14:paraId="0A67096C" w14:textId="77777777" w:rsidR="003F5418" w:rsidRDefault="002A6C25">
            <w:pPr>
              <w:pStyle w:val="P68B1DB1-Normal4"/>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2DE13D5E" w14:textId="77777777" w:rsidR="003F5418" w:rsidRDefault="002A6C25">
            <w:pPr>
              <w:pStyle w:val="P68B1DB1-Normal4"/>
              <w:spacing w:line="276" w:lineRule="auto"/>
              <w:rPr>
                <w:noProof/>
              </w:rPr>
            </w:pPr>
            <w:r>
              <w:rPr>
                <w:noProof/>
              </w:rPr>
              <w:t>A vízszolgáltatásokról szóló általános törvény/rendeletek a fenntartható használatuk érdekében, és ösztönzik a vízügyi infrastruktúrába történő beruházásokat, amelyek legalább:</w:t>
            </w:r>
          </w:p>
          <w:p w14:paraId="4235A32D"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A szervezetek széttöredezettségé</w:t>
            </w:r>
            <w:r>
              <w:rPr>
                <w:noProof/>
              </w:rPr>
              <w:t>nek csökkentése olyan szabályok és összesítési mechanizmusok révén, amelyek arra ösztönzik a jelenleg autonóm irányító gazdasági szereplőket, hogy integrálódjanak a teljes Ambito Territoriale Ottimale egyedi üzemeltetőjébe;</w:t>
            </w:r>
          </w:p>
          <w:p w14:paraId="097315ED"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Ösztönözzék a fenntartható vízha</w:t>
            </w:r>
            <w:r>
              <w:rPr>
                <w:noProof/>
              </w:rPr>
              <w:t>sználatot a mezőgazdaságban, különösen a vízhasználatra vonatkozó közös monitoringrendszer (SIGRIAN) kollektív és önellátó öntözési célú használatának támogatása érdekében;</w:t>
            </w:r>
          </w:p>
          <w:p w14:paraId="330EB5A9" w14:textId="77777777" w:rsidR="003F5418" w:rsidRDefault="002A6C25">
            <w:pPr>
              <w:pStyle w:val="P68B1DB1-ListParagraph5"/>
              <w:numPr>
                <w:ilvl w:val="0"/>
                <w:numId w:val="69"/>
              </w:numPr>
              <w:tabs>
                <w:tab w:val="left" w:pos="321"/>
              </w:tabs>
              <w:spacing w:after="0" w:line="276" w:lineRule="auto"/>
              <w:ind w:left="0" w:firstLine="37"/>
              <w:jc w:val="left"/>
              <w:rPr>
                <w:noProof/>
              </w:rPr>
            </w:pPr>
            <w:r>
              <w:rPr>
                <w:noProof/>
              </w:rPr>
              <w:t>Olyan szabályozott árrendszer létrehozása, amely megfelelően figyelembe veszi a kör</w:t>
            </w:r>
            <w:r>
              <w:rPr>
                <w:noProof/>
              </w:rPr>
              <w:t>nyezeti erőforrások felhasználását és a környezetszennyezést a „szennyező fizet” elvvel összhangban</w:t>
            </w:r>
          </w:p>
        </w:tc>
      </w:tr>
      <w:tr w:rsidR="003F5418" w14:paraId="10767E79"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B4BB976" w14:textId="77777777" w:rsidR="003F5418" w:rsidRDefault="002A6C25">
            <w:pPr>
              <w:pStyle w:val="P68B1DB1-Normal4"/>
              <w:spacing w:line="276" w:lineRule="auto"/>
              <w:jc w:val="center"/>
              <w:rPr>
                <w:noProof/>
              </w:rPr>
            </w:pPr>
            <w:r>
              <w:rPr>
                <w:noProof/>
              </w:rPr>
              <w:t>M2C4–3</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3169DF0" w14:textId="77777777" w:rsidR="003F5418" w:rsidRDefault="002A6C25">
            <w:pPr>
              <w:pStyle w:val="P68B1DB1-Normal4"/>
              <w:spacing w:line="276" w:lineRule="auto"/>
              <w:jc w:val="center"/>
              <w:rPr>
                <w:noProof/>
              </w:rPr>
            </w:pPr>
            <w:r>
              <w:rPr>
                <w:noProof/>
              </w:rPr>
              <w:t>Reform: „Az integrált vízszolgáltatások teljes irányítási kapacitásának biztosítását célzó intézkedések”</w:t>
            </w:r>
          </w:p>
        </w:tc>
        <w:tc>
          <w:tcPr>
            <w:tcW w:w="1266" w:type="dxa"/>
            <w:tcBorders>
              <w:top w:val="nil"/>
              <w:left w:val="nil"/>
              <w:bottom w:val="single" w:sz="4" w:space="0" w:color="auto"/>
              <w:right w:val="single" w:sz="4" w:space="0" w:color="auto"/>
            </w:tcBorders>
            <w:shd w:val="clear" w:color="auto" w:fill="C6EFCE"/>
            <w:noWrap/>
            <w:vAlign w:val="center"/>
            <w:hideMark/>
          </w:tcPr>
          <w:p w14:paraId="55B5D142" w14:textId="77777777" w:rsidR="003F5418" w:rsidRDefault="002A6C25">
            <w:pPr>
              <w:pStyle w:val="P68B1DB1-Normal4"/>
              <w:spacing w:line="276" w:lineRule="auto"/>
              <w:jc w:val="center"/>
              <w:rPr>
                <w:noProof/>
              </w:rPr>
            </w:pPr>
            <w:r>
              <w:rPr>
                <w:noProof/>
              </w:rPr>
              <w:t>Mérföldkő</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3B29BF59" w14:textId="77777777" w:rsidR="003F5418" w:rsidRDefault="002A6C25">
            <w:pPr>
              <w:pStyle w:val="P68B1DB1-Normal4"/>
              <w:spacing w:line="276" w:lineRule="auto"/>
              <w:jc w:val="center"/>
              <w:rPr>
                <w:noProof/>
              </w:rPr>
            </w:pPr>
            <w:r>
              <w:rPr>
                <w:noProof/>
              </w:rPr>
              <w:t>A jobb vízgazdálkodást és a fenntartható v</w:t>
            </w:r>
            <w:r>
              <w:rPr>
                <w:noProof/>
              </w:rPr>
              <w:t>ízhasználatot célzó jogi keret reformja</w:t>
            </w:r>
          </w:p>
        </w:tc>
        <w:tc>
          <w:tcPr>
            <w:tcW w:w="1414" w:type="dxa"/>
            <w:tcBorders>
              <w:top w:val="nil"/>
              <w:left w:val="nil"/>
              <w:bottom w:val="single" w:sz="4" w:space="0" w:color="auto"/>
              <w:right w:val="single" w:sz="4" w:space="0" w:color="auto"/>
            </w:tcBorders>
            <w:shd w:val="clear" w:color="auto" w:fill="C6EFCE"/>
            <w:noWrap/>
            <w:vAlign w:val="center"/>
            <w:hideMark/>
          </w:tcPr>
          <w:p w14:paraId="4B9E8229" w14:textId="77777777" w:rsidR="003F5418" w:rsidRDefault="002A6C25">
            <w:pPr>
              <w:pStyle w:val="P68B1DB1-Normal4"/>
              <w:spacing w:line="276" w:lineRule="auto"/>
              <w:jc w:val="center"/>
              <w:rPr>
                <w:noProof/>
              </w:rPr>
            </w:pPr>
            <w:r>
              <w:rPr>
                <w:noProof/>
              </w:rPr>
              <w:t>Az egyetértési megállapodások hatálybalépése</w:t>
            </w:r>
          </w:p>
        </w:tc>
        <w:tc>
          <w:tcPr>
            <w:tcW w:w="1410" w:type="dxa"/>
            <w:tcBorders>
              <w:top w:val="nil"/>
              <w:left w:val="nil"/>
              <w:bottom w:val="single" w:sz="4" w:space="0" w:color="auto"/>
              <w:right w:val="single" w:sz="4" w:space="0" w:color="auto"/>
            </w:tcBorders>
            <w:shd w:val="clear" w:color="auto" w:fill="C6EFCE"/>
            <w:noWrap/>
            <w:vAlign w:val="center"/>
            <w:hideMark/>
          </w:tcPr>
          <w:p w14:paraId="1AF44E04" w14:textId="77777777" w:rsidR="003F5418" w:rsidRDefault="002A6C25">
            <w:pPr>
              <w:pStyle w:val="P68B1DB1-Normal4"/>
              <w:spacing w:line="276" w:lineRule="auto"/>
              <w:jc w:val="center"/>
              <w:rPr>
                <w:noProof/>
              </w:rPr>
            </w:pPr>
            <w:r>
              <w:rPr>
                <w:noProof/>
              </w:rPr>
              <w:t>NINCS</w:t>
            </w:r>
          </w:p>
        </w:tc>
        <w:tc>
          <w:tcPr>
            <w:tcW w:w="1047" w:type="dxa"/>
            <w:tcBorders>
              <w:top w:val="nil"/>
              <w:left w:val="nil"/>
              <w:bottom w:val="single" w:sz="4" w:space="0" w:color="auto"/>
              <w:right w:val="single" w:sz="4" w:space="0" w:color="auto"/>
            </w:tcBorders>
            <w:shd w:val="clear" w:color="auto" w:fill="C6EFCE"/>
            <w:noWrap/>
            <w:vAlign w:val="center"/>
            <w:hideMark/>
          </w:tcPr>
          <w:p w14:paraId="2961B13E" w14:textId="77777777" w:rsidR="003F5418" w:rsidRDefault="002A6C25">
            <w:pPr>
              <w:pStyle w:val="P68B1DB1-Normal4"/>
              <w:spacing w:line="276" w:lineRule="auto"/>
              <w:jc w:val="center"/>
              <w:rPr>
                <w:noProof/>
              </w:rPr>
            </w:pPr>
            <w:r>
              <w:rPr>
                <w:noProof/>
              </w:rPr>
              <w:t>NINCS</w:t>
            </w:r>
          </w:p>
        </w:tc>
        <w:tc>
          <w:tcPr>
            <w:tcW w:w="719" w:type="dxa"/>
            <w:tcBorders>
              <w:top w:val="nil"/>
              <w:left w:val="nil"/>
              <w:bottom w:val="single" w:sz="4" w:space="0" w:color="auto"/>
              <w:right w:val="single" w:sz="4" w:space="0" w:color="auto"/>
            </w:tcBorders>
            <w:shd w:val="clear" w:color="auto" w:fill="C6EFCE"/>
            <w:noWrap/>
            <w:vAlign w:val="center"/>
            <w:hideMark/>
          </w:tcPr>
          <w:p w14:paraId="23D95D6F" w14:textId="77777777" w:rsidR="003F5418" w:rsidRDefault="002A6C25">
            <w:pPr>
              <w:pStyle w:val="P68B1DB1-Normal4"/>
              <w:spacing w:line="276" w:lineRule="auto"/>
              <w:jc w:val="center"/>
              <w:rPr>
                <w:noProof/>
              </w:rPr>
            </w:pPr>
            <w:r>
              <w:rPr>
                <w:noProof/>
              </w:rPr>
              <w:t>NINCS</w:t>
            </w:r>
          </w:p>
        </w:tc>
        <w:tc>
          <w:tcPr>
            <w:tcW w:w="809" w:type="dxa"/>
            <w:tcBorders>
              <w:top w:val="nil"/>
              <w:left w:val="nil"/>
              <w:bottom w:val="single" w:sz="4" w:space="0" w:color="auto"/>
              <w:right w:val="single" w:sz="4" w:space="0" w:color="auto"/>
            </w:tcBorders>
            <w:shd w:val="clear" w:color="auto" w:fill="C6EFCE"/>
            <w:noWrap/>
            <w:vAlign w:val="center"/>
            <w:hideMark/>
          </w:tcPr>
          <w:p w14:paraId="64E230DB" w14:textId="77777777" w:rsidR="003F5418" w:rsidRDefault="002A6C25">
            <w:pPr>
              <w:pStyle w:val="P68B1DB1-Normal4"/>
              <w:spacing w:line="276" w:lineRule="auto"/>
              <w:jc w:val="center"/>
              <w:rPr>
                <w:noProof/>
              </w:rPr>
            </w:pPr>
            <w:r>
              <w:rPr>
                <w:noProof/>
              </w:rPr>
              <w:t>Q4</w:t>
            </w:r>
          </w:p>
        </w:tc>
        <w:tc>
          <w:tcPr>
            <w:tcW w:w="794" w:type="dxa"/>
            <w:tcBorders>
              <w:top w:val="nil"/>
              <w:left w:val="nil"/>
              <w:bottom w:val="single" w:sz="4" w:space="0" w:color="auto"/>
              <w:right w:val="single" w:sz="4" w:space="0" w:color="auto"/>
            </w:tcBorders>
            <w:shd w:val="clear" w:color="auto" w:fill="C6EFCE"/>
            <w:noWrap/>
            <w:vAlign w:val="center"/>
            <w:hideMark/>
          </w:tcPr>
          <w:p w14:paraId="547930FA" w14:textId="77777777" w:rsidR="003F5418" w:rsidRDefault="002A6C25">
            <w:pPr>
              <w:pStyle w:val="P68B1DB1-Normal4"/>
              <w:spacing w:line="276" w:lineRule="auto"/>
              <w:jc w:val="center"/>
              <w:rPr>
                <w:noProof/>
              </w:rPr>
            </w:pPr>
            <w:r>
              <w:rPr>
                <w:noProof/>
              </w:rPr>
              <w:t>2021</w:t>
            </w:r>
          </w:p>
        </w:tc>
        <w:tc>
          <w:tcPr>
            <w:tcW w:w="2799" w:type="dxa"/>
            <w:tcBorders>
              <w:top w:val="nil"/>
              <w:left w:val="nil"/>
              <w:bottom w:val="single" w:sz="4" w:space="0" w:color="auto"/>
              <w:right w:val="single" w:sz="4" w:space="0" w:color="auto"/>
            </w:tcBorders>
            <w:shd w:val="clear" w:color="auto" w:fill="C6EFCE"/>
            <w:noWrap/>
            <w:vAlign w:val="center"/>
            <w:hideMark/>
          </w:tcPr>
          <w:p w14:paraId="4858C47B" w14:textId="77777777" w:rsidR="003F5418" w:rsidRDefault="002A6C25">
            <w:pPr>
              <w:pStyle w:val="P68B1DB1-Normal9"/>
              <w:spacing w:line="276" w:lineRule="auto"/>
              <w:rPr>
                <w:rFonts w:ascii="Arial Narrow" w:hAnsi="Arial Narrow"/>
                <w:noProof/>
              </w:rPr>
            </w:pPr>
            <w:r>
              <w:rPr>
                <w:rFonts w:ascii="Arial Narrow" w:hAnsi="Arial Narrow"/>
                <w:noProof/>
              </w:rPr>
              <w:t>Az Ökológiai Átmenet Minisztériuma aláírja az alstadingi megállapodásokat Campania, Calabria, Molise</w:t>
            </w:r>
            <w:r>
              <w:rPr>
                <w:rFonts w:ascii="Arial Narrow" w:hAnsi="Arial Narrow"/>
                <w:noProof/>
              </w:rPr>
              <w:t xml:space="preserve"> és Szicília régiókkal a vízszolgáltatást nyújtó üzemeltetők számának szétaprózottságának csökkentése érdekében. Az egyetértési megállapodásnak célkitűzéseket kell meghatároznia a helyi önkormányzati szervek létrehozása, a gazdasági szereplők számának csök</w:t>
            </w:r>
            <w:r>
              <w:rPr>
                <w:rFonts w:ascii="Arial Narrow" w:hAnsi="Arial Narrow"/>
                <w:noProof/>
              </w:rPr>
              <w:t>kentése és a méretgazdaságosság elérése tekintetében annak érdekében, hogy legalább</w:t>
            </w:r>
            <w:r>
              <w:rPr>
                <w:noProof/>
              </w:rPr>
              <w:t xml:space="preserve"> </w:t>
            </w:r>
            <w:r>
              <w:rPr>
                <w:rFonts w:ascii="Arial Narrow" w:hAnsi="Arial Narrow"/>
                <w:noProof/>
              </w:rPr>
              <w:t>40000 lakosra</w:t>
            </w:r>
            <w:r>
              <w:rPr>
                <w:noProof/>
              </w:rPr>
              <w:t>egyetlen gazdasági szereplőt lehessen létrehozni.</w:t>
            </w:r>
          </w:p>
        </w:tc>
      </w:tr>
      <w:tr w:rsidR="003F5418" w14:paraId="78ACEB4C"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2CDEAEFE" w14:textId="77777777" w:rsidR="003F5418" w:rsidRDefault="002A6C25">
            <w:pPr>
              <w:pStyle w:val="P68B1DB1-Normal4"/>
              <w:spacing w:line="276" w:lineRule="auto"/>
              <w:jc w:val="center"/>
              <w:rPr>
                <w:noProof/>
              </w:rPr>
            </w:pPr>
            <w:r>
              <w:rPr>
                <w:noProof/>
              </w:rPr>
              <w:t>M2C4–4</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75EC013D" w14:textId="77777777" w:rsidR="003F5418" w:rsidRDefault="002A6C25">
            <w:pPr>
              <w:pStyle w:val="P68B1DB1-Normal4"/>
              <w:spacing w:line="276" w:lineRule="auto"/>
              <w:jc w:val="center"/>
              <w:rPr>
                <w:noProof/>
              </w:rPr>
            </w:pPr>
            <w:r>
              <w:rPr>
                <w:noProof/>
              </w:rPr>
              <w:t>Reform: „Az integrált vízszolgáltatások teljes irányítási kapacitásának biztosítását célzó intézkedések”</w:t>
            </w:r>
          </w:p>
        </w:tc>
        <w:tc>
          <w:tcPr>
            <w:tcW w:w="1266" w:type="dxa"/>
            <w:tcBorders>
              <w:top w:val="nil"/>
              <w:left w:val="nil"/>
              <w:bottom w:val="single" w:sz="4" w:space="0" w:color="auto"/>
              <w:right w:val="single" w:sz="4" w:space="0" w:color="auto"/>
            </w:tcBorders>
            <w:shd w:val="clear" w:color="auto" w:fill="C6EFCE"/>
            <w:noWrap/>
            <w:vAlign w:val="center"/>
            <w:hideMark/>
          </w:tcPr>
          <w:p w14:paraId="79F87F7C" w14:textId="77777777" w:rsidR="003F5418" w:rsidRDefault="002A6C25">
            <w:pPr>
              <w:pStyle w:val="P68B1DB1-Normal4"/>
              <w:spacing w:line="276" w:lineRule="auto"/>
              <w:jc w:val="center"/>
              <w:rPr>
                <w:noProof/>
              </w:rPr>
            </w:pPr>
            <w:r>
              <w:rPr>
                <w:noProof/>
              </w:rPr>
              <w:t>Mérfö</w:t>
            </w:r>
            <w:r>
              <w:rPr>
                <w:noProof/>
              </w:rPr>
              <w:t>ldkő</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4D3FC1D7" w14:textId="77777777" w:rsidR="003F5418" w:rsidRDefault="002A6C25">
            <w:pPr>
              <w:pStyle w:val="P68B1DB1-Normal4"/>
              <w:spacing w:line="276" w:lineRule="auto"/>
              <w:jc w:val="center"/>
              <w:rPr>
                <w:noProof/>
              </w:rPr>
            </w:pPr>
            <w:r>
              <w:rPr>
                <w:noProof/>
              </w:rPr>
              <w:t>Az öntözési célokra vonatkozó új jogi keret hatálybalépése</w:t>
            </w:r>
          </w:p>
        </w:tc>
        <w:tc>
          <w:tcPr>
            <w:tcW w:w="1414" w:type="dxa"/>
            <w:tcBorders>
              <w:top w:val="nil"/>
              <w:left w:val="nil"/>
              <w:bottom w:val="single" w:sz="4" w:space="0" w:color="auto"/>
              <w:right w:val="single" w:sz="4" w:space="0" w:color="auto"/>
            </w:tcBorders>
            <w:shd w:val="clear" w:color="auto" w:fill="C6EFCE"/>
            <w:noWrap/>
            <w:vAlign w:val="center"/>
            <w:hideMark/>
          </w:tcPr>
          <w:p w14:paraId="21FC3072" w14:textId="77777777" w:rsidR="003F5418" w:rsidRDefault="002A6C25">
            <w:pPr>
              <w:pStyle w:val="P68B1DB1-Normal4"/>
              <w:spacing w:line="276" w:lineRule="auto"/>
              <w:jc w:val="center"/>
              <w:rPr>
                <w:noProof/>
              </w:rPr>
            </w:pPr>
            <w:r>
              <w:rPr>
                <w:noProof/>
              </w:rPr>
              <w:t>A vonatkozó jogszabályban szereplő, a hatálybalépést feltüntető rendelkezés</w:t>
            </w:r>
          </w:p>
        </w:tc>
        <w:tc>
          <w:tcPr>
            <w:tcW w:w="1410" w:type="dxa"/>
            <w:tcBorders>
              <w:top w:val="nil"/>
              <w:left w:val="nil"/>
              <w:bottom w:val="single" w:sz="4" w:space="0" w:color="auto"/>
              <w:right w:val="single" w:sz="4" w:space="0" w:color="auto"/>
            </w:tcBorders>
            <w:shd w:val="clear" w:color="auto" w:fill="C6EFCE"/>
            <w:noWrap/>
            <w:vAlign w:val="center"/>
            <w:hideMark/>
          </w:tcPr>
          <w:p w14:paraId="62DB48FF" w14:textId="77777777" w:rsidR="003F5418" w:rsidRDefault="002A6C25">
            <w:pPr>
              <w:pStyle w:val="P68B1DB1-Normal4"/>
              <w:spacing w:line="276" w:lineRule="auto"/>
              <w:jc w:val="center"/>
              <w:rPr>
                <w:noProof/>
              </w:rPr>
            </w:pPr>
            <w:r>
              <w:rPr>
                <w:noProof/>
              </w:rPr>
              <w:t>NINCS</w:t>
            </w:r>
          </w:p>
        </w:tc>
        <w:tc>
          <w:tcPr>
            <w:tcW w:w="1047" w:type="dxa"/>
            <w:tcBorders>
              <w:top w:val="nil"/>
              <w:left w:val="nil"/>
              <w:bottom w:val="single" w:sz="4" w:space="0" w:color="auto"/>
              <w:right w:val="single" w:sz="4" w:space="0" w:color="auto"/>
            </w:tcBorders>
            <w:shd w:val="clear" w:color="auto" w:fill="C6EFCE"/>
            <w:noWrap/>
            <w:vAlign w:val="center"/>
            <w:hideMark/>
          </w:tcPr>
          <w:p w14:paraId="118C58B3" w14:textId="77777777" w:rsidR="003F5418" w:rsidRDefault="002A6C25">
            <w:pPr>
              <w:pStyle w:val="P68B1DB1-Normal4"/>
              <w:spacing w:line="276" w:lineRule="auto"/>
              <w:jc w:val="center"/>
              <w:rPr>
                <w:noProof/>
              </w:rPr>
            </w:pPr>
            <w:r>
              <w:rPr>
                <w:noProof/>
              </w:rPr>
              <w:t>NINCS</w:t>
            </w:r>
          </w:p>
        </w:tc>
        <w:tc>
          <w:tcPr>
            <w:tcW w:w="719" w:type="dxa"/>
            <w:tcBorders>
              <w:top w:val="nil"/>
              <w:left w:val="nil"/>
              <w:bottom w:val="single" w:sz="4" w:space="0" w:color="auto"/>
              <w:right w:val="single" w:sz="4" w:space="0" w:color="auto"/>
            </w:tcBorders>
            <w:shd w:val="clear" w:color="auto" w:fill="C6EFCE"/>
            <w:noWrap/>
            <w:vAlign w:val="center"/>
            <w:hideMark/>
          </w:tcPr>
          <w:p w14:paraId="50337A62" w14:textId="77777777" w:rsidR="003F5418" w:rsidRDefault="002A6C25">
            <w:pPr>
              <w:pStyle w:val="P68B1DB1-Normal4"/>
              <w:spacing w:line="276" w:lineRule="auto"/>
              <w:jc w:val="center"/>
              <w:rPr>
                <w:noProof/>
              </w:rPr>
            </w:pPr>
            <w:r>
              <w:rPr>
                <w:noProof/>
              </w:rPr>
              <w:t>NINCS</w:t>
            </w:r>
          </w:p>
        </w:tc>
        <w:tc>
          <w:tcPr>
            <w:tcW w:w="809" w:type="dxa"/>
            <w:tcBorders>
              <w:top w:val="nil"/>
              <w:left w:val="nil"/>
              <w:bottom w:val="single" w:sz="4" w:space="0" w:color="auto"/>
              <w:right w:val="single" w:sz="4" w:space="0" w:color="auto"/>
            </w:tcBorders>
            <w:shd w:val="clear" w:color="auto" w:fill="C6EFCE"/>
            <w:noWrap/>
            <w:vAlign w:val="center"/>
            <w:hideMark/>
          </w:tcPr>
          <w:p w14:paraId="61EAD3A5" w14:textId="77777777" w:rsidR="003F5418" w:rsidRDefault="002A6C25">
            <w:pPr>
              <w:pStyle w:val="P68B1DB1-Normal4"/>
              <w:spacing w:line="276" w:lineRule="auto"/>
              <w:jc w:val="center"/>
              <w:rPr>
                <w:noProof/>
              </w:rPr>
            </w:pPr>
            <w:r>
              <w:rPr>
                <w:noProof/>
              </w:rPr>
              <w:t>Q2</w:t>
            </w:r>
          </w:p>
        </w:tc>
        <w:tc>
          <w:tcPr>
            <w:tcW w:w="794" w:type="dxa"/>
            <w:tcBorders>
              <w:top w:val="nil"/>
              <w:left w:val="nil"/>
              <w:bottom w:val="single" w:sz="4" w:space="0" w:color="auto"/>
              <w:right w:val="single" w:sz="4" w:space="0" w:color="auto"/>
            </w:tcBorders>
            <w:shd w:val="clear" w:color="auto" w:fill="C6EFCE"/>
            <w:noWrap/>
            <w:vAlign w:val="center"/>
            <w:hideMark/>
          </w:tcPr>
          <w:p w14:paraId="08C65D2D" w14:textId="77777777" w:rsidR="003F5418" w:rsidRDefault="002A6C25">
            <w:pPr>
              <w:pStyle w:val="P68B1DB1-Normal4"/>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3CF140F8" w14:textId="77777777" w:rsidR="003F5418" w:rsidRDefault="002A6C25">
            <w:pPr>
              <w:pStyle w:val="P68B1DB1-Normal4"/>
              <w:spacing w:line="276" w:lineRule="auto"/>
              <w:rPr>
                <w:noProof/>
              </w:rPr>
            </w:pPr>
            <w:r>
              <w:rPr>
                <w:noProof/>
              </w:rPr>
              <w:t>A felülvizsgált jogi keretnek legalább:</w:t>
            </w:r>
          </w:p>
          <w:p w14:paraId="0E5637B9" w14:textId="77777777" w:rsidR="003F5418" w:rsidRDefault="003F5418">
            <w:pPr>
              <w:spacing w:line="276" w:lineRule="auto"/>
              <w:rPr>
                <w:rFonts w:ascii="Arial Narrow" w:hAnsi="Arial Narrow"/>
                <w:noProof/>
                <w:color w:val="006100"/>
                <w:sz w:val="20"/>
              </w:rPr>
            </w:pPr>
          </w:p>
          <w:p w14:paraId="1CA46E94" w14:textId="77777777" w:rsidR="003F5418" w:rsidRDefault="002A6C25">
            <w:pPr>
              <w:pStyle w:val="P68B1DB1-Normal4"/>
              <w:spacing w:line="276" w:lineRule="auto"/>
              <w:rPr>
                <w:noProof/>
              </w:rPr>
            </w:pPr>
            <w:r>
              <w:rPr>
                <w:noProof/>
              </w:rPr>
              <w:t>Az illegális vízkitermelésre vonatkozó szankcióre</w:t>
            </w:r>
            <w:r>
              <w:rPr>
                <w:noProof/>
              </w:rPr>
              <w:t>ndszer létrehozása</w:t>
            </w:r>
          </w:p>
          <w:p w14:paraId="6B32EA59" w14:textId="77777777" w:rsidR="003F5418" w:rsidRDefault="002A6C25">
            <w:pPr>
              <w:pStyle w:val="P68B1DB1-Normal4"/>
              <w:spacing w:line="276" w:lineRule="auto"/>
              <w:rPr>
                <w:noProof/>
              </w:rPr>
            </w:pPr>
            <w:r>
              <w:rPr>
                <w:noProof/>
              </w:rPr>
              <w:t>A víz-keretirányelv 4. cikkének (7) bekezdése szerinti hatásvizsgálat előírása az összes potenciálisan érintett víztestre gyakorolt (esetlegesen kumulatív) hatás értékelése céljából.</w:t>
            </w:r>
          </w:p>
          <w:p w14:paraId="3F74A363" w14:textId="2FA900D8" w:rsidR="003F5418" w:rsidRDefault="002A6C25">
            <w:pPr>
              <w:pStyle w:val="P68B1DB1-Normal4"/>
              <w:spacing w:line="276" w:lineRule="auto"/>
              <w:rPr>
                <w:noProof/>
              </w:rPr>
            </w:pPr>
            <w:r>
              <w:rPr>
                <w:noProof/>
              </w:rPr>
              <w:t>Annak biztosítása, hogy a meglévő öntözőrendszer e bőv</w:t>
            </w:r>
            <w:r>
              <w:rPr>
                <w:noProof/>
              </w:rPr>
              <w:t>ítése (többek között a víz fokozott használata, azaz nem csak a fizikai terjeszkedés révén) még hatékonyabb módszerekkel is elkerülhető legyen, ha az érintett víztestek (felszíni vagy felszín alatti vizek) (az éghajlatváltozás fokozódásával összefüggésben)</w:t>
            </w:r>
            <w:r>
              <w:rPr>
                <w:noProof/>
              </w:rPr>
              <w:t xml:space="preserve"> a jó vagy potenciálisan jó állapotnál rosszabb vagy potenciálisan jó állapotúak lesznek.</w:t>
            </w:r>
          </w:p>
        </w:tc>
      </w:tr>
      <w:tr w:rsidR="003F5418" w14:paraId="4507133D" w14:textId="77777777">
        <w:trPr>
          <w:trHeight w:val="309"/>
          <w:jc w:val="center"/>
        </w:trPr>
        <w:tc>
          <w:tcPr>
            <w:tcW w:w="1347" w:type="dxa"/>
            <w:tcBorders>
              <w:top w:val="nil"/>
              <w:left w:val="single" w:sz="4" w:space="0" w:color="auto"/>
              <w:bottom w:val="single" w:sz="4" w:space="0" w:color="auto"/>
              <w:right w:val="single" w:sz="4" w:space="0" w:color="auto"/>
            </w:tcBorders>
            <w:shd w:val="clear" w:color="auto" w:fill="C6EFCE"/>
            <w:noWrap/>
            <w:vAlign w:val="center"/>
            <w:hideMark/>
          </w:tcPr>
          <w:p w14:paraId="1CCBB6C0" w14:textId="77777777" w:rsidR="003F5418" w:rsidRDefault="002A6C25">
            <w:pPr>
              <w:pStyle w:val="P68B1DB1-Normal4"/>
              <w:spacing w:line="276" w:lineRule="auto"/>
              <w:jc w:val="center"/>
              <w:rPr>
                <w:noProof/>
              </w:rPr>
            </w:pPr>
            <w:r>
              <w:rPr>
                <w:noProof/>
              </w:rPr>
              <w:t>M2C4–5</w:t>
            </w:r>
          </w:p>
        </w:tc>
        <w:tc>
          <w:tcPr>
            <w:tcW w:w="1495" w:type="dxa"/>
            <w:tcBorders>
              <w:top w:val="single" w:sz="4" w:space="0" w:color="auto"/>
              <w:left w:val="nil"/>
              <w:bottom w:val="single" w:sz="4" w:space="0" w:color="auto"/>
              <w:right w:val="single" w:sz="4" w:space="0" w:color="auto"/>
            </w:tcBorders>
            <w:shd w:val="clear" w:color="auto" w:fill="C6EFCE"/>
            <w:noWrap/>
            <w:vAlign w:val="center"/>
            <w:hideMark/>
          </w:tcPr>
          <w:p w14:paraId="4E2EAC35" w14:textId="77777777" w:rsidR="003F5418" w:rsidRDefault="002A6C25">
            <w:pPr>
              <w:pStyle w:val="P68B1DB1-Normal4"/>
              <w:spacing w:line="276" w:lineRule="auto"/>
              <w:jc w:val="center"/>
              <w:rPr>
                <w:noProof/>
              </w:rPr>
            </w:pPr>
            <w:r>
              <w:rPr>
                <w:noProof/>
              </w:rPr>
              <w:t>Beruházás: A nemzeti parkok digitalizálása</w:t>
            </w:r>
          </w:p>
        </w:tc>
        <w:tc>
          <w:tcPr>
            <w:tcW w:w="1266" w:type="dxa"/>
            <w:tcBorders>
              <w:top w:val="nil"/>
              <w:left w:val="nil"/>
              <w:bottom w:val="single" w:sz="4" w:space="0" w:color="auto"/>
              <w:right w:val="single" w:sz="4" w:space="0" w:color="auto"/>
            </w:tcBorders>
            <w:shd w:val="clear" w:color="auto" w:fill="C6EFCE"/>
            <w:noWrap/>
            <w:vAlign w:val="center"/>
            <w:hideMark/>
          </w:tcPr>
          <w:p w14:paraId="6F913987" w14:textId="77777777" w:rsidR="003F5418" w:rsidRDefault="002A6C25">
            <w:pPr>
              <w:pStyle w:val="P68B1DB1-Normal4"/>
              <w:spacing w:line="276" w:lineRule="auto"/>
              <w:jc w:val="center"/>
              <w:rPr>
                <w:noProof/>
              </w:rPr>
            </w:pPr>
            <w:r>
              <w:rPr>
                <w:noProof/>
              </w:rPr>
              <w:t>Mérföldkő</w:t>
            </w:r>
          </w:p>
        </w:tc>
        <w:tc>
          <w:tcPr>
            <w:tcW w:w="1460" w:type="dxa"/>
            <w:tcBorders>
              <w:top w:val="single" w:sz="4" w:space="0" w:color="auto"/>
              <w:left w:val="nil"/>
              <w:bottom w:val="single" w:sz="4" w:space="0" w:color="auto"/>
              <w:right w:val="single" w:sz="4" w:space="0" w:color="auto"/>
            </w:tcBorders>
            <w:shd w:val="clear" w:color="auto" w:fill="C6EFCE"/>
            <w:noWrap/>
            <w:vAlign w:val="center"/>
            <w:hideMark/>
          </w:tcPr>
          <w:p w14:paraId="3158ECCD" w14:textId="77777777" w:rsidR="003F5418" w:rsidRDefault="002A6C25">
            <w:pPr>
              <w:pStyle w:val="P68B1DB1-Normal4"/>
              <w:spacing w:line="276" w:lineRule="auto"/>
              <w:jc w:val="center"/>
              <w:rPr>
                <w:noProof/>
              </w:rPr>
            </w:pPr>
            <w:r>
              <w:rPr>
                <w:noProof/>
              </w:rPr>
              <w:t xml:space="preserve">Az adminisztratív egyszerűsítés hatálybalépése és a nemzeti parkokba és védett tengeri területekbe látogatóknak </w:t>
            </w:r>
            <w:r>
              <w:rPr>
                <w:noProof/>
              </w:rPr>
              <w:t>nyújtott digitális szolgáltatások fejlesztése</w:t>
            </w:r>
          </w:p>
        </w:tc>
        <w:tc>
          <w:tcPr>
            <w:tcW w:w="1414" w:type="dxa"/>
            <w:tcBorders>
              <w:top w:val="nil"/>
              <w:left w:val="nil"/>
              <w:bottom w:val="single" w:sz="4" w:space="0" w:color="auto"/>
              <w:right w:val="single" w:sz="4" w:space="0" w:color="auto"/>
            </w:tcBorders>
            <w:shd w:val="clear" w:color="auto" w:fill="C6EFCE"/>
            <w:noWrap/>
            <w:vAlign w:val="center"/>
            <w:hideMark/>
          </w:tcPr>
          <w:p w14:paraId="3B813895" w14:textId="77777777" w:rsidR="003F5418" w:rsidRDefault="002A6C25">
            <w:pPr>
              <w:pStyle w:val="P68B1DB1-Normal4"/>
              <w:spacing w:line="276" w:lineRule="auto"/>
              <w:jc w:val="center"/>
              <w:rPr>
                <w:noProof/>
              </w:rPr>
            </w:pPr>
            <w:r>
              <w:rPr>
                <w:noProof/>
              </w:rPr>
              <w:t>A hatálybalépésről szóló miniszteri rendelet rendelkezése</w:t>
            </w:r>
          </w:p>
        </w:tc>
        <w:tc>
          <w:tcPr>
            <w:tcW w:w="1410" w:type="dxa"/>
            <w:tcBorders>
              <w:top w:val="nil"/>
              <w:left w:val="nil"/>
              <w:bottom w:val="single" w:sz="4" w:space="0" w:color="auto"/>
              <w:right w:val="single" w:sz="4" w:space="0" w:color="auto"/>
            </w:tcBorders>
            <w:shd w:val="clear" w:color="auto" w:fill="C6EFCE"/>
            <w:noWrap/>
            <w:vAlign w:val="center"/>
            <w:hideMark/>
          </w:tcPr>
          <w:p w14:paraId="67648A3D" w14:textId="77777777" w:rsidR="003F5418" w:rsidRDefault="002A6C25">
            <w:pPr>
              <w:pStyle w:val="P68B1DB1-Normal4"/>
              <w:spacing w:line="276" w:lineRule="auto"/>
              <w:jc w:val="center"/>
              <w:rPr>
                <w:noProof/>
              </w:rPr>
            </w:pPr>
            <w:r>
              <w:rPr>
                <w:noProof/>
              </w:rPr>
              <w:t>NINCS</w:t>
            </w:r>
          </w:p>
        </w:tc>
        <w:tc>
          <w:tcPr>
            <w:tcW w:w="1047" w:type="dxa"/>
            <w:tcBorders>
              <w:top w:val="nil"/>
              <w:left w:val="nil"/>
              <w:bottom w:val="single" w:sz="4" w:space="0" w:color="auto"/>
              <w:right w:val="single" w:sz="4" w:space="0" w:color="auto"/>
            </w:tcBorders>
            <w:shd w:val="clear" w:color="auto" w:fill="C6EFCE"/>
            <w:noWrap/>
            <w:vAlign w:val="center"/>
            <w:hideMark/>
          </w:tcPr>
          <w:p w14:paraId="17182566" w14:textId="77777777" w:rsidR="003F5418" w:rsidRDefault="002A6C25">
            <w:pPr>
              <w:pStyle w:val="P68B1DB1-Normal4"/>
              <w:spacing w:line="276" w:lineRule="auto"/>
              <w:jc w:val="center"/>
              <w:rPr>
                <w:noProof/>
              </w:rPr>
            </w:pPr>
            <w:r>
              <w:rPr>
                <w:noProof/>
              </w:rPr>
              <w:t>NINCS</w:t>
            </w:r>
          </w:p>
        </w:tc>
        <w:tc>
          <w:tcPr>
            <w:tcW w:w="719" w:type="dxa"/>
            <w:tcBorders>
              <w:top w:val="nil"/>
              <w:left w:val="nil"/>
              <w:bottom w:val="single" w:sz="4" w:space="0" w:color="auto"/>
              <w:right w:val="single" w:sz="4" w:space="0" w:color="auto"/>
            </w:tcBorders>
            <w:shd w:val="clear" w:color="auto" w:fill="C6EFCE"/>
            <w:noWrap/>
            <w:vAlign w:val="center"/>
            <w:hideMark/>
          </w:tcPr>
          <w:p w14:paraId="145F685D" w14:textId="77777777" w:rsidR="003F5418" w:rsidRDefault="002A6C25">
            <w:pPr>
              <w:pStyle w:val="P68B1DB1-Normal4"/>
              <w:spacing w:line="276" w:lineRule="auto"/>
              <w:jc w:val="center"/>
              <w:rPr>
                <w:noProof/>
              </w:rPr>
            </w:pPr>
            <w:r>
              <w:rPr>
                <w:noProof/>
              </w:rPr>
              <w:t>NINCS</w:t>
            </w:r>
          </w:p>
        </w:tc>
        <w:tc>
          <w:tcPr>
            <w:tcW w:w="809" w:type="dxa"/>
            <w:tcBorders>
              <w:top w:val="nil"/>
              <w:left w:val="nil"/>
              <w:bottom w:val="single" w:sz="4" w:space="0" w:color="auto"/>
              <w:right w:val="single" w:sz="4" w:space="0" w:color="auto"/>
            </w:tcBorders>
            <w:shd w:val="clear" w:color="auto" w:fill="C6EFCE"/>
            <w:noWrap/>
            <w:vAlign w:val="center"/>
            <w:hideMark/>
          </w:tcPr>
          <w:p w14:paraId="2B337501" w14:textId="77777777" w:rsidR="003F5418" w:rsidRDefault="002A6C25">
            <w:pPr>
              <w:pStyle w:val="P68B1DB1-Normal4"/>
              <w:spacing w:line="276" w:lineRule="auto"/>
              <w:jc w:val="center"/>
              <w:rPr>
                <w:noProof/>
              </w:rPr>
            </w:pPr>
            <w:r>
              <w:rPr>
                <w:noProof/>
              </w:rPr>
              <w:t>Q1</w:t>
            </w:r>
          </w:p>
        </w:tc>
        <w:tc>
          <w:tcPr>
            <w:tcW w:w="794" w:type="dxa"/>
            <w:tcBorders>
              <w:top w:val="nil"/>
              <w:left w:val="nil"/>
              <w:bottom w:val="single" w:sz="4" w:space="0" w:color="auto"/>
              <w:right w:val="single" w:sz="4" w:space="0" w:color="auto"/>
            </w:tcBorders>
            <w:shd w:val="clear" w:color="auto" w:fill="C6EFCE"/>
            <w:noWrap/>
            <w:vAlign w:val="center"/>
            <w:hideMark/>
          </w:tcPr>
          <w:p w14:paraId="701C6A32" w14:textId="77777777" w:rsidR="003F5418" w:rsidRDefault="002A6C25">
            <w:pPr>
              <w:pStyle w:val="P68B1DB1-Normal4"/>
              <w:spacing w:line="276" w:lineRule="auto"/>
              <w:jc w:val="center"/>
              <w:rPr>
                <w:noProof/>
              </w:rPr>
            </w:pPr>
            <w:r>
              <w:rPr>
                <w:noProof/>
              </w:rPr>
              <w:t>2022</w:t>
            </w:r>
          </w:p>
        </w:tc>
        <w:tc>
          <w:tcPr>
            <w:tcW w:w="2799" w:type="dxa"/>
            <w:tcBorders>
              <w:top w:val="nil"/>
              <w:left w:val="nil"/>
              <w:bottom w:val="single" w:sz="4" w:space="0" w:color="auto"/>
              <w:right w:val="single" w:sz="4" w:space="0" w:color="auto"/>
            </w:tcBorders>
            <w:shd w:val="clear" w:color="auto" w:fill="C6EFCE"/>
            <w:noWrap/>
            <w:vAlign w:val="center"/>
            <w:hideMark/>
          </w:tcPr>
          <w:p w14:paraId="0D230145" w14:textId="77777777" w:rsidR="003F5418" w:rsidRDefault="002A6C25">
            <w:pPr>
              <w:pStyle w:val="P68B1DB1-Normal4"/>
              <w:spacing w:line="276" w:lineRule="auto"/>
              <w:rPr>
                <w:noProof/>
              </w:rPr>
            </w:pPr>
            <w:r>
              <w:rPr>
                <w:noProof/>
              </w:rPr>
              <w:t>A miniszteri rendelet a nemzeti parkok és védett tengeri területek látogatói számára digitális szolgáltatások fejlesztését írj</w:t>
            </w:r>
            <w:r>
              <w:rPr>
                <w:noProof/>
              </w:rPr>
              <w:t>a elő.</w:t>
            </w:r>
          </w:p>
          <w:p w14:paraId="12F46659" w14:textId="77777777" w:rsidR="003F5418" w:rsidRDefault="003F5418">
            <w:pPr>
              <w:spacing w:line="276" w:lineRule="auto"/>
              <w:rPr>
                <w:rFonts w:ascii="Arial Narrow" w:hAnsi="Arial Narrow"/>
                <w:noProof/>
                <w:color w:val="006100"/>
                <w:sz w:val="20"/>
              </w:rPr>
            </w:pPr>
          </w:p>
        </w:tc>
      </w:tr>
    </w:tbl>
    <w:p w14:paraId="3B79D9C3" w14:textId="77777777" w:rsidR="003F5418" w:rsidRDefault="003F5418">
      <w:pPr>
        <w:spacing w:before="120" w:after="120"/>
        <w:ind w:left="709"/>
        <w:jc w:val="both"/>
        <w:rPr>
          <w:noProof/>
        </w:rPr>
      </w:pPr>
    </w:p>
    <w:p w14:paraId="4CA3D612" w14:textId="77777777" w:rsidR="003F5418" w:rsidRDefault="003F5418">
      <w:pPr>
        <w:spacing w:before="120" w:after="120"/>
        <w:ind w:left="709"/>
        <w:jc w:val="both"/>
        <w:rPr>
          <w:noProof/>
        </w:rPr>
        <w:sectPr w:rsidR="003F5418">
          <w:headerReference w:type="even" r:id="rId194"/>
          <w:headerReference w:type="default" r:id="rId195"/>
          <w:footerReference w:type="even" r:id="rId196"/>
          <w:footerReference w:type="default" r:id="rId197"/>
          <w:headerReference w:type="first" r:id="rId198"/>
          <w:footerReference w:type="first" r:id="rId199"/>
          <w:pgSz w:w="16838" w:h="11906" w:orient="landscape" w:code="9"/>
          <w:pgMar w:top="1134" w:right="1134" w:bottom="1134" w:left="1134" w:header="567" w:footer="567" w:gutter="0"/>
          <w:cols w:space="720"/>
          <w:docGrid w:linePitch="360"/>
        </w:sectPr>
      </w:pPr>
    </w:p>
    <w:p w14:paraId="44584E46"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G.3. </w:t>
      </w:r>
      <w:r>
        <w:rPr>
          <w:noProof/>
        </w:rPr>
        <w:t xml:space="preserve"> </w:t>
      </w:r>
      <w:r>
        <w:rPr>
          <w:b/>
          <w:i w:val="0"/>
          <w:noProof/>
          <w:u w:val="single"/>
        </w:rPr>
        <w:t xml:space="preserve">A hitelhez kapcsolódó reformok és beruházások ismertetése </w:t>
      </w:r>
    </w:p>
    <w:p w14:paraId="0ABFB630" w14:textId="3D0B999E" w:rsidR="003F5418" w:rsidRDefault="00544440">
      <w:pPr>
        <w:pStyle w:val="P68B1DB1-Normal2"/>
        <w:spacing w:before="120" w:after="120" w:line="257" w:lineRule="auto"/>
        <w:jc w:val="both"/>
        <w:rPr>
          <w:noProof/>
        </w:rPr>
      </w:pPr>
      <w:r>
        <w:rPr>
          <w:noProof/>
        </w:rPr>
        <w:t>3</w:t>
      </w:r>
      <w:r w:rsidRPr="00B07E42">
        <w:rPr>
          <w:noProof/>
        </w:rPr>
        <w:t>.1.</w:t>
      </w:r>
      <w:r>
        <w:rPr>
          <w:noProof/>
        </w:rPr>
        <w:t xml:space="preserve"> Reform A nemzeti levegőszennyezés-csökkentési programok elfogadása </w:t>
      </w:r>
    </w:p>
    <w:p w14:paraId="77BD1258" w14:textId="77777777" w:rsidR="003F5418" w:rsidRDefault="002A6C25">
      <w:pPr>
        <w:spacing w:before="120" w:after="120"/>
        <w:jc w:val="both"/>
        <w:rPr>
          <w:noProof/>
        </w:rPr>
      </w:pPr>
      <w:r>
        <w:rPr>
          <w:noProof/>
        </w:rPr>
        <w:t xml:space="preserve">A reform célja a nemzeti és regionális </w:t>
      </w:r>
      <w:r>
        <w:rPr>
          <w:noProof/>
        </w:rPr>
        <w:t xml:space="preserve">jogszabályok összehangolása, valamint a légszennyező anyagok kibocsátásának csökkentésére irányuló kapcsolódó intézkedések bevezetése (a nemzeti kibocsátási határértékekről és az éghajlati gázok módosításáról szóló (EU) 2016/2284 irányelvben meghatározott </w:t>
      </w:r>
      <w:r>
        <w:rPr>
          <w:noProof/>
        </w:rPr>
        <w:t>célokkal összhangban).</w:t>
      </w:r>
    </w:p>
    <w:p w14:paraId="2B75C20A" w14:textId="36956396" w:rsidR="003F5418" w:rsidRDefault="00544440">
      <w:pPr>
        <w:pStyle w:val="P68B1DB1-Normal2"/>
        <w:spacing w:before="120" w:after="120" w:line="257" w:lineRule="auto"/>
        <w:jc w:val="both"/>
        <w:rPr>
          <w:noProof/>
        </w:rPr>
      </w:pPr>
      <w:r>
        <w:rPr>
          <w:noProof/>
        </w:rPr>
        <w:t>1</w:t>
      </w:r>
      <w:r w:rsidRPr="00B07E42">
        <w:rPr>
          <w:noProof/>
        </w:rPr>
        <w:t>.1.</w:t>
      </w:r>
      <w:r>
        <w:rPr>
          <w:noProof/>
        </w:rPr>
        <w:t xml:space="preserve"> Beruházás: Fejlett és integrált monitoring- és előrejelzési rendszer bevezetése</w:t>
      </w:r>
    </w:p>
    <w:p w14:paraId="5FA1CE13" w14:textId="77777777" w:rsidR="003F5418" w:rsidRDefault="002A6C25">
      <w:pPr>
        <w:spacing w:before="120" w:after="120"/>
        <w:jc w:val="both"/>
        <w:rPr>
          <w:noProof/>
        </w:rPr>
      </w:pPr>
      <w:r>
        <w:rPr>
          <w:noProof/>
        </w:rPr>
        <w:t>A beruházásnak ki kell dolgoznia egy nyomonkövetési rendszert az éghajlatváltozásból és a nem megfelelő területrendezésből eredő kockázatok azonosít</w:t>
      </w:r>
      <w:r>
        <w:rPr>
          <w:noProof/>
        </w:rPr>
        <w:t>ására és előrejelzésére a fejlett technológiák használata révén. E technológiáknak lehetővé kell tenniük a nagy területi sávok távellenőrzését, megteremtve a kockázatmegelőzési tervek kidolgozásának alapját, beleértve a meglévő infrastruktúra megerősítését</w:t>
      </w:r>
      <w:r>
        <w:rPr>
          <w:noProof/>
        </w:rPr>
        <w:t xml:space="preserve"> és az illegális hulladékártalmatlanítás azonosítását. Az e célok elérése érdekében kifejlesztendő fő eszközök a téradatok műholdas megfigyelési rendszerek, drónok, távoli érzékelők segítségével történő gyűjtése és az információs rendszerek integrálása; a </w:t>
      </w:r>
      <w:r>
        <w:rPr>
          <w:noProof/>
        </w:rPr>
        <w:t>legfejlettebb biztonsági követelményekkel rendelkező távközlési hálózatok; központi és regionális irányítótermek létrehozása a helyszínen gyűjtött információkhoz való hozzáférés érdekében; valamint a kibertámadásokkal szembeni védelmet szolgáló kiberbizton</w:t>
      </w:r>
      <w:r>
        <w:rPr>
          <w:noProof/>
        </w:rPr>
        <w:t>sági rendszerek és szolgáltatások. A beavatkozásokra elsősorban a déli nyolc régióban kerül sor.</w:t>
      </w:r>
    </w:p>
    <w:p w14:paraId="5D6BA3F0" w14:textId="657CD542" w:rsidR="003F5418" w:rsidRDefault="00544440">
      <w:pPr>
        <w:pStyle w:val="P68B1DB1-Normal2"/>
        <w:spacing w:before="120" w:after="120" w:line="257" w:lineRule="auto"/>
        <w:jc w:val="both"/>
        <w:rPr>
          <w:noProof/>
        </w:rPr>
      </w:pPr>
      <w:r>
        <w:rPr>
          <w:noProof/>
        </w:rPr>
        <w:t>2</w:t>
      </w:r>
      <w:r w:rsidRPr="00B07E42">
        <w:rPr>
          <w:noProof/>
        </w:rPr>
        <w:t>.1.</w:t>
      </w:r>
      <w:r>
        <w:rPr>
          <w:noProof/>
        </w:rPr>
        <w:t xml:space="preserve"> Beruházás: Az árvíz- és hidrogeológiai kockázatok csökkentésére irányuló intézkedések</w:t>
      </w:r>
    </w:p>
    <w:p w14:paraId="057D23C1" w14:textId="77777777" w:rsidR="003F5418" w:rsidRDefault="002A6C25">
      <w:pPr>
        <w:spacing w:after="120"/>
        <w:jc w:val="both"/>
        <w:rPr>
          <w:noProof/>
        </w:rPr>
      </w:pPr>
      <w:r>
        <w:rPr>
          <w:noProof/>
        </w:rPr>
        <w:t>Olaszország területét jelentős hidrogeológiai instabilitás jellemzi,</w:t>
      </w:r>
      <w:r>
        <w:rPr>
          <w:noProof/>
        </w:rPr>
        <w:t xml:space="preserve"> amelyet az éghajlatváltozás hatásai tovább súlyosbítottak. Ez a kockázat nemcsak az életminőségre, hanem az e kockázatnak leginkább kitett területek gazdasági tevékenységére is káros hatással van.</w:t>
      </w:r>
    </w:p>
    <w:p w14:paraId="2CD1565E" w14:textId="77777777" w:rsidR="003F5418" w:rsidRDefault="002A6C25">
      <w:pPr>
        <w:spacing w:after="120"/>
        <w:jc w:val="both"/>
        <w:rPr>
          <w:noProof/>
        </w:rPr>
      </w:pPr>
      <w:r>
        <w:rPr>
          <w:noProof/>
        </w:rPr>
        <w:t>Ez az intézkedés két cselekvési irányból áll: a 2023. máju</w:t>
      </w:r>
      <w:r>
        <w:rPr>
          <w:noProof/>
        </w:rPr>
        <w:t xml:space="preserve">si áradások által érintett Emilia Romagna, Toszkána és Marche területek újjáépítéséért </w:t>
      </w:r>
      <w:r>
        <w:rPr>
          <w:i/>
          <w:noProof/>
        </w:rPr>
        <w:t xml:space="preserve"> felelős biztos</w:t>
      </w:r>
      <w:r>
        <w:rPr>
          <w:noProof/>
        </w:rPr>
        <w:t xml:space="preserve"> </w:t>
      </w:r>
      <w:r>
        <w:rPr>
          <w:i/>
          <w:noProof/>
        </w:rPr>
        <w:t xml:space="preserve"> (Commissario per la ricostruzione nel territorio della regione Emilia Romagna, Toscana e Marche)</w:t>
      </w:r>
      <w:r>
        <w:rPr>
          <w:noProof/>
        </w:rPr>
        <w:t xml:space="preserve"> mint felelős igazgatás. </w:t>
      </w:r>
    </w:p>
    <w:p w14:paraId="75EB10EA" w14:textId="77777777" w:rsidR="003F5418" w:rsidRDefault="002A6C25">
      <w:pPr>
        <w:spacing w:after="120"/>
        <w:jc w:val="both"/>
        <w:rPr>
          <w:noProof/>
        </w:rPr>
      </w:pPr>
      <w:r>
        <w:rPr>
          <w:noProof/>
        </w:rPr>
        <w:t>Ami az első cselekvési irányvo</w:t>
      </w:r>
      <w:r>
        <w:rPr>
          <w:noProof/>
        </w:rPr>
        <w:t>nalat illeti, széles körű és átfogó beavatkozáscsomagot kell végrehajtani a megrongálódott állami struktúrák és infrastruktúrák helyreállítása érdekében (E. típusú beavatkozások), valamint az eseményhez szorosan kapcsolódó, elsősorban a köz- és magánbizton</w:t>
      </w:r>
      <w:r>
        <w:rPr>
          <w:noProof/>
        </w:rPr>
        <w:t>ság védelmét célzó fennmaradó kockázat csökkentése érdekében (D típusú beavatkozások).</w:t>
      </w:r>
    </w:p>
    <w:p w14:paraId="55F4C6C2" w14:textId="77777777" w:rsidR="003F5418" w:rsidRDefault="002A6C25">
      <w:pPr>
        <w:spacing w:after="120"/>
        <w:jc w:val="both"/>
        <w:rPr>
          <w:noProof/>
        </w:rPr>
      </w:pPr>
      <w:r>
        <w:rPr>
          <w:noProof/>
        </w:rPr>
        <w:t>A második cselekvési irányvonal a szükséghelyzeti biztos által azonosított beavatkozásokat foglalja magában, különösen Ascoli Piceno, Bologna, Ferrara, Fermo, Firenze, F</w:t>
      </w:r>
      <w:r>
        <w:rPr>
          <w:noProof/>
        </w:rPr>
        <w:t xml:space="preserve">orli-Cesena, Modena, Pesaro-Urbino, Ravenna, Reggio-Emilia és Rimini tartományokban. </w:t>
      </w:r>
    </w:p>
    <w:p w14:paraId="2A79F418" w14:textId="77777777" w:rsidR="003F5418" w:rsidRDefault="002A6C25">
      <w:pPr>
        <w:spacing w:after="120"/>
        <w:jc w:val="both"/>
        <w:rPr>
          <w:noProof/>
        </w:rPr>
      </w:pPr>
      <w:r>
        <w:rPr>
          <w:noProof/>
        </w:rPr>
        <w:t>A beavatkozások a következőkre vonatkoznak:</w:t>
      </w:r>
    </w:p>
    <w:p w14:paraId="2395FA9D" w14:textId="75C2CEF5" w:rsidR="003F5418" w:rsidRDefault="002A6C25">
      <w:pPr>
        <w:pStyle w:val="ListParagraph"/>
        <w:numPr>
          <w:ilvl w:val="0"/>
          <w:numId w:val="96"/>
        </w:numPr>
        <w:spacing w:before="0"/>
        <w:rPr>
          <w:noProof/>
        </w:rPr>
      </w:pPr>
      <w:r>
        <w:rPr>
          <w:noProof/>
        </w:rPr>
        <w:t>A vízi utak helyreállítására, valamint az árvizek és földcsuszamlások elleni védelem fokozására irányuló beavatkozások. A beav</w:t>
      </w:r>
      <w:r>
        <w:rPr>
          <w:noProof/>
        </w:rPr>
        <w:t>atkozásoknak lehetőség szerint magukban kell foglalniuk a természetalapú megoldásokat, és előirányozhatják az áradással szállított anyagok újrafelhasználását. A beavatkozásoknak a lehető legnagyobb mértékben elő kell mozdítaniuk a fenntartható talaj- és fö</w:t>
      </w:r>
      <w:r>
        <w:rPr>
          <w:noProof/>
        </w:rPr>
        <w:t>ldgazdálkodási gyakorlatok elfogadását a talajok hosszú távú ellenálló képességének támogatása, a talajromlás megállítása és az éghajlatváltozás hatásainak enyhítése érdekében;</w:t>
      </w:r>
    </w:p>
    <w:p w14:paraId="4BBC0DDC" w14:textId="4B94FFF8" w:rsidR="003F5418" w:rsidRDefault="002A6C25">
      <w:pPr>
        <w:pStyle w:val="ListParagraph"/>
        <w:numPr>
          <w:ilvl w:val="0"/>
          <w:numId w:val="96"/>
        </w:numPr>
        <w:spacing w:before="0"/>
        <w:contextualSpacing w:val="0"/>
        <w:rPr>
          <w:noProof/>
        </w:rPr>
      </w:pPr>
      <w:r>
        <w:rPr>
          <w:noProof/>
        </w:rPr>
        <w:t>A közlekedési hálózat rehabilitációs beavatkozásai. A beavatkozások magukban fo</w:t>
      </w:r>
      <w:r>
        <w:rPr>
          <w:noProof/>
        </w:rPr>
        <w:t>glalhatnak olyan kiegészítő infrastruktúrákat (többek között hidakat), amelyek kárt szenvedtek és javításra szorulnak;</w:t>
      </w:r>
    </w:p>
    <w:p w14:paraId="086C8CF0" w14:textId="77777777" w:rsidR="003F5418" w:rsidRDefault="002A6C25">
      <w:pPr>
        <w:pStyle w:val="ListParagraph"/>
        <w:numPr>
          <w:ilvl w:val="0"/>
          <w:numId w:val="96"/>
        </w:numPr>
        <w:spacing w:before="0"/>
        <w:rPr>
          <w:noProof/>
        </w:rPr>
      </w:pPr>
      <w:r>
        <w:rPr>
          <w:noProof/>
        </w:rPr>
        <w:t>Középületek, többek között közházak és egészségügyi központok helyreállítására irányuló beavatkozások.</w:t>
      </w:r>
    </w:p>
    <w:p w14:paraId="476788C3" w14:textId="77777777" w:rsidR="003F5418" w:rsidRDefault="002A6C25">
      <w:pPr>
        <w:spacing w:after="120"/>
        <w:jc w:val="both"/>
        <w:rPr>
          <w:noProof/>
        </w:rPr>
      </w:pPr>
      <w:r>
        <w:rPr>
          <w:noProof/>
        </w:rPr>
        <w:t>Ez az intézkedés várhatóan nem sér</w:t>
      </w:r>
      <w:r>
        <w:rPr>
          <w:noProof/>
        </w:rPr>
        <w:t>ti jelentősen a környezeti célkitűzéseket az (EU) 2020/852 rendelet 17. cikke értelmében, figyelembe véve az intézkedés leírását és a helyreállítási és rezilienciaépítési tervben a jelentős károkozás elkerülését célzó technikai iránymutatással (2021/C58/01</w:t>
      </w:r>
      <w:r>
        <w:rPr>
          <w:noProof/>
        </w:rPr>
        <w:t>) összhangban meghatározott enyhítő lépéseket. A beruházás nem irányozhatja elő gázkazánok telepítését vagy cseréjét, illetve járművek beszerzését.</w:t>
      </w:r>
    </w:p>
    <w:p w14:paraId="69F675CE" w14:textId="1319C4E2" w:rsidR="003F5418" w:rsidRDefault="00544440">
      <w:pPr>
        <w:pStyle w:val="P68B1DB1-Normal2"/>
        <w:spacing w:before="120" w:after="120" w:line="257" w:lineRule="auto"/>
        <w:jc w:val="both"/>
        <w:rPr>
          <w:noProof/>
        </w:rPr>
      </w:pPr>
      <w:r>
        <w:rPr>
          <w:noProof/>
        </w:rPr>
        <w:t>3</w:t>
      </w:r>
      <w:r w:rsidRPr="00B07E42">
        <w:rPr>
          <w:noProof/>
        </w:rPr>
        <w:t>.1.</w:t>
      </w:r>
      <w:r>
        <w:rPr>
          <w:noProof/>
        </w:rPr>
        <w:t xml:space="preserve"> Beruházás: A városi és városkörnyéki erdők védelme és fejlesztése </w:t>
      </w:r>
    </w:p>
    <w:p w14:paraId="2F125F4A" w14:textId="17A208D9" w:rsidR="003F5418" w:rsidRDefault="002A6C25">
      <w:pPr>
        <w:spacing w:before="120" w:after="120"/>
        <w:jc w:val="both"/>
        <w:rPr>
          <w:noProof/>
        </w:rPr>
      </w:pPr>
      <w:r>
        <w:rPr>
          <w:noProof/>
        </w:rPr>
        <w:t>Ezen intézkedés célja a zöld terület</w:t>
      </w:r>
      <w:r>
        <w:rPr>
          <w:noProof/>
        </w:rPr>
        <w:t xml:space="preserve">ek védelme és számuk növelése azzal a céllal, hogy megőrizze és javítsa a biológiai sokféleséget, valamint javítsa e területek lakosainak életminőségét. Az intézkedések Olaszország 14 nagyvárosára összpontosítanak, amelyek a leginkább ki vannak téve olyan </w:t>
      </w:r>
      <w:r>
        <w:rPr>
          <w:noProof/>
        </w:rPr>
        <w:t>környezeti problémáknak, mint a légszennyezés, a biológiai sokféleség csökkenése vagy az éghajlatváltozás hatásai. E területeken erdészeti szaporítóanyagot (magokat vagy növényeket) kell ültetni legalább 4500000 fával és cserjékkel (4500 hektáron belül), é</w:t>
      </w:r>
      <w:r>
        <w:rPr>
          <w:noProof/>
        </w:rPr>
        <w:t>s végső rendeltetési helyükre legalább 3,5 millió fát át kell ültetni.</w:t>
      </w:r>
    </w:p>
    <w:p w14:paraId="6EDE7298" w14:textId="77777777" w:rsidR="003F5418" w:rsidRDefault="002A6C25">
      <w:pPr>
        <w:spacing w:before="120" w:after="120"/>
        <w:jc w:val="both"/>
        <w:rPr>
          <w:noProof/>
        </w:rPr>
      </w:pPr>
      <w:r>
        <w:rPr>
          <w:noProof/>
        </w:rPr>
        <w:t>A beavatkozásoknak egy városi erdőtelepítési terv elfogadását kell követniük, amelynek célja a biológiai sokféleség megőrzése és javítása az európai biodiverzitási stratégiával összhang</w:t>
      </w:r>
      <w:r>
        <w:rPr>
          <w:noProof/>
        </w:rPr>
        <w:t xml:space="preserve">ban, a nagyvárosi területek légszennyezésének csökkentése, valamint a levegőminőséggel kapcsolatos jogsértési eljárások számának csökkentése. </w:t>
      </w:r>
    </w:p>
    <w:p w14:paraId="66DF33D1" w14:textId="15E76C39" w:rsidR="003F5418" w:rsidRDefault="00544440">
      <w:pPr>
        <w:pStyle w:val="P68B1DB1-Normal2"/>
        <w:spacing w:before="120" w:after="120" w:line="257" w:lineRule="auto"/>
        <w:jc w:val="both"/>
        <w:rPr>
          <w:noProof/>
        </w:rPr>
      </w:pPr>
      <w:r>
        <w:rPr>
          <w:noProof/>
        </w:rPr>
        <w:t>3</w:t>
      </w:r>
      <w:r w:rsidRPr="00B07E42">
        <w:rPr>
          <w:noProof/>
        </w:rPr>
        <w:t>.</w:t>
      </w:r>
      <w:r>
        <w:rPr>
          <w:noProof/>
        </w:rPr>
        <w:t>3</w:t>
      </w:r>
      <w:r w:rsidRPr="00B07E42">
        <w:rPr>
          <w:noProof/>
        </w:rPr>
        <w:t>.</w:t>
      </w:r>
      <w:r>
        <w:rPr>
          <w:noProof/>
        </w:rPr>
        <w:t xml:space="preserve"> Beruházás – A Po terület újranaturálása</w:t>
      </w:r>
    </w:p>
    <w:p w14:paraId="1BD3C9D8" w14:textId="77777777" w:rsidR="003F5418" w:rsidRDefault="002A6C25">
      <w:pPr>
        <w:spacing w:before="120" w:after="120"/>
        <w:jc w:val="both"/>
        <w:rPr>
          <w:noProof/>
        </w:rPr>
      </w:pPr>
      <w:r>
        <w:rPr>
          <w:noProof/>
        </w:rPr>
        <w:t xml:space="preserve">A Pó-övezetet 1970 óta túlzott vízszennyezés, talajfogyasztás és a </w:t>
      </w:r>
      <w:r>
        <w:rPr>
          <w:noProof/>
        </w:rPr>
        <w:t>folyómederben végzett bányászat jellemzi. Mindezen problémák negatívan érintették egyes természetes élőhelyeiket, és növelték a hidrogeológiai kockázatot.</w:t>
      </w:r>
    </w:p>
    <w:p w14:paraId="26F3330B" w14:textId="77777777" w:rsidR="003F5418" w:rsidRDefault="002A6C25">
      <w:pPr>
        <w:spacing w:before="120" w:after="120"/>
        <w:jc w:val="both"/>
        <w:rPr>
          <w:noProof/>
        </w:rPr>
      </w:pPr>
      <w:r>
        <w:rPr>
          <w:noProof/>
        </w:rPr>
        <w:t>Ezen intézkedés célja a természetes folyamatok újraindítása és a biológiai sokféleség helyreállításán</w:t>
      </w:r>
      <w:r>
        <w:rPr>
          <w:noProof/>
        </w:rPr>
        <w:t xml:space="preserve">ak ösztönzése. Ez biztosítaná a folyó helyreállítását és a vízkészletek hatékonyabb, fenntartható és hatékonyabb felhasználását.  </w:t>
      </w:r>
    </w:p>
    <w:p w14:paraId="5AFA0316" w14:textId="66177E6C" w:rsidR="003F5418" w:rsidRDefault="00544440">
      <w:pPr>
        <w:pStyle w:val="P68B1DB1-Normal2"/>
        <w:spacing w:before="120" w:after="120" w:line="257" w:lineRule="auto"/>
        <w:jc w:val="both"/>
        <w:rPr>
          <w:noProof/>
        </w:rPr>
      </w:pPr>
      <w:r>
        <w:rPr>
          <w:noProof/>
        </w:rPr>
        <w:t>3</w:t>
      </w:r>
      <w:r w:rsidRPr="00B07E42">
        <w:rPr>
          <w:noProof/>
        </w:rPr>
        <w:t>.</w:t>
      </w:r>
      <w:r>
        <w:rPr>
          <w:noProof/>
        </w:rPr>
        <w:t>4</w:t>
      </w:r>
      <w:r w:rsidRPr="00B07E42">
        <w:rPr>
          <w:noProof/>
        </w:rPr>
        <w:t>.</w:t>
      </w:r>
      <w:r>
        <w:rPr>
          <w:noProof/>
        </w:rPr>
        <w:t xml:space="preserve"> Beruházás: A gazdátlan területek helyreállítása</w:t>
      </w:r>
    </w:p>
    <w:p w14:paraId="445557E1" w14:textId="77777777" w:rsidR="003F5418" w:rsidRDefault="002A6C25">
      <w:pPr>
        <w:spacing w:before="120" w:after="120"/>
        <w:jc w:val="both"/>
        <w:rPr>
          <w:noProof/>
        </w:rPr>
      </w:pPr>
      <w:r>
        <w:rPr>
          <w:noProof/>
        </w:rPr>
        <w:t>Az ipari szennyezés számos úgynevezett „árvaföldet” hozott létre, amelye</w:t>
      </w:r>
      <w:r>
        <w:rPr>
          <w:noProof/>
        </w:rPr>
        <w:t xml:space="preserve">k jelentős kockázatot jelentenek az egészségre nézve, és súlyos következményekkel járnak az érintett lakosság életminőségére nézve. </w:t>
      </w:r>
    </w:p>
    <w:p w14:paraId="19193A5E" w14:textId="77777777" w:rsidR="003F5418" w:rsidRDefault="002A6C25">
      <w:pPr>
        <w:spacing w:before="120" w:after="120"/>
        <w:jc w:val="both"/>
        <w:rPr>
          <w:noProof/>
        </w:rPr>
      </w:pPr>
      <w:r>
        <w:rPr>
          <w:noProof/>
        </w:rPr>
        <w:t>E beavatkozás célja e földterületek helyreállítása, csökkentve a környezeti hatásokat és előmozdítva a körforgásos gazdaság</w:t>
      </w:r>
      <w:r>
        <w:rPr>
          <w:noProof/>
        </w:rPr>
        <w:t>ot. A projektnek a rendelkezésre álló legjobb innovatív vizsgálati technológiákat kell felhasználnia a helyreállítás iránti valós igények azonosítására és e területek – többek között a lakhatás – fejlesztésének lehetővé tételére.</w:t>
      </w:r>
    </w:p>
    <w:p w14:paraId="77E0E3A3" w14:textId="77777777" w:rsidR="003F5418" w:rsidRDefault="002A6C25">
      <w:pPr>
        <w:spacing w:before="120" w:after="120"/>
        <w:jc w:val="both"/>
        <w:rPr>
          <w:noProof/>
        </w:rPr>
      </w:pPr>
      <w:r>
        <w:rPr>
          <w:noProof/>
        </w:rPr>
        <w:t>Ez az intézkedés először a</w:t>
      </w:r>
      <w:r>
        <w:rPr>
          <w:noProof/>
        </w:rPr>
        <w:t xml:space="preserve"> gazdátlan területek újjáélesztésére irányuló cselekvési terv elfogadását jelenti a területelvonás csökkentése és a városrehabilitáció fokozása érdekében. A terv mind a 21 régióban és autonóm tartományban azonosítja a gazdátlan területeket, és meghatározza</w:t>
      </w:r>
      <w:r>
        <w:rPr>
          <w:noProof/>
        </w:rPr>
        <w:t xml:space="preserve"> a végrehajtandó konkrét beavatkozásokat.</w:t>
      </w:r>
    </w:p>
    <w:p w14:paraId="0989ECF6" w14:textId="50C89D00" w:rsidR="003F5418" w:rsidRDefault="00544440">
      <w:pPr>
        <w:pStyle w:val="P68B1DB1-Normal2"/>
        <w:spacing w:before="120" w:after="120" w:line="257" w:lineRule="auto"/>
        <w:jc w:val="both"/>
        <w:rPr>
          <w:noProof/>
        </w:rPr>
      </w:pPr>
      <w:r>
        <w:rPr>
          <w:noProof/>
        </w:rPr>
        <w:t>3</w:t>
      </w:r>
      <w:r w:rsidRPr="00B07E42">
        <w:rPr>
          <w:noProof/>
        </w:rPr>
        <w:t>.</w:t>
      </w:r>
      <w:r>
        <w:rPr>
          <w:noProof/>
        </w:rPr>
        <w:t>5</w:t>
      </w:r>
      <w:r w:rsidRPr="00B07E42">
        <w:rPr>
          <w:noProof/>
        </w:rPr>
        <w:t>.</w:t>
      </w:r>
      <w:r>
        <w:rPr>
          <w:noProof/>
        </w:rPr>
        <w:t xml:space="preserve"> Beruházás: A tengerfenék és a tengeri élőhelyek helyreállítása és védelme</w:t>
      </w:r>
    </w:p>
    <w:p w14:paraId="0B545FE1" w14:textId="77777777" w:rsidR="003F5418" w:rsidRDefault="002A6C25">
      <w:pPr>
        <w:spacing w:before="120" w:after="120"/>
        <w:jc w:val="both"/>
        <w:rPr>
          <w:noProof/>
        </w:rPr>
      </w:pPr>
      <w:r>
        <w:rPr>
          <w:noProof/>
        </w:rPr>
        <w:t>Ez az intézkedés a tengerfenék és a tengeri élőhelyek helyreállítására és védelmére irányuló nagyszabású intézkedéseket foglal magában,</w:t>
      </w:r>
      <w:r>
        <w:rPr>
          <w:noProof/>
        </w:rPr>
        <w:t xml:space="preserve"> amelyek célja ezen ökoszisztémák folyamatos romlásának visszafordítása. </w:t>
      </w:r>
    </w:p>
    <w:p w14:paraId="3EEEEB4B" w14:textId="77777777" w:rsidR="003F5418" w:rsidRDefault="002A6C25">
      <w:pPr>
        <w:spacing w:before="120" w:after="120"/>
        <w:jc w:val="both"/>
        <w:rPr>
          <w:noProof/>
        </w:rPr>
      </w:pPr>
      <w:r>
        <w:rPr>
          <w:noProof/>
        </w:rPr>
        <w:t>A végrehajtandó konkrét intézkedések magukban foglalják a tengerfenéki élőhelyek megfelelő feltérképezését és a környezeti megfigyelést. A nagyszabású helyreállítási és védelmi intéz</w:t>
      </w:r>
      <w:r>
        <w:rPr>
          <w:noProof/>
        </w:rPr>
        <w:t>kedések megfelelő tervezésének és végrehajtásának biztosítása érdekében meg kell erősíteni a tengeri és part menti ökoszisztémákra vonatkozó nemzeti kutatási és megfigyelési rendszert. Emellett meg kell erősíteni a tengeri megfigyelési platformokat a tenge</w:t>
      </w:r>
      <w:r>
        <w:rPr>
          <w:noProof/>
        </w:rPr>
        <w:t>ri környezet nyomon követésére és különösen az éghajlatváltozási forgatókönyv szerinti védelmi és gazdálkodási intézkedések hatékonyságának értékelésére szolgáló műszaki-tudományos kapacitás növelése érdekében. Az ilyen beruházásoknak ezt követően lehetővé</w:t>
      </w:r>
      <w:r>
        <w:rPr>
          <w:noProof/>
        </w:rPr>
        <w:t xml:space="preserve"> kell tenniük az olasz tengervizek érzékeny élőhelyeinek szisztematikus és átfogó feltérképezését a környezet helyreállítása és a védett területek kijelölése érdekében, a biológiai sokféleséggel kapcsolatos 2013. évi uniós stratégiával és a tengervédelmi s</w:t>
      </w:r>
      <w:r>
        <w:rPr>
          <w:noProof/>
        </w:rPr>
        <w:t xml:space="preserve">tratégiáról szóló keretirányelvvel összhangban. </w:t>
      </w:r>
    </w:p>
    <w:p w14:paraId="6EC56AB2" w14:textId="77777777" w:rsidR="003F5418" w:rsidRDefault="002A6C25">
      <w:pPr>
        <w:spacing w:before="120" w:after="120"/>
        <w:jc w:val="both"/>
        <w:rPr>
          <w:noProof/>
        </w:rPr>
      </w:pPr>
      <w:r>
        <w:rPr>
          <w:noProof/>
        </w:rPr>
        <w:t>Az intézkedés várhatóan nem sérti jelentősen az (EU) 2020/852 rendelet 17. cikke szerinti környezetvédelmi célkitűzéseket, figyelembe véve az intézkedés leírását és a helyreállítási és rezilienciaépítési ter</w:t>
      </w:r>
      <w:r>
        <w:rPr>
          <w:noProof/>
        </w:rPr>
        <w:t>vben meghatározott enyhítő lépéseket a jelentős károkozás elkerülését célzó elvről szóló technikai iránymutatásnak (2021/C58/01) megfelelően. A tengeri ökoszisztémákkal kapcsolatos kutatási tevékenységek révén az intézkedés magában foglalhatja tudományos f</w:t>
      </w:r>
      <w:r>
        <w:rPr>
          <w:noProof/>
        </w:rPr>
        <w:t>elszerelések és/vagy hajók beszerzését. Különösen az újonnan épített hajók fogják használni a rendelkezésre álló legfejlettebb technológiákat, a lehető legnagyobb mértékben biztosítva a környezetszennyezés megelőzését és csökkentését.</w:t>
      </w:r>
    </w:p>
    <w:p w14:paraId="269B0F53" w14:textId="3B3BF785" w:rsidR="003F5418" w:rsidRDefault="00544440">
      <w:pPr>
        <w:pStyle w:val="P68B1DB1-Normal2"/>
        <w:spacing w:before="120" w:after="120" w:line="257" w:lineRule="auto"/>
        <w:jc w:val="both"/>
        <w:rPr>
          <w:rFonts w:eastAsia="Calibri"/>
          <w:noProof/>
        </w:rPr>
      </w:pPr>
      <w:r w:rsidRPr="00B07E42">
        <w:rPr>
          <w:noProof/>
        </w:rPr>
        <w:t>4.1.</w:t>
      </w:r>
      <w:r>
        <w:rPr>
          <w:noProof/>
        </w:rPr>
        <w:t xml:space="preserve"> Reform: A jogszabályok egyszerűsítése és az irányítás megerősítése a vízellátási infrastruktúrákba történő beruházások végrehajtása érdekében</w:t>
      </w:r>
    </w:p>
    <w:p w14:paraId="25A7A2EB" w14:textId="77777777" w:rsidR="003F5418" w:rsidRDefault="002A6C25">
      <w:pPr>
        <w:pStyle w:val="P68B1DB1-Paragrafoelenco122"/>
        <w:spacing w:after="120" w:line="240" w:lineRule="auto"/>
        <w:ind w:left="0"/>
        <w:jc w:val="both"/>
        <w:rPr>
          <w:noProof/>
        </w:rPr>
      </w:pPr>
      <w:r>
        <w:rPr>
          <w:noProof/>
        </w:rPr>
        <w:t xml:space="preserve">A jelenlegi szabályozási keret és a gazdálkodás jelenlegi széttöredezettsége negatív hatással van a vízellátási infrastruktúrákba </w:t>
      </w:r>
      <w:r>
        <w:rPr>
          <w:noProof/>
        </w:rPr>
        <w:t xml:space="preserve">történő beruházások tervezésének és végrehajtásának kapacitására. </w:t>
      </w:r>
    </w:p>
    <w:p w14:paraId="2B21DAF4" w14:textId="77777777" w:rsidR="003F5418" w:rsidRDefault="002A6C25">
      <w:pPr>
        <w:suppressAutoHyphens/>
        <w:jc w:val="both"/>
        <w:rPr>
          <w:noProof/>
        </w:rPr>
      </w:pPr>
      <w:r>
        <w:rPr>
          <w:noProof/>
        </w:rPr>
        <w:t>E reform célja, hogy egyszerűsítse és hatékonyabbá tegye a jogi keretet, és szükség esetén segítséget nyújtson azoknak a végrehajtó szerveknek, amelyek nem rendelkeznek elegendő kapacitássa</w:t>
      </w:r>
      <w:r>
        <w:rPr>
          <w:noProof/>
        </w:rPr>
        <w:t>l ahhoz, hogy ezeket a beruházásokat az eredetileg meghatározott határidőkön belül megvalósítsák és befejezzék.</w:t>
      </w:r>
    </w:p>
    <w:p w14:paraId="4CD9845A" w14:textId="77777777" w:rsidR="003F5418" w:rsidRDefault="003F5418">
      <w:pPr>
        <w:pStyle w:val="Paragrafoelenco1"/>
        <w:spacing w:after="120" w:line="240" w:lineRule="auto"/>
        <w:ind w:left="0"/>
        <w:jc w:val="both"/>
        <w:rPr>
          <w:noProof/>
          <w:color w:val="auto"/>
          <w:sz w:val="24"/>
        </w:rPr>
      </w:pPr>
    </w:p>
    <w:p w14:paraId="4FB755FF" w14:textId="77777777" w:rsidR="003F5418" w:rsidRDefault="002A6C25">
      <w:pPr>
        <w:pStyle w:val="P68B1DB1-Paragrafoelenco122"/>
        <w:spacing w:after="120" w:line="240" w:lineRule="auto"/>
        <w:ind w:left="0"/>
        <w:jc w:val="both"/>
        <w:rPr>
          <w:noProof/>
        </w:rPr>
      </w:pPr>
      <w:r>
        <w:rPr>
          <w:noProof/>
        </w:rPr>
        <w:t xml:space="preserve">Az e célkitűzések elérése érdekében tervezett fő intézkedések elsősorban i. a vízágazati beruházások központi állami finanszírozási eszközének </w:t>
      </w:r>
      <w:r>
        <w:rPr>
          <w:noProof/>
        </w:rPr>
        <w:t>létrehozása, amely egyesíti a jelenleg meglehetősen szétszórt forrásokat; ii. a finanszírozott beruházások bejelentésére és nyomon követésére vonatkozó eljárások egyszerűsítése, iii. a szabályozó további bevonása a megvalósítandó beruházások tervezésébe és</w:t>
      </w:r>
      <w:r>
        <w:rPr>
          <w:noProof/>
        </w:rPr>
        <w:t xml:space="preserve"> a terv esetleges felülvizsgálatába.</w:t>
      </w:r>
    </w:p>
    <w:p w14:paraId="476B07A8" w14:textId="77777777" w:rsidR="003F5418" w:rsidRDefault="002A6C25">
      <w:pPr>
        <w:pStyle w:val="P68B1DB1-Paragrafoelenco122"/>
        <w:spacing w:after="120" w:line="240" w:lineRule="auto"/>
        <w:ind w:left="0"/>
        <w:jc w:val="both"/>
        <w:rPr>
          <w:rFonts w:eastAsia="SimSun"/>
          <w:i/>
          <w:noProof/>
          <w:u w:val="single"/>
        </w:rPr>
      </w:pPr>
      <w:r>
        <w:rPr>
          <w:noProof/>
        </w:rPr>
        <w:t xml:space="preserve">A vízügyi ágazatra vonatkozó reformjavaslatot az Infrastrukturális és Közlekedési Minisztérium terjeszti elő. </w:t>
      </w:r>
    </w:p>
    <w:p w14:paraId="701180B6" w14:textId="06938016" w:rsidR="003F5418" w:rsidRDefault="00544440">
      <w:pPr>
        <w:pStyle w:val="P68B1DB1-Normal2"/>
        <w:spacing w:before="120" w:after="120" w:line="257" w:lineRule="auto"/>
        <w:jc w:val="both"/>
        <w:rPr>
          <w:noProof/>
        </w:rPr>
      </w:pPr>
      <w:r w:rsidRPr="00B07E42">
        <w:rPr>
          <w:noProof/>
        </w:rPr>
        <w:t>4.1.</w:t>
      </w:r>
      <w:r>
        <w:rPr>
          <w:noProof/>
        </w:rPr>
        <w:t xml:space="preserve"> Beruházás: Elsődleges vízinfrastruktúra a vízellátás biztonsága érdekében</w:t>
      </w:r>
    </w:p>
    <w:p w14:paraId="6A83A74C" w14:textId="77777777" w:rsidR="003F5418" w:rsidRDefault="002A6C25">
      <w:pPr>
        <w:spacing w:before="120" w:after="120"/>
        <w:jc w:val="both"/>
        <w:rPr>
          <w:noProof/>
        </w:rPr>
      </w:pPr>
      <w:r>
        <w:rPr>
          <w:noProof/>
        </w:rPr>
        <w:t>Ezen intézkedés célja, hogy b</w:t>
      </w:r>
      <w:r>
        <w:rPr>
          <w:noProof/>
        </w:rPr>
        <w:t>iztosítsa a vízellátás biztonságát a fontos városi területek és a nagy öntözött területek számára, növelje a hálózat biztonságát és ellenálló képességét, valamint javítsa a vízszállítási kapacitást. Az intézkedéseknek az ország teljes területére ki kell te</w:t>
      </w:r>
      <w:r>
        <w:rPr>
          <w:noProof/>
        </w:rPr>
        <w:t>rjedniük, különös tekintettel az ország déli részén található nagyobb létesítményekre.</w:t>
      </w:r>
    </w:p>
    <w:p w14:paraId="57B5FF13" w14:textId="77777777" w:rsidR="003F5418" w:rsidRDefault="002A6C25">
      <w:pPr>
        <w:spacing w:before="120" w:after="120"/>
        <w:jc w:val="both"/>
        <w:rPr>
          <w:noProof/>
        </w:rPr>
      </w:pPr>
      <w:r>
        <w:rPr>
          <w:noProof/>
        </w:rPr>
        <w:t>Ez az intézkedés várhatóan nem sérti jelentősen a környezeti célkitűzéseket az (EU) 2020/852 rendelet 17. cikke értelmében, figyelembe véve az intézkedés leírását és a h</w:t>
      </w:r>
      <w:r>
        <w:rPr>
          <w:noProof/>
        </w:rPr>
        <w:t>elyreállítási és rezilienciaépítési tervben a jelentős károkozás elkerülését célzó technikai iránymutatással (2021/C58/01) összhangban meghatározott enyhítő lépéseket. Különösen minden egyes részberuházás esetében biztosítani kell az uniós jog – többek köz</w:t>
      </w:r>
      <w:r>
        <w:rPr>
          <w:noProof/>
        </w:rPr>
        <w:t>ött a víz-keretirányelv – követelményeinek való teljes körű megfelelést az építési munkálatok megkezdése előtt, alatt és után. Ezen túlmenően az alintézkedéseket adott esetben a 2011/92/EU irányelv szerinti környezeti hatásvizsgálatnak (KHV), valamint a 20</w:t>
      </w:r>
      <w:r>
        <w:rPr>
          <w:noProof/>
        </w:rPr>
        <w:t>00/60/EK irányelvvel és a 92/43/EGK irányelvvel összefüggésben végzett releváns vizsgálatoknak kell alávetni, beleértve a szükséges mérséklő intézkedések végrehajtását is. Az intézkedés nem foglalja magában új gátak építését, hanem csak a meglévő gátak fej</w:t>
      </w:r>
      <w:r>
        <w:rPr>
          <w:noProof/>
        </w:rPr>
        <w:t>lesztését; a tervezett beavatkozásoknak a meglévő munkálatokra gyakorolt hatásai figyelembe veszik azokat a forgatókönyveket, amelyekben az érintett folyó a munkálatok idején módosított természetes állapotban marad. Minden tervezett részbeavatkozásnak, bel</w:t>
      </w:r>
      <w:r>
        <w:rPr>
          <w:noProof/>
        </w:rPr>
        <w:t>eértve a meglévő gátakkal kapcsolatos beavatkozásokat is, meg kell felelnie a nemzeti és az uniós jog által előírt környezetvédelmi engedélyezési eljárásnak.</w:t>
      </w:r>
    </w:p>
    <w:p w14:paraId="7C076E64" w14:textId="5143A5E9" w:rsidR="003F5418" w:rsidRDefault="00544440">
      <w:pPr>
        <w:pStyle w:val="P68B1DB1-Normal2"/>
        <w:spacing w:before="120" w:after="120" w:line="257" w:lineRule="auto"/>
        <w:jc w:val="both"/>
        <w:rPr>
          <w:noProof/>
        </w:rPr>
      </w:pPr>
      <w:r w:rsidRPr="00B07E42">
        <w:rPr>
          <w:noProof/>
        </w:rPr>
        <w:t>4.</w:t>
      </w:r>
      <w:r>
        <w:rPr>
          <w:noProof/>
        </w:rPr>
        <w:t>2</w:t>
      </w:r>
      <w:r w:rsidRPr="00B07E42">
        <w:rPr>
          <w:noProof/>
        </w:rPr>
        <w:t>.</w:t>
      </w:r>
      <w:r>
        <w:rPr>
          <w:noProof/>
        </w:rPr>
        <w:t xml:space="preserve"> Beruházás. A vízelosztó hálózatok veszteségeinek csökkentése, beleértve a hálózatok digitalizálását és nyomon követését</w:t>
      </w:r>
    </w:p>
    <w:p w14:paraId="4422E126" w14:textId="77777777" w:rsidR="003F5418" w:rsidRDefault="002A6C25">
      <w:pPr>
        <w:spacing w:before="120" w:after="120"/>
        <w:jc w:val="both"/>
        <w:rPr>
          <w:noProof/>
        </w:rPr>
      </w:pPr>
      <w:r>
        <w:rPr>
          <w:noProof/>
        </w:rPr>
        <w:t>A vízkészletekkel való felaprózott és nem hatékony gazdálkodás jelentős vízszivárgáshoz vezetett, az ország déli részén pedig 40%-ot meghaladó átlagos veszteséggel, és több mint 50%-kal. A projekt célja az ivóvízveszteség jelentő</w:t>
      </w:r>
      <w:r>
        <w:rPr>
          <w:noProof/>
        </w:rPr>
        <w:t>s csökkentése a vízelosztó hálózatok olyan fejlett ellenőrző rendszerek révén történő korszerűsítése és korszerűsítése révén, amelyek lehetővé teszik a fő csomópontok és a hálózat legérzékenyebb pontjainak nyomon követését.</w:t>
      </w:r>
    </w:p>
    <w:p w14:paraId="09243B29" w14:textId="0896C375" w:rsidR="003F5418" w:rsidRDefault="00544440">
      <w:pPr>
        <w:pStyle w:val="P68B1DB1-Normal2"/>
        <w:spacing w:before="120" w:after="120" w:line="257" w:lineRule="auto"/>
        <w:jc w:val="both"/>
        <w:rPr>
          <w:noProof/>
        </w:rPr>
      </w:pPr>
      <w:r w:rsidRPr="00B07E42">
        <w:rPr>
          <w:noProof/>
        </w:rPr>
        <w:t>4.</w:t>
      </w:r>
      <w:r>
        <w:rPr>
          <w:noProof/>
        </w:rPr>
        <w:t>3</w:t>
      </w:r>
      <w:r w:rsidRPr="00B07E42">
        <w:rPr>
          <w:noProof/>
        </w:rPr>
        <w:t>.</w:t>
      </w:r>
      <w:r>
        <w:rPr>
          <w:noProof/>
        </w:rPr>
        <w:t xml:space="preserve"> Beruházás. Az öntözési agrorendszer ellenálló képességére irányuló beruházások a vízkészletekkel való jobb gazdálkodás érdekében </w:t>
      </w:r>
    </w:p>
    <w:p w14:paraId="4DFE4AE4" w14:textId="77777777" w:rsidR="003F5418" w:rsidRDefault="002A6C25">
      <w:pPr>
        <w:spacing w:before="120" w:after="120" w:line="257" w:lineRule="auto"/>
        <w:jc w:val="both"/>
        <w:rPr>
          <w:noProof/>
        </w:rPr>
      </w:pPr>
      <w:r>
        <w:rPr>
          <w:noProof/>
        </w:rPr>
        <w:t xml:space="preserve">Ezen intézkedés célja az öntözőrendszerek hatékonyságának növelése innovatív és digitalizált infrastruktúra fejlesztése révén a fenntarthatóbb és az </w:t>
      </w:r>
      <w:r>
        <w:rPr>
          <w:noProof/>
        </w:rPr>
        <w:t>éghajlatváltozáshoz jobban alkalmazkodó mezőgazdasági ágazat érdekében. A beruházás elsősorban az öntözőrendszerek nagyobb hatékonyságú rendszerekké való átalakításából áll; az elosztóhálózatok átalakítása a veszteségek csökkentése érdekében; a vízkészlete</w:t>
      </w:r>
      <w:r>
        <w:rPr>
          <w:noProof/>
        </w:rPr>
        <w:t>k hatékony felhasználását szolgáló technológiák, például fogyasztásmérők és távirányítás telepítése. A támogatott beruházás részeként olyan vízmérést kell bevezetni, amely lehetővé teszi a víz mérését.</w:t>
      </w:r>
    </w:p>
    <w:p w14:paraId="2F8BF31B" w14:textId="77777777" w:rsidR="003F5418" w:rsidRDefault="002A6C25">
      <w:pPr>
        <w:spacing w:before="120" w:after="120" w:line="257" w:lineRule="auto"/>
        <w:jc w:val="both"/>
        <w:rPr>
          <w:noProof/>
        </w:rPr>
      </w:pPr>
      <w:r>
        <w:rPr>
          <w:noProof/>
        </w:rPr>
        <w:t>Ez az intézkedés várhatóan nem sérti jelentősen a körn</w:t>
      </w:r>
      <w:r>
        <w:rPr>
          <w:noProof/>
        </w:rPr>
        <w:t>yezeti célkitűzéseket az (EU) 2020/852 rendelet 17. cikke értelmében, figyelembe véve az intézkedés leírását és a helyreállítási és rezilienciaépítési tervben a jelentős károkozás elkerülését célzó technikai iránymutatással (2021/C58/01) összhangban meghat</w:t>
      </w:r>
      <w:r>
        <w:rPr>
          <w:noProof/>
        </w:rPr>
        <w:t>ározott enyhítő lépéseket. Különösen minden egyes részberuházás esetében biztosítani kell az uniós jog – többek között a víz-keretirányelv – követelményeinek való teljes körű megfelelést az építési munkálatok megkezdése előtt, alatt és után. Továbbá a proj</w:t>
      </w:r>
      <w:r>
        <w:rPr>
          <w:noProof/>
        </w:rPr>
        <w:t>ekteket – adott esetben a nemzeti jog szerint – a 2011/92/EU irányelv szerinti környezeti hatásvizsgálatnak, valamint a 2000/60/EK irányelvvel és a 92/43/EGK irányelvvel összefüggésben végzett releváns vizsgálatoknak kell alávetni, beleértve a szükséges ko</w:t>
      </w:r>
      <w:r>
        <w:rPr>
          <w:noProof/>
        </w:rPr>
        <w:t>ckázatcsökkentő intézkedések végrehajtását is.</w:t>
      </w:r>
    </w:p>
    <w:p w14:paraId="26FA2A54" w14:textId="77777777" w:rsidR="003F5418" w:rsidRDefault="003F5418">
      <w:pPr>
        <w:spacing w:before="120" w:after="120" w:line="257" w:lineRule="auto"/>
        <w:jc w:val="both"/>
        <w:rPr>
          <w:b/>
          <w:noProof/>
        </w:rPr>
      </w:pPr>
    </w:p>
    <w:p w14:paraId="663691FC" w14:textId="214CECE2" w:rsidR="003F5418" w:rsidRDefault="00544440">
      <w:pPr>
        <w:pStyle w:val="P68B1DB1-Normal2"/>
        <w:spacing w:before="120" w:after="120" w:line="257" w:lineRule="auto"/>
        <w:jc w:val="both"/>
        <w:rPr>
          <w:noProof/>
        </w:rPr>
      </w:pPr>
      <w:r w:rsidRPr="00B07E42">
        <w:rPr>
          <w:noProof/>
        </w:rPr>
        <w:t>4.</w:t>
      </w:r>
      <w:r>
        <w:rPr>
          <w:noProof/>
        </w:rPr>
        <w:t>4</w:t>
      </w:r>
      <w:r w:rsidRPr="00B07E42">
        <w:rPr>
          <w:noProof/>
        </w:rPr>
        <w:t>.</w:t>
      </w:r>
      <w:r>
        <w:rPr>
          <w:noProof/>
        </w:rPr>
        <w:t xml:space="preserve"> Beruházás. Csatorna- és tisztítás</w:t>
      </w:r>
    </w:p>
    <w:p w14:paraId="568B5699" w14:textId="77777777" w:rsidR="003F5418" w:rsidRDefault="002A6C25">
      <w:pPr>
        <w:spacing w:before="120" w:after="120"/>
        <w:jc w:val="both"/>
        <w:rPr>
          <w:noProof/>
        </w:rPr>
      </w:pPr>
      <w:r>
        <w:rPr>
          <w:noProof/>
        </w:rPr>
        <w:t xml:space="preserve">A vízrendszerek jelentős hiányosságokat mutatnak a szennyvízelvezető és -tisztító rendszerek tekintetében, ami abban nyilvánul meg, hogy az ország számos agglomerációja </w:t>
      </w:r>
      <w:r>
        <w:rPr>
          <w:noProof/>
        </w:rPr>
        <w:t xml:space="preserve">nagyszámú kötelezettségszegési eljárást indított az uniós jognak való meg nem felelés miatt. </w:t>
      </w:r>
    </w:p>
    <w:p w14:paraId="3A86148F" w14:textId="77777777" w:rsidR="003F5418" w:rsidRDefault="002A6C25">
      <w:pPr>
        <w:tabs>
          <w:tab w:val="left" w:pos="720"/>
        </w:tabs>
        <w:spacing w:before="120" w:after="120"/>
        <w:jc w:val="both"/>
        <w:rPr>
          <w:noProof/>
        </w:rPr>
      </w:pPr>
      <w:r>
        <w:rPr>
          <w:noProof/>
        </w:rPr>
        <w:t>Ezen intézkedés célja olyan beruházások megvalósítása, amelyek hatékonyabbá teszik a tengervizekbe és belvizekbe kibocsátott szennyvíz tisztítását, és ahol lehets</w:t>
      </w:r>
      <w:r>
        <w:rPr>
          <w:noProof/>
        </w:rPr>
        <w:t>éges, a tisztítóüzemeket „zöld gyárakká” alakítják át a tisztított szennyvíz öntözési és ipari célú újrafelhasználása céljából. Ezek a beruházások várhatóan hozzájárulnak a gyenge csatorna- és tisztítórendszerrel rendelkező agglomerációk számának csökkenté</w:t>
      </w:r>
      <w:r>
        <w:rPr>
          <w:noProof/>
        </w:rPr>
        <w:t>séhez.</w:t>
      </w:r>
    </w:p>
    <w:p w14:paraId="44CF77C8" w14:textId="77777777" w:rsidR="003F5418" w:rsidRDefault="003F5418">
      <w:pPr>
        <w:tabs>
          <w:tab w:val="left" w:pos="720"/>
        </w:tabs>
        <w:spacing w:before="120" w:after="120"/>
        <w:jc w:val="both"/>
        <w:rPr>
          <w:noProof/>
        </w:rPr>
      </w:pPr>
    </w:p>
    <w:p w14:paraId="66331895" w14:textId="77777777" w:rsidR="003F5418" w:rsidRDefault="002A6C25">
      <w:pPr>
        <w:pStyle w:val="Heading3"/>
        <w:numPr>
          <w:ilvl w:val="0"/>
          <w:numId w:val="0"/>
        </w:numPr>
        <w:ind w:left="850" w:hanging="850"/>
        <w:rPr>
          <w:rStyle w:val="SubtleEmphasis"/>
          <w:b/>
          <w:i/>
          <w:noProof/>
          <w:u w:val="single"/>
        </w:rPr>
      </w:pPr>
      <w:r>
        <w:rPr>
          <w:rStyle w:val="SubtleEmphasis"/>
          <w:b/>
          <w:noProof/>
          <w:u w:val="single"/>
        </w:rPr>
        <w:t xml:space="preserve">G.4. </w:t>
      </w:r>
      <w:r>
        <w:rPr>
          <w:noProof/>
        </w:rPr>
        <w:t xml:space="preserve"> </w:t>
      </w:r>
      <w:r>
        <w:rPr>
          <w:rStyle w:val="SubtleEmphasis"/>
          <w:b/>
          <w:noProof/>
          <w:u w:val="single"/>
        </w:rPr>
        <w:t xml:space="preserve">Hitel – a végrehajtáshoz és a nyomon követéshez kapcsolódó mérföldkövek, célok, mutatók és ütemterv </w:t>
      </w:r>
    </w:p>
    <w:p w14:paraId="5142FFAB" w14:textId="77777777" w:rsidR="003F5418" w:rsidRDefault="003F5418">
      <w:pPr>
        <w:spacing w:before="120" w:after="120"/>
        <w:ind w:left="709"/>
        <w:contextualSpacing/>
        <w:jc w:val="both"/>
        <w:rPr>
          <w:noProof/>
        </w:rPr>
        <w:sectPr w:rsidR="003F5418">
          <w:headerReference w:type="even" r:id="rId200"/>
          <w:headerReference w:type="default" r:id="rId201"/>
          <w:footerReference w:type="even" r:id="rId202"/>
          <w:footerReference w:type="default" r:id="rId203"/>
          <w:headerReference w:type="first" r:id="rId204"/>
          <w:footerReference w:type="first" r:id="rId205"/>
          <w:pgSz w:w="11907" w:h="16839"/>
          <w:pgMar w:top="1134" w:right="1134" w:bottom="1134" w:left="1134" w:header="567" w:footer="567" w:gutter="0"/>
          <w:cols w:space="720"/>
          <w:docGrid w:linePitch="360"/>
        </w:sectPr>
      </w:pPr>
    </w:p>
    <w:tbl>
      <w:tblPr>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21"/>
        <w:gridCol w:w="1274"/>
        <w:gridCol w:w="1785"/>
        <w:gridCol w:w="1548"/>
        <w:gridCol w:w="1310"/>
        <w:gridCol w:w="1290"/>
        <w:gridCol w:w="1194"/>
        <w:gridCol w:w="991"/>
        <w:gridCol w:w="638"/>
        <w:gridCol w:w="4116"/>
      </w:tblGrid>
      <w:tr w:rsidR="003F5418" w14:paraId="353861DE" w14:textId="77777777">
        <w:trPr>
          <w:trHeight w:val="591"/>
          <w:tblHeader/>
          <w:jc w:val="center"/>
        </w:trPr>
        <w:tc>
          <w:tcPr>
            <w:tcW w:w="1130" w:type="dxa"/>
            <w:vMerge w:val="restart"/>
            <w:shd w:val="clear" w:color="auto" w:fill="B4C6E7" w:themeFill="accent1" w:themeFillTint="66"/>
            <w:noWrap/>
            <w:vAlign w:val="center"/>
          </w:tcPr>
          <w:p w14:paraId="12572069" w14:textId="77777777" w:rsidR="003F5418" w:rsidRDefault="002A6C25">
            <w:pPr>
              <w:pStyle w:val="P68B1DB1-Normal3"/>
              <w:jc w:val="center"/>
              <w:rPr>
                <w:noProof/>
              </w:rPr>
            </w:pPr>
            <w:r>
              <w:rPr>
                <w:noProof/>
              </w:rPr>
              <w:t>Sorszám</w:t>
            </w:r>
          </w:p>
        </w:tc>
        <w:tc>
          <w:tcPr>
            <w:tcW w:w="1560" w:type="dxa"/>
            <w:vMerge w:val="restart"/>
            <w:shd w:val="clear" w:color="auto" w:fill="B4C6E7" w:themeFill="accent1" w:themeFillTint="66"/>
            <w:noWrap/>
            <w:vAlign w:val="center"/>
          </w:tcPr>
          <w:p w14:paraId="33831517" w14:textId="77777777" w:rsidR="003F5418" w:rsidRDefault="002A6C25">
            <w:pPr>
              <w:pStyle w:val="P68B1DB1-Normal3"/>
              <w:jc w:val="center"/>
              <w:rPr>
                <w:noProof/>
              </w:rPr>
            </w:pPr>
            <w:r>
              <w:rPr>
                <w:noProof/>
              </w:rPr>
              <w:t>Kapcsolódó intézkedés (reform vagy beruházás)</w:t>
            </w:r>
          </w:p>
        </w:tc>
        <w:tc>
          <w:tcPr>
            <w:tcW w:w="1134" w:type="dxa"/>
            <w:vMerge w:val="restart"/>
            <w:shd w:val="clear" w:color="auto" w:fill="B4C6E7" w:themeFill="accent1" w:themeFillTint="66"/>
            <w:noWrap/>
            <w:vAlign w:val="center"/>
          </w:tcPr>
          <w:p w14:paraId="46CCEEFE" w14:textId="77777777" w:rsidR="003F5418" w:rsidRDefault="002A6C25">
            <w:pPr>
              <w:pStyle w:val="P68B1DB1-Normal3"/>
              <w:jc w:val="center"/>
              <w:rPr>
                <w:noProof/>
              </w:rPr>
            </w:pPr>
            <w:r>
              <w:rPr>
                <w:noProof/>
              </w:rPr>
              <w:t>Mérföldkő/cél</w:t>
            </w:r>
          </w:p>
        </w:tc>
        <w:tc>
          <w:tcPr>
            <w:tcW w:w="1559" w:type="dxa"/>
            <w:vMerge w:val="restart"/>
            <w:shd w:val="clear" w:color="auto" w:fill="B4C6E7" w:themeFill="accent1" w:themeFillTint="66"/>
            <w:noWrap/>
            <w:vAlign w:val="center"/>
          </w:tcPr>
          <w:p w14:paraId="3EF965BC" w14:textId="77777777" w:rsidR="003F5418" w:rsidRDefault="002A6C25">
            <w:pPr>
              <w:pStyle w:val="P68B1DB1-Normal3"/>
              <w:jc w:val="center"/>
              <w:rPr>
                <w:noProof/>
              </w:rPr>
            </w:pPr>
            <w:r>
              <w:rPr>
                <w:noProof/>
              </w:rPr>
              <w:t>Név</w:t>
            </w:r>
          </w:p>
        </w:tc>
        <w:tc>
          <w:tcPr>
            <w:tcW w:w="1383" w:type="dxa"/>
            <w:vMerge w:val="restart"/>
            <w:shd w:val="clear" w:color="auto" w:fill="B4C6E7" w:themeFill="accent1" w:themeFillTint="66"/>
            <w:noWrap/>
            <w:vAlign w:val="center"/>
          </w:tcPr>
          <w:p w14:paraId="00C0A083"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578" w:type="dxa"/>
            <w:gridSpan w:val="3"/>
            <w:shd w:val="clear" w:color="auto" w:fill="B4C6E7" w:themeFill="accent1" w:themeFillTint="66"/>
            <w:noWrap/>
            <w:vAlign w:val="center"/>
          </w:tcPr>
          <w:p w14:paraId="78DA7271" w14:textId="77777777" w:rsidR="003F5418" w:rsidRDefault="002A6C25">
            <w:pPr>
              <w:jc w:val="center"/>
              <w:rPr>
                <w:rFonts w:ascii="Arial Narrow" w:hAnsi="Arial Narrow"/>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54" w:type="dxa"/>
            <w:gridSpan w:val="2"/>
            <w:shd w:val="clear" w:color="auto" w:fill="B4C6E7" w:themeFill="accent1" w:themeFillTint="66"/>
            <w:noWrap/>
            <w:vAlign w:val="center"/>
          </w:tcPr>
          <w:p w14:paraId="6F65435F" w14:textId="77777777" w:rsidR="003F5418" w:rsidRDefault="002A6C25">
            <w:pPr>
              <w:pStyle w:val="P68B1DB1-Normal3"/>
              <w:jc w:val="center"/>
              <w:rPr>
                <w:noProof/>
              </w:rPr>
            </w:pPr>
            <w:r>
              <w:rPr>
                <w:noProof/>
              </w:rPr>
              <w:t>A végrehajtás indikatív ütemterve</w:t>
            </w:r>
          </w:p>
        </w:tc>
        <w:tc>
          <w:tcPr>
            <w:tcW w:w="4116" w:type="dxa"/>
            <w:vMerge w:val="restart"/>
            <w:shd w:val="clear" w:color="auto" w:fill="B4C6E7" w:themeFill="accent1" w:themeFillTint="66"/>
            <w:noWrap/>
            <w:vAlign w:val="center"/>
          </w:tcPr>
          <w:p w14:paraId="1AD695AA" w14:textId="77777777" w:rsidR="003F5418" w:rsidRDefault="002A6C25">
            <w:pPr>
              <w:pStyle w:val="P68B1DB1-Normal3"/>
              <w:jc w:val="center"/>
              <w:rPr>
                <w:noProof/>
              </w:rPr>
            </w:pPr>
            <w:r>
              <w:rPr>
                <w:noProof/>
              </w:rPr>
              <w:t>Az egyes mérföldkövek és célértékek leírása</w:t>
            </w:r>
          </w:p>
        </w:tc>
      </w:tr>
      <w:tr w:rsidR="003F5418" w14:paraId="15FDB21E" w14:textId="77777777">
        <w:trPr>
          <w:trHeight w:val="591"/>
          <w:tblHeader/>
          <w:jc w:val="center"/>
        </w:trPr>
        <w:tc>
          <w:tcPr>
            <w:tcW w:w="1130" w:type="dxa"/>
            <w:vMerge/>
            <w:noWrap/>
            <w:vAlign w:val="center"/>
          </w:tcPr>
          <w:p w14:paraId="4F0F4396" w14:textId="77777777" w:rsidR="003F5418" w:rsidRDefault="003F5418">
            <w:pPr>
              <w:jc w:val="center"/>
              <w:rPr>
                <w:rFonts w:ascii="Arial Narrow" w:hAnsi="Arial Narrow"/>
                <w:b/>
                <w:noProof/>
                <w:sz w:val="20"/>
              </w:rPr>
            </w:pPr>
          </w:p>
        </w:tc>
        <w:tc>
          <w:tcPr>
            <w:tcW w:w="1560" w:type="dxa"/>
            <w:vMerge/>
            <w:noWrap/>
            <w:vAlign w:val="center"/>
          </w:tcPr>
          <w:p w14:paraId="17A0A557" w14:textId="77777777" w:rsidR="003F5418" w:rsidRDefault="003F5418">
            <w:pPr>
              <w:jc w:val="center"/>
              <w:rPr>
                <w:rFonts w:ascii="Arial Narrow" w:hAnsi="Arial Narrow"/>
                <w:b/>
                <w:noProof/>
                <w:sz w:val="20"/>
              </w:rPr>
            </w:pPr>
          </w:p>
        </w:tc>
        <w:tc>
          <w:tcPr>
            <w:tcW w:w="1134" w:type="dxa"/>
            <w:vMerge/>
            <w:noWrap/>
            <w:vAlign w:val="center"/>
          </w:tcPr>
          <w:p w14:paraId="08F3B7E7" w14:textId="77777777" w:rsidR="003F5418" w:rsidRDefault="003F5418">
            <w:pPr>
              <w:jc w:val="center"/>
              <w:rPr>
                <w:rFonts w:ascii="Arial Narrow" w:hAnsi="Arial Narrow"/>
                <w:b/>
                <w:noProof/>
                <w:sz w:val="20"/>
              </w:rPr>
            </w:pPr>
          </w:p>
        </w:tc>
        <w:tc>
          <w:tcPr>
            <w:tcW w:w="1559" w:type="dxa"/>
            <w:vMerge/>
            <w:noWrap/>
            <w:vAlign w:val="center"/>
          </w:tcPr>
          <w:p w14:paraId="08E2BC5D" w14:textId="77777777" w:rsidR="003F5418" w:rsidRDefault="003F5418">
            <w:pPr>
              <w:jc w:val="center"/>
              <w:rPr>
                <w:rFonts w:ascii="Arial Narrow" w:hAnsi="Arial Narrow"/>
                <w:b/>
                <w:noProof/>
                <w:sz w:val="20"/>
              </w:rPr>
            </w:pPr>
          </w:p>
        </w:tc>
        <w:tc>
          <w:tcPr>
            <w:tcW w:w="1383" w:type="dxa"/>
            <w:vMerge/>
            <w:noWrap/>
            <w:vAlign w:val="center"/>
          </w:tcPr>
          <w:p w14:paraId="7D60EC09" w14:textId="77777777" w:rsidR="003F5418" w:rsidRDefault="003F5418">
            <w:pPr>
              <w:jc w:val="center"/>
              <w:rPr>
                <w:rFonts w:ascii="Arial Narrow" w:hAnsi="Arial Narrow"/>
                <w:b/>
                <w:noProof/>
                <w:sz w:val="20"/>
              </w:rPr>
            </w:pPr>
          </w:p>
        </w:tc>
        <w:tc>
          <w:tcPr>
            <w:tcW w:w="1094" w:type="dxa"/>
            <w:shd w:val="clear" w:color="auto" w:fill="B4C6E7" w:themeFill="accent1" w:themeFillTint="66"/>
            <w:noWrap/>
            <w:vAlign w:val="center"/>
          </w:tcPr>
          <w:p w14:paraId="0A4C1494" w14:textId="77777777" w:rsidR="003F5418" w:rsidRDefault="002A6C25">
            <w:pPr>
              <w:pStyle w:val="P68B1DB1-Normal3"/>
              <w:jc w:val="center"/>
              <w:rPr>
                <w:noProof/>
              </w:rPr>
            </w:pPr>
            <w:r>
              <w:rPr>
                <w:noProof/>
              </w:rPr>
              <w:t>Mértékegység</w:t>
            </w:r>
          </w:p>
        </w:tc>
        <w:tc>
          <w:tcPr>
            <w:tcW w:w="1290" w:type="dxa"/>
            <w:shd w:val="clear" w:color="auto" w:fill="B4C6E7" w:themeFill="accent1" w:themeFillTint="66"/>
            <w:vAlign w:val="center"/>
          </w:tcPr>
          <w:p w14:paraId="23BE1642" w14:textId="77777777" w:rsidR="003F5418" w:rsidRDefault="002A6C25">
            <w:pPr>
              <w:pStyle w:val="P68B1DB1-Normal3"/>
              <w:jc w:val="center"/>
              <w:rPr>
                <w:noProof/>
              </w:rPr>
            </w:pPr>
            <w:r>
              <w:rPr>
                <w:noProof/>
              </w:rPr>
              <w:t>Kiindulási</w:t>
            </w:r>
          </w:p>
        </w:tc>
        <w:tc>
          <w:tcPr>
            <w:tcW w:w="1194" w:type="dxa"/>
            <w:shd w:val="clear" w:color="auto" w:fill="B4C6E7" w:themeFill="accent1" w:themeFillTint="66"/>
            <w:vAlign w:val="center"/>
          </w:tcPr>
          <w:p w14:paraId="4E68A70F" w14:textId="77777777" w:rsidR="003F5418" w:rsidRDefault="002A6C25">
            <w:pPr>
              <w:pStyle w:val="P68B1DB1-Normal3"/>
              <w:jc w:val="center"/>
              <w:rPr>
                <w:noProof/>
              </w:rPr>
            </w:pPr>
            <w:r>
              <w:rPr>
                <w:noProof/>
              </w:rPr>
              <w:t>Cél</w:t>
            </w:r>
          </w:p>
        </w:tc>
        <w:tc>
          <w:tcPr>
            <w:tcW w:w="916" w:type="dxa"/>
            <w:shd w:val="clear" w:color="auto" w:fill="B4C6E7" w:themeFill="accent1" w:themeFillTint="66"/>
            <w:noWrap/>
            <w:vAlign w:val="center"/>
          </w:tcPr>
          <w:p w14:paraId="1FDDD66C" w14:textId="77777777" w:rsidR="003F5418" w:rsidRDefault="002A6C25">
            <w:pPr>
              <w:pStyle w:val="P68B1DB1-Normal3"/>
              <w:jc w:val="center"/>
              <w:rPr>
                <w:noProof/>
              </w:rPr>
            </w:pPr>
            <w:r>
              <w:rPr>
                <w:noProof/>
              </w:rPr>
              <w:t>Negyedév</w:t>
            </w:r>
          </w:p>
        </w:tc>
        <w:tc>
          <w:tcPr>
            <w:tcW w:w="638" w:type="dxa"/>
            <w:shd w:val="clear" w:color="auto" w:fill="B4C6E7" w:themeFill="accent1" w:themeFillTint="66"/>
            <w:vAlign w:val="center"/>
          </w:tcPr>
          <w:p w14:paraId="1C77BD43" w14:textId="77777777" w:rsidR="003F5418" w:rsidRDefault="002A6C25">
            <w:pPr>
              <w:pStyle w:val="P68B1DB1-Normal3"/>
              <w:jc w:val="center"/>
              <w:rPr>
                <w:noProof/>
              </w:rPr>
            </w:pPr>
            <w:r>
              <w:rPr>
                <w:noProof/>
              </w:rPr>
              <w:t>Éve</w:t>
            </w:r>
          </w:p>
        </w:tc>
        <w:tc>
          <w:tcPr>
            <w:tcW w:w="4116" w:type="dxa"/>
            <w:vMerge/>
            <w:noWrap/>
            <w:vAlign w:val="center"/>
          </w:tcPr>
          <w:p w14:paraId="38A46684" w14:textId="77777777" w:rsidR="003F5418" w:rsidRDefault="003F5418">
            <w:pPr>
              <w:rPr>
                <w:rFonts w:ascii="Arial Narrow" w:hAnsi="Arial Narrow"/>
                <w:noProof/>
                <w:sz w:val="20"/>
              </w:rPr>
            </w:pPr>
          </w:p>
        </w:tc>
      </w:tr>
      <w:tr w:rsidR="003F5418" w14:paraId="605BB874" w14:textId="77777777">
        <w:trPr>
          <w:trHeight w:val="313"/>
          <w:jc w:val="center"/>
        </w:trPr>
        <w:tc>
          <w:tcPr>
            <w:tcW w:w="1130" w:type="dxa"/>
            <w:shd w:val="clear" w:color="auto" w:fill="C6EFCE"/>
            <w:noWrap/>
            <w:vAlign w:val="center"/>
          </w:tcPr>
          <w:p w14:paraId="40A6EC69" w14:textId="77777777" w:rsidR="003F5418" w:rsidRDefault="002A6C25">
            <w:pPr>
              <w:pStyle w:val="P68B1DB1-Normal4"/>
              <w:spacing w:line="276" w:lineRule="auto"/>
              <w:jc w:val="center"/>
              <w:rPr>
                <w:noProof/>
              </w:rPr>
            </w:pPr>
            <w:r>
              <w:rPr>
                <w:noProof/>
              </w:rPr>
              <w:t>M2C4–6</w:t>
            </w:r>
          </w:p>
        </w:tc>
        <w:tc>
          <w:tcPr>
            <w:tcW w:w="1560" w:type="dxa"/>
            <w:shd w:val="clear" w:color="auto" w:fill="C6EFCE"/>
            <w:noWrap/>
            <w:vAlign w:val="center"/>
          </w:tcPr>
          <w:p w14:paraId="5EC844DF" w14:textId="77777777" w:rsidR="003F5418" w:rsidRDefault="002A6C25">
            <w:pPr>
              <w:pStyle w:val="P68B1DB1-Normal4"/>
              <w:spacing w:line="276" w:lineRule="auto"/>
              <w:jc w:val="center"/>
              <w:rPr>
                <w:noProof/>
              </w:rPr>
            </w:pPr>
            <w:r>
              <w:rPr>
                <w:noProof/>
              </w:rPr>
              <w:t xml:space="preserve">Beruházás: A nemzeti parkok </w:t>
            </w:r>
            <w:r>
              <w:rPr>
                <w:noProof/>
              </w:rPr>
              <w:t>digitalizálása</w:t>
            </w:r>
          </w:p>
        </w:tc>
        <w:tc>
          <w:tcPr>
            <w:tcW w:w="1134" w:type="dxa"/>
            <w:shd w:val="clear" w:color="auto" w:fill="C6EFCE"/>
            <w:noWrap/>
            <w:vAlign w:val="center"/>
          </w:tcPr>
          <w:p w14:paraId="4406F8DA"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tcPr>
          <w:p w14:paraId="5A8594DE" w14:textId="77777777" w:rsidR="003F5418" w:rsidRDefault="002A6C25">
            <w:pPr>
              <w:pStyle w:val="P68B1DB1-Normal4"/>
              <w:spacing w:line="276" w:lineRule="auto"/>
              <w:jc w:val="center"/>
              <w:rPr>
                <w:noProof/>
              </w:rPr>
            </w:pPr>
            <w:r>
              <w:rPr>
                <w:noProof/>
              </w:rPr>
              <w:t>Az adminisztráció egyszerűsítése és a nemzeti parkokba és védett tengeri területekbe látogatóknak nyújtott digitális szolgáltatások fejlesztése</w:t>
            </w:r>
          </w:p>
        </w:tc>
        <w:tc>
          <w:tcPr>
            <w:tcW w:w="1383" w:type="dxa"/>
            <w:shd w:val="clear" w:color="auto" w:fill="C6EFCE"/>
            <w:noWrap/>
            <w:vAlign w:val="center"/>
          </w:tcPr>
          <w:p w14:paraId="51ACE20A"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tcPr>
          <w:p w14:paraId="706867DB"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tcPr>
          <w:p w14:paraId="70652EAC"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tcPr>
          <w:p w14:paraId="74BC6EE6" w14:textId="77777777" w:rsidR="003F5418" w:rsidRDefault="002A6C25">
            <w:pPr>
              <w:pStyle w:val="P68B1DB1-Normal4"/>
              <w:spacing w:line="276" w:lineRule="auto"/>
              <w:jc w:val="center"/>
              <w:rPr>
                <w:noProof/>
              </w:rPr>
            </w:pPr>
            <w:r>
              <w:rPr>
                <w:noProof/>
              </w:rPr>
              <w:t>70</w:t>
            </w:r>
          </w:p>
        </w:tc>
        <w:tc>
          <w:tcPr>
            <w:tcW w:w="916" w:type="dxa"/>
            <w:shd w:val="clear" w:color="auto" w:fill="C6EFCE"/>
            <w:noWrap/>
            <w:vAlign w:val="center"/>
          </w:tcPr>
          <w:p w14:paraId="7BF7557A" w14:textId="77777777" w:rsidR="003F5418" w:rsidRDefault="002A6C25">
            <w:pPr>
              <w:pStyle w:val="P68B1DB1-Normal4"/>
              <w:spacing w:line="276" w:lineRule="auto"/>
              <w:jc w:val="center"/>
              <w:rPr>
                <w:noProof/>
              </w:rPr>
            </w:pPr>
            <w:r>
              <w:rPr>
                <w:noProof/>
              </w:rPr>
              <w:t>Q2</w:t>
            </w:r>
          </w:p>
        </w:tc>
        <w:tc>
          <w:tcPr>
            <w:tcW w:w="638" w:type="dxa"/>
            <w:shd w:val="clear" w:color="auto" w:fill="C6EFCE"/>
            <w:noWrap/>
            <w:vAlign w:val="center"/>
          </w:tcPr>
          <w:p w14:paraId="5A972720"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tcPr>
          <w:p w14:paraId="73C4CF90" w14:textId="77777777" w:rsidR="003F5418" w:rsidRDefault="002A6C25">
            <w:pPr>
              <w:pStyle w:val="P68B1DB1-Normal4"/>
              <w:spacing w:line="276" w:lineRule="auto"/>
              <w:rPr>
                <w:noProof/>
              </w:rPr>
            </w:pPr>
            <w:r>
              <w:rPr>
                <w:noProof/>
              </w:rPr>
              <w:t>A nemzeti parkok és védett tengeri területek legalább 70%-a fejle</w:t>
            </w:r>
            <w:r>
              <w:rPr>
                <w:noProof/>
              </w:rPr>
              <w:t>sztett ki digitális szolgáltatásokat a nemzeti parkokba és védett tengeri területekbe látogatók számára (legalább kettő: kapcsolat a Naturitalia.IT portállal; közigazgatási eljárások vagy fenntartható mobilitási alkalmazás iránti kérelem).</w:t>
            </w:r>
          </w:p>
        </w:tc>
      </w:tr>
      <w:tr w:rsidR="003F5418" w14:paraId="2A5785F5" w14:textId="77777777">
        <w:trPr>
          <w:trHeight w:val="313"/>
          <w:jc w:val="center"/>
        </w:trPr>
        <w:tc>
          <w:tcPr>
            <w:tcW w:w="1130" w:type="dxa"/>
            <w:shd w:val="clear" w:color="auto" w:fill="C6EFCE"/>
            <w:noWrap/>
            <w:vAlign w:val="center"/>
            <w:hideMark/>
          </w:tcPr>
          <w:p w14:paraId="39C01EC5" w14:textId="77777777" w:rsidR="003F5418" w:rsidRDefault="002A6C25">
            <w:pPr>
              <w:pStyle w:val="P68B1DB1-Normal4"/>
              <w:spacing w:line="276" w:lineRule="auto"/>
              <w:jc w:val="center"/>
              <w:rPr>
                <w:noProof/>
              </w:rPr>
            </w:pPr>
            <w:r>
              <w:rPr>
                <w:noProof/>
              </w:rPr>
              <w:t>M2C4–7</w:t>
            </w:r>
          </w:p>
        </w:tc>
        <w:tc>
          <w:tcPr>
            <w:tcW w:w="1560" w:type="dxa"/>
            <w:shd w:val="clear" w:color="auto" w:fill="C6EFCE"/>
            <w:noWrap/>
            <w:vAlign w:val="center"/>
          </w:tcPr>
          <w:p w14:paraId="1A69433C" w14:textId="77777777" w:rsidR="003F5418" w:rsidRDefault="002A6C25">
            <w:pPr>
              <w:pStyle w:val="P68B1DB1-Normal4"/>
              <w:spacing w:line="276" w:lineRule="auto"/>
              <w:jc w:val="center"/>
              <w:rPr>
                <w:noProof/>
              </w:rPr>
            </w:pPr>
            <w:r>
              <w:rPr>
                <w:noProof/>
              </w:rPr>
              <w:t xml:space="preserve">Reform: </w:t>
            </w:r>
            <w:r>
              <w:rPr>
                <w:noProof/>
              </w:rPr>
              <w:t>A nemzeti levegőszennyezés-csökkentési programok elfogadása</w:t>
            </w:r>
          </w:p>
        </w:tc>
        <w:tc>
          <w:tcPr>
            <w:tcW w:w="1134" w:type="dxa"/>
            <w:shd w:val="clear" w:color="auto" w:fill="C6EFCE"/>
            <w:noWrap/>
            <w:vAlign w:val="center"/>
            <w:hideMark/>
          </w:tcPr>
          <w:p w14:paraId="53451C34"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tcPr>
          <w:p w14:paraId="1D57D4B4" w14:textId="77777777" w:rsidR="003F5418" w:rsidRDefault="002A6C25">
            <w:pPr>
              <w:pStyle w:val="P68B1DB1-Normal4"/>
              <w:spacing w:line="276" w:lineRule="auto"/>
              <w:jc w:val="center"/>
              <w:rPr>
                <w:noProof/>
              </w:rPr>
            </w:pPr>
            <w:r>
              <w:rPr>
                <w:noProof/>
              </w:rPr>
              <w:t>A nemzeti levegőszennyezés-csökkentési program hatálybalépése</w:t>
            </w:r>
          </w:p>
        </w:tc>
        <w:tc>
          <w:tcPr>
            <w:tcW w:w="1383" w:type="dxa"/>
            <w:shd w:val="clear" w:color="auto" w:fill="C6EFCE"/>
            <w:noWrap/>
            <w:vAlign w:val="center"/>
            <w:hideMark/>
          </w:tcPr>
          <w:p w14:paraId="4D87C0C0" w14:textId="77777777" w:rsidR="003F5418" w:rsidRDefault="002A6C25">
            <w:pPr>
              <w:pStyle w:val="P68B1DB1-Normal4"/>
              <w:spacing w:line="276" w:lineRule="auto"/>
              <w:jc w:val="center"/>
              <w:rPr>
                <w:noProof/>
              </w:rPr>
            </w:pPr>
            <w:r>
              <w:rPr>
                <w:noProof/>
              </w:rPr>
              <w:t>A DPCM-ben a hatálybalépést feltüntető rendelkezés</w:t>
            </w:r>
          </w:p>
        </w:tc>
        <w:tc>
          <w:tcPr>
            <w:tcW w:w="1094" w:type="dxa"/>
            <w:shd w:val="clear" w:color="auto" w:fill="C6EFCE"/>
            <w:noWrap/>
            <w:vAlign w:val="center"/>
            <w:hideMark/>
          </w:tcPr>
          <w:p w14:paraId="6BFA6AE7"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tcPr>
          <w:p w14:paraId="00E40201" w14:textId="77777777" w:rsidR="003F5418" w:rsidRDefault="002A6C25">
            <w:pPr>
              <w:pStyle w:val="P68B1DB1-Normal4"/>
              <w:spacing w:line="276" w:lineRule="auto"/>
              <w:jc w:val="center"/>
              <w:rPr>
                <w:noProof/>
              </w:rPr>
            </w:pPr>
            <w:r>
              <w:rPr>
                <w:noProof/>
              </w:rPr>
              <w:t>N.A.</w:t>
            </w:r>
          </w:p>
        </w:tc>
        <w:tc>
          <w:tcPr>
            <w:tcW w:w="1194" w:type="dxa"/>
            <w:shd w:val="clear" w:color="auto" w:fill="C6EFCE"/>
            <w:noWrap/>
            <w:vAlign w:val="center"/>
          </w:tcPr>
          <w:p w14:paraId="462D8AFF"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5C3A400A"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41B7980C" w14:textId="77777777" w:rsidR="003F5418" w:rsidRDefault="002A6C25">
            <w:pPr>
              <w:pStyle w:val="P68B1DB1-Normal4"/>
              <w:spacing w:line="276" w:lineRule="auto"/>
              <w:jc w:val="center"/>
              <w:rPr>
                <w:noProof/>
              </w:rPr>
            </w:pPr>
            <w:r>
              <w:rPr>
                <w:noProof/>
              </w:rPr>
              <w:t>2021</w:t>
            </w:r>
          </w:p>
        </w:tc>
        <w:tc>
          <w:tcPr>
            <w:tcW w:w="4116" w:type="dxa"/>
            <w:shd w:val="clear" w:color="auto" w:fill="C6EFCE"/>
            <w:noWrap/>
            <w:vAlign w:val="center"/>
            <w:hideMark/>
          </w:tcPr>
          <w:p w14:paraId="3B50EB16" w14:textId="77777777" w:rsidR="003F5418" w:rsidRDefault="002A6C25">
            <w:pPr>
              <w:pStyle w:val="P68B1DB1-Normal4"/>
              <w:spacing w:line="276" w:lineRule="auto"/>
              <w:rPr>
                <w:noProof/>
              </w:rPr>
            </w:pPr>
            <w:r>
              <w:rPr>
                <w:noProof/>
              </w:rPr>
              <w:t xml:space="preserve">A minisztertanács elnökének rendelete </w:t>
            </w:r>
            <w:r>
              <w:rPr>
                <w:noProof/>
              </w:rPr>
              <w:t>meghatározza a nemzeti levegőszennyezés-csökkentési programot, amely a (EU) 2016/2284 irányelvvel és az irányelvet átültető, 2018. május 30-i 81. sz. törvényerejű rendelettel összhangban megfelelő intézkedéseket vezet be a légszennyezés csökkentésére.</w:t>
            </w:r>
          </w:p>
        </w:tc>
      </w:tr>
      <w:tr w:rsidR="003F5418" w14:paraId="4D5EE277" w14:textId="77777777">
        <w:trPr>
          <w:trHeight w:val="313"/>
          <w:jc w:val="center"/>
        </w:trPr>
        <w:tc>
          <w:tcPr>
            <w:tcW w:w="1130" w:type="dxa"/>
            <w:shd w:val="clear" w:color="auto" w:fill="C6EFCE"/>
            <w:noWrap/>
            <w:vAlign w:val="center"/>
            <w:hideMark/>
          </w:tcPr>
          <w:p w14:paraId="7ABACF1C" w14:textId="77777777" w:rsidR="003F5418" w:rsidRDefault="002A6C25">
            <w:pPr>
              <w:pStyle w:val="P68B1DB1-Normal4"/>
              <w:spacing w:line="276" w:lineRule="auto"/>
              <w:jc w:val="center"/>
              <w:rPr>
                <w:noProof/>
              </w:rPr>
            </w:pPr>
            <w:r>
              <w:rPr>
                <w:noProof/>
              </w:rPr>
              <w:t>M2C4–8</w:t>
            </w:r>
          </w:p>
        </w:tc>
        <w:tc>
          <w:tcPr>
            <w:tcW w:w="1560" w:type="dxa"/>
            <w:shd w:val="clear" w:color="auto" w:fill="C6EFCE"/>
            <w:noWrap/>
            <w:vAlign w:val="center"/>
          </w:tcPr>
          <w:p w14:paraId="6BA84D78" w14:textId="77777777" w:rsidR="003F5418" w:rsidRDefault="002A6C25">
            <w:pPr>
              <w:pStyle w:val="P68B1DB1-Normal4"/>
              <w:spacing w:line="276" w:lineRule="auto"/>
              <w:jc w:val="center"/>
              <w:rPr>
                <w:noProof/>
              </w:rPr>
            </w:pPr>
            <w:r>
              <w:rPr>
                <w:noProof/>
              </w:rPr>
              <w:t>Beruházás Fejlett és integrált monitoring- és előrejelzési rendszer bevezetése</w:t>
            </w:r>
          </w:p>
        </w:tc>
        <w:tc>
          <w:tcPr>
            <w:tcW w:w="1134" w:type="dxa"/>
            <w:shd w:val="clear" w:color="auto" w:fill="C6EFCE"/>
            <w:noWrap/>
            <w:vAlign w:val="center"/>
            <w:hideMark/>
          </w:tcPr>
          <w:p w14:paraId="32B0EECE"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tcPr>
          <w:p w14:paraId="48C61234" w14:textId="77777777" w:rsidR="003F5418" w:rsidRDefault="002A6C25">
            <w:pPr>
              <w:pStyle w:val="P68B1DB1-Normal4"/>
              <w:spacing w:line="276" w:lineRule="auto"/>
              <w:jc w:val="center"/>
              <w:rPr>
                <w:noProof/>
              </w:rPr>
            </w:pPr>
            <w:r>
              <w:rPr>
                <w:noProof/>
              </w:rPr>
              <w:t>A hidrológiai kockázatok azonosítására szolgáló fejlett és integrált nyomonkövetési és előrejelzési rendszerre vonatkozó műveleti terv</w:t>
            </w:r>
          </w:p>
        </w:tc>
        <w:tc>
          <w:tcPr>
            <w:tcW w:w="1383" w:type="dxa"/>
            <w:shd w:val="clear" w:color="auto" w:fill="C6EFCE"/>
            <w:noWrap/>
            <w:vAlign w:val="center"/>
            <w:hideMark/>
          </w:tcPr>
          <w:p w14:paraId="71B525A9" w14:textId="77777777" w:rsidR="003F5418" w:rsidRDefault="002A6C25">
            <w:pPr>
              <w:pStyle w:val="P68B1DB1-Normal4"/>
              <w:spacing w:line="276" w:lineRule="auto"/>
              <w:jc w:val="center"/>
              <w:rPr>
                <w:noProof/>
              </w:rPr>
            </w:pPr>
            <w:r>
              <w:rPr>
                <w:noProof/>
              </w:rPr>
              <w:t xml:space="preserve">A miniszteri rendeletben </w:t>
            </w:r>
            <w:r>
              <w:rPr>
                <w:noProof/>
              </w:rPr>
              <w:t>szereplő, a hatálybalépésre vonatkozó rendelkezés</w:t>
            </w:r>
          </w:p>
        </w:tc>
        <w:tc>
          <w:tcPr>
            <w:tcW w:w="1094" w:type="dxa"/>
            <w:shd w:val="clear" w:color="auto" w:fill="C6EFCE"/>
            <w:noWrap/>
            <w:vAlign w:val="center"/>
            <w:hideMark/>
          </w:tcPr>
          <w:p w14:paraId="4D72BD41"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tcPr>
          <w:p w14:paraId="45D34001"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tcPr>
          <w:p w14:paraId="544B3496"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642D509B" w14:textId="77777777" w:rsidR="003F5418" w:rsidRDefault="002A6C25">
            <w:pPr>
              <w:pStyle w:val="P68B1DB1-Normal4"/>
              <w:spacing w:line="276" w:lineRule="auto"/>
              <w:jc w:val="center"/>
              <w:rPr>
                <w:noProof/>
              </w:rPr>
            </w:pPr>
            <w:r>
              <w:rPr>
                <w:noProof/>
              </w:rPr>
              <w:t>Q3</w:t>
            </w:r>
          </w:p>
        </w:tc>
        <w:tc>
          <w:tcPr>
            <w:tcW w:w="638" w:type="dxa"/>
            <w:shd w:val="clear" w:color="auto" w:fill="C6EFCE"/>
            <w:noWrap/>
            <w:vAlign w:val="center"/>
            <w:hideMark/>
          </w:tcPr>
          <w:p w14:paraId="397A3CA6" w14:textId="77777777" w:rsidR="003F5418" w:rsidRDefault="002A6C25">
            <w:pPr>
              <w:pStyle w:val="P68B1DB1-Normal4"/>
              <w:spacing w:line="276" w:lineRule="auto"/>
              <w:jc w:val="center"/>
              <w:rPr>
                <w:noProof/>
              </w:rPr>
            </w:pPr>
            <w:r>
              <w:rPr>
                <w:noProof/>
              </w:rPr>
              <w:t>2021</w:t>
            </w:r>
          </w:p>
        </w:tc>
        <w:tc>
          <w:tcPr>
            <w:tcW w:w="4116" w:type="dxa"/>
            <w:shd w:val="clear" w:color="auto" w:fill="C6EFCE"/>
            <w:noWrap/>
            <w:vAlign w:val="center"/>
            <w:hideMark/>
          </w:tcPr>
          <w:p w14:paraId="21758D30" w14:textId="77777777" w:rsidR="003F5418" w:rsidRDefault="002A6C25">
            <w:pPr>
              <w:pStyle w:val="P68B1DB1-Normal4"/>
              <w:spacing w:line="276" w:lineRule="auto"/>
              <w:rPr>
                <w:noProof/>
              </w:rPr>
            </w:pPr>
            <w:r>
              <w:rPr>
                <w:noProof/>
              </w:rPr>
              <w:t>A miniszteri rendelet a hidrológiai kockázatok azonosítására szolgáló fejlett és integrált monitoring- és előrejelzési rendszer megvalósítására vonatkozó működési tervet hagy jóvá.</w:t>
            </w:r>
            <w:r>
              <w:rPr>
                <w:noProof/>
              </w:rPr>
              <w:t xml:space="preserve"> Legalább a következő feladatokat látja el:</w:t>
            </w:r>
          </w:p>
          <w:p w14:paraId="35B63EF5" w14:textId="77777777" w:rsidR="003F5418" w:rsidRDefault="002A6C25">
            <w:pPr>
              <w:pStyle w:val="P68B1DB1-ListParagraph5"/>
              <w:numPr>
                <w:ilvl w:val="0"/>
                <w:numId w:val="69"/>
              </w:numPr>
              <w:spacing w:line="276" w:lineRule="auto"/>
              <w:ind w:left="424"/>
              <w:rPr>
                <w:noProof/>
              </w:rPr>
            </w:pPr>
            <w:r>
              <w:rPr>
                <w:noProof/>
              </w:rPr>
              <w:t>Távérzékelési alkalmazások és adatmező-érzékelők tervezése;</w:t>
            </w:r>
          </w:p>
          <w:p w14:paraId="2B9A12A6" w14:textId="77777777" w:rsidR="003F5418" w:rsidRDefault="002A6C25">
            <w:pPr>
              <w:pStyle w:val="P68B1DB1-ListParagraph5"/>
              <w:numPr>
                <w:ilvl w:val="0"/>
                <w:numId w:val="69"/>
              </w:numPr>
              <w:spacing w:line="276" w:lineRule="auto"/>
              <w:ind w:left="424"/>
              <w:rPr>
                <w:noProof/>
              </w:rPr>
            </w:pPr>
            <w:r>
              <w:rPr>
                <w:noProof/>
              </w:rPr>
              <w:t>Olyan kommunikációs rendszer kifejlesztése, amely lehetővé teszi a koordinátort és a különböző üzemeltetők közötti interoperabilitást az irányítótermekb</w:t>
            </w:r>
            <w:r>
              <w:rPr>
                <w:noProof/>
              </w:rPr>
              <w:t>en</w:t>
            </w:r>
          </w:p>
          <w:p w14:paraId="50CA3562" w14:textId="77777777" w:rsidR="003F5418" w:rsidRDefault="002A6C25">
            <w:pPr>
              <w:pStyle w:val="P68B1DB1-ListParagraph5"/>
              <w:numPr>
                <w:ilvl w:val="0"/>
                <w:numId w:val="69"/>
              </w:numPr>
              <w:spacing w:line="276" w:lineRule="auto"/>
              <w:ind w:left="424"/>
              <w:rPr>
                <w:noProof/>
              </w:rPr>
            </w:pPr>
            <w:r>
              <w:rPr>
                <w:noProof/>
              </w:rPr>
              <w:t>Központi és regionális irányítótermek létrehozása</w:t>
            </w:r>
          </w:p>
          <w:p w14:paraId="786ECA96" w14:textId="77777777" w:rsidR="003F5418" w:rsidRDefault="002A6C25">
            <w:pPr>
              <w:pStyle w:val="P68B1DB1-ListParagraph5"/>
              <w:numPr>
                <w:ilvl w:val="0"/>
                <w:numId w:val="69"/>
              </w:numPr>
              <w:spacing w:line="276" w:lineRule="auto"/>
              <w:ind w:left="424"/>
              <w:rPr>
                <w:noProof/>
              </w:rPr>
            </w:pPr>
            <w:r>
              <w:rPr>
                <w:noProof/>
              </w:rPr>
              <w:t>Kiberbiztonsági rendszerek és szolgáltatások kifejlesztése</w:t>
            </w:r>
          </w:p>
        </w:tc>
      </w:tr>
      <w:tr w:rsidR="003F5418" w14:paraId="6AA47626" w14:textId="77777777">
        <w:trPr>
          <w:trHeight w:val="313"/>
          <w:jc w:val="center"/>
        </w:trPr>
        <w:tc>
          <w:tcPr>
            <w:tcW w:w="1130" w:type="dxa"/>
            <w:shd w:val="clear" w:color="auto" w:fill="C6EFCE"/>
            <w:noWrap/>
            <w:vAlign w:val="center"/>
            <w:hideMark/>
          </w:tcPr>
          <w:p w14:paraId="4C22C061" w14:textId="77777777" w:rsidR="003F5418" w:rsidRDefault="002A6C25">
            <w:pPr>
              <w:pStyle w:val="P68B1DB1-Normal4"/>
              <w:spacing w:line="276" w:lineRule="auto"/>
              <w:jc w:val="center"/>
              <w:rPr>
                <w:noProof/>
              </w:rPr>
            </w:pPr>
            <w:r>
              <w:rPr>
                <w:noProof/>
              </w:rPr>
              <w:t>M2C4–9</w:t>
            </w:r>
          </w:p>
        </w:tc>
        <w:tc>
          <w:tcPr>
            <w:tcW w:w="1560" w:type="dxa"/>
            <w:shd w:val="clear" w:color="auto" w:fill="C6EFCE"/>
            <w:noWrap/>
            <w:vAlign w:val="center"/>
          </w:tcPr>
          <w:p w14:paraId="6C3B1836" w14:textId="77777777" w:rsidR="003F5418" w:rsidRDefault="002A6C25">
            <w:pPr>
              <w:pStyle w:val="P68B1DB1-Normal4"/>
              <w:spacing w:line="276" w:lineRule="auto"/>
              <w:jc w:val="center"/>
              <w:rPr>
                <w:noProof/>
              </w:rPr>
            </w:pPr>
            <w:r>
              <w:rPr>
                <w:noProof/>
              </w:rPr>
              <w:t>Beruházás Fejlett és integrált monitoring- és előrejelzési rendszer bevezetése</w:t>
            </w:r>
          </w:p>
        </w:tc>
        <w:tc>
          <w:tcPr>
            <w:tcW w:w="1134" w:type="dxa"/>
            <w:shd w:val="clear" w:color="auto" w:fill="C6EFCE"/>
            <w:noWrap/>
            <w:vAlign w:val="center"/>
            <w:hideMark/>
          </w:tcPr>
          <w:p w14:paraId="321CBAB1"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tcPr>
          <w:p w14:paraId="1332E182" w14:textId="77777777" w:rsidR="003F5418" w:rsidRDefault="002A6C25">
            <w:pPr>
              <w:pStyle w:val="P68B1DB1-Normal4"/>
              <w:spacing w:line="276" w:lineRule="auto"/>
              <w:jc w:val="center"/>
              <w:rPr>
                <w:noProof/>
              </w:rPr>
            </w:pPr>
            <w:r>
              <w:rPr>
                <w:noProof/>
              </w:rPr>
              <w:t>Fejlett és integrált nyomonkövetési és előrejelzési</w:t>
            </w:r>
            <w:r>
              <w:rPr>
                <w:noProof/>
              </w:rPr>
              <w:t xml:space="preserve"> rendszer telepítése a hidrológiai kockázatok azonosítására</w:t>
            </w:r>
          </w:p>
        </w:tc>
        <w:tc>
          <w:tcPr>
            <w:tcW w:w="1383" w:type="dxa"/>
            <w:shd w:val="clear" w:color="auto" w:fill="C6EFCE"/>
            <w:noWrap/>
            <w:vAlign w:val="center"/>
            <w:hideMark/>
          </w:tcPr>
          <w:p w14:paraId="2201FD76"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41656B6A"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tcPr>
          <w:p w14:paraId="6AD68949"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tcPr>
          <w:p w14:paraId="435DB62C" w14:textId="77777777" w:rsidR="003F5418" w:rsidRDefault="002A6C25">
            <w:pPr>
              <w:pStyle w:val="P68B1DB1-Normal4"/>
              <w:spacing w:line="276" w:lineRule="auto"/>
              <w:jc w:val="center"/>
              <w:rPr>
                <w:noProof/>
              </w:rPr>
            </w:pPr>
            <w:r>
              <w:rPr>
                <w:noProof/>
              </w:rPr>
              <w:t>90</w:t>
            </w:r>
          </w:p>
        </w:tc>
        <w:tc>
          <w:tcPr>
            <w:tcW w:w="916" w:type="dxa"/>
            <w:shd w:val="clear" w:color="auto" w:fill="C6EFCE"/>
            <w:noWrap/>
            <w:vAlign w:val="center"/>
            <w:hideMark/>
          </w:tcPr>
          <w:p w14:paraId="7D228B2D" w14:textId="77777777" w:rsidR="003F5418" w:rsidRDefault="002A6C25">
            <w:pPr>
              <w:pStyle w:val="P68B1DB1-Normal4"/>
              <w:spacing w:line="276" w:lineRule="auto"/>
              <w:jc w:val="center"/>
              <w:rPr>
                <w:noProof/>
              </w:rPr>
            </w:pPr>
            <w:r>
              <w:rPr>
                <w:noProof/>
              </w:rPr>
              <w:t>Q2</w:t>
            </w:r>
          </w:p>
        </w:tc>
        <w:tc>
          <w:tcPr>
            <w:tcW w:w="638" w:type="dxa"/>
            <w:shd w:val="clear" w:color="auto" w:fill="C6EFCE"/>
            <w:noWrap/>
            <w:vAlign w:val="center"/>
            <w:hideMark/>
          </w:tcPr>
          <w:p w14:paraId="31422B58" w14:textId="77777777" w:rsidR="003F5418" w:rsidRDefault="002A6C25">
            <w:pPr>
              <w:pStyle w:val="P68B1DB1-Normal4"/>
              <w:spacing w:line="276" w:lineRule="auto"/>
              <w:jc w:val="center"/>
              <w:rPr>
                <w:noProof/>
              </w:rPr>
            </w:pPr>
            <w:r>
              <w:rPr>
                <w:noProof/>
              </w:rPr>
              <w:t>2025</w:t>
            </w:r>
          </w:p>
        </w:tc>
        <w:tc>
          <w:tcPr>
            <w:tcW w:w="4116" w:type="dxa"/>
            <w:shd w:val="clear" w:color="auto" w:fill="C6EFCE"/>
            <w:noWrap/>
            <w:vAlign w:val="center"/>
            <w:hideMark/>
          </w:tcPr>
          <w:p w14:paraId="52859B52" w14:textId="77777777" w:rsidR="003F5418" w:rsidRDefault="002A6C25">
            <w:pPr>
              <w:pStyle w:val="P68B1DB1-Normal4"/>
              <w:spacing w:line="276" w:lineRule="auto"/>
              <w:rPr>
                <w:noProof/>
              </w:rPr>
            </w:pPr>
            <w:r>
              <w:rPr>
                <w:noProof/>
              </w:rPr>
              <w:t>A déli régiók területének 90%-át fejlett és integrált monitoring- és előrejelző rendszernek kell lefednie a hidrológiai kockázatok azonosítása érdekében.</w:t>
            </w:r>
          </w:p>
        </w:tc>
      </w:tr>
      <w:tr w:rsidR="003F5418" w14:paraId="007641DE" w14:textId="77777777">
        <w:trPr>
          <w:trHeight w:val="313"/>
          <w:jc w:val="center"/>
        </w:trPr>
        <w:tc>
          <w:tcPr>
            <w:tcW w:w="1130" w:type="dxa"/>
            <w:shd w:val="clear" w:color="auto" w:fill="C6EFCE"/>
            <w:noWrap/>
            <w:vAlign w:val="center"/>
          </w:tcPr>
          <w:p w14:paraId="42557615" w14:textId="77777777" w:rsidR="003F5418" w:rsidRDefault="002A6C25">
            <w:pPr>
              <w:pStyle w:val="P68B1DB1-Normal4"/>
              <w:spacing w:line="276" w:lineRule="auto"/>
              <w:jc w:val="center"/>
              <w:rPr>
                <w:noProof/>
              </w:rPr>
            </w:pPr>
            <w:r>
              <w:rPr>
                <w:noProof/>
              </w:rPr>
              <w:t>M2C4–11</w:t>
            </w:r>
          </w:p>
        </w:tc>
        <w:tc>
          <w:tcPr>
            <w:tcW w:w="1560" w:type="dxa"/>
            <w:shd w:val="clear" w:color="auto" w:fill="C6EFCE"/>
            <w:noWrap/>
            <w:vAlign w:val="center"/>
          </w:tcPr>
          <w:p w14:paraId="639FDB25" w14:textId="77777777" w:rsidR="003F5418" w:rsidRDefault="002A6C25">
            <w:pPr>
              <w:pStyle w:val="P68B1DB1-Normal4"/>
              <w:spacing w:line="276" w:lineRule="auto"/>
              <w:jc w:val="center"/>
              <w:rPr>
                <w:noProof/>
              </w:rPr>
            </w:pPr>
            <w:r>
              <w:rPr>
                <w:noProof/>
              </w:rPr>
              <w:t>Beruházás: Az árvíz- és hidrogeológiai kockázatok csökkentésére irányuló intézkedések – Beavatkozás Emilia Romagnában, Toscanában és Marche-ban</w:t>
            </w:r>
          </w:p>
        </w:tc>
        <w:tc>
          <w:tcPr>
            <w:tcW w:w="1134" w:type="dxa"/>
            <w:shd w:val="clear" w:color="auto" w:fill="C6EFCE"/>
            <w:noWrap/>
            <w:vAlign w:val="center"/>
          </w:tcPr>
          <w:p w14:paraId="06A6FA47"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tcPr>
          <w:p w14:paraId="4EDC357B" w14:textId="77777777" w:rsidR="003F5418" w:rsidRDefault="002A6C25">
            <w:pPr>
              <w:pStyle w:val="P68B1DB1-Normal4"/>
              <w:spacing w:line="276" w:lineRule="auto"/>
              <w:jc w:val="center"/>
              <w:rPr>
                <w:noProof/>
              </w:rPr>
            </w:pPr>
            <w:r>
              <w:rPr>
                <w:noProof/>
              </w:rPr>
              <w:t>A beavatkozások azonosítása a veszélyhelyzeti biztos rendeletével (rendeleteivel)</w:t>
            </w:r>
          </w:p>
        </w:tc>
        <w:tc>
          <w:tcPr>
            <w:tcW w:w="1383" w:type="dxa"/>
            <w:shd w:val="clear" w:color="auto" w:fill="C6EFCE"/>
            <w:noWrap/>
            <w:vAlign w:val="center"/>
          </w:tcPr>
          <w:p w14:paraId="70FC98A8" w14:textId="77777777" w:rsidR="003F5418" w:rsidRDefault="002A6C25">
            <w:pPr>
              <w:pStyle w:val="P68B1DB1-Normal4"/>
              <w:spacing w:line="276" w:lineRule="auto"/>
              <w:jc w:val="center"/>
              <w:rPr>
                <w:noProof/>
              </w:rPr>
            </w:pPr>
            <w:r>
              <w:rPr>
                <w:noProof/>
              </w:rPr>
              <w:t xml:space="preserve">A veszélyhelyzeti </w:t>
            </w:r>
            <w:r>
              <w:rPr>
                <w:noProof/>
              </w:rPr>
              <w:t>biztos rendelete(i)</w:t>
            </w:r>
          </w:p>
        </w:tc>
        <w:tc>
          <w:tcPr>
            <w:tcW w:w="1094" w:type="dxa"/>
            <w:shd w:val="clear" w:color="auto" w:fill="C6EFCE"/>
            <w:noWrap/>
            <w:vAlign w:val="center"/>
          </w:tcPr>
          <w:p w14:paraId="2579513B" w14:textId="77777777" w:rsidR="003F5418" w:rsidRDefault="003F5418">
            <w:pPr>
              <w:spacing w:line="276" w:lineRule="auto"/>
              <w:jc w:val="center"/>
              <w:rPr>
                <w:rFonts w:ascii="Arial Narrow" w:hAnsi="Arial Narrow"/>
                <w:noProof/>
                <w:color w:val="006100"/>
                <w:sz w:val="20"/>
              </w:rPr>
            </w:pPr>
          </w:p>
        </w:tc>
        <w:tc>
          <w:tcPr>
            <w:tcW w:w="1290" w:type="dxa"/>
            <w:shd w:val="clear" w:color="auto" w:fill="C6EFCE"/>
            <w:noWrap/>
            <w:vAlign w:val="center"/>
          </w:tcPr>
          <w:p w14:paraId="3A2E0300" w14:textId="77777777" w:rsidR="003F5418" w:rsidRDefault="003F5418">
            <w:pPr>
              <w:spacing w:line="276" w:lineRule="auto"/>
              <w:jc w:val="center"/>
              <w:rPr>
                <w:rFonts w:ascii="Arial Narrow" w:hAnsi="Arial Narrow"/>
                <w:noProof/>
                <w:color w:val="006100"/>
                <w:sz w:val="20"/>
              </w:rPr>
            </w:pPr>
          </w:p>
        </w:tc>
        <w:tc>
          <w:tcPr>
            <w:tcW w:w="1194" w:type="dxa"/>
            <w:shd w:val="clear" w:color="auto" w:fill="C6EFCE"/>
            <w:noWrap/>
            <w:vAlign w:val="center"/>
          </w:tcPr>
          <w:p w14:paraId="1235E42E" w14:textId="77777777" w:rsidR="003F5418" w:rsidRDefault="003F5418">
            <w:pPr>
              <w:spacing w:line="276" w:lineRule="auto"/>
              <w:jc w:val="center"/>
              <w:rPr>
                <w:rFonts w:ascii="Arial Narrow" w:hAnsi="Arial Narrow"/>
                <w:noProof/>
                <w:color w:val="006100"/>
                <w:sz w:val="20"/>
              </w:rPr>
            </w:pPr>
          </w:p>
        </w:tc>
        <w:tc>
          <w:tcPr>
            <w:tcW w:w="916" w:type="dxa"/>
            <w:shd w:val="clear" w:color="auto" w:fill="C6EFCE"/>
            <w:noWrap/>
            <w:vAlign w:val="center"/>
          </w:tcPr>
          <w:p w14:paraId="387F6FA2" w14:textId="77777777" w:rsidR="003F5418" w:rsidRDefault="002A6C25">
            <w:pPr>
              <w:pStyle w:val="P68B1DB1-Normal4"/>
              <w:spacing w:line="276" w:lineRule="auto"/>
              <w:jc w:val="center"/>
              <w:rPr>
                <w:noProof/>
              </w:rPr>
            </w:pPr>
            <w:r>
              <w:rPr>
                <w:noProof/>
              </w:rPr>
              <w:t>Q3</w:t>
            </w:r>
          </w:p>
        </w:tc>
        <w:tc>
          <w:tcPr>
            <w:tcW w:w="638" w:type="dxa"/>
            <w:shd w:val="clear" w:color="auto" w:fill="C6EFCE"/>
            <w:noWrap/>
            <w:vAlign w:val="center"/>
          </w:tcPr>
          <w:p w14:paraId="0BEA792A"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tcPr>
          <w:p w14:paraId="3D36F588" w14:textId="2E2C9853" w:rsidR="003F5418" w:rsidRDefault="002A6C25">
            <w:pPr>
              <w:pStyle w:val="P68B1DB1-Normal4"/>
              <w:rPr>
                <w:noProof/>
              </w:rPr>
            </w:pPr>
            <w:r>
              <w:rPr>
                <w:noProof/>
              </w:rPr>
              <w:t>A veszélyhelyzeti biztos egy vagy több rendelete meghatározza a vízi utak helyreállítására, valamint az árvizekkel és földcsuszamlásokkal szembeni védelem növelésére irányuló beavatkozások pontos listáját, a középületek – töb</w:t>
            </w:r>
            <w:r>
              <w:rPr>
                <w:noProof/>
              </w:rPr>
              <w:t>bek között a közházak és az egészségügyi központok – helyreállítására irányuló beavatkozásokat, valamint a helyreállítandó közlekedési hálózat teljes kilométerének számát. A beavatkozások teljes számának legalább 1,2 milliárd EUR-nak kell lennie.</w:t>
            </w:r>
          </w:p>
        </w:tc>
      </w:tr>
      <w:tr w:rsidR="003F5418" w14:paraId="614ADE11" w14:textId="77777777">
        <w:trPr>
          <w:trHeight w:val="313"/>
          <w:jc w:val="center"/>
        </w:trPr>
        <w:tc>
          <w:tcPr>
            <w:tcW w:w="1130" w:type="dxa"/>
            <w:shd w:val="clear" w:color="auto" w:fill="C6EFCE"/>
            <w:noWrap/>
            <w:vAlign w:val="center"/>
          </w:tcPr>
          <w:p w14:paraId="53C9A4DC" w14:textId="77777777" w:rsidR="003F5418" w:rsidRDefault="002A6C25">
            <w:pPr>
              <w:pStyle w:val="P68B1DB1-Normal4"/>
              <w:spacing w:line="276" w:lineRule="auto"/>
              <w:jc w:val="center"/>
              <w:rPr>
                <w:noProof/>
              </w:rPr>
            </w:pPr>
            <w:r>
              <w:rPr>
                <w:noProof/>
              </w:rPr>
              <w:t>M2C4–11a</w:t>
            </w:r>
          </w:p>
        </w:tc>
        <w:tc>
          <w:tcPr>
            <w:tcW w:w="1560" w:type="dxa"/>
            <w:shd w:val="clear" w:color="auto" w:fill="C6EFCE"/>
            <w:noWrap/>
            <w:vAlign w:val="center"/>
          </w:tcPr>
          <w:p w14:paraId="79C66323" w14:textId="77777777" w:rsidR="003F5418" w:rsidRDefault="002A6C25">
            <w:pPr>
              <w:pStyle w:val="P68B1DB1-Normal4"/>
              <w:spacing w:line="276" w:lineRule="auto"/>
              <w:jc w:val="center"/>
              <w:rPr>
                <w:noProof/>
              </w:rPr>
            </w:pPr>
            <w:r>
              <w:rPr>
                <w:noProof/>
              </w:rPr>
              <w:t>Beruházás: Az árvíz- és hidrogeológiai kockázatok csökkentésére irányuló intézkedések – Beavatkozás Emilia Romagnában, Toscanában és Marche-ban</w:t>
            </w:r>
          </w:p>
        </w:tc>
        <w:tc>
          <w:tcPr>
            <w:tcW w:w="1134" w:type="dxa"/>
            <w:shd w:val="clear" w:color="auto" w:fill="C6EFCE"/>
            <w:noWrap/>
            <w:vAlign w:val="center"/>
          </w:tcPr>
          <w:p w14:paraId="4AD62B80"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tcPr>
          <w:p w14:paraId="154FBC06" w14:textId="77777777" w:rsidR="003F5418" w:rsidRDefault="002A6C25">
            <w:pPr>
              <w:pStyle w:val="P68B1DB1-Normal4"/>
              <w:jc w:val="center"/>
              <w:rPr>
                <w:noProof/>
              </w:rPr>
            </w:pPr>
            <w:r>
              <w:rPr>
                <w:noProof/>
              </w:rPr>
              <w:t>Az Emilia-Romagna, Toscana és Marche</w:t>
            </w:r>
            <w:r>
              <w:rPr>
                <w:noProof/>
              </w:rPr>
              <w:t xml:space="preserve"> területén végrehajtott beavatkozásokra vonatkozó valamennyi közbeszerzési szerződés odaítélése</w:t>
            </w:r>
          </w:p>
        </w:tc>
        <w:tc>
          <w:tcPr>
            <w:tcW w:w="1383" w:type="dxa"/>
            <w:shd w:val="clear" w:color="auto" w:fill="C6EFCE"/>
            <w:noWrap/>
            <w:vAlign w:val="center"/>
          </w:tcPr>
          <w:p w14:paraId="2EECE296" w14:textId="77777777" w:rsidR="003F5418" w:rsidRDefault="002A6C25">
            <w:pPr>
              <w:pStyle w:val="P68B1DB1-Normal4"/>
              <w:jc w:val="center"/>
              <w:rPr>
                <w:noProof/>
              </w:rPr>
            </w:pPr>
            <w:r>
              <w:rPr>
                <w:noProof/>
              </w:rPr>
              <w:t>Értesítés valamennyi közbeszerzési szerződés odaítéléséről</w:t>
            </w:r>
          </w:p>
        </w:tc>
        <w:tc>
          <w:tcPr>
            <w:tcW w:w="1094" w:type="dxa"/>
            <w:shd w:val="clear" w:color="auto" w:fill="C6EFCE"/>
            <w:noWrap/>
            <w:vAlign w:val="center"/>
          </w:tcPr>
          <w:p w14:paraId="50BD5501" w14:textId="77777777" w:rsidR="003F5418" w:rsidRDefault="002A6C25">
            <w:pPr>
              <w:pStyle w:val="P68B1DB1-Normal4"/>
              <w:jc w:val="center"/>
              <w:rPr>
                <w:noProof/>
              </w:rPr>
            </w:pPr>
            <w:r>
              <w:rPr>
                <w:noProof/>
              </w:rPr>
              <w:t>NINCS</w:t>
            </w:r>
          </w:p>
        </w:tc>
        <w:tc>
          <w:tcPr>
            <w:tcW w:w="1290" w:type="dxa"/>
            <w:shd w:val="clear" w:color="auto" w:fill="C6EFCE"/>
            <w:noWrap/>
            <w:vAlign w:val="center"/>
          </w:tcPr>
          <w:p w14:paraId="0A72F044" w14:textId="77777777" w:rsidR="003F5418" w:rsidRDefault="002A6C25">
            <w:pPr>
              <w:pStyle w:val="P68B1DB1-Normal4"/>
              <w:jc w:val="center"/>
              <w:rPr>
                <w:noProof/>
              </w:rPr>
            </w:pPr>
            <w:r>
              <w:rPr>
                <w:noProof/>
              </w:rPr>
              <w:t>NINCS</w:t>
            </w:r>
          </w:p>
        </w:tc>
        <w:tc>
          <w:tcPr>
            <w:tcW w:w="1194" w:type="dxa"/>
            <w:shd w:val="clear" w:color="auto" w:fill="C6EFCE"/>
            <w:noWrap/>
            <w:vAlign w:val="center"/>
          </w:tcPr>
          <w:p w14:paraId="76781F91" w14:textId="77777777" w:rsidR="003F5418" w:rsidRDefault="002A6C25">
            <w:pPr>
              <w:pStyle w:val="P68B1DB1-Normal4"/>
              <w:jc w:val="center"/>
              <w:rPr>
                <w:noProof/>
              </w:rPr>
            </w:pPr>
            <w:r>
              <w:rPr>
                <w:noProof/>
              </w:rPr>
              <w:t>NINCS</w:t>
            </w:r>
          </w:p>
        </w:tc>
        <w:tc>
          <w:tcPr>
            <w:tcW w:w="916" w:type="dxa"/>
            <w:shd w:val="clear" w:color="auto" w:fill="C6EFCE"/>
            <w:noWrap/>
            <w:vAlign w:val="center"/>
          </w:tcPr>
          <w:p w14:paraId="795FE6B9" w14:textId="77777777" w:rsidR="003F5418" w:rsidRDefault="002A6C25">
            <w:pPr>
              <w:pStyle w:val="P68B1DB1-Normal4"/>
              <w:jc w:val="center"/>
              <w:rPr>
                <w:noProof/>
              </w:rPr>
            </w:pPr>
            <w:r>
              <w:rPr>
                <w:noProof/>
              </w:rPr>
              <w:t>Q2</w:t>
            </w:r>
          </w:p>
        </w:tc>
        <w:tc>
          <w:tcPr>
            <w:tcW w:w="638" w:type="dxa"/>
            <w:shd w:val="clear" w:color="auto" w:fill="C6EFCE"/>
            <w:noWrap/>
            <w:vAlign w:val="center"/>
          </w:tcPr>
          <w:p w14:paraId="6F233A85" w14:textId="77777777" w:rsidR="003F5418" w:rsidRDefault="002A6C25">
            <w:pPr>
              <w:pStyle w:val="P68B1DB1-Normal4"/>
              <w:jc w:val="center"/>
              <w:rPr>
                <w:noProof/>
              </w:rPr>
            </w:pPr>
            <w:r>
              <w:rPr>
                <w:noProof/>
              </w:rPr>
              <w:t>2025</w:t>
            </w:r>
          </w:p>
        </w:tc>
        <w:tc>
          <w:tcPr>
            <w:tcW w:w="4116" w:type="dxa"/>
            <w:shd w:val="clear" w:color="auto" w:fill="C6EFCE"/>
            <w:noWrap/>
            <w:vAlign w:val="center"/>
          </w:tcPr>
          <w:p w14:paraId="3588EF23" w14:textId="77777777" w:rsidR="003F5418" w:rsidRDefault="002A6C25">
            <w:pPr>
              <w:pStyle w:val="P68B1DB1-Normal4"/>
              <w:rPr>
                <w:noProof/>
              </w:rPr>
            </w:pPr>
            <w:r>
              <w:rPr>
                <w:noProof/>
              </w:rPr>
              <w:t>Értesítés a kockázatkezeléssel és a hidrogeológiai kockázatok csökkentéséve</w:t>
            </w:r>
            <w:r>
              <w:rPr>
                <w:noProof/>
              </w:rPr>
              <w:t>l kapcsolatos beavatkozásokra irányuló valamennyi közbeszerzési szerződés odaítéléséről. Azoknak a felhívásoknak az összértéke, amelyekből ezek a díjak származnak, legalább 1,2 milliárd EUR-t tesz ki.</w:t>
            </w:r>
          </w:p>
        </w:tc>
      </w:tr>
      <w:tr w:rsidR="003F5418" w14:paraId="40DE6CC4" w14:textId="77777777">
        <w:trPr>
          <w:trHeight w:val="313"/>
          <w:jc w:val="center"/>
        </w:trPr>
        <w:tc>
          <w:tcPr>
            <w:tcW w:w="1130" w:type="dxa"/>
            <w:shd w:val="clear" w:color="auto" w:fill="C6EFCE"/>
            <w:noWrap/>
            <w:vAlign w:val="center"/>
          </w:tcPr>
          <w:p w14:paraId="10360F8A" w14:textId="77777777" w:rsidR="003F5418" w:rsidRDefault="002A6C25">
            <w:pPr>
              <w:pStyle w:val="P68B1DB1-Normal4"/>
              <w:spacing w:after="120"/>
              <w:jc w:val="center"/>
              <w:rPr>
                <w:noProof/>
              </w:rPr>
            </w:pPr>
            <w:r>
              <w:rPr>
                <w:noProof/>
              </w:rPr>
              <w:t>M2C4–11ter</w:t>
            </w:r>
          </w:p>
        </w:tc>
        <w:tc>
          <w:tcPr>
            <w:tcW w:w="1560" w:type="dxa"/>
            <w:shd w:val="clear" w:color="auto" w:fill="C6EFCE"/>
            <w:noWrap/>
            <w:vAlign w:val="center"/>
          </w:tcPr>
          <w:p w14:paraId="04FEE10D" w14:textId="77777777" w:rsidR="003F5418" w:rsidRDefault="002A6C25">
            <w:pPr>
              <w:pStyle w:val="P68B1DB1-Normal4"/>
              <w:spacing w:after="120"/>
              <w:jc w:val="center"/>
              <w:rPr>
                <w:noProof/>
              </w:rPr>
            </w:pPr>
            <w:bookmarkStart w:id="10" w:name="_Hlk160472904"/>
            <w:r>
              <w:rPr>
                <w:noProof/>
              </w:rPr>
              <w:t xml:space="preserve">Beruházás: Az árvíz- és hidrogeológiai </w:t>
            </w:r>
            <w:r>
              <w:rPr>
                <w:noProof/>
              </w:rPr>
              <w:t>kockázatok csökkentésére irányuló intézkedések – Beavatkozás Emilia Romagnában, Toscanában és Marche-ban</w:t>
            </w:r>
            <w:bookmarkEnd w:id="10"/>
          </w:p>
        </w:tc>
        <w:tc>
          <w:tcPr>
            <w:tcW w:w="1134" w:type="dxa"/>
            <w:shd w:val="clear" w:color="auto" w:fill="C6EFCE"/>
            <w:noWrap/>
            <w:vAlign w:val="center"/>
          </w:tcPr>
          <w:p w14:paraId="410C60E0" w14:textId="77777777" w:rsidR="003F5418" w:rsidRDefault="002A6C25">
            <w:pPr>
              <w:pStyle w:val="P68B1DB1-Normal4"/>
              <w:spacing w:after="120"/>
              <w:jc w:val="center"/>
              <w:rPr>
                <w:noProof/>
              </w:rPr>
            </w:pPr>
            <w:r>
              <w:rPr>
                <w:noProof/>
              </w:rPr>
              <w:t>Mérföldkő</w:t>
            </w:r>
          </w:p>
        </w:tc>
        <w:tc>
          <w:tcPr>
            <w:tcW w:w="1559" w:type="dxa"/>
            <w:shd w:val="clear" w:color="auto" w:fill="C6EFCE"/>
            <w:noWrap/>
            <w:vAlign w:val="center"/>
          </w:tcPr>
          <w:p w14:paraId="12ED5136" w14:textId="77777777" w:rsidR="003F5418" w:rsidRDefault="002A6C25">
            <w:pPr>
              <w:pStyle w:val="P68B1DB1-Normal4"/>
              <w:spacing w:after="120"/>
              <w:jc w:val="center"/>
              <w:rPr>
                <w:noProof/>
              </w:rPr>
            </w:pPr>
            <w:r>
              <w:rPr>
                <w:noProof/>
              </w:rPr>
              <w:t>A projektek lezárása</w:t>
            </w:r>
          </w:p>
        </w:tc>
        <w:tc>
          <w:tcPr>
            <w:tcW w:w="1383" w:type="dxa"/>
            <w:shd w:val="clear" w:color="auto" w:fill="C6EFCE"/>
            <w:noWrap/>
            <w:vAlign w:val="center"/>
          </w:tcPr>
          <w:p w14:paraId="3551444F" w14:textId="77777777" w:rsidR="003F5418" w:rsidRDefault="002A6C25">
            <w:pPr>
              <w:pStyle w:val="P68B1DB1-Normal4"/>
              <w:spacing w:after="120"/>
              <w:jc w:val="center"/>
              <w:rPr>
                <w:noProof/>
              </w:rPr>
            </w:pPr>
            <w:r>
              <w:rPr>
                <w:noProof/>
              </w:rPr>
              <w:t>A projektek befejezésének igazolása</w:t>
            </w:r>
          </w:p>
        </w:tc>
        <w:tc>
          <w:tcPr>
            <w:tcW w:w="1094" w:type="dxa"/>
            <w:shd w:val="clear" w:color="auto" w:fill="C6EFCE"/>
            <w:noWrap/>
            <w:vAlign w:val="center"/>
          </w:tcPr>
          <w:p w14:paraId="09B64D50" w14:textId="77777777" w:rsidR="003F5418" w:rsidRDefault="003F5418">
            <w:pPr>
              <w:spacing w:after="120"/>
              <w:jc w:val="center"/>
              <w:rPr>
                <w:rFonts w:ascii="Arial Narrow" w:hAnsi="Arial Narrow"/>
                <w:noProof/>
                <w:color w:val="006100"/>
                <w:sz w:val="20"/>
              </w:rPr>
            </w:pPr>
          </w:p>
        </w:tc>
        <w:tc>
          <w:tcPr>
            <w:tcW w:w="1290" w:type="dxa"/>
            <w:shd w:val="clear" w:color="auto" w:fill="C6EFCE"/>
            <w:noWrap/>
            <w:vAlign w:val="center"/>
          </w:tcPr>
          <w:p w14:paraId="31C0BBE6" w14:textId="77777777" w:rsidR="003F5418" w:rsidRDefault="003F5418">
            <w:pPr>
              <w:spacing w:after="120"/>
              <w:jc w:val="center"/>
              <w:rPr>
                <w:rFonts w:ascii="Arial Narrow" w:hAnsi="Arial Narrow"/>
                <w:noProof/>
                <w:color w:val="006100"/>
                <w:sz w:val="20"/>
              </w:rPr>
            </w:pPr>
          </w:p>
        </w:tc>
        <w:tc>
          <w:tcPr>
            <w:tcW w:w="1194" w:type="dxa"/>
            <w:shd w:val="clear" w:color="auto" w:fill="C6EFCE"/>
            <w:noWrap/>
            <w:vAlign w:val="center"/>
          </w:tcPr>
          <w:p w14:paraId="49F5251F" w14:textId="77777777" w:rsidR="003F5418" w:rsidRDefault="003F5418">
            <w:pPr>
              <w:spacing w:after="120"/>
              <w:jc w:val="center"/>
              <w:rPr>
                <w:rFonts w:ascii="Arial Narrow" w:hAnsi="Arial Narrow"/>
                <w:noProof/>
                <w:color w:val="006100"/>
                <w:sz w:val="20"/>
              </w:rPr>
            </w:pPr>
          </w:p>
        </w:tc>
        <w:tc>
          <w:tcPr>
            <w:tcW w:w="916" w:type="dxa"/>
            <w:shd w:val="clear" w:color="auto" w:fill="C6EFCE"/>
            <w:noWrap/>
            <w:vAlign w:val="center"/>
          </w:tcPr>
          <w:p w14:paraId="5C9DE370" w14:textId="77777777" w:rsidR="003F5418" w:rsidRDefault="002A6C25">
            <w:pPr>
              <w:pStyle w:val="P68B1DB1-Normal4"/>
              <w:spacing w:after="120"/>
              <w:jc w:val="center"/>
              <w:rPr>
                <w:noProof/>
              </w:rPr>
            </w:pPr>
            <w:r>
              <w:rPr>
                <w:noProof/>
              </w:rPr>
              <w:t>Q2</w:t>
            </w:r>
          </w:p>
        </w:tc>
        <w:tc>
          <w:tcPr>
            <w:tcW w:w="638" w:type="dxa"/>
            <w:shd w:val="clear" w:color="auto" w:fill="C6EFCE"/>
            <w:noWrap/>
            <w:vAlign w:val="center"/>
          </w:tcPr>
          <w:p w14:paraId="302B1CF9" w14:textId="77777777" w:rsidR="003F5418" w:rsidRDefault="002A6C25">
            <w:pPr>
              <w:pStyle w:val="P68B1DB1-Normal4"/>
              <w:spacing w:after="120"/>
              <w:jc w:val="center"/>
              <w:rPr>
                <w:noProof/>
              </w:rPr>
            </w:pPr>
            <w:r>
              <w:rPr>
                <w:noProof/>
              </w:rPr>
              <w:t>2026</w:t>
            </w:r>
          </w:p>
        </w:tc>
        <w:tc>
          <w:tcPr>
            <w:tcW w:w="4116" w:type="dxa"/>
            <w:shd w:val="clear" w:color="auto" w:fill="C6EFCE"/>
            <w:noWrap/>
            <w:vAlign w:val="center"/>
          </w:tcPr>
          <w:p w14:paraId="01035BC5" w14:textId="77777777" w:rsidR="003F5418" w:rsidRDefault="002A6C25">
            <w:pPr>
              <w:pStyle w:val="P68B1DB1-Normal4"/>
              <w:spacing w:after="120"/>
              <w:rPr>
                <w:noProof/>
              </w:rPr>
            </w:pPr>
            <w:r>
              <w:rPr>
                <w:noProof/>
              </w:rPr>
              <w:t>Az alábbiak befejezése:</w:t>
            </w:r>
          </w:p>
          <w:p w14:paraId="78E449D6" w14:textId="77777777" w:rsidR="003F5418" w:rsidRDefault="002A6C25">
            <w:pPr>
              <w:pStyle w:val="P68B1DB1-ListParagraph5"/>
              <w:numPr>
                <w:ilvl w:val="0"/>
                <w:numId w:val="97"/>
              </w:numPr>
              <w:spacing w:before="0"/>
              <w:contextualSpacing w:val="0"/>
              <w:jc w:val="left"/>
              <w:rPr>
                <w:noProof/>
              </w:rPr>
            </w:pPr>
            <w:r>
              <w:rPr>
                <w:noProof/>
              </w:rPr>
              <w:t xml:space="preserve">a veszélyhelyzeti biztos rendeletei szerint a </w:t>
            </w:r>
            <w:r>
              <w:rPr>
                <w:noProof/>
              </w:rPr>
              <w:t>vízi utak helyreállítására, valamint az árvizek és földcsuszamlások elleni védelem fokozására irányuló beavatkozások legalább 90%-a,</w:t>
            </w:r>
          </w:p>
          <w:p w14:paraId="68F19C90" w14:textId="7FDC69B6" w:rsidR="003F5418" w:rsidRDefault="002A6C25">
            <w:pPr>
              <w:pStyle w:val="P68B1DB1-ListParagraph5"/>
              <w:numPr>
                <w:ilvl w:val="0"/>
                <w:numId w:val="97"/>
              </w:numPr>
              <w:spacing w:before="0"/>
              <w:contextualSpacing w:val="0"/>
              <w:jc w:val="left"/>
              <w:rPr>
                <w:noProof/>
              </w:rPr>
            </w:pPr>
            <w:r>
              <w:rPr>
                <w:noProof/>
              </w:rPr>
              <w:t>A közlekedési hálózat rehabilitációs beavatkozásai a veszélyhelyzeti biztos rendeleteiben meghatározott kilométereken,</w:t>
            </w:r>
          </w:p>
          <w:p w14:paraId="1810356E" w14:textId="77777777" w:rsidR="003F5418" w:rsidRDefault="002A6C25">
            <w:pPr>
              <w:pStyle w:val="P68B1DB1-ListParagraph5"/>
              <w:numPr>
                <w:ilvl w:val="0"/>
                <w:numId w:val="97"/>
              </w:numPr>
              <w:spacing w:before="0"/>
              <w:contextualSpacing w:val="0"/>
              <w:jc w:val="left"/>
              <w:rPr>
                <w:noProof/>
              </w:rPr>
            </w:pPr>
            <w:r>
              <w:rPr>
                <w:noProof/>
              </w:rPr>
              <w:t>A kö</w:t>
            </w:r>
            <w:r>
              <w:rPr>
                <w:noProof/>
              </w:rPr>
              <w:t>zépületek – többek között a közházak és az egészségügyi központok – helyreállítására irányuló beavatkozások legalább 90%-a, a veszélyhelyzeti biztos rendeleteiben meghatározottak szerint.</w:t>
            </w:r>
          </w:p>
        </w:tc>
      </w:tr>
      <w:tr w:rsidR="003F5418" w14:paraId="1C258BFE" w14:textId="77777777">
        <w:trPr>
          <w:trHeight w:val="313"/>
          <w:jc w:val="center"/>
        </w:trPr>
        <w:tc>
          <w:tcPr>
            <w:tcW w:w="1130" w:type="dxa"/>
            <w:shd w:val="clear" w:color="auto" w:fill="C6EFCE"/>
            <w:noWrap/>
            <w:vAlign w:val="center"/>
          </w:tcPr>
          <w:p w14:paraId="2FFF70B3" w14:textId="77777777" w:rsidR="003F5418" w:rsidRDefault="002A6C25">
            <w:pPr>
              <w:pStyle w:val="P68B1DB1-Normal4"/>
              <w:spacing w:after="120"/>
              <w:jc w:val="center"/>
              <w:rPr>
                <w:noProof/>
              </w:rPr>
            </w:pPr>
            <w:r>
              <w:rPr>
                <w:noProof/>
              </w:rPr>
              <w:t>M2C4–12</w:t>
            </w:r>
          </w:p>
        </w:tc>
        <w:tc>
          <w:tcPr>
            <w:tcW w:w="1560" w:type="dxa"/>
            <w:shd w:val="clear" w:color="auto" w:fill="C6EFCE"/>
            <w:noWrap/>
            <w:vAlign w:val="center"/>
          </w:tcPr>
          <w:p w14:paraId="7593402A" w14:textId="77777777" w:rsidR="003F5418" w:rsidRDefault="002A6C25">
            <w:pPr>
              <w:pStyle w:val="P68B1DB1-Normal4"/>
              <w:spacing w:after="120"/>
              <w:jc w:val="center"/>
              <w:rPr>
                <w:noProof/>
              </w:rPr>
            </w:pPr>
            <w:r>
              <w:rPr>
                <w:noProof/>
              </w:rPr>
              <w:t xml:space="preserve">Beruházás: Az árvíz- és hidrogeológiai kockázatok </w:t>
            </w:r>
            <w:r>
              <w:rPr>
                <w:noProof/>
              </w:rPr>
              <w:t>csökkentésére irányuló intézkedések</w:t>
            </w:r>
          </w:p>
        </w:tc>
        <w:tc>
          <w:tcPr>
            <w:tcW w:w="1134" w:type="dxa"/>
            <w:shd w:val="clear" w:color="auto" w:fill="C6EFCE"/>
            <w:noWrap/>
            <w:vAlign w:val="center"/>
          </w:tcPr>
          <w:p w14:paraId="2D1193DB" w14:textId="77777777" w:rsidR="003F5418" w:rsidRDefault="002A6C25">
            <w:pPr>
              <w:pStyle w:val="P68B1DB1-Normal4"/>
              <w:spacing w:after="120"/>
              <w:jc w:val="center"/>
              <w:rPr>
                <w:noProof/>
              </w:rPr>
            </w:pPr>
            <w:r>
              <w:rPr>
                <w:noProof/>
              </w:rPr>
              <w:t>Mérföldkő</w:t>
            </w:r>
          </w:p>
        </w:tc>
        <w:tc>
          <w:tcPr>
            <w:tcW w:w="1559" w:type="dxa"/>
            <w:shd w:val="clear" w:color="auto" w:fill="C6EFCE"/>
            <w:noWrap/>
            <w:vAlign w:val="center"/>
          </w:tcPr>
          <w:p w14:paraId="1661F122" w14:textId="77777777" w:rsidR="003F5418" w:rsidRDefault="002A6C25">
            <w:pPr>
              <w:pStyle w:val="P68B1DB1-Normal4"/>
              <w:spacing w:after="120"/>
              <w:jc w:val="center"/>
              <w:rPr>
                <w:noProof/>
              </w:rPr>
            </w:pPr>
            <w:r>
              <w:rPr>
                <w:noProof/>
              </w:rPr>
              <w:t>Az árvíz- és hidrogeológiai kockázatok elleni beavatkozások felülvizsgált jogi keretének hatálybalépése</w:t>
            </w:r>
          </w:p>
        </w:tc>
        <w:tc>
          <w:tcPr>
            <w:tcW w:w="1383" w:type="dxa"/>
            <w:shd w:val="clear" w:color="auto" w:fill="C6EFCE"/>
            <w:noWrap/>
            <w:vAlign w:val="center"/>
          </w:tcPr>
          <w:p w14:paraId="466C5E26" w14:textId="77777777" w:rsidR="003F5418" w:rsidRDefault="002A6C25">
            <w:pPr>
              <w:pStyle w:val="P68B1DB1-Normal4"/>
              <w:spacing w:after="120"/>
              <w:jc w:val="center"/>
              <w:rPr>
                <w:noProof/>
              </w:rPr>
            </w:pPr>
            <w:r>
              <w:rPr>
                <w:noProof/>
              </w:rPr>
              <w:t>A rendeleteknek a hatálybalépést jelző rendelkezései</w:t>
            </w:r>
          </w:p>
        </w:tc>
        <w:tc>
          <w:tcPr>
            <w:tcW w:w="1094" w:type="dxa"/>
            <w:shd w:val="clear" w:color="auto" w:fill="C6EFCE"/>
            <w:noWrap/>
            <w:vAlign w:val="center"/>
          </w:tcPr>
          <w:p w14:paraId="4664A581" w14:textId="77777777" w:rsidR="003F5418" w:rsidRDefault="002A6C25">
            <w:pPr>
              <w:pStyle w:val="P68B1DB1-Normal4"/>
              <w:spacing w:after="120"/>
              <w:jc w:val="center"/>
              <w:rPr>
                <w:noProof/>
              </w:rPr>
            </w:pPr>
            <w:r>
              <w:rPr>
                <w:noProof/>
              </w:rPr>
              <w:t>NINCS</w:t>
            </w:r>
          </w:p>
        </w:tc>
        <w:tc>
          <w:tcPr>
            <w:tcW w:w="1290" w:type="dxa"/>
            <w:shd w:val="clear" w:color="auto" w:fill="C6EFCE"/>
            <w:noWrap/>
            <w:vAlign w:val="center"/>
          </w:tcPr>
          <w:p w14:paraId="1E2E2D91" w14:textId="77777777" w:rsidR="003F5418" w:rsidRDefault="002A6C25">
            <w:pPr>
              <w:pStyle w:val="P68B1DB1-Normal4"/>
              <w:spacing w:after="120"/>
              <w:jc w:val="center"/>
              <w:rPr>
                <w:noProof/>
              </w:rPr>
            </w:pPr>
            <w:r>
              <w:rPr>
                <w:noProof/>
              </w:rPr>
              <w:t>NINCS</w:t>
            </w:r>
          </w:p>
        </w:tc>
        <w:tc>
          <w:tcPr>
            <w:tcW w:w="1194" w:type="dxa"/>
            <w:shd w:val="clear" w:color="auto" w:fill="C6EFCE"/>
            <w:noWrap/>
            <w:vAlign w:val="center"/>
          </w:tcPr>
          <w:p w14:paraId="6C96D623" w14:textId="77777777" w:rsidR="003F5418" w:rsidRDefault="002A6C25">
            <w:pPr>
              <w:pStyle w:val="P68B1DB1-Normal4"/>
              <w:spacing w:after="120"/>
              <w:jc w:val="center"/>
              <w:rPr>
                <w:noProof/>
              </w:rPr>
            </w:pPr>
            <w:r>
              <w:rPr>
                <w:noProof/>
              </w:rPr>
              <w:t>NINCS</w:t>
            </w:r>
          </w:p>
        </w:tc>
        <w:tc>
          <w:tcPr>
            <w:tcW w:w="916" w:type="dxa"/>
            <w:shd w:val="clear" w:color="auto" w:fill="C6EFCE"/>
            <w:noWrap/>
            <w:vAlign w:val="center"/>
          </w:tcPr>
          <w:p w14:paraId="71A1DAF9" w14:textId="77777777" w:rsidR="003F5418" w:rsidRDefault="002A6C25">
            <w:pPr>
              <w:pStyle w:val="P68B1DB1-Normal4"/>
              <w:spacing w:after="120"/>
              <w:jc w:val="center"/>
              <w:rPr>
                <w:noProof/>
              </w:rPr>
            </w:pPr>
            <w:r>
              <w:rPr>
                <w:noProof/>
              </w:rPr>
              <w:t>Q4</w:t>
            </w:r>
          </w:p>
        </w:tc>
        <w:tc>
          <w:tcPr>
            <w:tcW w:w="638" w:type="dxa"/>
            <w:shd w:val="clear" w:color="auto" w:fill="C6EFCE"/>
            <w:noWrap/>
            <w:vAlign w:val="center"/>
          </w:tcPr>
          <w:p w14:paraId="695A6FC6" w14:textId="77777777" w:rsidR="003F5418" w:rsidRDefault="002A6C25">
            <w:pPr>
              <w:pStyle w:val="P68B1DB1-Normal4"/>
              <w:spacing w:after="120"/>
              <w:jc w:val="center"/>
              <w:rPr>
                <w:noProof/>
              </w:rPr>
            </w:pPr>
            <w:r>
              <w:rPr>
                <w:noProof/>
              </w:rPr>
              <w:t>2021</w:t>
            </w:r>
          </w:p>
        </w:tc>
        <w:tc>
          <w:tcPr>
            <w:tcW w:w="4116" w:type="dxa"/>
            <w:shd w:val="clear" w:color="auto" w:fill="C6EFCE"/>
            <w:noWrap/>
            <w:vAlign w:val="center"/>
          </w:tcPr>
          <w:p w14:paraId="4D7EFFBB" w14:textId="7ABC939A" w:rsidR="003F5418" w:rsidRDefault="002A6C25">
            <w:pPr>
              <w:pStyle w:val="P68B1DB1-Normal4"/>
              <w:spacing w:after="120"/>
              <w:jc w:val="both"/>
              <w:rPr>
                <w:noProof/>
              </w:rPr>
            </w:pPr>
            <w:r>
              <w:rPr>
                <w:noProof/>
              </w:rPr>
              <w:t>Az árvíz- és hidrogeológiai kockázatok csökkentésére irányuló első beavatkozási és beruházási tervet jóváhagyó rendeletek célja, hogy helyreállítsák az eredeti feltételeket, és biztosítsák a területek természeti katasztrófákkal szembeni ellenálló képességé</w:t>
            </w:r>
            <w:r>
              <w:rPr>
                <w:noProof/>
              </w:rPr>
              <w:t>t.</w:t>
            </w:r>
          </w:p>
        </w:tc>
      </w:tr>
      <w:tr w:rsidR="003F5418" w14:paraId="258A99EF" w14:textId="77777777">
        <w:trPr>
          <w:trHeight w:val="313"/>
          <w:jc w:val="center"/>
        </w:trPr>
        <w:tc>
          <w:tcPr>
            <w:tcW w:w="1130" w:type="dxa"/>
            <w:shd w:val="clear" w:color="auto" w:fill="C6EFCE"/>
            <w:noWrap/>
            <w:vAlign w:val="center"/>
          </w:tcPr>
          <w:p w14:paraId="677847B1" w14:textId="77777777" w:rsidR="003F5418" w:rsidRDefault="002A6C25">
            <w:pPr>
              <w:pStyle w:val="P68B1DB1-Normal4"/>
              <w:spacing w:after="120"/>
              <w:jc w:val="center"/>
              <w:rPr>
                <w:noProof/>
              </w:rPr>
            </w:pPr>
            <w:r>
              <w:rPr>
                <w:noProof/>
              </w:rPr>
              <w:t>M2C4–13</w:t>
            </w:r>
          </w:p>
        </w:tc>
        <w:tc>
          <w:tcPr>
            <w:tcW w:w="1560" w:type="dxa"/>
            <w:shd w:val="clear" w:color="auto" w:fill="C6EFCE"/>
            <w:noWrap/>
            <w:vAlign w:val="center"/>
          </w:tcPr>
          <w:p w14:paraId="0C6348E4" w14:textId="77777777" w:rsidR="003F5418" w:rsidRDefault="002A6C25">
            <w:pPr>
              <w:pStyle w:val="P68B1DB1-Normal4"/>
              <w:spacing w:after="120"/>
              <w:jc w:val="center"/>
              <w:rPr>
                <w:noProof/>
              </w:rPr>
            </w:pPr>
            <w:r>
              <w:rPr>
                <w:noProof/>
              </w:rPr>
              <w:t>Beruházás – Az árvíz- és hidrogeológiai kockázatok csökkentésére irányuló intézkedések</w:t>
            </w:r>
          </w:p>
        </w:tc>
        <w:tc>
          <w:tcPr>
            <w:tcW w:w="1134" w:type="dxa"/>
            <w:shd w:val="clear" w:color="auto" w:fill="C6EFCE"/>
            <w:noWrap/>
            <w:vAlign w:val="center"/>
          </w:tcPr>
          <w:p w14:paraId="57F00268" w14:textId="77777777" w:rsidR="003F5418" w:rsidRDefault="002A6C25">
            <w:pPr>
              <w:pStyle w:val="P68B1DB1-Normal4"/>
              <w:spacing w:after="120"/>
              <w:jc w:val="center"/>
              <w:rPr>
                <w:noProof/>
              </w:rPr>
            </w:pPr>
            <w:r>
              <w:rPr>
                <w:noProof/>
              </w:rPr>
              <w:t>Cél</w:t>
            </w:r>
          </w:p>
        </w:tc>
        <w:tc>
          <w:tcPr>
            <w:tcW w:w="1559" w:type="dxa"/>
            <w:shd w:val="clear" w:color="auto" w:fill="C6EFCE"/>
            <w:noWrap/>
            <w:vAlign w:val="center"/>
          </w:tcPr>
          <w:p w14:paraId="2D9936BC" w14:textId="77777777" w:rsidR="003F5418" w:rsidRDefault="002A6C25">
            <w:pPr>
              <w:pStyle w:val="P68B1DB1-Normal4"/>
              <w:spacing w:after="120"/>
              <w:jc w:val="center"/>
              <w:rPr>
                <w:noProof/>
              </w:rPr>
            </w:pPr>
            <w:r>
              <w:rPr>
                <w:noProof/>
              </w:rPr>
              <w:t>A D és az E típusú beavatkozások befejezése</w:t>
            </w:r>
          </w:p>
        </w:tc>
        <w:tc>
          <w:tcPr>
            <w:tcW w:w="1383" w:type="dxa"/>
            <w:shd w:val="clear" w:color="auto" w:fill="C6EFCE"/>
            <w:noWrap/>
            <w:vAlign w:val="center"/>
          </w:tcPr>
          <w:p w14:paraId="69D593CD" w14:textId="77777777" w:rsidR="003F5418" w:rsidRDefault="002A6C25">
            <w:pPr>
              <w:pStyle w:val="P68B1DB1-Normal4"/>
              <w:spacing w:after="120"/>
              <w:jc w:val="center"/>
              <w:rPr>
                <w:noProof/>
              </w:rPr>
            </w:pPr>
            <w:r>
              <w:rPr>
                <w:noProof/>
              </w:rPr>
              <w:t>NINCS</w:t>
            </w:r>
          </w:p>
        </w:tc>
        <w:tc>
          <w:tcPr>
            <w:tcW w:w="1094" w:type="dxa"/>
            <w:shd w:val="clear" w:color="auto" w:fill="C6EFCE"/>
            <w:noWrap/>
            <w:vAlign w:val="center"/>
          </w:tcPr>
          <w:p w14:paraId="41940094" w14:textId="77777777" w:rsidR="003F5418" w:rsidRDefault="002A6C25">
            <w:pPr>
              <w:pStyle w:val="P68B1DB1-Normal4"/>
              <w:spacing w:after="120"/>
              <w:jc w:val="center"/>
              <w:rPr>
                <w:noProof/>
              </w:rPr>
            </w:pPr>
            <w:r>
              <w:rPr>
                <w:noProof/>
              </w:rPr>
              <w:t>Százalék</w:t>
            </w:r>
          </w:p>
        </w:tc>
        <w:tc>
          <w:tcPr>
            <w:tcW w:w="1290" w:type="dxa"/>
            <w:shd w:val="clear" w:color="auto" w:fill="C6EFCE"/>
            <w:noWrap/>
            <w:vAlign w:val="center"/>
          </w:tcPr>
          <w:p w14:paraId="65E71730" w14:textId="77777777" w:rsidR="003F5418" w:rsidRDefault="002A6C25">
            <w:pPr>
              <w:pStyle w:val="P68B1DB1-Normal4"/>
              <w:spacing w:after="120"/>
              <w:jc w:val="center"/>
              <w:rPr>
                <w:noProof/>
              </w:rPr>
            </w:pPr>
            <w:r>
              <w:rPr>
                <w:noProof/>
              </w:rPr>
              <w:t>0</w:t>
            </w:r>
          </w:p>
        </w:tc>
        <w:tc>
          <w:tcPr>
            <w:tcW w:w="1194" w:type="dxa"/>
            <w:shd w:val="clear" w:color="auto" w:fill="C6EFCE"/>
            <w:noWrap/>
            <w:vAlign w:val="center"/>
          </w:tcPr>
          <w:p w14:paraId="6D717C14" w14:textId="77777777" w:rsidR="003F5418" w:rsidRDefault="002A6C25">
            <w:pPr>
              <w:pStyle w:val="P68B1DB1-Normal4"/>
              <w:spacing w:after="120"/>
              <w:jc w:val="center"/>
              <w:rPr>
                <w:noProof/>
              </w:rPr>
            </w:pPr>
            <w:r>
              <w:rPr>
                <w:noProof/>
              </w:rPr>
              <w:t>90</w:t>
            </w:r>
          </w:p>
        </w:tc>
        <w:tc>
          <w:tcPr>
            <w:tcW w:w="916" w:type="dxa"/>
            <w:shd w:val="clear" w:color="auto" w:fill="C6EFCE"/>
            <w:noWrap/>
            <w:vAlign w:val="center"/>
          </w:tcPr>
          <w:p w14:paraId="35B1FDD5" w14:textId="77777777" w:rsidR="003F5418" w:rsidRDefault="002A6C25">
            <w:pPr>
              <w:pStyle w:val="P68B1DB1-Normal4"/>
              <w:spacing w:after="120"/>
              <w:jc w:val="center"/>
              <w:rPr>
                <w:noProof/>
              </w:rPr>
            </w:pPr>
            <w:r>
              <w:rPr>
                <w:noProof/>
              </w:rPr>
              <w:t>Q2</w:t>
            </w:r>
          </w:p>
        </w:tc>
        <w:tc>
          <w:tcPr>
            <w:tcW w:w="638" w:type="dxa"/>
            <w:shd w:val="clear" w:color="auto" w:fill="C6EFCE"/>
            <w:noWrap/>
            <w:vAlign w:val="center"/>
          </w:tcPr>
          <w:p w14:paraId="0863A3E2" w14:textId="77777777" w:rsidR="003F5418" w:rsidRDefault="002A6C25">
            <w:pPr>
              <w:pStyle w:val="P68B1DB1-Normal4"/>
              <w:spacing w:after="120"/>
              <w:jc w:val="center"/>
              <w:rPr>
                <w:noProof/>
              </w:rPr>
            </w:pPr>
            <w:r>
              <w:rPr>
                <w:noProof/>
              </w:rPr>
              <w:t>2026</w:t>
            </w:r>
          </w:p>
        </w:tc>
        <w:tc>
          <w:tcPr>
            <w:tcW w:w="4116" w:type="dxa"/>
            <w:shd w:val="clear" w:color="auto" w:fill="C6EFCE"/>
            <w:noWrap/>
            <w:vAlign w:val="center"/>
          </w:tcPr>
          <w:p w14:paraId="7192BDDC" w14:textId="7AD4739A" w:rsidR="003F5418" w:rsidRDefault="002A6C25">
            <w:pPr>
              <w:pStyle w:val="P68B1DB1-Normal4"/>
              <w:spacing w:after="120"/>
              <w:rPr>
                <w:noProof/>
              </w:rPr>
            </w:pPr>
            <w:r>
              <w:rPr>
                <w:noProof/>
              </w:rPr>
              <w:t>Az E. és D. típusú beavatkozások 90%-ának</w:t>
            </w:r>
            <w:r>
              <w:rPr>
                <w:noProof/>
              </w:rPr>
              <w:t xml:space="preserve"> befejezése, amelyek célja a megrongálódott állami struktúrák helyreállítása a nemzeti polgári védelmi szolgálat jóváhagyó aktusaiban meghatározottak szerint.</w:t>
            </w:r>
          </w:p>
        </w:tc>
      </w:tr>
      <w:tr w:rsidR="003F5418" w14:paraId="152F7562" w14:textId="77777777">
        <w:trPr>
          <w:trHeight w:val="313"/>
          <w:jc w:val="center"/>
        </w:trPr>
        <w:tc>
          <w:tcPr>
            <w:tcW w:w="1130" w:type="dxa"/>
            <w:shd w:val="clear" w:color="auto" w:fill="C6EFCE"/>
            <w:noWrap/>
            <w:vAlign w:val="center"/>
            <w:hideMark/>
          </w:tcPr>
          <w:p w14:paraId="514026C9" w14:textId="77777777" w:rsidR="003F5418" w:rsidRDefault="002A6C25">
            <w:pPr>
              <w:pStyle w:val="P68B1DB1-Normal4"/>
              <w:spacing w:line="276" w:lineRule="auto"/>
              <w:jc w:val="center"/>
              <w:rPr>
                <w:noProof/>
              </w:rPr>
            </w:pPr>
            <w:r>
              <w:rPr>
                <w:noProof/>
              </w:rPr>
              <w:t>M2C4–18</w:t>
            </w:r>
          </w:p>
        </w:tc>
        <w:tc>
          <w:tcPr>
            <w:tcW w:w="1560" w:type="dxa"/>
            <w:shd w:val="clear" w:color="auto" w:fill="C6EFCE"/>
            <w:noWrap/>
            <w:vAlign w:val="center"/>
            <w:hideMark/>
          </w:tcPr>
          <w:p w14:paraId="251CD95E" w14:textId="77777777" w:rsidR="003F5418" w:rsidRDefault="002A6C25">
            <w:pPr>
              <w:pStyle w:val="P68B1DB1-Normal4"/>
              <w:spacing w:line="276" w:lineRule="auto"/>
              <w:jc w:val="center"/>
              <w:rPr>
                <w:noProof/>
              </w:rPr>
            </w:pPr>
            <w:r>
              <w:rPr>
                <w:noProof/>
              </w:rPr>
              <w:t>Beruházások. 3.1.: A városi és városkörnyéki erdők védelme és fejlesztése</w:t>
            </w:r>
          </w:p>
        </w:tc>
        <w:tc>
          <w:tcPr>
            <w:tcW w:w="1134" w:type="dxa"/>
            <w:shd w:val="clear" w:color="auto" w:fill="C6EFCE"/>
            <w:noWrap/>
            <w:vAlign w:val="center"/>
            <w:hideMark/>
          </w:tcPr>
          <w:p w14:paraId="5ECBB7A6"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4851469A" w14:textId="77777777" w:rsidR="003F5418" w:rsidRDefault="002A6C25">
            <w:pPr>
              <w:pStyle w:val="P68B1DB1-Normal4"/>
              <w:spacing w:line="276" w:lineRule="auto"/>
              <w:jc w:val="center"/>
              <w:rPr>
                <w:noProof/>
              </w:rPr>
            </w:pPr>
            <w:r>
              <w:rPr>
                <w:noProof/>
              </w:rPr>
              <w:t xml:space="preserve">A </w:t>
            </w:r>
            <w:r>
              <w:rPr>
                <w:noProof/>
              </w:rPr>
              <w:t>városi és városkörnyéki zöldterületek védelmére és hasznosítására vonatkozó felülvizsgált jogi változások hatálybalépése</w:t>
            </w:r>
          </w:p>
        </w:tc>
        <w:tc>
          <w:tcPr>
            <w:tcW w:w="1383" w:type="dxa"/>
            <w:shd w:val="clear" w:color="auto" w:fill="C6EFCE"/>
            <w:noWrap/>
            <w:vAlign w:val="center"/>
            <w:hideMark/>
          </w:tcPr>
          <w:p w14:paraId="710E5FFA" w14:textId="77777777" w:rsidR="003F5418" w:rsidRDefault="002A6C25">
            <w:pPr>
              <w:pStyle w:val="P68B1DB1-Normal4"/>
              <w:spacing w:line="276" w:lineRule="auto"/>
              <w:jc w:val="center"/>
              <w:rPr>
                <w:noProof/>
              </w:rPr>
            </w:pPr>
            <w:r>
              <w:rPr>
                <w:noProof/>
              </w:rPr>
              <w:t>A vonatkozó jogszabályokban a városi erdőtelepítési terv elfogadását előíró rendelkezés</w:t>
            </w:r>
          </w:p>
        </w:tc>
        <w:tc>
          <w:tcPr>
            <w:tcW w:w="1094" w:type="dxa"/>
            <w:shd w:val="clear" w:color="auto" w:fill="C6EFCE"/>
            <w:noWrap/>
            <w:vAlign w:val="center"/>
            <w:hideMark/>
          </w:tcPr>
          <w:p w14:paraId="4F84F873"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3B3C2CB8"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0E8C59A0"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39570D3E"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5BA3CD40" w14:textId="77777777" w:rsidR="003F5418" w:rsidRDefault="002A6C25">
            <w:pPr>
              <w:pStyle w:val="P68B1DB1-Normal4"/>
              <w:spacing w:line="276" w:lineRule="auto"/>
              <w:jc w:val="center"/>
              <w:rPr>
                <w:noProof/>
              </w:rPr>
            </w:pPr>
            <w:r>
              <w:rPr>
                <w:noProof/>
              </w:rPr>
              <w:t>2021</w:t>
            </w:r>
          </w:p>
        </w:tc>
        <w:tc>
          <w:tcPr>
            <w:tcW w:w="4116" w:type="dxa"/>
            <w:shd w:val="clear" w:color="auto" w:fill="C6EFCE"/>
            <w:noWrap/>
            <w:vAlign w:val="center"/>
            <w:hideMark/>
          </w:tcPr>
          <w:p w14:paraId="36060643" w14:textId="77777777" w:rsidR="003F5418" w:rsidRDefault="002A6C25">
            <w:pPr>
              <w:pStyle w:val="P68B1DB1-Normal4"/>
              <w:rPr>
                <w:noProof/>
              </w:rPr>
            </w:pPr>
            <w:r>
              <w:rPr>
                <w:noProof/>
              </w:rPr>
              <w:t xml:space="preserve">A városi </w:t>
            </w:r>
            <w:r>
              <w:rPr>
                <w:noProof/>
              </w:rPr>
              <w:t>erdőtelepítési tervnek összhangban kell lennie a 2019. december 12-i 141. sz. törvény (a továbbiakban: klímatörvény) célkitűzéseivel, a nagyvárosok által elvégzendő tervezési szakaszt követően. A tervnek legalább a következő célkitűzéseket kell meghatározn</w:t>
            </w:r>
            <w:r>
              <w:rPr>
                <w:noProof/>
              </w:rPr>
              <w:t>ia:</w:t>
            </w:r>
          </w:p>
          <w:p w14:paraId="202B1567" w14:textId="77777777" w:rsidR="003F5418" w:rsidRDefault="002A6C25">
            <w:pPr>
              <w:pStyle w:val="P68B1DB1-ListParagraph5"/>
              <w:numPr>
                <w:ilvl w:val="0"/>
                <w:numId w:val="69"/>
              </w:numPr>
              <w:spacing w:before="0" w:after="0"/>
              <w:ind w:left="446"/>
              <w:contextualSpacing w:val="0"/>
              <w:jc w:val="left"/>
              <w:rPr>
                <w:noProof/>
              </w:rPr>
            </w:pPr>
            <w:r>
              <w:rPr>
                <w:noProof/>
              </w:rPr>
              <w:t>A diffúz biológiai sokféleség megőrzése és fokozása az európai biodiverzitási stratégiával összhangban,</w:t>
            </w:r>
          </w:p>
          <w:p w14:paraId="2FE0DAD3" w14:textId="77777777" w:rsidR="003F5418" w:rsidRDefault="002A6C25">
            <w:pPr>
              <w:pStyle w:val="P68B1DB1-ListParagraph5"/>
              <w:numPr>
                <w:ilvl w:val="0"/>
                <w:numId w:val="69"/>
              </w:numPr>
              <w:spacing w:before="0" w:after="0"/>
              <w:ind w:left="446"/>
              <w:contextualSpacing w:val="0"/>
              <w:jc w:val="left"/>
              <w:rPr>
                <w:noProof/>
              </w:rPr>
            </w:pPr>
            <w:r>
              <w:rPr>
                <w:noProof/>
              </w:rPr>
              <w:t>Hozzájárulás a nagyvárosi területek légszennyezésének csökkentéséhez,</w:t>
            </w:r>
          </w:p>
          <w:p w14:paraId="6037924A" w14:textId="77777777" w:rsidR="003F5418" w:rsidRDefault="002A6C25">
            <w:pPr>
              <w:pStyle w:val="P68B1DB1-ListParagraph5"/>
              <w:numPr>
                <w:ilvl w:val="0"/>
                <w:numId w:val="69"/>
              </w:numPr>
              <w:spacing w:before="0" w:after="0"/>
              <w:ind w:left="446"/>
              <w:contextualSpacing w:val="0"/>
              <w:jc w:val="left"/>
              <w:rPr>
                <w:noProof/>
              </w:rPr>
            </w:pPr>
            <w:r>
              <w:rPr>
                <w:noProof/>
              </w:rPr>
              <w:t>A levegőminőséggel kapcsolatos kötelezettségszegési eljárások csökkentése;</w:t>
            </w:r>
          </w:p>
          <w:p w14:paraId="4EF3FF38" w14:textId="77777777" w:rsidR="003F5418" w:rsidRDefault="002A6C25">
            <w:pPr>
              <w:pStyle w:val="P68B1DB1-ListParagraph5"/>
              <w:numPr>
                <w:ilvl w:val="0"/>
                <w:numId w:val="69"/>
              </w:numPr>
              <w:spacing w:before="0" w:after="0"/>
              <w:ind w:left="446"/>
              <w:contextualSpacing w:val="0"/>
              <w:jc w:val="left"/>
              <w:rPr>
                <w:noProof/>
              </w:rPr>
            </w:pPr>
            <w:r>
              <w:rPr>
                <w:noProof/>
              </w:rPr>
              <w:t xml:space="preserve">Az </w:t>
            </w:r>
            <w:r>
              <w:rPr>
                <w:noProof/>
              </w:rPr>
              <w:t>ember alkotta tájak helyreállítása és a nagyvárosi területek közvetlen közelében található védett területek javítása;</w:t>
            </w:r>
          </w:p>
          <w:p w14:paraId="0192D520" w14:textId="77777777" w:rsidR="003F5418" w:rsidRDefault="003F5418">
            <w:pPr>
              <w:rPr>
                <w:rFonts w:ascii="Arial Narrow" w:hAnsi="Arial Narrow"/>
                <w:noProof/>
                <w:color w:val="006100"/>
                <w:sz w:val="20"/>
              </w:rPr>
            </w:pPr>
          </w:p>
          <w:p w14:paraId="7906CE90" w14:textId="77777777" w:rsidR="003F5418" w:rsidRDefault="002A6C25">
            <w:pPr>
              <w:pStyle w:val="P68B1DB1-Normal4"/>
              <w:rPr>
                <w:noProof/>
              </w:rPr>
            </w:pPr>
            <w:r>
              <w:rPr>
                <w:noProof/>
              </w:rPr>
              <w:t>Csökkentse a talajfogyasztást és helyreállítsa a hasznos talajokat.</w:t>
            </w:r>
          </w:p>
        </w:tc>
      </w:tr>
      <w:tr w:rsidR="003F5418" w14:paraId="03392F80" w14:textId="77777777">
        <w:trPr>
          <w:trHeight w:val="313"/>
          <w:jc w:val="center"/>
        </w:trPr>
        <w:tc>
          <w:tcPr>
            <w:tcW w:w="1130" w:type="dxa"/>
            <w:shd w:val="clear" w:color="auto" w:fill="C6EFCE"/>
            <w:noWrap/>
            <w:vAlign w:val="center"/>
            <w:hideMark/>
          </w:tcPr>
          <w:p w14:paraId="58B6F469" w14:textId="77777777" w:rsidR="003F5418" w:rsidRDefault="002A6C25">
            <w:pPr>
              <w:pStyle w:val="P68B1DB1-Normal4"/>
              <w:spacing w:line="276" w:lineRule="auto"/>
              <w:jc w:val="center"/>
              <w:rPr>
                <w:noProof/>
              </w:rPr>
            </w:pPr>
            <w:r>
              <w:rPr>
                <w:noProof/>
              </w:rPr>
              <w:t>M2C4–19</w:t>
            </w:r>
          </w:p>
        </w:tc>
        <w:tc>
          <w:tcPr>
            <w:tcW w:w="1560" w:type="dxa"/>
            <w:shd w:val="clear" w:color="auto" w:fill="C6EFCE"/>
            <w:noWrap/>
            <w:vAlign w:val="center"/>
            <w:hideMark/>
          </w:tcPr>
          <w:p w14:paraId="7DCB48BE" w14:textId="77777777" w:rsidR="003F5418" w:rsidRDefault="002A6C25">
            <w:pPr>
              <w:pStyle w:val="P68B1DB1-Normal4"/>
              <w:spacing w:line="276" w:lineRule="auto"/>
              <w:jc w:val="center"/>
              <w:rPr>
                <w:noProof/>
              </w:rPr>
            </w:pPr>
            <w:r>
              <w:rPr>
                <w:noProof/>
              </w:rPr>
              <w:t xml:space="preserve">Beruházások. 3.1.: A városi és városkörnyéki erdők védelme </w:t>
            </w:r>
            <w:r>
              <w:rPr>
                <w:noProof/>
              </w:rPr>
              <w:t>és fejlesztése</w:t>
            </w:r>
          </w:p>
        </w:tc>
        <w:tc>
          <w:tcPr>
            <w:tcW w:w="1134" w:type="dxa"/>
            <w:shd w:val="clear" w:color="auto" w:fill="C6EFCE"/>
            <w:noWrap/>
            <w:vAlign w:val="center"/>
            <w:hideMark/>
          </w:tcPr>
          <w:p w14:paraId="7AB290BD"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2F679C45" w14:textId="77777777" w:rsidR="003F5418" w:rsidRDefault="002A6C25">
            <w:pPr>
              <w:pStyle w:val="P68B1DB1-Normal4"/>
              <w:spacing w:line="276" w:lineRule="auto"/>
              <w:jc w:val="center"/>
              <w:rPr>
                <w:noProof/>
              </w:rPr>
            </w:pPr>
            <w:r>
              <w:rPr>
                <w:noProof/>
              </w:rPr>
              <w:t>Növényfák a T1 városi és városkörnyéki zöldterületek védelmére és hasznosítására</w:t>
            </w:r>
          </w:p>
        </w:tc>
        <w:tc>
          <w:tcPr>
            <w:tcW w:w="1383" w:type="dxa"/>
            <w:shd w:val="clear" w:color="auto" w:fill="C6EFCE"/>
            <w:noWrap/>
            <w:vAlign w:val="center"/>
            <w:hideMark/>
          </w:tcPr>
          <w:p w14:paraId="34E2D56A"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7D220EE2"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1EA1E9F7"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449977EE" w14:textId="07F95C00" w:rsidR="003F5418" w:rsidRDefault="002A6C25">
            <w:pPr>
              <w:pStyle w:val="P68B1DB1-Normal4"/>
              <w:spacing w:line="276" w:lineRule="auto"/>
              <w:jc w:val="center"/>
              <w:rPr>
                <w:noProof/>
              </w:rPr>
            </w:pPr>
            <w:r>
              <w:rPr>
                <w:noProof/>
              </w:rPr>
              <w:t>1 650 000</w:t>
            </w:r>
          </w:p>
        </w:tc>
        <w:tc>
          <w:tcPr>
            <w:tcW w:w="916" w:type="dxa"/>
            <w:shd w:val="clear" w:color="auto" w:fill="C6EFCE"/>
            <w:noWrap/>
            <w:vAlign w:val="center"/>
            <w:hideMark/>
          </w:tcPr>
          <w:p w14:paraId="4E9ABF13"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21A11F09" w14:textId="77777777" w:rsidR="003F5418" w:rsidRDefault="002A6C25">
            <w:pPr>
              <w:pStyle w:val="P68B1DB1-Normal4"/>
              <w:spacing w:line="276" w:lineRule="auto"/>
              <w:jc w:val="center"/>
              <w:rPr>
                <w:noProof/>
              </w:rPr>
            </w:pPr>
            <w:r>
              <w:rPr>
                <w:noProof/>
              </w:rPr>
              <w:t>2022</w:t>
            </w:r>
          </w:p>
        </w:tc>
        <w:tc>
          <w:tcPr>
            <w:tcW w:w="4116" w:type="dxa"/>
            <w:shd w:val="clear" w:color="auto" w:fill="C6EFCE"/>
            <w:noWrap/>
            <w:vAlign w:val="center"/>
            <w:hideMark/>
          </w:tcPr>
          <w:p w14:paraId="3D305BA9" w14:textId="4EFE0321" w:rsidR="003F5418" w:rsidRDefault="002A6C25">
            <w:pPr>
              <w:pStyle w:val="P68B1DB1-Normal4"/>
              <w:spacing w:line="276" w:lineRule="auto"/>
              <w:rPr>
                <w:noProof/>
              </w:rPr>
            </w:pPr>
            <w:r>
              <w:rPr>
                <w:noProof/>
              </w:rPr>
              <w:t>Legalább 1650000 fa ültetése városi és városkörnyéki területek újraerdősítése</w:t>
            </w:r>
            <w:r>
              <w:rPr>
                <w:noProof/>
              </w:rPr>
              <w:t xml:space="preserve"> céljából a 2019. december 12-i törvény, 141. cikke alapján.</w:t>
            </w:r>
          </w:p>
        </w:tc>
      </w:tr>
      <w:tr w:rsidR="003F5418" w14:paraId="30D30AE9" w14:textId="77777777">
        <w:trPr>
          <w:trHeight w:val="313"/>
          <w:jc w:val="center"/>
        </w:trPr>
        <w:tc>
          <w:tcPr>
            <w:tcW w:w="1130" w:type="dxa"/>
            <w:shd w:val="clear" w:color="auto" w:fill="C6EFCE"/>
            <w:noWrap/>
            <w:vAlign w:val="center"/>
            <w:hideMark/>
          </w:tcPr>
          <w:p w14:paraId="43DFF174" w14:textId="77777777" w:rsidR="003F5418" w:rsidRDefault="002A6C25">
            <w:pPr>
              <w:pStyle w:val="P68B1DB1-Normal4"/>
              <w:spacing w:line="276" w:lineRule="auto"/>
              <w:jc w:val="center"/>
              <w:rPr>
                <w:noProof/>
              </w:rPr>
            </w:pPr>
            <w:r>
              <w:rPr>
                <w:noProof/>
              </w:rPr>
              <w:t>M2C4–20</w:t>
            </w:r>
          </w:p>
        </w:tc>
        <w:tc>
          <w:tcPr>
            <w:tcW w:w="1560" w:type="dxa"/>
            <w:shd w:val="clear" w:color="auto" w:fill="C6EFCE"/>
            <w:noWrap/>
            <w:vAlign w:val="center"/>
            <w:hideMark/>
          </w:tcPr>
          <w:p w14:paraId="013ED294" w14:textId="77777777" w:rsidR="003F5418" w:rsidRDefault="002A6C25">
            <w:pPr>
              <w:pStyle w:val="P68B1DB1-Normal4"/>
              <w:spacing w:line="276" w:lineRule="auto"/>
              <w:jc w:val="center"/>
              <w:rPr>
                <w:noProof/>
              </w:rPr>
            </w:pPr>
            <w:r>
              <w:rPr>
                <w:noProof/>
              </w:rPr>
              <w:t>Beruházások. 3.1.: A városi és városkörnyéki erdők védelme és fejlesztése</w:t>
            </w:r>
          </w:p>
        </w:tc>
        <w:tc>
          <w:tcPr>
            <w:tcW w:w="1134" w:type="dxa"/>
            <w:shd w:val="clear" w:color="auto" w:fill="C6EFCE"/>
            <w:noWrap/>
            <w:vAlign w:val="center"/>
            <w:hideMark/>
          </w:tcPr>
          <w:p w14:paraId="62211D4E"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2B6E1341" w14:textId="77777777" w:rsidR="003F5418" w:rsidRDefault="002A6C25">
            <w:pPr>
              <w:pStyle w:val="P68B1DB1-Normal4"/>
              <w:spacing w:line="276" w:lineRule="auto"/>
              <w:jc w:val="center"/>
              <w:rPr>
                <w:noProof/>
              </w:rPr>
            </w:pPr>
            <w:r>
              <w:rPr>
                <w:noProof/>
              </w:rPr>
              <w:t>A T2 városi és városkörnyéki zöldterületek védelmére és hasznosítására szolgáló növényfák</w:t>
            </w:r>
          </w:p>
        </w:tc>
        <w:tc>
          <w:tcPr>
            <w:tcW w:w="1383" w:type="dxa"/>
            <w:shd w:val="clear" w:color="auto" w:fill="C6EFCE"/>
            <w:noWrap/>
            <w:vAlign w:val="center"/>
            <w:hideMark/>
          </w:tcPr>
          <w:p w14:paraId="38E5625B"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52FB0A4F"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03C75CF5" w14:textId="459EF052" w:rsidR="003F5418" w:rsidRDefault="002A6C25">
            <w:pPr>
              <w:pStyle w:val="P68B1DB1-Normal4"/>
              <w:spacing w:line="276" w:lineRule="auto"/>
              <w:jc w:val="center"/>
              <w:rPr>
                <w:noProof/>
              </w:rPr>
            </w:pPr>
            <w:r>
              <w:rPr>
                <w:noProof/>
              </w:rPr>
              <w:t>1 650 000</w:t>
            </w:r>
          </w:p>
        </w:tc>
        <w:tc>
          <w:tcPr>
            <w:tcW w:w="1194" w:type="dxa"/>
            <w:shd w:val="clear" w:color="auto" w:fill="C6EFCE"/>
            <w:noWrap/>
            <w:vAlign w:val="center"/>
            <w:hideMark/>
          </w:tcPr>
          <w:p w14:paraId="1245D7D5" w14:textId="0BB17380" w:rsidR="003F5418" w:rsidRDefault="002A6C25">
            <w:pPr>
              <w:pStyle w:val="P68B1DB1-Normal4"/>
              <w:spacing w:line="276" w:lineRule="auto"/>
              <w:jc w:val="center"/>
              <w:rPr>
                <w:noProof/>
              </w:rPr>
            </w:pPr>
            <w:r>
              <w:rPr>
                <w:noProof/>
              </w:rPr>
              <w:t>4 500 000</w:t>
            </w:r>
          </w:p>
        </w:tc>
        <w:tc>
          <w:tcPr>
            <w:tcW w:w="916" w:type="dxa"/>
            <w:shd w:val="clear" w:color="auto" w:fill="C6EFCE"/>
            <w:noWrap/>
            <w:vAlign w:val="center"/>
            <w:hideMark/>
          </w:tcPr>
          <w:p w14:paraId="1C75BC08" w14:textId="4363E14B"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6BBB347A"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hideMark/>
          </w:tcPr>
          <w:p w14:paraId="07D927A8" w14:textId="7165BE06" w:rsidR="003F5418" w:rsidRDefault="002A6C25">
            <w:pPr>
              <w:pStyle w:val="P68B1DB1-Normal4"/>
              <w:spacing w:line="276" w:lineRule="auto"/>
              <w:rPr>
                <w:noProof/>
              </w:rPr>
            </w:pPr>
            <w:r>
              <w:rPr>
                <w:noProof/>
              </w:rPr>
              <w:t>Legalább 4500000 fa és cserje ültetése városi és városkörnyéki területek újraerdősítése céljából a 2019. december 12-i törvény, 141 (az úgynevezett klímatörvény) 4. cikke szerint.</w:t>
            </w:r>
          </w:p>
        </w:tc>
      </w:tr>
      <w:tr w:rsidR="003F5418" w14:paraId="3D408616" w14:textId="77777777">
        <w:trPr>
          <w:trHeight w:val="313"/>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64CEF" w14:textId="77777777" w:rsidR="003F5418" w:rsidRDefault="002A6C25">
            <w:pPr>
              <w:pStyle w:val="P68B1DB1-Normal4"/>
              <w:spacing w:line="276" w:lineRule="auto"/>
              <w:jc w:val="center"/>
              <w:rPr>
                <w:noProof/>
              </w:rPr>
            </w:pPr>
            <w:r>
              <w:rPr>
                <w:noProof/>
              </w:rPr>
              <w:t>M2C4–20bis</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D240D2" w14:textId="77777777" w:rsidR="003F5418" w:rsidRDefault="002A6C25">
            <w:pPr>
              <w:pStyle w:val="P68B1DB1-Normal4"/>
              <w:spacing w:line="276" w:lineRule="auto"/>
              <w:jc w:val="center"/>
              <w:rPr>
                <w:noProof/>
              </w:rPr>
            </w:pPr>
            <w:r>
              <w:rPr>
                <w:noProof/>
              </w:rPr>
              <w:t xml:space="preserve">Beruházások. 3.1.: A városi és </w:t>
            </w:r>
            <w:r>
              <w:rPr>
                <w:noProof/>
              </w:rPr>
              <w:t>városkörnyéki erdők védelme és fejlesztése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50D8385" w14:textId="77777777" w:rsidR="003F5418" w:rsidRDefault="002A6C25">
            <w:pPr>
              <w:pStyle w:val="P68B1DB1-Normal4"/>
              <w:spacing w:line="276" w:lineRule="auto"/>
              <w:jc w:val="center"/>
              <w:rPr>
                <w:noProof/>
              </w:rPr>
            </w:pPr>
            <w:r>
              <w:rPr>
                <w:noProof/>
              </w:rPr>
              <w:t>Cél</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27B46E2" w14:textId="77777777" w:rsidR="003F5418" w:rsidRDefault="002A6C25">
            <w:pPr>
              <w:pStyle w:val="P68B1DB1-Normal4"/>
              <w:spacing w:line="276" w:lineRule="auto"/>
              <w:jc w:val="center"/>
              <w:rPr>
                <w:noProof/>
              </w:rPr>
            </w:pPr>
            <w:r>
              <w:rPr>
                <w:noProof/>
              </w:rPr>
              <w:t>Növényfák a városi és városkörnyéki zöldterületek védelmére és hasznosítására T3</w:t>
            </w:r>
          </w:p>
        </w:tc>
        <w:tc>
          <w:tcPr>
            <w:tcW w:w="138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5AFD1B" w14:textId="77777777" w:rsidR="003F5418" w:rsidRDefault="002A6C25">
            <w:pPr>
              <w:pStyle w:val="P68B1DB1-Normal4"/>
              <w:spacing w:line="276" w:lineRule="auto"/>
              <w:jc w:val="center"/>
              <w:rPr>
                <w:noProof/>
              </w:rPr>
            </w:pPr>
            <w:r>
              <w:rPr>
                <w:noProof/>
              </w:rPr>
              <w:t>NINCS</w:t>
            </w:r>
          </w:p>
        </w:tc>
        <w:tc>
          <w:tcPr>
            <w:tcW w:w="10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ACC6B5" w14:textId="77777777" w:rsidR="003F5418" w:rsidRDefault="002A6C25">
            <w:pPr>
              <w:pStyle w:val="P68B1DB1-Normal4"/>
              <w:spacing w:line="276" w:lineRule="auto"/>
              <w:jc w:val="center"/>
              <w:rPr>
                <w:noProof/>
              </w:rPr>
            </w:pPr>
            <w:r>
              <w:rPr>
                <w:noProof/>
              </w:rPr>
              <w:t>Szám</w:t>
            </w:r>
          </w:p>
        </w:tc>
        <w:tc>
          <w:tcPr>
            <w:tcW w:w="129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4FD5B0" w14:textId="77777777" w:rsidR="003F5418" w:rsidRDefault="002A6C25">
            <w:pPr>
              <w:pStyle w:val="P68B1DB1-Normal4"/>
              <w:spacing w:line="276" w:lineRule="auto"/>
              <w:jc w:val="center"/>
              <w:rPr>
                <w:noProof/>
              </w:rPr>
            </w:pPr>
            <w:r>
              <w:rPr>
                <w:noProof/>
              </w:rPr>
              <w:t>0</w:t>
            </w:r>
          </w:p>
        </w:tc>
        <w:tc>
          <w:tcPr>
            <w:tcW w:w="119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C582CD" w14:textId="51BE6550" w:rsidR="003F5418" w:rsidRDefault="002A6C25">
            <w:pPr>
              <w:pStyle w:val="P68B1DB1-Normal4"/>
              <w:spacing w:line="276" w:lineRule="auto"/>
              <w:jc w:val="center"/>
              <w:rPr>
                <w:noProof/>
              </w:rPr>
            </w:pPr>
            <w:r>
              <w:rPr>
                <w:noProof/>
              </w:rPr>
              <w:t>3 500 000</w:t>
            </w:r>
          </w:p>
        </w:tc>
        <w:tc>
          <w:tcPr>
            <w:tcW w:w="9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37BF59" w14:textId="77777777" w:rsidR="003F5418" w:rsidRDefault="002A6C25">
            <w:pPr>
              <w:pStyle w:val="P68B1DB1-Normal4"/>
              <w:spacing w:line="276" w:lineRule="auto"/>
              <w:jc w:val="center"/>
              <w:rPr>
                <w:noProof/>
              </w:rPr>
            </w:pPr>
            <w:r>
              <w:rPr>
                <w:noProof/>
              </w:rPr>
              <w:t>Q2</w:t>
            </w:r>
          </w:p>
        </w:tc>
        <w:tc>
          <w:tcPr>
            <w:tcW w:w="638" w:type="dxa"/>
            <w:tcBorders>
              <w:top w:val="single" w:sz="4" w:space="0" w:color="auto"/>
              <w:left w:val="single" w:sz="4" w:space="0" w:color="auto"/>
              <w:bottom w:val="single" w:sz="4" w:space="0" w:color="auto"/>
              <w:right w:val="single" w:sz="4" w:space="0" w:color="auto"/>
            </w:tcBorders>
            <w:shd w:val="clear" w:color="auto" w:fill="C6EFCE"/>
            <w:vAlign w:val="center"/>
          </w:tcPr>
          <w:p w14:paraId="40B4A11C" w14:textId="77777777" w:rsidR="003F5418" w:rsidRDefault="002A6C25">
            <w:pPr>
              <w:pStyle w:val="P68B1DB1-Normal4"/>
              <w:spacing w:line="276" w:lineRule="auto"/>
              <w:jc w:val="center"/>
              <w:rPr>
                <w:noProof/>
              </w:rPr>
            </w:pPr>
            <w:r>
              <w:rPr>
                <w:noProof/>
              </w:rPr>
              <w:t>2026</w:t>
            </w:r>
          </w:p>
        </w:tc>
        <w:tc>
          <w:tcPr>
            <w:tcW w:w="411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957899" w14:textId="0B3BEEE0" w:rsidR="003F5418" w:rsidRDefault="002A6C25">
            <w:pPr>
              <w:pStyle w:val="P68B1DB1-Normal4"/>
              <w:spacing w:line="276" w:lineRule="auto"/>
              <w:rPr>
                <w:noProof/>
              </w:rPr>
            </w:pPr>
            <w:r>
              <w:rPr>
                <w:noProof/>
              </w:rPr>
              <w:t xml:space="preserve">Erdészeti szaporítóanyagok (magok vagy növények) legalább 3500000 fa és cserje áttelepítése </w:t>
            </w:r>
            <w:r>
              <w:rPr>
                <w:noProof/>
              </w:rPr>
              <w:t>városi és városkörnyéki területek újraerdősítése céljából a 2019. december 12-i törvény, 141. cikke alapján.</w:t>
            </w:r>
          </w:p>
        </w:tc>
      </w:tr>
      <w:tr w:rsidR="003F5418" w14:paraId="23E36D8E" w14:textId="77777777">
        <w:trPr>
          <w:trHeight w:val="313"/>
          <w:jc w:val="center"/>
        </w:trPr>
        <w:tc>
          <w:tcPr>
            <w:tcW w:w="1130" w:type="dxa"/>
            <w:shd w:val="clear" w:color="auto" w:fill="C6EFCE"/>
            <w:noWrap/>
            <w:vAlign w:val="center"/>
            <w:hideMark/>
          </w:tcPr>
          <w:p w14:paraId="6F64C13F" w14:textId="77777777" w:rsidR="003F5418" w:rsidRDefault="002A6C25">
            <w:pPr>
              <w:pStyle w:val="P68B1DB1-Normal4"/>
              <w:spacing w:line="276" w:lineRule="auto"/>
              <w:jc w:val="center"/>
              <w:rPr>
                <w:noProof/>
              </w:rPr>
            </w:pPr>
            <w:r>
              <w:rPr>
                <w:noProof/>
              </w:rPr>
              <w:t>M2C4–21</w:t>
            </w:r>
          </w:p>
        </w:tc>
        <w:tc>
          <w:tcPr>
            <w:tcW w:w="1560" w:type="dxa"/>
            <w:shd w:val="clear" w:color="auto" w:fill="C6EFCE"/>
            <w:noWrap/>
            <w:vAlign w:val="center"/>
            <w:hideMark/>
          </w:tcPr>
          <w:p w14:paraId="07568421" w14:textId="77777777" w:rsidR="003F5418" w:rsidRDefault="002A6C25">
            <w:pPr>
              <w:pStyle w:val="P68B1DB1-Normal4"/>
              <w:spacing w:line="276" w:lineRule="auto"/>
              <w:jc w:val="center"/>
              <w:rPr>
                <w:noProof/>
              </w:rPr>
            </w:pPr>
            <w:r>
              <w:rPr>
                <w:noProof/>
              </w:rPr>
              <w:t>Beruházás A Po-övezet újranaturálása</w:t>
            </w:r>
          </w:p>
        </w:tc>
        <w:tc>
          <w:tcPr>
            <w:tcW w:w="1134" w:type="dxa"/>
            <w:shd w:val="clear" w:color="auto" w:fill="C6EFCE"/>
            <w:noWrap/>
            <w:vAlign w:val="center"/>
            <w:hideMark/>
          </w:tcPr>
          <w:p w14:paraId="1D178B61"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2B4AD438" w14:textId="77777777" w:rsidR="003F5418" w:rsidRDefault="002A6C25">
            <w:pPr>
              <w:pStyle w:val="P68B1DB1-Normal4"/>
              <w:spacing w:line="276" w:lineRule="auto"/>
              <w:jc w:val="center"/>
              <w:rPr>
                <w:noProof/>
              </w:rPr>
            </w:pPr>
            <w:r>
              <w:rPr>
                <w:noProof/>
              </w:rPr>
              <w:t>A Po terület újranaturálására irányuló beavatkozások jogi keretének felülvizsgálata</w:t>
            </w:r>
          </w:p>
        </w:tc>
        <w:tc>
          <w:tcPr>
            <w:tcW w:w="1383" w:type="dxa"/>
            <w:shd w:val="clear" w:color="auto" w:fill="C6EFCE"/>
            <w:noWrap/>
            <w:vAlign w:val="center"/>
            <w:hideMark/>
          </w:tcPr>
          <w:p w14:paraId="70BC22DC" w14:textId="77777777" w:rsidR="003F5418" w:rsidRDefault="002A6C25">
            <w:pPr>
              <w:pStyle w:val="P68B1DB1-Normal4"/>
              <w:spacing w:line="276" w:lineRule="auto"/>
              <w:jc w:val="center"/>
              <w:rPr>
                <w:noProof/>
              </w:rPr>
            </w:pPr>
            <w:r>
              <w:rPr>
                <w:noProof/>
              </w:rPr>
              <w:t xml:space="preserve">A </w:t>
            </w:r>
            <w:r>
              <w:rPr>
                <w:noProof/>
              </w:rPr>
              <w:t>vonatkozó jogszabályban szereplő, a hatálybalépést feltüntető rendelkezés</w:t>
            </w:r>
          </w:p>
        </w:tc>
        <w:tc>
          <w:tcPr>
            <w:tcW w:w="1094" w:type="dxa"/>
            <w:shd w:val="clear" w:color="auto" w:fill="C6EFCE"/>
            <w:noWrap/>
            <w:vAlign w:val="center"/>
            <w:hideMark/>
          </w:tcPr>
          <w:p w14:paraId="7C924CCD"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1399507B"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7BB149D5"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5B6A77B3" w14:textId="77777777" w:rsidR="003F5418" w:rsidRDefault="002A6C25">
            <w:pPr>
              <w:pStyle w:val="P68B1DB1-Normal4"/>
              <w:spacing w:line="276" w:lineRule="auto"/>
              <w:jc w:val="center"/>
              <w:rPr>
                <w:noProof/>
              </w:rPr>
            </w:pPr>
            <w:r>
              <w:rPr>
                <w:noProof/>
              </w:rPr>
              <w:t>Q2</w:t>
            </w:r>
          </w:p>
        </w:tc>
        <w:tc>
          <w:tcPr>
            <w:tcW w:w="638" w:type="dxa"/>
            <w:shd w:val="clear" w:color="auto" w:fill="C6EFCE"/>
            <w:noWrap/>
            <w:vAlign w:val="center"/>
            <w:hideMark/>
          </w:tcPr>
          <w:p w14:paraId="1E7EE9AB" w14:textId="77777777" w:rsidR="003F5418" w:rsidRDefault="002A6C25">
            <w:pPr>
              <w:pStyle w:val="P68B1DB1-Normal4"/>
              <w:spacing w:line="276" w:lineRule="auto"/>
              <w:jc w:val="center"/>
              <w:rPr>
                <w:noProof/>
              </w:rPr>
            </w:pPr>
            <w:r>
              <w:rPr>
                <w:noProof/>
              </w:rPr>
              <w:t>2023</w:t>
            </w:r>
          </w:p>
        </w:tc>
        <w:tc>
          <w:tcPr>
            <w:tcW w:w="4116" w:type="dxa"/>
            <w:shd w:val="clear" w:color="auto" w:fill="C6EFCE"/>
            <w:noWrap/>
            <w:vAlign w:val="center"/>
            <w:hideMark/>
          </w:tcPr>
          <w:p w14:paraId="05D6FE38" w14:textId="77777777" w:rsidR="003F5418" w:rsidRDefault="002A6C25">
            <w:pPr>
              <w:pStyle w:val="P68B1DB1-Normal4"/>
              <w:spacing w:line="276" w:lineRule="auto"/>
              <w:rPr>
                <w:noProof/>
              </w:rPr>
            </w:pPr>
            <w:r>
              <w:rPr>
                <w:noProof/>
              </w:rPr>
              <w:t>A vonatkozó jogszabályok hatálybalépése a folyómeder által képviselt ökológiai folyosó helyreállítása céljából, beleértve a természetes újraerdősítést, vala</w:t>
            </w:r>
            <w:r>
              <w:rPr>
                <w:noProof/>
              </w:rPr>
              <w:t>mint az oldalágak és szegélyek helyreállítására és reaktiválására irányuló beavatkozásokat.</w:t>
            </w:r>
          </w:p>
        </w:tc>
      </w:tr>
      <w:tr w:rsidR="003F5418" w14:paraId="14F0CD61" w14:textId="77777777">
        <w:trPr>
          <w:trHeight w:val="313"/>
          <w:jc w:val="center"/>
        </w:trPr>
        <w:tc>
          <w:tcPr>
            <w:tcW w:w="1130" w:type="dxa"/>
            <w:shd w:val="clear" w:color="auto" w:fill="C6EFCE"/>
            <w:noWrap/>
            <w:vAlign w:val="center"/>
            <w:hideMark/>
          </w:tcPr>
          <w:p w14:paraId="66EEB7CD" w14:textId="77777777" w:rsidR="003F5418" w:rsidRDefault="002A6C25">
            <w:pPr>
              <w:pStyle w:val="P68B1DB1-Normal4"/>
              <w:spacing w:line="276" w:lineRule="auto"/>
              <w:jc w:val="center"/>
              <w:rPr>
                <w:noProof/>
              </w:rPr>
            </w:pPr>
            <w:r>
              <w:rPr>
                <w:noProof/>
              </w:rPr>
              <w:t>M2C4–22</w:t>
            </w:r>
          </w:p>
        </w:tc>
        <w:tc>
          <w:tcPr>
            <w:tcW w:w="1560" w:type="dxa"/>
            <w:shd w:val="clear" w:color="auto" w:fill="C6EFCE"/>
            <w:noWrap/>
            <w:vAlign w:val="center"/>
            <w:hideMark/>
          </w:tcPr>
          <w:p w14:paraId="6F0E1DCB" w14:textId="77777777" w:rsidR="003F5418" w:rsidRDefault="002A6C25">
            <w:pPr>
              <w:pStyle w:val="P68B1DB1-Normal4"/>
              <w:spacing w:line="276" w:lineRule="auto"/>
              <w:jc w:val="center"/>
              <w:rPr>
                <w:noProof/>
              </w:rPr>
            </w:pPr>
            <w:r>
              <w:rPr>
                <w:noProof/>
              </w:rPr>
              <w:t>Beruházás A Po-övezet újranaturálása</w:t>
            </w:r>
          </w:p>
        </w:tc>
        <w:tc>
          <w:tcPr>
            <w:tcW w:w="1134" w:type="dxa"/>
            <w:shd w:val="clear" w:color="auto" w:fill="C6EFCE"/>
            <w:noWrap/>
            <w:vAlign w:val="center"/>
            <w:hideMark/>
          </w:tcPr>
          <w:p w14:paraId="0B99EB49"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2AE410C9" w14:textId="77777777" w:rsidR="003F5418" w:rsidRDefault="002A6C25">
            <w:pPr>
              <w:pStyle w:val="P68B1DB1-Normal4"/>
              <w:spacing w:line="276" w:lineRule="auto"/>
              <w:jc w:val="center"/>
              <w:rPr>
                <w:noProof/>
              </w:rPr>
            </w:pPr>
            <w:r>
              <w:rPr>
                <w:noProof/>
              </w:rPr>
              <w:t>A folyómeder mesterségességének csökkentése a T1 Po terület újranaturálásához</w:t>
            </w:r>
          </w:p>
        </w:tc>
        <w:tc>
          <w:tcPr>
            <w:tcW w:w="1383" w:type="dxa"/>
            <w:shd w:val="clear" w:color="auto" w:fill="C6EFCE"/>
            <w:noWrap/>
            <w:vAlign w:val="center"/>
            <w:hideMark/>
          </w:tcPr>
          <w:p w14:paraId="0A64AA84"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52EE45F8"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19FF27E4"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6CAA25C6" w14:textId="77777777" w:rsidR="003F5418" w:rsidRDefault="002A6C25">
            <w:pPr>
              <w:pStyle w:val="P68B1DB1-Normal4"/>
              <w:spacing w:line="276" w:lineRule="auto"/>
              <w:jc w:val="center"/>
              <w:rPr>
                <w:noProof/>
              </w:rPr>
            </w:pPr>
            <w:r>
              <w:rPr>
                <w:noProof/>
              </w:rPr>
              <w:t>13</w:t>
            </w:r>
          </w:p>
        </w:tc>
        <w:tc>
          <w:tcPr>
            <w:tcW w:w="916" w:type="dxa"/>
            <w:shd w:val="clear" w:color="auto" w:fill="C6EFCE"/>
            <w:noWrap/>
            <w:vAlign w:val="center"/>
            <w:hideMark/>
          </w:tcPr>
          <w:p w14:paraId="567815DD"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57EB9FB7"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hideMark/>
          </w:tcPr>
          <w:p w14:paraId="055B26EC" w14:textId="77777777" w:rsidR="003F5418" w:rsidRDefault="002A6C25">
            <w:pPr>
              <w:pStyle w:val="P68B1DB1-Normal4"/>
              <w:spacing w:line="276" w:lineRule="auto"/>
              <w:rPr>
                <w:noProof/>
              </w:rPr>
            </w:pPr>
            <w:r>
              <w:rPr>
                <w:noProof/>
              </w:rPr>
              <w:t xml:space="preserve">A </w:t>
            </w:r>
            <w:r>
              <w:rPr>
                <w:noProof/>
              </w:rPr>
              <w:t>folyómederek mesterségességének legalább 13 km-rel történő csökkentése, visszaszorítva a Po tengelyére.</w:t>
            </w:r>
          </w:p>
        </w:tc>
      </w:tr>
      <w:tr w:rsidR="003F5418" w14:paraId="326DFDF2" w14:textId="77777777">
        <w:trPr>
          <w:trHeight w:val="313"/>
          <w:jc w:val="center"/>
        </w:trPr>
        <w:tc>
          <w:tcPr>
            <w:tcW w:w="1130" w:type="dxa"/>
            <w:shd w:val="clear" w:color="auto" w:fill="C6EFCE"/>
            <w:noWrap/>
            <w:vAlign w:val="center"/>
            <w:hideMark/>
          </w:tcPr>
          <w:p w14:paraId="7503CB11" w14:textId="77777777" w:rsidR="003F5418" w:rsidRDefault="002A6C25">
            <w:pPr>
              <w:pStyle w:val="P68B1DB1-Normal4"/>
              <w:spacing w:line="276" w:lineRule="auto"/>
              <w:jc w:val="center"/>
              <w:rPr>
                <w:noProof/>
              </w:rPr>
            </w:pPr>
            <w:r>
              <w:rPr>
                <w:noProof/>
              </w:rPr>
              <w:t>M2C4–23</w:t>
            </w:r>
          </w:p>
        </w:tc>
        <w:tc>
          <w:tcPr>
            <w:tcW w:w="1560" w:type="dxa"/>
            <w:shd w:val="clear" w:color="auto" w:fill="C6EFCE"/>
            <w:noWrap/>
            <w:vAlign w:val="center"/>
            <w:hideMark/>
          </w:tcPr>
          <w:p w14:paraId="2D923A4C" w14:textId="77777777" w:rsidR="003F5418" w:rsidRDefault="002A6C25">
            <w:pPr>
              <w:pStyle w:val="P68B1DB1-Normal4"/>
              <w:spacing w:line="276" w:lineRule="auto"/>
              <w:jc w:val="center"/>
              <w:rPr>
                <w:noProof/>
              </w:rPr>
            </w:pPr>
            <w:r>
              <w:rPr>
                <w:noProof/>
              </w:rPr>
              <w:t>Beruházás A Po-övezet újranaturálása</w:t>
            </w:r>
          </w:p>
        </w:tc>
        <w:tc>
          <w:tcPr>
            <w:tcW w:w="1134" w:type="dxa"/>
            <w:shd w:val="clear" w:color="auto" w:fill="C6EFCE"/>
            <w:noWrap/>
            <w:vAlign w:val="center"/>
            <w:hideMark/>
          </w:tcPr>
          <w:p w14:paraId="5DD33778"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0B03E9D6" w14:textId="77777777" w:rsidR="003F5418" w:rsidRDefault="002A6C25">
            <w:pPr>
              <w:pStyle w:val="P68B1DB1-Normal4"/>
              <w:spacing w:line="276" w:lineRule="auto"/>
              <w:jc w:val="center"/>
              <w:rPr>
                <w:noProof/>
              </w:rPr>
            </w:pPr>
            <w:r>
              <w:rPr>
                <w:noProof/>
              </w:rPr>
              <w:t>A folyómeder mesterségességének csökkentése a T2 Po terület újranaturálásához</w:t>
            </w:r>
          </w:p>
        </w:tc>
        <w:tc>
          <w:tcPr>
            <w:tcW w:w="1383" w:type="dxa"/>
            <w:shd w:val="clear" w:color="auto" w:fill="C6EFCE"/>
            <w:noWrap/>
            <w:vAlign w:val="center"/>
            <w:hideMark/>
          </w:tcPr>
          <w:p w14:paraId="302E7828"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01C45FF7"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65A23A81" w14:textId="77777777" w:rsidR="003F5418" w:rsidRDefault="002A6C25">
            <w:pPr>
              <w:pStyle w:val="P68B1DB1-Normal4"/>
              <w:spacing w:line="276" w:lineRule="auto"/>
              <w:jc w:val="center"/>
              <w:rPr>
                <w:noProof/>
              </w:rPr>
            </w:pPr>
            <w:r>
              <w:rPr>
                <w:noProof/>
              </w:rPr>
              <w:t>13</w:t>
            </w:r>
          </w:p>
        </w:tc>
        <w:tc>
          <w:tcPr>
            <w:tcW w:w="1194" w:type="dxa"/>
            <w:shd w:val="clear" w:color="auto" w:fill="C6EFCE"/>
            <w:noWrap/>
            <w:vAlign w:val="center"/>
            <w:hideMark/>
          </w:tcPr>
          <w:p w14:paraId="1BAB546A" w14:textId="77777777" w:rsidR="003F5418" w:rsidRDefault="002A6C25">
            <w:pPr>
              <w:pStyle w:val="P68B1DB1-Normal4"/>
              <w:spacing w:line="276" w:lineRule="auto"/>
              <w:jc w:val="center"/>
              <w:rPr>
                <w:noProof/>
              </w:rPr>
            </w:pPr>
            <w:r>
              <w:rPr>
                <w:noProof/>
              </w:rPr>
              <w:t>37</w:t>
            </w:r>
          </w:p>
        </w:tc>
        <w:tc>
          <w:tcPr>
            <w:tcW w:w="916" w:type="dxa"/>
            <w:shd w:val="clear" w:color="auto" w:fill="C6EFCE"/>
            <w:noWrap/>
            <w:vAlign w:val="center"/>
            <w:hideMark/>
          </w:tcPr>
          <w:p w14:paraId="16D2200E"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16247FBF"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114580E1" w14:textId="77777777" w:rsidR="003F5418" w:rsidRDefault="002A6C25">
            <w:pPr>
              <w:pStyle w:val="P68B1DB1-Normal4"/>
              <w:spacing w:line="276" w:lineRule="auto"/>
              <w:rPr>
                <w:noProof/>
              </w:rPr>
            </w:pPr>
            <w:r>
              <w:rPr>
                <w:noProof/>
              </w:rPr>
              <w:t>A folyómederek mesterségességének legalább 37 km-rel történő csökkentése, visszaszorítva a Po tengelyére.</w:t>
            </w:r>
          </w:p>
        </w:tc>
      </w:tr>
      <w:tr w:rsidR="003F5418" w14:paraId="3A4DC285" w14:textId="77777777">
        <w:trPr>
          <w:trHeight w:val="313"/>
          <w:jc w:val="center"/>
        </w:trPr>
        <w:tc>
          <w:tcPr>
            <w:tcW w:w="1130" w:type="dxa"/>
            <w:shd w:val="clear" w:color="auto" w:fill="C6EFCE"/>
            <w:noWrap/>
            <w:vAlign w:val="center"/>
            <w:hideMark/>
          </w:tcPr>
          <w:p w14:paraId="40B40E52" w14:textId="77777777" w:rsidR="003F5418" w:rsidRDefault="002A6C25">
            <w:pPr>
              <w:pStyle w:val="P68B1DB1-Normal4"/>
              <w:spacing w:line="276" w:lineRule="auto"/>
              <w:jc w:val="center"/>
              <w:rPr>
                <w:noProof/>
              </w:rPr>
            </w:pPr>
            <w:r>
              <w:rPr>
                <w:noProof/>
              </w:rPr>
              <w:t>M2C4–24</w:t>
            </w:r>
          </w:p>
        </w:tc>
        <w:tc>
          <w:tcPr>
            <w:tcW w:w="1560" w:type="dxa"/>
            <w:shd w:val="clear" w:color="auto" w:fill="C6EFCE"/>
            <w:noWrap/>
            <w:vAlign w:val="center"/>
            <w:hideMark/>
          </w:tcPr>
          <w:p w14:paraId="56963EB9" w14:textId="77777777" w:rsidR="003F5418" w:rsidRDefault="002A6C25">
            <w:pPr>
              <w:pStyle w:val="P68B1DB1-Normal4"/>
              <w:spacing w:line="276" w:lineRule="auto"/>
              <w:jc w:val="center"/>
              <w:rPr>
                <w:noProof/>
              </w:rPr>
            </w:pPr>
            <w:r>
              <w:rPr>
                <w:noProof/>
              </w:rPr>
              <w:t>Beruházás. Az „árva területek talajának” rehabilitációja</w:t>
            </w:r>
          </w:p>
        </w:tc>
        <w:tc>
          <w:tcPr>
            <w:tcW w:w="1134" w:type="dxa"/>
            <w:shd w:val="clear" w:color="auto" w:fill="C6EFCE"/>
            <w:noWrap/>
            <w:vAlign w:val="center"/>
            <w:hideMark/>
          </w:tcPr>
          <w:p w14:paraId="5CF11E5D"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2926C9DA" w14:textId="77777777" w:rsidR="003F5418" w:rsidRDefault="002A6C25">
            <w:pPr>
              <w:pStyle w:val="P68B1DB1-Normal4"/>
              <w:spacing w:line="276" w:lineRule="auto"/>
              <w:jc w:val="center"/>
              <w:rPr>
                <w:noProof/>
              </w:rPr>
            </w:pPr>
            <w:r>
              <w:rPr>
                <w:noProof/>
              </w:rPr>
              <w:t>A gazdátlan területek helyreállítására vonatkozó jogi keret</w:t>
            </w:r>
          </w:p>
        </w:tc>
        <w:tc>
          <w:tcPr>
            <w:tcW w:w="1383" w:type="dxa"/>
            <w:shd w:val="clear" w:color="auto" w:fill="C6EFCE"/>
            <w:noWrap/>
            <w:vAlign w:val="center"/>
            <w:hideMark/>
          </w:tcPr>
          <w:p w14:paraId="501A7188" w14:textId="77777777" w:rsidR="003F5418" w:rsidRDefault="002A6C25">
            <w:pPr>
              <w:pStyle w:val="P68B1DB1-Normal4"/>
              <w:spacing w:line="276" w:lineRule="auto"/>
              <w:jc w:val="center"/>
              <w:rPr>
                <w:noProof/>
              </w:rPr>
            </w:pPr>
            <w:r>
              <w:rPr>
                <w:noProof/>
              </w:rPr>
              <w:t xml:space="preserve">A vonatkozó </w:t>
            </w:r>
            <w:r>
              <w:rPr>
                <w:noProof/>
              </w:rPr>
              <w:t>jogszabályban a cselekvési terv elfogadását jelző rendelkezés</w:t>
            </w:r>
          </w:p>
        </w:tc>
        <w:tc>
          <w:tcPr>
            <w:tcW w:w="1094" w:type="dxa"/>
            <w:shd w:val="clear" w:color="auto" w:fill="C6EFCE"/>
            <w:noWrap/>
            <w:vAlign w:val="center"/>
            <w:hideMark/>
          </w:tcPr>
          <w:p w14:paraId="2182573C"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205950B2"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1D798379"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59B58562"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23CAE4EF" w14:textId="77777777" w:rsidR="003F5418" w:rsidRDefault="002A6C25">
            <w:pPr>
              <w:pStyle w:val="P68B1DB1-Normal4"/>
              <w:spacing w:line="276" w:lineRule="auto"/>
              <w:jc w:val="center"/>
              <w:rPr>
                <w:noProof/>
              </w:rPr>
            </w:pPr>
            <w:r>
              <w:rPr>
                <w:noProof/>
              </w:rPr>
              <w:t>2022</w:t>
            </w:r>
          </w:p>
        </w:tc>
        <w:tc>
          <w:tcPr>
            <w:tcW w:w="4116" w:type="dxa"/>
            <w:shd w:val="clear" w:color="auto" w:fill="C6EFCE"/>
            <w:noWrap/>
            <w:vAlign w:val="center"/>
            <w:hideMark/>
          </w:tcPr>
          <w:p w14:paraId="39BD609E" w14:textId="77777777" w:rsidR="003F5418" w:rsidRDefault="002A6C25">
            <w:pPr>
              <w:pStyle w:val="P68B1DB1-Normal4"/>
              <w:spacing w:line="276" w:lineRule="auto"/>
              <w:rPr>
                <w:noProof/>
              </w:rPr>
            </w:pPr>
            <w:r>
              <w:rPr>
                <w:noProof/>
              </w:rPr>
              <w:t xml:space="preserve">A gazdátlan területek újjáélesztésére irányuló cselekvési terv csökkenti a területelvonást és fokozza a városrehabilitációt. A felhívás legalább az alábbiakat </w:t>
            </w:r>
            <w:r>
              <w:rPr>
                <w:noProof/>
              </w:rPr>
              <w:t>tartalmazza:</w:t>
            </w:r>
          </w:p>
          <w:p w14:paraId="3130654A" w14:textId="77777777" w:rsidR="003F5418" w:rsidRDefault="002A6C25">
            <w:pPr>
              <w:pStyle w:val="P68B1DB1-ListParagraph5"/>
              <w:numPr>
                <w:ilvl w:val="0"/>
                <w:numId w:val="69"/>
              </w:numPr>
              <w:spacing w:before="0" w:after="0" w:line="276" w:lineRule="auto"/>
              <w:ind w:left="305"/>
              <w:jc w:val="left"/>
              <w:rPr>
                <w:noProof/>
              </w:rPr>
            </w:pPr>
            <w:r>
              <w:rPr>
                <w:noProof/>
              </w:rPr>
              <w:t>A gazdátlan területek azonosítása mind a 21 régióban és/vagy autonóm tartományban</w:t>
            </w:r>
          </w:p>
          <w:p w14:paraId="3569E39D" w14:textId="1547AE31" w:rsidR="003F5418" w:rsidRDefault="002A6C25">
            <w:pPr>
              <w:pStyle w:val="P68B1DB1-ListParagraph5"/>
              <w:numPr>
                <w:ilvl w:val="0"/>
                <w:numId w:val="69"/>
              </w:numPr>
              <w:spacing w:before="0" w:after="0" w:line="276" w:lineRule="auto"/>
              <w:ind w:left="305"/>
              <w:jc w:val="left"/>
              <w:rPr>
                <w:noProof/>
              </w:rPr>
            </w:pPr>
            <w:r>
              <w:rPr>
                <w:noProof/>
              </w:rPr>
              <w:t>Az egyes gazdátlan területeken végrehajtandó konkrét beavatkozások a területelvonás csökkentése és a városrehabilitáció fokozása érdekében</w:t>
            </w:r>
          </w:p>
        </w:tc>
      </w:tr>
      <w:tr w:rsidR="003F5418" w14:paraId="3200CE96" w14:textId="77777777">
        <w:trPr>
          <w:trHeight w:val="313"/>
          <w:jc w:val="center"/>
        </w:trPr>
        <w:tc>
          <w:tcPr>
            <w:tcW w:w="1130" w:type="dxa"/>
            <w:shd w:val="clear" w:color="auto" w:fill="C6EFCE"/>
            <w:noWrap/>
            <w:vAlign w:val="center"/>
            <w:hideMark/>
          </w:tcPr>
          <w:p w14:paraId="542C42E7" w14:textId="77777777" w:rsidR="003F5418" w:rsidRDefault="002A6C25">
            <w:pPr>
              <w:pStyle w:val="P68B1DB1-Normal4"/>
              <w:spacing w:line="276" w:lineRule="auto"/>
              <w:jc w:val="center"/>
              <w:rPr>
                <w:noProof/>
              </w:rPr>
            </w:pPr>
            <w:r>
              <w:rPr>
                <w:noProof/>
              </w:rPr>
              <w:t>M2C4–25</w:t>
            </w:r>
          </w:p>
        </w:tc>
        <w:tc>
          <w:tcPr>
            <w:tcW w:w="1560" w:type="dxa"/>
            <w:shd w:val="clear" w:color="auto" w:fill="C6EFCE"/>
            <w:noWrap/>
            <w:vAlign w:val="center"/>
            <w:hideMark/>
          </w:tcPr>
          <w:p w14:paraId="410F88E9" w14:textId="77777777" w:rsidR="003F5418" w:rsidRDefault="002A6C25">
            <w:pPr>
              <w:pStyle w:val="P68B1DB1-Normal4"/>
              <w:spacing w:line="276" w:lineRule="auto"/>
              <w:jc w:val="center"/>
              <w:rPr>
                <w:noProof/>
              </w:rPr>
            </w:pPr>
            <w:r>
              <w:rPr>
                <w:noProof/>
              </w:rPr>
              <w:t>Beruházás. Az</w:t>
            </w:r>
            <w:r>
              <w:rPr>
                <w:noProof/>
              </w:rPr>
              <w:t xml:space="preserve"> „árva területek talajának” rehabilitációja</w:t>
            </w:r>
          </w:p>
        </w:tc>
        <w:tc>
          <w:tcPr>
            <w:tcW w:w="1134" w:type="dxa"/>
            <w:shd w:val="clear" w:color="auto" w:fill="C6EFCE"/>
            <w:noWrap/>
            <w:vAlign w:val="center"/>
            <w:hideMark/>
          </w:tcPr>
          <w:p w14:paraId="0C042931"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16ACE869" w14:textId="77777777" w:rsidR="003F5418" w:rsidRDefault="002A6C25">
            <w:pPr>
              <w:pStyle w:val="P68B1DB1-Normal4"/>
              <w:spacing w:line="276" w:lineRule="auto"/>
              <w:jc w:val="center"/>
              <w:rPr>
                <w:noProof/>
              </w:rPr>
            </w:pPr>
            <w:r>
              <w:rPr>
                <w:noProof/>
              </w:rPr>
              <w:t>A gazdátlan területek újjáélesztése</w:t>
            </w:r>
          </w:p>
        </w:tc>
        <w:tc>
          <w:tcPr>
            <w:tcW w:w="1383" w:type="dxa"/>
            <w:shd w:val="clear" w:color="auto" w:fill="C6EFCE"/>
            <w:noWrap/>
            <w:vAlign w:val="center"/>
            <w:hideMark/>
          </w:tcPr>
          <w:p w14:paraId="025CD30C"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3E19311A"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hideMark/>
          </w:tcPr>
          <w:p w14:paraId="677D7FB2"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5498CAEC" w14:textId="77777777" w:rsidR="003F5418" w:rsidRDefault="002A6C25">
            <w:pPr>
              <w:pStyle w:val="P68B1DB1-Normal4"/>
              <w:spacing w:line="276" w:lineRule="auto"/>
              <w:jc w:val="center"/>
              <w:rPr>
                <w:noProof/>
              </w:rPr>
            </w:pPr>
            <w:r>
              <w:rPr>
                <w:noProof/>
              </w:rPr>
              <w:t>70</w:t>
            </w:r>
          </w:p>
        </w:tc>
        <w:tc>
          <w:tcPr>
            <w:tcW w:w="916" w:type="dxa"/>
            <w:shd w:val="clear" w:color="auto" w:fill="C6EFCE"/>
            <w:noWrap/>
            <w:vAlign w:val="center"/>
            <w:hideMark/>
          </w:tcPr>
          <w:p w14:paraId="04AD91DC"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11C15B66"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41DC0D8E" w14:textId="77777777" w:rsidR="003F5418" w:rsidRDefault="002A6C25">
            <w:pPr>
              <w:pStyle w:val="P68B1DB1-Normal4"/>
              <w:spacing w:line="276" w:lineRule="auto"/>
              <w:rPr>
                <w:noProof/>
              </w:rPr>
            </w:pPr>
            <w:r>
              <w:rPr>
                <w:noProof/>
              </w:rPr>
              <w:t>Az „árva területek talajának” legalább 70%-ának újjáélesztése a területelvonás csökkentése és a városrehabilitáció fokozása érdekében.</w:t>
            </w:r>
          </w:p>
        </w:tc>
      </w:tr>
      <w:tr w:rsidR="003F5418" w14:paraId="1A595BC9" w14:textId="77777777">
        <w:trPr>
          <w:trHeight w:val="313"/>
          <w:jc w:val="center"/>
        </w:trPr>
        <w:tc>
          <w:tcPr>
            <w:tcW w:w="1130" w:type="dxa"/>
            <w:shd w:val="clear" w:color="auto" w:fill="C6EFCE"/>
            <w:noWrap/>
            <w:vAlign w:val="center"/>
            <w:hideMark/>
          </w:tcPr>
          <w:p w14:paraId="64022DB3" w14:textId="77777777" w:rsidR="003F5418" w:rsidRDefault="002A6C25">
            <w:pPr>
              <w:pStyle w:val="P68B1DB1-Normal4"/>
              <w:spacing w:line="276" w:lineRule="auto"/>
              <w:jc w:val="center"/>
              <w:rPr>
                <w:noProof/>
              </w:rPr>
            </w:pPr>
            <w:r>
              <w:rPr>
                <w:noProof/>
              </w:rPr>
              <w:t>M2C4–26</w:t>
            </w:r>
          </w:p>
        </w:tc>
        <w:tc>
          <w:tcPr>
            <w:tcW w:w="1560" w:type="dxa"/>
            <w:shd w:val="clear" w:color="auto" w:fill="C6EFCE"/>
            <w:noWrap/>
            <w:vAlign w:val="center"/>
            <w:hideMark/>
          </w:tcPr>
          <w:p w14:paraId="42A02ABB" w14:textId="77777777" w:rsidR="003F5418" w:rsidRDefault="002A6C25">
            <w:pPr>
              <w:pStyle w:val="P68B1DB1-Normal4"/>
              <w:spacing w:line="276" w:lineRule="auto"/>
              <w:jc w:val="center"/>
              <w:rPr>
                <w:noProof/>
              </w:rPr>
            </w:pPr>
            <w:r>
              <w:rPr>
                <w:noProof/>
              </w:rPr>
              <w:t>Beruházás. A tengerfenék és a tengeri élőhelyek helyreállítása és védelme</w:t>
            </w:r>
          </w:p>
        </w:tc>
        <w:tc>
          <w:tcPr>
            <w:tcW w:w="1134" w:type="dxa"/>
            <w:shd w:val="clear" w:color="auto" w:fill="C6EFCE"/>
            <w:noWrap/>
            <w:vAlign w:val="center"/>
            <w:hideMark/>
          </w:tcPr>
          <w:p w14:paraId="159427B2"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6FC39062" w14:textId="77777777" w:rsidR="003F5418" w:rsidRDefault="002A6C25">
            <w:pPr>
              <w:pStyle w:val="P68B1DB1-Normal4"/>
              <w:spacing w:line="276" w:lineRule="auto"/>
              <w:jc w:val="center"/>
              <w:rPr>
                <w:noProof/>
              </w:rPr>
            </w:pPr>
            <w:r>
              <w:rPr>
                <w:noProof/>
              </w:rPr>
              <w:t>A tengerfenék és a tengeri élőhelyek helyreállítása és védelme</w:t>
            </w:r>
          </w:p>
        </w:tc>
        <w:tc>
          <w:tcPr>
            <w:tcW w:w="1383" w:type="dxa"/>
            <w:shd w:val="clear" w:color="auto" w:fill="C6EFCE"/>
            <w:noWrap/>
            <w:vAlign w:val="center"/>
            <w:hideMark/>
          </w:tcPr>
          <w:p w14:paraId="3C86ECB3"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1F33547D"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0F3D0180"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326F46EB" w14:textId="77777777" w:rsidR="003F5418" w:rsidRDefault="002A6C25">
            <w:pPr>
              <w:pStyle w:val="P68B1DB1-Normal4"/>
              <w:spacing w:line="276" w:lineRule="auto"/>
              <w:jc w:val="center"/>
              <w:rPr>
                <w:noProof/>
              </w:rPr>
            </w:pPr>
            <w:r>
              <w:rPr>
                <w:noProof/>
              </w:rPr>
              <w:t>22</w:t>
            </w:r>
          </w:p>
        </w:tc>
        <w:tc>
          <w:tcPr>
            <w:tcW w:w="916" w:type="dxa"/>
            <w:shd w:val="clear" w:color="auto" w:fill="C6EFCE"/>
            <w:noWrap/>
            <w:vAlign w:val="center"/>
            <w:hideMark/>
          </w:tcPr>
          <w:p w14:paraId="720080C8" w14:textId="77777777" w:rsidR="003F5418" w:rsidRDefault="002A6C25">
            <w:pPr>
              <w:pStyle w:val="P68B1DB1-Normal4"/>
              <w:spacing w:line="276" w:lineRule="auto"/>
              <w:jc w:val="center"/>
              <w:rPr>
                <w:noProof/>
              </w:rPr>
            </w:pPr>
            <w:r>
              <w:rPr>
                <w:noProof/>
              </w:rPr>
              <w:t>Q2</w:t>
            </w:r>
          </w:p>
        </w:tc>
        <w:tc>
          <w:tcPr>
            <w:tcW w:w="638" w:type="dxa"/>
            <w:shd w:val="clear" w:color="auto" w:fill="C6EFCE"/>
            <w:noWrap/>
            <w:vAlign w:val="center"/>
            <w:hideMark/>
          </w:tcPr>
          <w:p w14:paraId="18596993" w14:textId="77777777" w:rsidR="003F5418" w:rsidRDefault="002A6C25">
            <w:pPr>
              <w:pStyle w:val="P68B1DB1-Normal4"/>
              <w:spacing w:line="276" w:lineRule="auto"/>
              <w:jc w:val="center"/>
              <w:rPr>
                <w:noProof/>
              </w:rPr>
            </w:pPr>
            <w:r>
              <w:rPr>
                <w:noProof/>
              </w:rPr>
              <w:t>2025</w:t>
            </w:r>
          </w:p>
        </w:tc>
        <w:tc>
          <w:tcPr>
            <w:tcW w:w="4116" w:type="dxa"/>
            <w:shd w:val="clear" w:color="auto" w:fill="C6EFCE"/>
            <w:noWrap/>
            <w:vAlign w:val="center"/>
            <w:hideMark/>
          </w:tcPr>
          <w:p w14:paraId="3933FC0D" w14:textId="77777777" w:rsidR="003F5418" w:rsidRDefault="002A6C25">
            <w:pPr>
              <w:pStyle w:val="P68B1DB1-Normal4"/>
              <w:spacing w:line="276" w:lineRule="auto"/>
              <w:rPr>
                <w:noProof/>
              </w:rPr>
            </w:pPr>
            <w:r>
              <w:rPr>
                <w:noProof/>
              </w:rPr>
              <w:t xml:space="preserve">Legalább 22 nagyszabású beavatkozás végrehajtása a tengerfenék és a tengeri élőhelyek, </w:t>
            </w:r>
            <w:r>
              <w:rPr>
                <w:noProof/>
              </w:rPr>
              <w:t>valamint a part menti megfigyelési rendszerek helyreállítása és védelme érdekében.</w:t>
            </w:r>
          </w:p>
        </w:tc>
      </w:tr>
      <w:tr w:rsidR="003F5418" w14:paraId="5455C2F7" w14:textId="77777777">
        <w:trPr>
          <w:trHeight w:val="313"/>
          <w:jc w:val="center"/>
        </w:trPr>
        <w:tc>
          <w:tcPr>
            <w:tcW w:w="1130" w:type="dxa"/>
            <w:shd w:val="clear" w:color="auto" w:fill="C6EFCE"/>
            <w:noWrap/>
            <w:vAlign w:val="center"/>
            <w:hideMark/>
          </w:tcPr>
          <w:p w14:paraId="7122F86C" w14:textId="77777777" w:rsidR="003F5418" w:rsidRDefault="002A6C25">
            <w:pPr>
              <w:pStyle w:val="P68B1DB1-Normal4"/>
              <w:spacing w:line="276" w:lineRule="auto"/>
              <w:jc w:val="center"/>
              <w:rPr>
                <w:noProof/>
              </w:rPr>
            </w:pPr>
            <w:r>
              <w:rPr>
                <w:noProof/>
              </w:rPr>
              <w:t>M2C4–27</w:t>
            </w:r>
          </w:p>
        </w:tc>
        <w:tc>
          <w:tcPr>
            <w:tcW w:w="1560" w:type="dxa"/>
            <w:shd w:val="clear" w:color="auto" w:fill="C6EFCE"/>
            <w:noWrap/>
            <w:vAlign w:val="center"/>
            <w:hideMark/>
          </w:tcPr>
          <w:p w14:paraId="65A12F3C" w14:textId="77777777" w:rsidR="003F5418" w:rsidRDefault="002A6C25">
            <w:pPr>
              <w:pStyle w:val="P68B1DB1-Normal4"/>
              <w:spacing w:line="276" w:lineRule="auto"/>
              <w:jc w:val="center"/>
              <w:rPr>
                <w:noProof/>
              </w:rPr>
            </w:pPr>
            <w:r>
              <w:rPr>
                <w:noProof/>
              </w:rPr>
              <w:t>Reform. A jogszabályok egyszerűsítése és az irányítás megerősítése a vízellátási infrastruktúrákba történő beruházások végrehajtása érdekében</w:t>
            </w:r>
          </w:p>
        </w:tc>
        <w:tc>
          <w:tcPr>
            <w:tcW w:w="1134" w:type="dxa"/>
            <w:shd w:val="clear" w:color="auto" w:fill="C6EFCE"/>
            <w:noWrap/>
            <w:vAlign w:val="center"/>
            <w:hideMark/>
          </w:tcPr>
          <w:p w14:paraId="739DEF21"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0CEBB921" w14:textId="77777777" w:rsidR="003F5418" w:rsidRDefault="002A6C25">
            <w:pPr>
              <w:pStyle w:val="P68B1DB1-Normal4"/>
              <w:spacing w:line="276" w:lineRule="auto"/>
              <w:jc w:val="center"/>
              <w:rPr>
                <w:noProof/>
              </w:rPr>
            </w:pPr>
            <w:r>
              <w:rPr>
                <w:noProof/>
              </w:rPr>
              <w:t xml:space="preserve">Az </w:t>
            </w:r>
            <w:r>
              <w:rPr>
                <w:noProof/>
              </w:rPr>
              <w:t>elsődleges víz infrastruktúrájába a vízellátás biztonsága érdekében történő beavatkozásokra vonatkozó jogszabályok egyszerűsítésének hatálybalépése</w:t>
            </w:r>
          </w:p>
        </w:tc>
        <w:tc>
          <w:tcPr>
            <w:tcW w:w="1383" w:type="dxa"/>
            <w:shd w:val="clear" w:color="auto" w:fill="C6EFCE"/>
            <w:noWrap/>
            <w:vAlign w:val="center"/>
            <w:hideMark/>
          </w:tcPr>
          <w:p w14:paraId="4A29EF72" w14:textId="77777777" w:rsidR="003F5418" w:rsidRDefault="002A6C25">
            <w:pPr>
              <w:pStyle w:val="P68B1DB1-Normal4"/>
              <w:spacing w:line="276" w:lineRule="auto"/>
              <w:jc w:val="center"/>
              <w:rPr>
                <w:noProof/>
              </w:rPr>
            </w:pPr>
            <w:r>
              <w:rPr>
                <w:noProof/>
              </w:rPr>
              <w:t>A hatálybalépést feltüntető jogszabály(ok)ban szereplő rendelkezés(ek)</w:t>
            </w:r>
          </w:p>
        </w:tc>
        <w:tc>
          <w:tcPr>
            <w:tcW w:w="1094" w:type="dxa"/>
            <w:shd w:val="clear" w:color="auto" w:fill="C6EFCE"/>
            <w:noWrap/>
            <w:vAlign w:val="center"/>
            <w:hideMark/>
          </w:tcPr>
          <w:p w14:paraId="45D3B4B1"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65C7C0B1"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3B3830B3"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75B11A2A"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2645C6FA" w14:textId="77777777" w:rsidR="003F5418" w:rsidRDefault="002A6C25">
            <w:pPr>
              <w:pStyle w:val="P68B1DB1-Normal4"/>
              <w:spacing w:line="276" w:lineRule="auto"/>
              <w:jc w:val="center"/>
              <w:rPr>
                <w:noProof/>
              </w:rPr>
            </w:pPr>
            <w:r>
              <w:rPr>
                <w:noProof/>
              </w:rPr>
              <w:t>2022</w:t>
            </w:r>
          </w:p>
        </w:tc>
        <w:tc>
          <w:tcPr>
            <w:tcW w:w="4116" w:type="dxa"/>
            <w:shd w:val="clear" w:color="auto" w:fill="C6EFCE"/>
            <w:noWrap/>
            <w:vAlign w:val="center"/>
            <w:hideMark/>
          </w:tcPr>
          <w:p w14:paraId="5DEF3943" w14:textId="77777777" w:rsidR="003F5418" w:rsidRDefault="002A6C25">
            <w:pPr>
              <w:pStyle w:val="P68B1DB1-Normal4"/>
              <w:spacing w:line="276" w:lineRule="auto"/>
              <w:rPr>
                <w:noProof/>
              </w:rPr>
            </w:pPr>
            <w:r>
              <w:rPr>
                <w:noProof/>
              </w:rPr>
              <w:t>A felülvizs</w:t>
            </w:r>
            <w:r>
              <w:rPr>
                <w:noProof/>
              </w:rPr>
              <w:t>gált jogszabálynak meg kell erősítenie a vízellátási infrastruktúrába történő beruházások irányítását és egyszerűsítenie kell azok végrehajtását. Az új jogi keretnek legalább</w:t>
            </w:r>
          </w:p>
          <w:p w14:paraId="3D74B461" w14:textId="77777777" w:rsidR="003F5418" w:rsidRDefault="003F5418">
            <w:pPr>
              <w:spacing w:line="276" w:lineRule="auto"/>
              <w:rPr>
                <w:rFonts w:ascii="Arial Narrow" w:hAnsi="Arial Narrow"/>
                <w:noProof/>
                <w:color w:val="006100"/>
                <w:sz w:val="20"/>
              </w:rPr>
            </w:pPr>
          </w:p>
          <w:p w14:paraId="4138BC70" w14:textId="77777777" w:rsidR="003F5418" w:rsidRDefault="002A6C25">
            <w:pPr>
              <w:pStyle w:val="P68B1DB1-ListParagraph5"/>
              <w:spacing w:before="0" w:after="0" w:line="276" w:lineRule="auto"/>
              <w:ind w:left="0"/>
              <w:jc w:val="left"/>
              <w:rPr>
                <w:noProof/>
              </w:rPr>
            </w:pPr>
            <w:r>
              <w:rPr>
                <w:noProof/>
              </w:rPr>
              <w:t xml:space="preserve">– A vízügyi ágazatban történő beavatkozásokra vonatkozó nemzeti tervet tegye a </w:t>
            </w:r>
            <w:r>
              <w:rPr>
                <w:noProof/>
              </w:rPr>
              <w:t>vízügyi ágazatba történő beruházások központi finanszírozási eszközévé.</w:t>
            </w:r>
          </w:p>
          <w:p w14:paraId="38A1EE4D" w14:textId="77777777" w:rsidR="003F5418" w:rsidRDefault="002A6C25">
            <w:pPr>
              <w:pStyle w:val="P68B1DB1-ListParagraph5"/>
              <w:spacing w:before="0" w:after="0" w:line="276" w:lineRule="auto"/>
              <w:ind w:left="0"/>
              <w:jc w:val="left"/>
              <w:rPr>
                <w:noProof/>
              </w:rPr>
            </w:pPr>
            <w:r>
              <w:rPr>
                <w:noProof/>
              </w:rPr>
              <w:t>– Kérje ki a véleményt, és aktívan vonja be a szabályozó hatóságot (Autorità di Regolazione per Energia Reti e Ambiente) a terv bármely módosításába vagy frissítésébe.</w:t>
            </w:r>
          </w:p>
          <w:p w14:paraId="373FE31B" w14:textId="77777777" w:rsidR="003F5418" w:rsidRDefault="003F5418">
            <w:pPr>
              <w:spacing w:line="276" w:lineRule="auto"/>
              <w:ind w:left="-29" w:firstLine="29"/>
              <w:rPr>
                <w:rFonts w:ascii="Arial Narrow" w:hAnsi="Arial Narrow"/>
                <w:noProof/>
                <w:color w:val="006100"/>
                <w:sz w:val="20"/>
              </w:rPr>
            </w:pPr>
          </w:p>
          <w:p w14:paraId="28F84233" w14:textId="77777777" w:rsidR="003F5418" w:rsidRDefault="002A6C25">
            <w:pPr>
              <w:pStyle w:val="P68B1DB1-ListParagraph5"/>
              <w:spacing w:before="0" w:after="0" w:line="276" w:lineRule="auto"/>
              <w:ind w:left="0"/>
              <w:jc w:val="left"/>
              <w:rPr>
                <w:noProof/>
              </w:rPr>
            </w:pPr>
            <w:r>
              <w:rPr>
                <w:noProof/>
              </w:rPr>
              <w:t xml:space="preserve">– Támogatás és </w:t>
            </w:r>
            <w:r>
              <w:rPr>
                <w:noProof/>
              </w:rPr>
              <w:t>kísérő intézkedések biztosítása azon végrehajtó szervek számára, amelyek a tervezett határidőn belül nem képesek az elsődleges beszerzéssel kapcsolatos beruházásokat végrehajtani.</w:t>
            </w:r>
          </w:p>
          <w:p w14:paraId="57106BA1" w14:textId="77777777" w:rsidR="003F5418" w:rsidRDefault="003F5418">
            <w:pPr>
              <w:pStyle w:val="ListParagraph"/>
              <w:spacing w:before="0" w:after="0" w:line="276" w:lineRule="auto"/>
              <w:ind w:left="-29" w:firstLine="29"/>
              <w:jc w:val="left"/>
              <w:rPr>
                <w:rFonts w:ascii="Arial Narrow" w:hAnsi="Arial Narrow"/>
                <w:noProof/>
                <w:color w:val="006100"/>
                <w:sz w:val="20"/>
              </w:rPr>
            </w:pPr>
          </w:p>
          <w:p w14:paraId="2BFDD5CF" w14:textId="77777777" w:rsidR="003F5418" w:rsidRDefault="002A6C25">
            <w:pPr>
              <w:pStyle w:val="P68B1DB1-ListParagraph5"/>
              <w:spacing w:before="0" w:after="0" w:line="276" w:lineRule="auto"/>
              <w:ind w:left="0"/>
              <w:jc w:val="left"/>
              <w:rPr>
                <w:noProof/>
              </w:rPr>
            </w:pPr>
            <w:r>
              <w:rPr>
                <w:noProof/>
              </w:rPr>
              <w:t>A vízügyi ágazatban finanszírozott beruházások bejelentésére és nyomon köve</w:t>
            </w:r>
            <w:r>
              <w:rPr>
                <w:noProof/>
              </w:rPr>
              <w:t>tésére szolgáló eljárások egyszerűsítése.</w:t>
            </w:r>
          </w:p>
          <w:p w14:paraId="44002344" w14:textId="77777777" w:rsidR="003F5418" w:rsidRDefault="003F5418">
            <w:pPr>
              <w:spacing w:line="276" w:lineRule="auto"/>
              <w:rPr>
                <w:rFonts w:ascii="Arial Narrow" w:hAnsi="Arial Narrow"/>
                <w:noProof/>
                <w:color w:val="006100"/>
                <w:sz w:val="20"/>
              </w:rPr>
            </w:pPr>
          </w:p>
        </w:tc>
      </w:tr>
      <w:tr w:rsidR="003F5418" w14:paraId="1534945B" w14:textId="77777777">
        <w:trPr>
          <w:trHeight w:val="313"/>
          <w:jc w:val="center"/>
        </w:trPr>
        <w:tc>
          <w:tcPr>
            <w:tcW w:w="1130" w:type="dxa"/>
            <w:shd w:val="clear" w:color="auto" w:fill="C6EFCE"/>
            <w:noWrap/>
            <w:vAlign w:val="center"/>
            <w:hideMark/>
          </w:tcPr>
          <w:p w14:paraId="792560B5" w14:textId="77777777" w:rsidR="003F5418" w:rsidRDefault="002A6C25">
            <w:pPr>
              <w:pStyle w:val="P68B1DB1-Normal4"/>
              <w:spacing w:line="276" w:lineRule="auto"/>
              <w:jc w:val="center"/>
              <w:rPr>
                <w:noProof/>
              </w:rPr>
            </w:pPr>
            <w:r>
              <w:rPr>
                <w:noProof/>
              </w:rPr>
              <w:t>M2C4–28</w:t>
            </w:r>
          </w:p>
        </w:tc>
        <w:tc>
          <w:tcPr>
            <w:tcW w:w="1560" w:type="dxa"/>
            <w:shd w:val="clear" w:color="auto" w:fill="C6EFCE"/>
            <w:noWrap/>
            <w:vAlign w:val="center"/>
            <w:hideMark/>
          </w:tcPr>
          <w:p w14:paraId="29FBFDEF" w14:textId="77777777" w:rsidR="003F5418" w:rsidRDefault="002A6C25">
            <w:pPr>
              <w:pStyle w:val="P68B1DB1-Normal4"/>
              <w:spacing w:line="276" w:lineRule="auto"/>
              <w:jc w:val="center"/>
              <w:rPr>
                <w:noProof/>
              </w:rPr>
            </w:pPr>
            <w:r>
              <w:rPr>
                <w:noProof/>
              </w:rPr>
              <w:t>Beruházás. A vízellátás biztonságát szolgáló elsődleges vízi infrastruktúrákba történő beruházások</w:t>
            </w:r>
          </w:p>
        </w:tc>
        <w:tc>
          <w:tcPr>
            <w:tcW w:w="1134" w:type="dxa"/>
            <w:shd w:val="clear" w:color="auto" w:fill="C6EFCE"/>
            <w:noWrap/>
            <w:vAlign w:val="center"/>
            <w:hideMark/>
          </w:tcPr>
          <w:p w14:paraId="43498F2B"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78063A30" w14:textId="18A5A880" w:rsidR="003F5418" w:rsidRDefault="002A6C25">
            <w:pPr>
              <w:pStyle w:val="P68B1DB1-Normal4"/>
              <w:spacing w:line="276" w:lineRule="auto"/>
              <w:jc w:val="center"/>
              <w:rPr>
                <w:noProof/>
              </w:rPr>
            </w:pPr>
            <w:r>
              <w:rPr>
                <w:noProof/>
              </w:rPr>
              <w:t>Finanszírozás odaítélése minden olyan projekt számára, amely az elsődleges vízi infrastruktúrát</w:t>
            </w:r>
            <w:r>
              <w:rPr>
                <w:noProof/>
              </w:rPr>
              <w:t xml:space="preserve"> és a vízellátás biztonságát szolgálja</w:t>
            </w:r>
          </w:p>
        </w:tc>
        <w:tc>
          <w:tcPr>
            <w:tcW w:w="1383" w:type="dxa"/>
            <w:shd w:val="clear" w:color="auto" w:fill="C6EFCE"/>
            <w:noWrap/>
            <w:vAlign w:val="center"/>
            <w:hideMark/>
          </w:tcPr>
          <w:p w14:paraId="21F32DEA" w14:textId="263DFEF5" w:rsidR="003F5418" w:rsidRDefault="002A6C25">
            <w:pPr>
              <w:pStyle w:val="P68B1DB1-Normal4"/>
              <w:spacing w:line="276" w:lineRule="auto"/>
              <w:jc w:val="center"/>
              <w:rPr>
                <w:noProof/>
              </w:rPr>
            </w:pPr>
            <w:r>
              <w:rPr>
                <w:noProof/>
              </w:rPr>
              <w:t>Rendelet(ek) közzététele</w:t>
            </w:r>
          </w:p>
        </w:tc>
        <w:tc>
          <w:tcPr>
            <w:tcW w:w="1094" w:type="dxa"/>
            <w:shd w:val="clear" w:color="auto" w:fill="C6EFCE"/>
            <w:noWrap/>
            <w:vAlign w:val="center"/>
            <w:hideMark/>
          </w:tcPr>
          <w:p w14:paraId="093521D5" w14:textId="3A6C1E9B"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565FA837" w14:textId="60DEE53E"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2EC53CE5" w14:textId="620D598F" w:rsidR="003F5418" w:rsidRDefault="002A6C25">
            <w:pPr>
              <w:pStyle w:val="P68B1DB1-Normal4"/>
              <w:spacing w:line="276" w:lineRule="auto"/>
              <w:jc w:val="center"/>
              <w:rPr>
                <w:rFonts w:eastAsia="Arial Narrow" w:cs="Arial Narrow"/>
                <w:noProof/>
              </w:rPr>
            </w:pPr>
            <w:r>
              <w:rPr>
                <w:noProof/>
              </w:rPr>
              <w:t>NINCS</w:t>
            </w:r>
          </w:p>
        </w:tc>
        <w:tc>
          <w:tcPr>
            <w:tcW w:w="916" w:type="dxa"/>
            <w:shd w:val="clear" w:color="auto" w:fill="C6EFCE"/>
            <w:noWrap/>
            <w:vAlign w:val="center"/>
            <w:hideMark/>
          </w:tcPr>
          <w:p w14:paraId="5FBDDAC8" w14:textId="77777777" w:rsidR="003F5418" w:rsidRDefault="002A6C25">
            <w:pPr>
              <w:pStyle w:val="P68B1DB1-Normal4"/>
              <w:spacing w:line="276" w:lineRule="auto"/>
              <w:jc w:val="center"/>
              <w:rPr>
                <w:noProof/>
              </w:rPr>
            </w:pPr>
            <w:r>
              <w:rPr>
                <w:noProof/>
              </w:rPr>
              <w:t>Q3</w:t>
            </w:r>
          </w:p>
        </w:tc>
        <w:tc>
          <w:tcPr>
            <w:tcW w:w="638" w:type="dxa"/>
            <w:shd w:val="clear" w:color="auto" w:fill="C6EFCE"/>
            <w:noWrap/>
            <w:vAlign w:val="center"/>
            <w:hideMark/>
          </w:tcPr>
          <w:p w14:paraId="117F1056" w14:textId="77777777" w:rsidR="003F5418" w:rsidRDefault="002A6C25">
            <w:pPr>
              <w:pStyle w:val="P68B1DB1-Normal4"/>
              <w:spacing w:line="276" w:lineRule="auto"/>
              <w:jc w:val="center"/>
              <w:rPr>
                <w:noProof/>
              </w:rPr>
            </w:pPr>
            <w:r>
              <w:rPr>
                <w:noProof/>
              </w:rPr>
              <w:t>2023</w:t>
            </w:r>
          </w:p>
        </w:tc>
        <w:tc>
          <w:tcPr>
            <w:tcW w:w="4116" w:type="dxa"/>
            <w:shd w:val="clear" w:color="auto" w:fill="C6EFCE"/>
            <w:noWrap/>
            <w:vAlign w:val="center"/>
            <w:hideMark/>
          </w:tcPr>
          <w:p w14:paraId="52A27960" w14:textId="20B3D643" w:rsidR="003F5418" w:rsidRDefault="002A6C25">
            <w:pPr>
              <w:pStyle w:val="P68B1DB1-Normal4"/>
              <w:suppressAutoHyphens/>
              <w:spacing w:line="276" w:lineRule="auto"/>
              <w:rPr>
                <w:noProof/>
              </w:rPr>
            </w:pPr>
            <w:r>
              <w:rPr>
                <w:noProof/>
              </w:rPr>
              <w:t xml:space="preserve"> Az engedélyezési rendelet(ek) közzététele az elsődleges vízi infrastruktúrát és a vízellátás biztonságát célzó beruházásokra irányuló projektek finanszírozásának oda</w:t>
            </w:r>
            <w:r>
              <w:rPr>
                <w:noProof/>
              </w:rPr>
              <w:t>ítélésével (allokálásával) együtt.</w:t>
            </w:r>
          </w:p>
          <w:p w14:paraId="3E173250" w14:textId="77777777" w:rsidR="003F5418" w:rsidRDefault="002A6C25">
            <w:pPr>
              <w:pStyle w:val="P68B1DB1-Normal4"/>
              <w:suppressAutoHyphens/>
              <w:spacing w:line="276" w:lineRule="auto"/>
              <w:rPr>
                <w:noProof/>
              </w:rPr>
            </w:pPr>
            <w:r>
              <w:rPr>
                <w:noProof/>
              </w:rPr>
              <w:t>A szerződések hatálya a következő:</w:t>
            </w:r>
          </w:p>
          <w:p w14:paraId="1AF20A1F" w14:textId="77777777" w:rsidR="003F5418" w:rsidRDefault="003F5418">
            <w:pPr>
              <w:suppressAutoHyphens/>
              <w:spacing w:line="276" w:lineRule="auto"/>
              <w:rPr>
                <w:rFonts w:ascii="Arial Narrow" w:hAnsi="Arial Narrow"/>
                <w:noProof/>
                <w:color w:val="006100"/>
                <w:sz w:val="20"/>
              </w:rPr>
            </w:pPr>
          </w:p>
          <w:p w14:paraId="527AFFAF" w14:textId="77777777" w:rsidR="003F5418" w:rsidRDefault="002A6C25">
            <w:pPr>
              <w:pStyle w:val="P68B1DB1-ListParagraph5"/>
              <w:numPr>
                <w:ilvl w:val="0"/>
                <w:numId w:val="69"/>
              </w:numPr>
              <w:suppressAutoHyphens/>
              <w:spacing w:before="0" w:after="0" w:line="276" w:lineRule="auto"/>
              <w:ind w:left="305"/>
              <w:jc w:val="left"/>
              <w:rPr>
                <w:noProof/>
              </w:rPr>
            </w:pPr>
            <w:r>
              <w:rPr>
                <w:noProof/>
              </w:rPr>
              <w:t>A fontos városi területek vízellátásának biztonsága;</w:t>
            </w:r>
          </w:p>
          <w:p w14:paraId="53AFADCC" w14:textId="77777777" w:rsidR="003F5418" w:rsidRDefault="002A6C25">
            <w:pPr>
              <w:pStyle w:val="P68B1DB1-ListParagraph5"/>
              <w:numPr>
                <w:ilvl w:val="0"/>
                <w:numId w:val="69"/>
              </w:numPr>
              <w:suppressAutoHyphens/>
              <w:spacing w:before="0" w:after="0" w:line="276" w:lineRule="auto"/>
              <w:ind w:left="305"/>
              <w:jc w:val="left"/>
              <w:rPr>
                <w:noProof/>
              </w:rPr>
            </w:pPr>
            <w:r>
              <w:rPr>
                <w:noProof/>
              </w:rPr>
              <w:t>A hálózat biztonságának és ellenálló képességének növelésére irányuló strukturális munkálatok, beleértve az éghajlatváltozáshoz való</w:t>
            </w:r>
            <w:r>
              <w:rPr>
                <w:noProof/>
              </w:rPr>
              <w:t xml:space="preserve"> alkalmazkodást is (a gátak kivételével);</w:t>
            </w:r>
          </w:p>
          <w:p w14:paraId="15AB410E" w14:textId="77777777" w:rsidR="003F5418" w:rsidRDefault="002A6C25">
            <w:pPr>
              <w:pStyle w:val="P68B1DB1-ListParagraph5"/>
              <w:numPr>
                <w:ilvl w:val="0"/>
                <w:numId w:val="69"/>
              </w:numPr>
              <w:spacing w:before="0" w:after="0" w:line="276" w:lineRule="auto"/>
              <w:ind w:left="305"/>
              <w:jc w:val="left"/>
              <w:rPr>
                <w:noProof/>
              </w:rPr>
            </w:pPr>
            <w:r>
              <w:rPr>
                <w:noProof/>
              </w:rPr>
              <w:t>A vízszállítási kapacitás növelése.</w:t>
            </w:r>
          </w:p>
          <w:p w14:paraId="65EB76AC" w14:textId="77777777" w:rsidR="003F5418" w:rsidRDefault="002A6C25">
            <w:pPr>
              <w:pStyle w:val="P68B1DB1-Normal4"/>
              <w:spacing w:line="276" w:lineRule="auto"/>
              <w:ind w:left="-55"/>
              <w:rPr>
                <w:noProof/>
              </w:rPr>
            </w:pPr>
            <w:r>
              <w:rPr>
                <w:noProof/>
              </w:rPr>
              <w:t xml:space="preserve">A kiválasztási kritériumoknak biztosítaniuk kell, hogy a beruházás a Helyreállítási és Rezilienciaépítési Eszközről szóló (EU) 2021/241 rendelet VI. mellékletével összhangban </w:t>
            </w:r>
            <w:r>
              <w:rPr>
                <w:noProof/>
              </w:rPr>
              <w:t>40%-os éghajlati együtthatóval teljes mértékben hozzájáruljon az éghajlatváltozással kapcsolatos célkitűzésekhez.</w:t>
            </w:r>
          </w:p>
        </w:tc>
      </w:tr>
      <w:tr w:rsidR="003F5418" w14:paraId="354B8A7F" w14:textId="77777777">
        <w:trPr>
          <w:trHeight w:val="313"/>
          <w:jc w:val="center"/>
        </w:trPr>
        <w:tc>
          <w:tcPr>
            <w:tcW w:w="1130" w:type="dxa"/>
            <w:shd w:val="clear" w:color="auto" w:fill="C6EFCE"/>
            <w:noWrap/>
            <w:vAlign w:val="center"/>
            <w:hideMark/>
          </w:tcPr>
          <w:p w14:paraId="1A720E64" w14:textId="77777777" w:rsidR="003F5418" w:rsidRDefault="002A6C25">
            <w:pPr>
              <w:pStyle w:val="P68B1DB1-Normal4"/>
              <w:spacing w:line="276" w:lineRule="auto"/>
              <w:jc w:val="center"/>
              <w:rPr>
                <w:noProof/>
              </w:rPr>
            </w:pPr>
            <w:r>
              <w:rPr>
                <w:noProof/>
              </w:rPr>
              <w:t>M2C4–29</w:t>
            </w:r>
          </w:p>
        </w:tc>
        <w:tc>
          <w:tcPr>
            <w:tcW w:w="1560" w:type="dxa"/>
            <w:shd w:val="clear" w:color="auto" w:fill="C6EFCE"/>
            <w:noWrap/>
            <w:vAlign w:val="center"/>
            <w:hideMark/>
          </w:tcPr>
          <w:p w14:paraId="249ED64A" w14:textId="77777777" w:rsidR="003F5418" w:rsidRDefault="002A6C25">
            <w:pPr>
              <w:pStyle w:val="P68B1DB1-Normal4"/>
              <w:spacing w:line="276" w:lineRule="auto"/>
              <w:jc w:val="center"/>
              <w:rPr>
                <w:noProof/>
              </w:rPr>
            </w:pPr>
            <w:r>
              <w:rPr>
                <w:noProof/>
              </w:rPr>
              <w:t>Beruházás. A vízellátás biztonságát szolgáló elsődleges vízi infrastruktúrákba történő beruházások</w:t>
            </w:r>
          </w:p>
        </w:tc>
        <w:tc>
          <w:tcPr>
            <w:tcW w:w="1134" w:type="dxa"/>
            <w:shd w:val="clear" w:color="auto" w:fill="C6EFCE"/>
            <w:noWrap/>
            <w:vAlign w:val="center"/>
            <w:hideMark/>
          </w:tcPr>
          <w:p w14:paraId="7C8FA50D"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2DBBF190" w14:textId="77777777" w:rsidR="003F5418" w:rsidRDefault="002A6C25">
            <w:pPr>
              <w:pStyle w:val="P68B1DB1-Normal4"/>
              <w:spacing w:line="276" w:lineRule="auto"/>
              <w:jc w:val="center"/>
              <w:rPr>
                <w:noProof/>
              </w:rPr>
            </w:pPr>
            <w:r>
              <w:rPr>
                <w:noProof/>
              </w:rPr>
              <w:t xml:space="preserve">A vízellátás biztonságát </w:t>
            </w:r>
            <w:r>
              <w:rPr>
                <w:noProof/>
              </w:rPr>
              <w:t>szolgáló elsődleges vízi infrastruktúrába történő beruházások</w:t>
            </w:r>
          </w:p>
        </w:tc>
        <w:tc>
          <w:tcPr>
            <w:tcW w:w="1383" w:type="dxa"/>
            <w:shd w:val="clear" w:color="auto" w:fill="C6EFCE"/>
            <w:noWrap/>
            <w:vAlign w:val="center"/>
            <w:hideMark/>
          </w:tcPr>
          <w:p w14:paraId="1E2EF54F"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0A85A2EE"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43C84606"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75332B8B" w14:textId="39E0AE18" w:rsidR="003F5418" w:rsidRDefault="002A6C25">
            <w:pPr>
              <w:pStyle w:val="P68B1DB1-Normal4"/>
              <w:spacing w:line="276" w:lineRule="auto"/>
              <w:jc w:val="center"/>
              <w:rPr>
                <w:noProof/>
              </w:rPr>
            </w:pPr>
            <w:r>
              <w:rPr>
                <w:noProof/>
              </w:rPr>
              <w:t>50</w:t>
            </w:r>
          </w:p>
        </w:tc>
        <w:tc>
          <w:tcPr>
            <w:tcW w:w="916" w:type="dxa"/>
            <w:shd w:val="clear" w:color="auto" w:fill="C6EFCE"/>
            <w:noWrap/>
            <w:vAlign w:val="center"/>
            <w:hideMark/>
          </w:tcPr>
          <w:p w14:paraId="471A6BC2"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5BA4B97B"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596C92E0" w14:textId="7B83A389" w:rsidR="003F5418" w:rsidRDefault="002A6C25">
            <w:pPr>
              <w:pStyle w:val="P68B1DB1-Normal4"/>
              <w:spacing w:line="276" w:lineRule="auto"/>
              <w:rPr>
                <w:noProof/>
              </w:rPr>
            </w:pPr>
            <w:r>
              <w:rPr>
                <w:noProof/>
              </w:rPr>
              <w:t>A vízellátás biztonságának és a vízügyi infrastruktúra rezilienciájának növelése legalább 50 (összetett és elemi) vízrendszerben, amelyek közül legalább 35 összetett vízr</w:t>
            </w:r>
            <w:r>
              <w:rPr>
                <w:noProof/>
              </w:rPr>
              <w:t>endszer</w:t>
            </w:r>
          </w:p>
        </w:tc>
      </w:tr>
      <w:tr w:rsidR="003F5418" w14:paraId="1E3A288F" w14:textId="77777777">
        <w:trPr>
          <w:trHeight w:val="313"/>
          <w:jc w:val="center"/>
        </w:trPr>
        <w:tc>
          <w:tcPr>
            <w:tcW w:w="1130" w:type="dxa"/>
            <w:shd w:val="clear" w:color="auto" w:fill="C6EFCE"/>
            <w:noWrap/>
            <w:vAlign w:val="center"/>
            <w:hideMark/>
          </w:tcPr>
          <w:p w14:paraId="2E0CEBED" w14:textId="22895252" w:rsidR="003F5418" w:rsidRDefault="002A6C25">
            <w:pPr>
              <w:pStyle w:val="P68B1DB1-Normal4"/>
              <w:spacing w:line="276" w:lineRule="auto"/>
              <w:jc w:val="center"/>
              <w:rPr>
                <w:noProof/>
              </w:rPr>
            </w:pPr>
            <w:r>
              <w:rPr>
                <w:noProof/>
              </w:rPr>
              <w:t>M2C4–30</w:t>
            </w:r>
          </w:p>
        </w:tc>
        <w:tc>
          <w:tcPr>
            <w:tcW w:w="1560" w:type="dxa"/>
            <w:shd w:val="clear" w:color="auto" w:fill="C6EFCE"/>
            <w:noWrap/>
            <w:vAlign w:val="center"/>
            <w:hideMark/>
          </w:tcPr>
          <w:p w14:paraId="40C3A902" w14:textId="77777777" w:rsidR="003F5418" w:rsidRDefault="002A6C25">
            <w:pPr>
              <w:pStyle w:val="P68B1DB1-Normal4"/>
              <w:spacing w:line="276" w:lineRule="auto"/>
              <w:jc w:val="center"/>
              <w:rPr>
                <w:noProof/>
              </w:rPr>
            </w:pPr>
            <w:r>
              <w:rPr>
                <w:noProof/>
              </w:rPr>
              <w:t>Beruházás. A vízelosztó hálózatok veszteségeinek csökkentése, beleértve a hálózatok digitalizálását és nyomon követését</w:t>
            </w:r>
          </w:p>
        </w:tc>
        <w:tc>
          <w:tcPr>
            <w:tcW w:w="1134" w:type="dxa"/>
            <w:shd w:val="clear" w:color="auto" w:fill="C6EFCE"/>
            <w:noWrap/>
            <w:vAlign w:val="center"/>
            <w:hideMark/>
          </w:tcPr>
          <w:p w14:paraId="2D377743"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43E70E65" w14:textId="6E465740" w:rsidR="003F5418" w:rsidRDefault="002A6C25">
            <w:pPr>
              <w:pStyle w:val="P68B1DB1-Normal4"/>
              <w:spacing w:line="276" w:lineRule="auto"/>
              <w:jc w:val="center"/>
              <w:rPr>
                <w:noProof/>
              </w:rPr>
            </w:pPr>
            <w:r>
              <w:rPr>
                <w:noProof/>
              </w:rPr>
              <w:t xml:space="preserve">Finanszírozás odaítélése a vízelosztó hálózatokba történő beavatkozásokhoz kapcsolódó valamennyi projekt </w:t>
            </w:r>
            <w:r>
              <w:rPr>
                <w:noProof/>
              </w:rPr>
              <w:t>számára, beleértve a hálózatok digitalizálását és nyomon követését is</w:t>
            </w:r>
          </w:p>
        </w:tc>
        <w:tc>
          <w:tcPr>
            <w:tcW w:w="1383" w:type="dxa"/>
            <w:shd w:val="clear" w:color="auto" w:fill="C6EFCE"/>
            <w:noWrap/>
            <w:vAlign w:val="center"/>
            <w:hideMark/>
          </w:tcPr>
          <w:p w14:paraId="1220165B" w14:textId="1B8E2CE9" w:rsidR="003F5418" w:rsidRDefault="002A6C25">
            <w:pPr>
              <w:pStyle w:val="P68B1DB1-Normal4"/>
              <w:spacing w:line="276" w:lineRule="auto"/>
              <w:jc w:val="center"/>
              <w:rPr>
                <w:rFonts w:eastAsia="Arial Narrow" w:cs="Arial Narrow"/>
                <w:noProof/>
              </w:rPr>
            </w:pPr>
            <w:r>
              <w:rPr>
                <w:noProof/>
              </w:rPr>
              <w:t>Rendelet(ek) közzététele</w:t>
            </w:r>
          </w:p>
        </w:tc>
        <w:tc>
          <w:tcPr>
            <w:tcW w:w="1094" w:type="dxa"/>
            <w:shd w:val="clear" w:color="auto" w:fill="C6EFCE"/>
            <w:noWrap/>
            <w:vAlign w:val="center"/>
            <w:hideMark/>
          </w:tcPr>
          <w:p w14:paraId="7406567B"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32309A14"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0D93D29A"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7B030F8B" w14:textId="77777777" w:rsidR="003F5418" w:rsidRDefault="002A6C25">
            <w:pPr>
              <w:pStyle w:val="P68B1DB1-Normal4"/>
              <w:spacing w:line="276" w:lineRule="auto"/>
              <w:jc w:val="center"/>
              <w:rPr>
                <w:noProof/>
              </w:rPr>
            </w:pPr>
            <w:r>
              <w:rPr>
                <w:noProof/>
              </w:rPr>
              <w:t>Q3</w:t>
            </w:r>
          </w:p>
        </w:tc>
        <w:tc>
          <w:tcPr>
            <w:tcW w:w="638" w:type="dxa"/>
            <w:shd w:val="clear" w:color="auto" w:fill="C6EFCE"/>
            <w:noWrap/>
            <w:vAlign w:val="center"/>
            <w:hideMark/>
          </w:tcPr>
          <w:p w14:paraId="3F785124" w14:textId="77777777" w:rsidR="003F5418" w:rsidRDefault="002A6C25">
            <w:pPr>
              <w:pStyle w:val="P68B1DB1-Normal4"/>
              <w:spacing w:line="276" w:lineRule="auto"/>
              <w:jc w:val="center"/>
              <w:rPr>
                <w:noProof/>
              </w:rPr>
            </w:pPr>
            <w:r>
              <w:rPr>
                <w:noProof/>
              </w:rPr>
              <w:t>2023</w:t>
            </w:r>
          </w:p>
        </w:tc>
        <w:tc>
          <w:tcPr>
            <w:tcW w:w="4116" w:type="dxa"/>
            <w:shd w:val="clear" w:color="auto" w:fill="C6EFCE"/>
            <w:noWrap/>
            <w:vAlign w:val="center"/>
            <w:hideMark/>
          </w:tcPr>
          <w:p w14:paraId="05CD9F7C" w14:textId="24FA3AA3" w:rsidR="003F5418" w:rsidRDefault="002A6C25">
            <w:pPr>
              <w:pStyle w:val="P68B1DB1-Normal4"/>
              <w:spacing w:line="276" w:lineRule="auto"/>
              <w:rPr>
                <w:noProof/>
              </w:rPr>
            </w:pPr>
            <w:r>
              <w:rPr>
                <w:noProof/>
              </w:rPr>
              <w:t xml:space="preserve">Az engedélyezési rendelet(ek) közzététele a vízelosztó hálózatok korszerűsítésére és hatékonyságára irányuló beavatkozásokra irányuló </w:t>
            </w:r>
            <w:r>
              <w:rPr>
                <w:noProof/>
              </w:rPr>
              <w:t>projektek finanszírozásának odaítélésével (kiosztásával) együtt.</w:t>
            </w:r>
          </w:p>
          <w:p w14:paraId="3C6BFD83" w14:textId="77777777" w:rsidR="003F5418" w:rsidRDefault="003F5418">
            <w:pPr>
              <w:spacing w:line="276" w:lineRule="auto"/>
              <w:rPr>
                <w:rFonts w:ascii="Arial Narrow" w:hAnsi="Arial Narrow"/>
                <w:noProof/>
                <w:color w:val="006100"/>
                <w:sz w:val="20"/>
              </w:rPr>
            </w:pPr>
          </w:p>
          <w:p w14:paraId="15E95D8A" w14:textId="77777777" w:rsidR="003F5418" w:rsidRDefault="002A6C25">
            <w:pPr>
              <w:pStyle w:val="P68B1DB1-Normal4"/>
              <w:spacing w:line="276" w:lineRule="auto"/>
              <w:rPr>
                <w:noProof/>
              </w:rPr>
            </w:pPr>
            <w:r>
              <w:rPr>
                <w:noProof/>
              </w:rPr>
              <w:t>A szerződések hatálya a következő:</w:t>
            </w:r>
          </w:p>
          <w:p w14:paraId="34B62D88" w14:textId="77777777" w:rsidR="003F5418" w:rsidRDefault="002A6C25">
            <w:pPr>
              <w:pStyle w:val="P68B1DB1-ListParagraph5"/>
              <w:numPr>
                <w:ilvl w:val="0"/>
                <w:numId w:val="69"/>
              </w:numPr>
              <w:spacing w:before="0" w:after="0" w:line="276" w:lineRule="auto"/>
              <w:ind w:left="305"/>
              <w:jc w:val="left"/>
              <w:textAlignment w:val="baseline"/>
              <w:rPr>
                <w:noProof/>
              </w:rPr>
            </w:pPr>
            <w:r>
              <w:rPr>
                <w:noProof/>
              </w:rPr>
              <w:t>Az ivóvíz-hálózatok veszteségeinek csökkentésére irányuló beavatkozások;</w:t>
            </w:r>
          </w:p>
          <w:p w14:paraId="4BFD8F4D" w14:textId="77777777" w:rsidR="003F5418" w:rsidRDefault="002A6C25">
            <w:pPr>
              <w:pStyle w:val="P68B1DB1-ListParagraph5"/>
              <w:numPr>
                <w:ilvl w:val="0"/>
                <w:numId w:val="69"/>
              </w:numPr>
              <w:spacing w:before="0" w:after="0" w:line="276" w:lineRule="auto"/>
              <w:ind w:left="305"/>
              <w:jc w:val="left"/>
              <w:textAlignment w:val="baseline"/>
              <w:rPr>
                <w:noProof/>
              </w:rPr>
            </w:pPr>
            <w:r>
              <w:rPr>
                <w:noProof/>
              </w:rPr>
              <w:t>A vízrendszerek éghajlatváltozással szembeni ellenálló képességének növelése;</w:t>
            </w:r>
          </w:p>
          <w:p w14:paraId="596F4F18" w14:textId="77777777" w:rsidR="003F5418" w:rsidRDefault="002A6C25">
            <w:pPr>
              <w:pStyle w:val="P68B1DB1-ListParagraph5"/>
              <w:numPr>
                <w:ilvl w:val="0"/>
                <w:numId w:val="69"/>
              </w:numPr>
              <w:spacing w:before="0" w:after="0" w:line="276" w:lineRule="auto"/>
              <w:ind w:left="305"/>
              <w:jc w:val="left"/>
              <w:textAlignment w:val="baseline"/>
              <w:rPr>
                <w:noProof/>
              </w:rPr>
            </w:pPr>
            <w:r>
              <w:rPr>
                <w:noProof/>
              </w:rPr>
              <w:t>A há</w:t>
            </w:r>
            <w:r>
              <w:rPr>
                <w:noProof/>
              </w:rPr>
              <w:t>lózatok digitalizálásának megerősítése a vízkészletekkel való optimális gazdálkodás, a pazarlás csökkentése és a hatékonyság hiányának csökkentése érdekében</w:t>
            </w:r>
          </w:p>
        </w:tc>
      </w:tr>
      <w:tr w:rsidR="003F5418" w14:paraId="3DF1EAAC" w14:textId="77777777">
        <w:trPr>
          <w:trHeight w:val="313"/>
          <w:jc w:val="center"/>
        </w:trPr>
        <w:tc>
          <w:tcPr>
            <w:tcW w:w="1130" w:type="dxa"/>
            <w:shd w:val="clear" w:color="auto" w:fill="C6EFCE"/>
            <w:noWrap/>
            <w:vAlign w:val="center"/>
            <w:hideMark/>
          </w:tcPr>
          <w:p w14:paraId="3832AB73" w14:textId="77777777" w:rsidR="003F5418" w:rsidRDefault="002A6C25">
            <w:pPr>
              <w:pStyle w:val="P68B1DB1-Normal4"/>
              <w:spacing w:line="276" w:lineRule="auto"/>
              <w:jc w:val="center"/>
              <w:rPr>
                <w:noProof/>
              </w:rPr>
            </w:pPr>
            <w:r>
              <w:rPr>
                <w:noProof/>
              </w:rPr>
              <w:t>M2C4–31</w:t>
            </w:r>
          </w:p>
        </w:tc>
        <w:tc>
          <w:tcPr>
            <w:tcW w:w="1560" w:type="dxa"/>
            <w:shd w:val="clear" w:color="auto" w:fill="C6EFCE"/>
            <w:noWrap/>
            <w:vAlign w:val="center"/>
            <w:hideMark/>
          </w:tcPr>
          <w:p w14:paraId="0AE828C8" w14:textId="77777777" w:rsidR="003F5418" w:rsidRDefault="002A6C25">
            <w:pPr>
              <w:pStyle w:val="P68B1DB1-Normal4"/>
              <w:spacing w:line="276" w:lineRule="auto"/>
              <w:jc w:val="center"/>
              <w:rPr>
                <w:noProof/>
              </w:rPr>
            </w:pPr>
            <w:r>
              <w:rPr>
                <w:noProof/>
              </w:rPr>
              <w:t xml:space="preserve">Beruházás. A vízelosztó hálózatok veszteségeinek csökkentése, beleértve a hálózatok </w:t>
            </w:r>
            <w:r>
              <w:rPr>
                <w:noProof/>
              </w:rPr>
              <w:t>digitalizálását és nyomon követését</w:t>
            </w:r>
          </w:p>
        </w:tc>
        <w:tc>
          <w:tcPr>
            <w:tcW w:w="1134" w:type="dxa"/>
            <w:shd w:val="clear" w:color="auto" w:fill="C6EFCE"/>
            <w:noWrap/>
            <w:vAlign w:val="center"/>
            <w:hideMark/>
          </w:tcPr>
          <w:p w14:paraId="07713782"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1D6B2835" w14:textId="77777777" w:rsidR="003F5418" w:rsidRDefault="002A6C25">
            <w:pPr>
              <w:pStyle w:val="P68B1DB1-Normal4"/>
              <w:spacing w:line="276" w:lineRule="auto"/>
              <w:jc w:val="center"/>
              <w:rPr>
                <w:noProof/>
              </w:rPr>
            </w:pPr>
            <w:r>
              <w:rPr>
                <w:noProof/>
              </w:rPr>
              <w:t>A vízelosztó hálózatokba történő beavatkozások, beleértve a T1 hálózatok digitalizálását és nyomon követését</w:t>
            </w:r>
          </w:p>
        </w:tc>
        <w:tc>
          <w:tcPr>
            <w:tcW w:w="1383" w:type="dxa"/>
            <w:shd w:val="clear" w:color="auto" w:fill="C6EFCE"/>
            <w:noWrap/>
            <w:vAlign w:val="center"/>
            <w:hideMark/>
          </w:tcPr>
          <w:p w14:paraId="32F232A6"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108DE964"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2F3F6810"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2E87F346" w14:textId="77777777" w:rsidR="003F5418" w:rsidRDefault="002A6C25">
            <w:pPr>
              <w:pStyle w:val="P68B1DB1-Normal4"/>
              <w:spacing w:line="276" w:lineRule="auto"/>
              <w:jc w:val="center"/>
              <w:rPr>
                <w:noProof/>
              </w:rPr>
            </w:pPr>
            <w:r>
              <w:rPr>
                <w:noProof/>
              </w:rPr>
              <w:t>14 000</w:t>
            </w:r>
          </w:p>
        </w:tc>
        <w:tc>
          <w:tcPr>
            <w:tcW w:w="916" w:type="dxa"/>
            <w:shd w:val="clear" w:color="auto" w:fill="C6EFCE"/>
            <w:noWrap/>
            <w:vAlign w:val="center"/>
            <w:hideMark/>
          </w:tcPr>
          <w:p w14:paraId="308C8685"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1A1157BD"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hideMark/>
          </w:tcPr>
          <w:p w14:paraId="265FA2B6" w14:textId="56C2D2DD" w:rsidR="003F5418" w:rsidRDefault="002A6C25">
            <w:pPr>
              <w:pStyle w:val="P68B1DB1-Normal4"/>
              <w:spacing w:line="276" w:lineRule="auto"/>
              <w:rPr>
                <w:noProof/>
              </w:rPr>
            </w:pPr>
            <w:r>
              <w:rPr>
                <w:noProof/>
              </w:rPr>
              <w:t>Legalább 14000 kilométernyi vízhálózat körzetében</w:t>
            </w:r>
          </w:p>
        </w:tc>
      </w:tr>
      <w:tr w:rsidR="003F5418" w14:paraId="04613B2A" w14:textId="77777777">
        <w:trPr>
          <w:trHeight w:val="313"/>
          <w:jc w:val="center"/>
        </w:trPr>
        <w:tc>
          <w:tcPr>
            <w:tcW w:w="1130" w:type="dxa"/>
            <w:shd w:val="clear" w:color="auto" w:fill="C6EFCE"/>
            <w:noWrap/>
            <w:vAlign w:val="center"/>
            <w:hideMark/>
          </w:tcPr>
          <w:p w14:paraId="04C49810" w14:textId="77777777" w:rsidR="003F5418" w:rsidRDefault="002A6C25">
            <w:pPr>
              <w:pStyle w:val="P68B1DB1-Normal4"/>
              <w:spacing w:line="276" w:lineRule="auto"/>
              <w:jc w:val="center"/>
              <w:rPr>
                <w:noProof/>
              </w:rPr>
            </w:pPr>
            <w:r>
              <w:rPr>
                <w:noProof/>
              </w:rPr>
              <w:t>M2C4–32</w:t>
            </w:r>
          </w:p>
        </w:tc>
        <w:tc>
          <w:tcPr>
            <w:tcW w:w="1560" w:type="dxa"/>
            <w:shd w:val="clear" w:color="auto" w:fill="C6EFCE"/>
            <w:noWrap/>
            <w:vAlign w:val="center"/>
            <w:hideMark/>
          </w:tcPr>
          <w:p w14:paraId="050A4D8C" w14:textId="77777777" w:rsidR="003F5418" w:rsidRDefault="002A6C25">
            <w:pPr>
              <w:pStyle w:val="P68B1DB1-Normal4"/>
              <w:spacing w:line="276" w:lineRule="auto"/>
              <w:jc w:val="center"/>
              <w:rPr>
                <w:noProof/>
              </w:rPr>
            </w:pPr>
            <w:r>
              <w:rPr>
                <w:noProof/>
              </w:rPr>
              <w:t>Beruházás. A vízelosztó hálózatok veszteségeinek csökkentése, beleértve a hálózatok digitalizálását és nyomon követését</w:t>
            </w:r>
          </w:p>
        </w:tc>
        <w:tc>
          <w:tcPr>
            <w:tcW w:w="1134" w:type="dxa"/>
            <w:shd w:val="clear" w:color="auto" w:fill="C6EFCE"/>
            <w:noWrap/>
            <w:vAlign w:val="center"/>
            <w:hideMark/>
          </w:tcPr>
          <w:p w14:paraId="774D9C05"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77675370" w14:textId="77777777" w:rsidR="003F5418" w:rsidRDefault="002A6C25">
            <w:pPr>
              <w:pStyle w:val="P68B1DB1-Normal4"/>
              <w:spacing w:line="276" w:lineRule="auto"/>
              <w:jc w:val="center"/>
              <w:rPr>
                <w:noProof/>
              </w:rPr>
            </w:pPr>
            <w:r>
              <w:rPr>
                <w:noProof/>
              </w:rPr>
              <w:t>A vízelosztó hálózatokba történő beavatkozások, beleértve a T2 hálózatok digitalizálását és nyomon követését</w:t>
            </w:r>
          </w:p>
        </w:tc>
        <w:tc>
          <w:tcPr>
            <w:tcW w:w="1383" w:type="dxa"/>
            <w:shd w:val="clear" w:color="auto" w:fill="C6EFCE"/>
            <w:noWrap/>
            <w:vAlign w:val="center"/>
            <w:hideMark/>
          </w:tcPr>
          <w:p w14:paraId="51F8F7FB"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574E419B"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7037C6F3" w14:textId="77777777" w:rsidR="003F5418" w:rsidRDefault="002A6C25">
            <w:pPr>
              <w:pStyle w:val="P68B1DB1-Normal4"/>
              <w:spacing w:line="276" w:lineRule="auto"/>
              <w:jc w:val="center"/>
              <w:rPr>
                <w:noProof/>
              </w:rPr>
            </w:pPr>
            <w:r>
              <w:rPr>
                <w:noProof/>
              </w:rPr>
              <w:t>14 000</w:t>
            </w:r>
          </w:p>
        </w:tc>
        <w:tc>
          <w:tcPr>
            <w:tcW w:w="1194" w:type="dxa"/>
            <w:shd w:val="clear" w:color="auto" w:fill="C6EFCE"/>
            <w:noWrap/>
            <w:vAlign w:val="center"/>
            <w:hideMark/>
          </w:tcPr>
          <w:p w14:paraId="26D84AD8" w14:textId="77777777" w:rsidR="003F5418" w:rsidRDefault="002A6C25">
            <w:pPr>
              <w:pStyle w:val="P68B1DB1-Normal4"/>
              <w:spacing w:line="276" w:lineRule="auto"/>
              <w:jc w:val="center"/>
              <w:rPr>
                <w:noProof/>
              </w:rPr>
            </w:pPr>
            <w:r>
              <w:rPr>
                <w:noProof/>
              </w:rPr>
              <w:t>45 000</w:t>
            </w:r>
          </w:p>
        </w:tc>
        <w:tc>
          <w:tcPr>
            <w:tcW w:w="916" w:type="dxa"/>
            <w:shd w:val="clear" w:color="auto" w:fill="C6EFCE"/>
            <w:noWrap/>
            <w:vAlign w:val="center"/>
            <w:hideMark/>
          </w:tcPr>
          <w:p w14:paraId="52BC0FF8"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13BD6C39"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64ED72FD" w14:textId="0B203B3C" w:rsidR="003F5418" w:rsidRDefault="002A6C25">
            <w:pPr>
              <w:pStyle w:val="P68B1DB1-Normal4"/>
              <w:spacing w:line="276" w:lineRule="auto"/>
              <w:rPr>
                <w:noProof/>
              </w:rPr>
            </w:pPr>
            <w:r>
              <w:rPr>
                <w:noProof/>
              </w:rPr>
              <w:t>Legalább 45000 kilométernyi vízhálózat körzetében</w:t>
            </w:r>
          </w:p>
        </w:tc>
      </w:tr>
      <w:tr w:rsidR="003F5418" w14:paraId="65E9ED62" w14:textId="77777777">
        <w:trPr>
          <w:trHeight w:val="313"/>
          <w:jc w:val="center"/>
        </w:trPr>
        <w:tc>
          <w:tcPr>
            <w:tcW w:w="1130" w:type="dxa"/>
            <w:shd w:val="clear" w:color="auto" w:fill="C6EFCE"/>
            <w:noWrap/>
            <w:vAlign w:val="center"/>
            <w:hideMark/>
          </w:tcPr>
          <w:p w14:paraId="21277946" w14:textId="77777777" w:rsidR="003F5418" w:rsidRDefault="002A6C25">
            <w:pPr>
              <w:pStyle w:val="P68B1DB1-Normal4"/>
              <w:spacing w:line="276" w:lineRule="auto"/>
              <w:jc w:val="center"/>
              <w:rPr>
                <w:noProof/>
              </w:rPr>
            </w:pPr>
            <w:r>
              <w:rPr>
                <w:noProof/>
              </w:rPr>
              <w:t>M2C4–33</w:t>
            </w:r>
          </w:p>
        </w:tc>
        <w:tc>
          <w:tcPr>
            <w:tcW w:w="1560" w:type="dxa"/>
            <w:shd w:val="clear" w:color="auto" w:fill="C6EFCE"/>
            <w:noWrap/>
            <w:vAlign w:val="center"/>
            <w:hideMark/>
          </w:tcPr>
          <w:p w14:paraId="0264430E" w14:textId="77777777" w:rsidR="003F5418" w:rsidRDefault="002A6C25">
            <w:pPr>
              <w:pStyle w:val="P68B1DB1-Normal4"/>
              <w:spacing w:line="276" w:lineRule="auto"/>
              <w:jc w:val="center"/>
              <w:rPr>
                <w:noProof/>
              </w:rPr>
            </w:pPr>
            <w:r>
              <w:rPr>
                <w:noProof/>
              </w:rPr>
              <w:t>Beruházás az öntöző agrorendszer ellenálló képességébe a vízkészletekkel való jobb gazdálkodás érdekében</w:t>
            </w:r>
          </w:p>
        </w:tc>
        <w:tc>
          <w:tcPr>
            <w:tcW w:w="1134" w:type="dxa"/>
            <w:shd w:val="clear" w:color="auto" w:fill="C6EFCE"/>
            <w:noWrap/>
            <w:vAlign w:val="center"/>
            <w:hideMark/>
          </w:tcPr>
          <w:p w14:paraId="5B6D34A5"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07897F81" w14:textId="064B9ADD" w:rsidR="003F5418" w:rsidRDefault="002A6C25">
            <w:pPr>
              <w:pStyle w:val="P68B1DB1-Normal4"/>
              <w:spacing w:line="276" w:lineRule="auto"/>
              <w:jc w:val="center"/>
              <w:rPr>
                <w:noProof/>
              </w:rPr>
            </w:pPr>
            <w:r>
              <w:rPr>
                <w:noProof/>
              </w:rPr>
              <w:t xml:space="preserve">Finanszírozás odaítélése minden olyan projekt számára, amelynek </w:t>
            </w:r>
            <w:r>
              <w:rPr>
                <w:noProof/>
              </w:rPr>
              <w:t>célja az öntözési agrorendszer ellenálló képessége a vízkészletekkel való jobb gazdálkodás érdekében</w:t>
            </w:r>
          </w:p>
        </w:tc>
        <w:tc>
          <w:tcPr>
            <w:tcW w:w="1383" w:type="dxa"/>
            <w:shd w:val="clear" w:color="auto" w:fill="C6EFCE"/>
            <w:noWrap/>
            <w:vAlign w:val="center"/>
            <w:hideMark/>
          </w:tcPr>
          <w:p w14:paraId="40ED2F03" w14:textId="1D80C6D6" w:rsidR="003F5418" w:rsidRDefault="002A6C25">
            <w:pPr>
              <w:pStyle w:val="P68B1DB1-Normal4"/>
              <w:spacing w:line="276" w:lineRule="auto"/>
              <w:jc w:val="center"/>
              <w:rPr>
                <w:noProof/>
              </w:rPr>
            </w:pPr>
            <w:r>
              <w:rPr>
                <w:noProof/>
              </w:rPr>
              <w:t>Rendelet(ek) közzététele.</w:t>
            </w:r>
          </w:p>
        </w:tc>
        <w:tc>
          <w:tcPr>
            <w:tcW w:w="1094" w:type="dxa"/>
            <w:shd w:val="clear" w:color="auto" w:fill="C6EFCE"/>
            <w:noWrap/>
            <w:vAlign w:val="center"/>
            <w:hideMark/>
          </w:tcPr>
          <w:p w14:paraId="663153F0"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0D6E13D4" w14:textId="77777777" w:rsidR="003F5418" w:rsidRDefault="002A6C25">
            <w:pPr>
              <w:pStyle w:val="P68B1DB1-Normal4"/>
              <w:spacing w:line="276" w:lineRule="auto"/>
              <w:jc w:val="center"/>
              <w:rPr>
                <w:noProof/>
              </w:rPr>
            </w:pPr>
            <w:r>
              <w:rPr>
                <w:noProof/>
              </w:rPr>
              <w:t>NINCS</w:t>
            </w:r>
          </w:p>
        </w:tc>
        <w:tc>
          <w:tcPr>
            <w:tcW w:w="1194" w:type="dxa"/>
            <w:shd w:val="clear" w:color="auto" w:fill="C6EFCE"/>
            <w:noWrap/>
            <w:vAlign w:val="center"/>
            <w:hideMark/>
          </w:tcPr>
          <w:p w14:paraId="52FB663C" w14:textId="77777777"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118DEACF"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0C75C6F7" w14:textId="77777777" w:rsidR="003F5418" w:rsidRDefault="002A6C25">
            <w:pPr>
              <w:pStyle w:val="P68B1DB1-Normal4"/>
              <w:spacing w:line="276" w:lineRule="auto"/>
              <w:jc w:val="center"/>
              <w:rPr>
                <w:noProof/>
              </w:rPr>
            </w:pPr>
            <w:r>
              <w:rPr>
                <w:noProof/>
              </w:rPr>
              <w:t>2023</w:t>
            </w:r>
          </w:p>
        </w:tc>
        <w:tc>
          <w:tcPr>
            <w:tcW w:w="4116" w:type="dxa"/>
            <w:shd w:val="clear" w:color="auto" w:fill="C6EFCE"/>
            <w:noWrap/>
            <w:vAlign w:val="center"/>
            <w:hideMark/>
          </w:tcPr>
          <w:p w14:paraId="1D5EBB50" w14:textId="6D2C22B5" w:rsidR="003F5418" w:rsidRDefault="002A6C25">
            <w:pPr>
              <w:pStyle w:val="P68B1DB1-Normal4"/>
              <w:autoSpaceDE w:val="0"/>
              <w:autoSpaceDN w:val="0"/>
              <w:spacing w:line="276" w:lineRule="auto"/>
              <w:rPr>
                <w:noProof/>
              </w:rPr>
            </w:pPr>
            <w:r>
              <w:rPr>
                <w:noProof/>
              </w:rPr>
              <w:t xml:space="preserve">Az engedélyezési rendelet(ek) közzététele a hálózatokkal és öntözőrendszerekkel, valamint a kapcsolódó </w:t>
            </w:r>
            <w:r>
              <w:rPr>
                <w:noProof/>
              </w:rPr>
              <w:t>digitalizációs és nyomonkövetési rendszerrel kapcsolatos beavatkozásokra irányuló projektek finanszírozásának odaítélésével (kiosztásával) együtt.</w:t>
            </w:r>
          </w:p>
          <w:p w14:paraId="5644ADC6" w14:textId="77777777" w:rsidR="003F5418" w:rsidRDefault="002A6C25">
            <w:pPr>
              <w:pStyle w:val="P68B1DB1-Normal4"/>
              <w:autoSpaceDE w:val="0"/>
              <w:autoSpaceDN w:val="0"/>
              <w:spacing w:line="276" w:lineRule="auto"/>
              <w:rPr>
                <w:noProof/>
              </w:rPr>
            </w:pPr>
            <w:r>
              <w:rPr>
                <w:noProof/>
              </w:rPr>
              <w:t>A szerződések hatálya a következő:</w:t>
            </w:r>
          </w:p>
          <w:p w14:paraId="23CB6A3C" w14:textId="77777777" w:rsidR="003F5418" w:rsidRDefault="002A6C25">
            <w:pPr>
              <w:pStyle w:val="P68B1DB1-ListParagraph23"/>
              <w:numPr>
                <w:ilvl w:val="0"/>
                <w:numId w:val="95"/>
              </w:numPr>
              <w:autoSpaceDE w:val="0"/>
              <w:autoSpaceDN w:val="0"/>
              <w:spacing w:before="0" w:after="0" w:line="276" w:lineRule="auto"/>
              <w:rPr>
                <w:noProof/>
                <w:color w:val="006100"/>
              </w:rPr>
            </w:pPr>
            <w:r>
              <w:rPr>
                <w:noProof/>
                <w:color w:val="006100"/>
              </w:rPr>
              <w:t>Ösztönözzék a kollektív hálózatokon történő felhasználás mérését és nyomon</w:t>
            </w:r>
            <w:r>
              <w:rPr>
                <w:noProof/>
                <w:color w:val="006100"/>
              </w:rPr>
              <w:t xml:space="preserve"> követését (mérők és távirányító rendszerek telepítése révén), beleértve az önellátásróla kollektív felhasználásra való áttérést is, mivel ez előfeltétele annak, hogy a vízmennyiségen alapuló vízárazási politikát vezessenek be a mezőgazdaságban a vízkészle</w:t>
            </w:r>
            <w:r>
              <w:rPr>
                <w:noProof/>
                <w:color w:val="006100"/>
              </w:rPr>
              <w:t>tek hatékony felhasználása érdekében, és ennek következtében ösztönözzék az illegális vízkivételek csökkentését a vidéki területeken.</w:t>
            </w:r>
          </w:p>
          <w:p w14:paraId="4DB74973" w14:textId="77777777" w:rsidR="003F5418" w:rsidRDefault="002A6C25">
            <w:pPr>
              <w:pStyle w:val="P68B1DB1-Normal4"/>
              <w:autoSpaceDE w:val="0"/>
              <w:autoSpaceDN w:val="0"/>
              <w:spacing w:line="276" w:lineRule="auto"/>
              <w:rPr>
                <w:noProof/>
              </w:rPr>
            </w:pPr>
            <w:r>
              <w:rPr>
                <w:noProof/>
              </w:rPr>
              <w:t xml:space="preserve"> </w:t>
            </w:r>
          </w:p>
          <w:p w14:paraId="0B89AFD3" w14:textId="77777777" w:rsidR="003F5418" w:rsidRDefault="002A6C25">
            <w:pPr>
              <w:pStyle w:val="P68B1DB1-ListParagraph5"/>
              <w:numPr>
                <w:ilvl w:val="0"/>
                <w:numId w:val="95"/>
              </w:numPr>
              <w:autoSpaceDE w:val="0"/>
              <w:autoSpaceDN w:val="0"/>
              <w:spacing w:before="0" w:after="0" w:line="276" w:lineRule="auto"/>
              <w:rPr>
                <w:noProof/>
              </w:rPr>
            </w:pPr>
            <w:r>
              <w:rPr>
                <w:noProof/>
              </w:rPr>
              <w:t>Az öntözési beruházásoknak a meglévő öntözés hatékonyabbá tételére kell irányulniuk, még akkor is, ha az érintett víztes</w:t>
            </w:r>
            <w:r>
              <w:rPr>
                <w:noProof/>
              </w:rPr>
              <w:t xml:space="preserve">t jó állapotban van. </w:t>
            </w:r>
          </w:p>
          <w:p w14:paraId="65D238D8" w14:textId="77777777" w:rsidR="003F5418" w:rsidRDefault="003F5418">
            <w:pPr>
              <w:pStyle w:val="ListParagraph"/>
              <w:rPr>
                <w:rFonts w:ascii="Arial Narrow" w:hAnsi="Arial Narrow"/>
                <w:noProof/>
                <w:color w:val="006100"/>
                <w:sz w:val="20"/>
              </w:rPr>
            </w:pPr>
          </w:p>
          <w:p w14:paraId="55BEA7FC" w14:textId="5E434C84" w:rsidR="003F5418" w:rsidRDefault="002A6C25">
            <w:pPr>
              <w:pStyle w:val="P68B1DB1-Normal4"/>
              <w:autoSpaceDE w:val="0"/>
              <w:autoSpaceDN w:val="0"/>
              <w:spacing w:line="276" w:lineRule="auto"/>
              <w:rPr>
                <w:noProof/>
              </w:rPr>
            </w:pPr>
            <w:r>
              <w:rPr>
                <w:noProof/>
              </w:rPr>
              <w:t>Ez az intézkedés várhatóan nem sérti jelentősen a környezeti célkitűzéseket az (EU) 2020/852 rendelet 17. cikke értelmében, figyelembe véve az intézkedés leírását és a helyreállítási és rezilienciaépítési tervben a jelentős károkozás</w:t>
            </w:r>
            <w:r>
              <w:rPr>
                <w:noProof/>
              </w:rPr>
              <w:t xml:space="preserve"> elkerülését célzó technikai iránymutatással összhangban meghatározott enyhítő lépéseket</w:t>
            </w:r>
          </w:p>
          <w:p w14:paraId="0E3F5A13" w14:textId="77777777" w:rsidR="003F5418" w:rsidRDefault="002A6C25">
            <w:pPr>
              <w:pStyle w:val="P68B1DB1-Normal4"/>
              <w:autoSpaceDE w:val="0"/>
              <w:autoSpaceDN w:val="0"/>
              <w:spacing w:line="276" w:lineRule="auto"/>
              <w:rPr>
                <w:noProof/>
              </w:rPr>
            </w:pPr>
            <w:r>
              <w:rPr>
                <w:noProof/>
              </w:rPr>
              <w:t>(2021/C58/01). Minden egyes részberuházás esetében biztosítani kell az uniós jog – többek között a víz-keretirányelv – követelményeinek való teljes körű megfelelést az</w:t>
            </w:r>
            <w:r>
              <w:rPr>
                <w:noProof/>
              </w:rPr>
              <w:t xml:space="preserve"> építési munkálatok megkezdése előtt, alatt és után. </w:t>
            </w:r>
          </w:p>
          <w:p w14:paraId="2F6F311E" w14:textId="77777777" w:rsidR="003F5418" w:rsidRDefault="002A6C25">
            <w:pPr>
              <w:pStyle w:val="P68B1DB1-Normal4"/>
              <w:autoSpaceDE w:val="0"/>
              <w:autoSpaceDN w:val="0"/>
              <w:spacing w:line="276" w:lineRule="auto"/>
              <w:rPr>
                <w:noProof/>
              </w:rPr>
            </w:pPr>
            <w:r>
              <w:rPr>
                <w:noProof/>
              </w:rPr>
              <w:t xml:space="preserve"> </w:t>
            </w:r>
          </w:p>
          <w:p w14:paraId="57BC17CD" w14:textId="77777777" w:rsidR="003F5418" w:rsidRDefault="002A6C25">
            <w:pPr>
              <w:pStyle w:val="P68B1DB1-Normal4"/>
              <w:autoSpaceDE w:val="0"/>
              <w:autoSpaceDN w:val="0"/>
              <w:spacing w:line="276" w:lineRule="auto"/>
              <w:rPr>
                <w:noProof/>
              </w:rPr>
            </w:pPr>
            <w:r>
              <w:rPr>
                <w:noProof/>
              </w:rPr>
              <w:t>Továbbá a beavatkozásokat – adott esetben a nemzeti jog szerint – a 2011/92/EU irányelv szerinti környezeti hatásvizsgálatnak (KHV), valamint a 2000/60/EK irányelvvel és a 92/43/EGK irányelvvel összef</w:t>
            </w:r>
            <w:r>
              <w:rPr>
                <w:noProof/>
              </w:rPr>
              <w:t>üggésben végzett releváns vizsgálatoknak kell alávetni, beleértve a szükséges kockázatcsökkentő intézkedések végrehajtását is.</w:t>
            </w:r>
          </w:p>
        </w:tc>
      </w:tr>
      <w:tr w:rsidR="003F5418" w14:paraId="41DC16EC" w14:textId="77777777">
        <w:trPr>
          <w:trHeight w:val="313"/>
          <w:jc w:val="center"/>
        </w:trPr>
        <w:tc>
          <w:tcPr>
            <w:tcW w:w="1130" w:type="dxa"/>
            <w:shd w:val="clear" w:color="auto" w:fill="C6EFCE"/>
            <w:noWrap/>
            <w:vAlign w:val="center"/>
            <w:hideMark/>
          </w:tcPr>
          <w:p w14:paraId="5A44C79B" w14:textId="77777777" w:rsidR="003F5418" w:rsidRDefault="002A6C25">
            <w:pPr>
              <w:pStyle w:val="P68B1DB1-Normal4"/>
              <w:spacing w:line="276" w:lineRule="auto"/>
              <w:jc w:val="center"/>
              <w:rPr>
                <w:noProof/>
              </w:rPr>
            </w:pPr>
            <w:r>
              <w:rPr>
                <w:noProof/>
              </w:rPr>
              <w:t>M2C4–34</w:t>
            </w:r>
          </w:p>
        </w:tc>
        <w:tc>
          <w:tcPr>
            <w:tcW w:w="1560" w:type="dxa"/>
            <w:shd w:val="clear" w:color="auto" w:fill="C6EFCE"/>
            <w:noWrap/>
            <w:vAlign w:val="center"/>
            <w:hideMark/>
          </w:tcPr>
          <w:p w14:paraId="1BAA5A94" w14:textId="77777777" w:rsidR="003F5418" w:rsidRDefault="002A6C25">
            <w:pPr>
              <w:pStyle w:val="P68B1DB1-Normal4"/>
              <w:spacing w:line="276" w:lineRule="auto"/>
              <w:jc w:val="center"/>
              <w:rPr>
                <w:noProof/>
              </w:rPr>
            </w:pPr>
            <w:r>
              <w:rPr>
                <w:noProof/>
              </w:rPr>
              <w:t>Beruházás az öntöző agrorendszer ellenálló képességébe a vízkészletekkel való jobb gazdálkodás érdekében</w:t>
            </w:r>
          </w:p>
        </w:tc>
        <w:tc>
          <w:tcPr>
            <w:tcW w:w="1134" w:type="dxa"/>
            <w:shd w:val="clear" w:color="auto" w:fill="C6EFCE"/>
            <w:noWrap/>
            <w:vAlign w:val="center"/>
            <w:hideMark/>
          </w:tcPr>
          <w:p w14:paraId="7161AE5D"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4B6B1461" w14:textId="77777777" w:rsidR="003F5418" w:rsidRDefault="002A6C25">
            <w:pPr>
              <w:pStyle w:val="P68B1DB1-Normal4"/>
              <w:spacing w:line="276" w:lineRule="auto"/>
              <w:jc w:val="center"/>
              <w:rPr>
                <w:noProof/>
              </w:rPr>
            </w:pPr>
            <w:r>
              <w:rPr>
                <w:noProof/>
              </w:rPr>
              <w:t>Az öntözési</w:t>
            </w:r>
            <w:r>
              <w:rPr>
                <w:noProof/>
              </w:rPr>
              <w:t xml:space="preserve"> agrorendszer ellenálló képességét célzó beavatkozások a T1 vízkészletekkel való jobb gazdálkodás érdekében</w:t>
            </w:r>
          </w:p>
        </w:tc>
        <w:tc>
          <w:tcPr>
            <w:tcW w:w="1383" w:type="dxa"/>
            <w:shd w:val="clear" w:color="auto" w:fill="C6EFCE"/>
            <w:noWrap/>
            <w:vAlign w:val="center"/>
            <w:hideMark/>
          </w:tcPr>
          <w:p w14:paraId="65F9AAF9"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3620F537"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hideMark/>
          </w:tcPr>
          <w:p w14:paraId="296C01E5" w14:textId="77777777" w:rsidR="003F5418" w:rsidRDefault="002A6C25">
            <w:pPr>
              <w:pStyle w:val="P68B1DB1-Normal4"/>
              <w:spacing w:line="276" w:lineRule="auto"/>
              <w:jc w:val="center"/>
              <w:rPr>
                <w:noProof/>
              </w:rPr>
            </w:pPr>
            <w:r>
              <w:rPr>
                <w:noProof/>
              </w:rPr>
              <w:t>24</w:t>
            </w:r>
          </w:p>
        </w:tc>
        <w:tc>
          <w:tcPr>
            <w:tcW w:w="1194" w:type="dxa"/>
            <w:shd w:val="clear" w:color="auto" w:fill="C6EFCE"/>
            <w:noWrap/>
            <w:vAlign w:val="center"/>
            <w:hideMark/>
          </w:tcPr>
          <w:p w14:paraId="2F916989" w14:textId="77777777" w:rsidR="003F5418" w:rsidRDefault="002A6C25">
            <w:pPr>
              <w:pStyle w:val="P68B1DB1-Normal4"/>
              <w:spacing w:line="276" w:lineRule="auto"/>
              <w:jc w:val="center"/>
              <w:rPr>
                <w:noProof/>
              </w:rPr>
            </w:pPr>
            <w:r>
              <w:rPr>
                <w:noProof/>
              </w:rPr>
              <w:t>26</w:t>
            </w:r>
          </w:p>
        </w:tc>
        <w:tc>
          <w:tcPr>
            <w:tcW w:w="916" w:type="dxa"/>
            <w:shd w:val="clear" w:color="auto" w:fill="C6EFCE"/>
            <w:noWrap/>
            <w:vAlign w:val="center"/>
            <w:hideMark/>
          </w:tcPr>
          <w:p w14:paraId="788A8136"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748BE9A7"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hideMark/>
          </w:tcPr>
          <w:p w14:paraId="368FA162" w14:textId="77777777" w:rsidR="003F5418" w:rsidRDefault="002A6C25">
            <w:pPr>
              <w:pStyle w:val="P68B1DB1-Normal4"/>
              <w:spacing w:line="276" w:lineRule="auto"/>
              <w:rPr>
                <w:noProof/>
              </w:rPr>
            </w:pPr>
            <w:r>
              <w:rPr>
                <w:noProof/>
              </w:rPr>
              <w:t>Legalább 26%-ra kell növelni a fogyasztásmérővel felszerelt energiakivonó források arányát.</w:t>
            </w:r>
          </w:p>
          <w:p w14:paraId="3F2EEDDD" w14:textId="77777777" w:rsidR="003F5418" w:rsidRDefault="002A6C25">
            <w:pPr>
              <w:pStyle w:val="P68B1DB1-Normal4"/>
              <w:spacing w:line="276" w:lineRule="auto"/>
              <w:rPr>
                <w:noProof/>
              </w:rPr>
            </w:pPr>
            <w:r>
              <w:rPr>
                <w:noProof/>
              </w:rPr>
              <w:t>Az átfogó hálózathatékonysá</w:t>
            </w:r>
            <w:r>
              <w:rPr>
                <w:noProof/>
              </w:rPr>
              <w:t>gi beavatkozások magukban foglalják a következők telepítését is:</w:t>
            </w:r>
          </w:p>
          <w:p w14:paraId="06681925" w14:textId="77777777" w:rsidR="003F5418" w:rsidRDefault="002A6C25">
            <w:pPr>
              <w:pStyle w:val="P68B1DB1-ListParagraph5"/>
              <w:numPr>
                <w:ilvl w:val="0"/>
                <w:numId w:val="94"/>
              </w:numPr>
              <w:spacing w:before="0" w:after="0" w:line="276" w:lineRule="auto"/>
              <w:rPr>
                <w:noProof/>
              </w:rPr>
            </w:pPr>
            <w:r>
              <w:rPr>
                <w:noProof/>
              </w:rPr>
              <w:t>150 harmadszintes méter;</w:t>
            </w:r>
          </w:p>
          <w:p w14:paraId="62995C75" w14:textId="77777777" w:rsidR="003F5418" w:rsidRDefault="002A6C25">
            <w:pPr>
              <w:pStyle w:val="P68B1DB1-ListParagraph5"/>
              <w:numPr>
                <w:ilvl w:val="0"/>
                <w:numId w:val="94"/>
              </w:numPr>
              <w:spacing w:before="0" w:after="0" w:line="276" w:lineRule="auto"/>
              <w:rPr>
                <w:noProof/>
              </w:rPr>
            </w:pPr>
            <w:r>
              <w:rPr>
                <w:noProof/>
              </w:rPr>
              <w:t>7500 negyedik szintmérő;</w:t>
            </w:r>
          </w:p>
          <w:p w14:paraId="307CE14D" w14:textId="77777777" w:rsidR="003F5418" w:rsidRDefault="002A6C25">
            <w:pPr>
              <w:pStyle w:val="P68B1DB1-ListParagraph5"/>
              <w:numPr>
                <w:ilvl w:val="0"/>
                <w:numId w:val="94"/>
              </w:numPr>
              <w:spacing w:before="0" w:after="0" w:line="276" w:lineRule="auto"/>
              <w:rPr>
                <w:noProof/>
              </w:rPr>
            </w:pPr>
            <w:r>
              <w:rPr>
                <w:noProof/>
              </w:rPr>
              <w:t>Digitalizáció és hálózati fejlesztések.</w:t>
            </w:r>
          </w:p>
        </w:tc>
      </w:tr>
      <w:tr w:rsidR="003F5418" w14:paraId="77A88E29" w14:textId="77777777">
        <w:trPr>
          <w:trHeight w:val="313"/>
          <w:jc w:val="center"/>
        </w:trPr>
        <w:tc>
          <w:tcPr>
            <w:tcW w:w="1130" w:type="dxa"/>
            <w:shd w:val="clear" w:color="auto" w:fill="C6EFCE"/>
            <w:noWrap/>
            <w:vAlign w:val="center"/>
            <w:hideMark/>
          </w:tcPr>
          <w:p w14:paraId="33682E4E" w14:textId="77777777" w:rsidR="003F5418" w:rsidRDefault="002A6C25">
            <w:pPr>
              <w:pStyle w:val="P68B1DB1-Normal4"/>
              <w:spacing w:line="276" w:lineRule="auto"/>
              <w:jc w:val="center"/>
              <w:rPr>
                <w:noProof/>
              </w:rPr>
            </w:pPr>
            <w:r>
              <w:rPr>
                <w:noProof/>
              </w:rPr>
              <w:t>M2C4–34a</w:t>
            </w:r>
          </w:p>
        </w:tc>
        <w:tc>
          <w:tcPr>
            <w:tcW w:w="1560" w:type="dxa"/>
            <w:shd w:val="clear" w:color="auto" w:fill="C6EFCE"/>
            <w:noWrap/>
            <w:vAlign w:val="center"/>
            <w:hideMark/>
          </w:tcPr>
          <w:p w14:paraId="3EC5469F" w14:textId="77777777" w:rsidR="003F5418" w:rsidRDefault="002A6C25">
            <w:pPr>
              <w:pStyle w:val="P68B1DB1-Normal4"/>
              <w:spacing w:line="276" w:lineRule="auto"/>
              <w:jc w:val="center"/>
              <w:rPr>
                <w:noProof/>
              </w:rPr>
            </w:pPr>
            <w:r>
              <w:rPr>
                <w:noProof/>
              </w:rPr>
              <w:t>Beruházás az öntöző agrorendszer</w:t>
            </w:r>
            <w:r>
              <w:rPr>
                <w:noProof/>
              </w:rPr>
              <w:t xml:space="preserve"> ellenálló képességébe a vízkészletekkel való jobb gazdálkodás érdekében</w:t>
            </w:r>
          </w:p>
        </w:tc>
        <w:tc>
          <w:tcPr>
            <w:tcW w:w="1134" w:type="dxa"/>
            <w:shd w:val="clear" w:color="auto" w:fill="C6EFCE"/>
            <w:noWrap/>
            <w:vAlign w:val="center"/>
            <w:hideMark/>
          </w:tcPr>
          <w:p w14:paraId="313304E6"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0D4FBBCE" w14:textId="77777777" w:rsidR="003F5418" w:rsidRDefault="002A6C25">
            <w:pPr>
              <w:pStyle w:val="P68B1DB1-Normal4"/>
              <w:spacing w:line="276" w:lineRule="auto"/>
              <w:jc w:val="center"/>
              <w:rPr>
                <w:noProof/>
              </w:rPr>
            </w:pPr>
            <w:r>
              <w:rPr>
                <w:noProof/>
              </w:rPr>
              <w:t>Az öntözési agrorendszer ellenálló képességét célzó beavatkozások a T1 vízkészletekkel való jobb gazdálkodás érdekében</w:t>
            </w:r>
          </w:p>
        </w:tc>
        <w:tc>
          <w:tcPr>
            <w:tcW w:w="1383" w:type="dxa"/>
            <w:shd w:val="clear" w:color="auto" w:fill="C6EFCE"/>
            <w:noWrap/>
            <w:vAlign w:val="center"/>
            <w:hideMark/>
          </w:tcPr>
          <w:p w14:paraId="46E495EB"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4A58282B"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hideMark/>
          </w:tcPr>
          <w:p w14:paraId="3309E49F" w14:textId="77777777" w:rsidR="003F5418" w:rsidRDefault="002A6C25">
            <w:pPr>
              <w:pStyle w:val="P68B1DB1-Normal4"/>
              <w:spacing w:line="276" w:lineRule="auto"/>
              <w:jc w:val="center"/>
              <w:rPr>
                <w:noProof/>
              </w:rPr>
            </w:pPr>
            <w:r>
              <w:rPr>
                <w:noProof/>
              </w:rPr>
              <w:t>26</w:t>
            </w:r>
          </w:p>
        </w:tc>
        <w:tc>
          <w:tcPr>
            <w:tcW w:w="1194" w:type="dxa"/>
            <w:shd w:val="clear" w:color="auto" w:fill="C6EFCE"/>
            <w:noWrap/>
            <w:vAlign w:val="center"/>
            <w:hideMark/>
          </w:tcPr>
          <w:p w14:paraId="1D9469ED" w14:textId="77777777" w:rsidR="003F5418" w:rsidRDefault="002A6C25">
            <w:pPr>
              <w:pStyle w:val="P68B1DB1-Normal4"/>
              <w:spacing w:line="276" w:lineRule="auto"/>
              <w:jc w:val="center"/>
              <w:rPr>
                <w:noProof/>
              </w:rPr>
            </w:pPr>
            <w:r>
              <w:rPr>
                <w:noProof/>
              </w:rPr>
              <w:t>29</w:t>
            </w:r>
          </w:p>
        </w:tc>
        <w:tc>
          <w:tcPr>
            <w:tcW w:w="916" w:type="dxa"/>
            <w:shd w:val="clear" w:color="auto" w:fill="C6EFCE"/>
            <w:noWrap/>
            <w:vAlign w:val="center"/>
            <w:hideMark/>
          </w:tcPr>
          <w:p w14:paraId="61B06B7B" w14:textId="77777777" w:rsidR="003F5418" w:rsidRDefault="002A6C25">
            <w:pPr>
              <w:pStyle w:val="P68B1DB1-Normal4"/>
              <w:spacing w:line="276" w:lineRule="auto"/>
              <w:jc w:val="center"/>
              <w:rPr>
                <w:noProof/>
              </w:rPr>
            </w:pPr>
            <w:r>
              <w:rPr>
                <w:noProof/>
              </w:rPr>
              <w:t>Q2</w:t>
            </w:r>
          </w:p>
        </w:tc>
        <w:tc>
          <w:tcPr>
            <w:tcW w:w="638" w:type="dxa"/>
            <w:shd w:val="clear" w:color="auto" w:fill="C6EFCE"/>
            <w:noWrap/>
            <w:vAlign w:val="center"/>
            <w:hideMark/>
          </w:tcPr>
          <w:p w14:paraId="48184B57"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670F1388" w14:textId="77777777" w:rsidR="003F5418" w:rsidRDefault="002A6C25">
            <w:pPr>
              <w:pStyle w:val="P68B1DB1-Normal4"/>
              <w:spacing w:line="276" w:lineRule="auto"/>
              <w:rPr>
                <w:noProof/>
              </w:rPr>
            </w:pPr>
            <w:r>
              <w:rPr>
                <w:noProof/>
              </w:rPr>
              <w:t>Legalább 29%-ra</w:t>
            </w:r>
            <w:r>
              <w:rPr>
                <w:noProof/>
              </w:rPr>
              <w:t xml:space="preserve"> kell növelni a fogyasztásmérővel felszerelt energiakivonó források arányát.</w:t>
            </w:r>
          </w:p>
          <w:p w14:paraId="486D3AD2" w14:textId="77777777" w:rsidR="003F5418" w:rsidRDefault="002A6C25">
            <w:pPr>
              <w:pStyle w:val="P68B1DB1-Normal4"/>
              <w:spacing w:line="276" w:lineRule="auto"/>
              <w:rPr>
                <w:noProof/>
              </w:rPr>
            </w:pPr>
            <w:r>
              <w:rPr>
                <w:noProof/>
              </w:rPr>
              <w:t>Az átfogó hálózathatékonysági beavatkozások magukban foglalják a következők telepítését is:</w:t>
            </w:r>
          </w:p>
          <w:p w14:paraId="21767224" w14:textId="77777777" w:rsidR="003F5418" w:rsidRDefault="002A6C25">
            <w:pPr>
              <w:pStyle w:val="P68B1DB1-ListParagraph5"/>
              <w:numPr>
                <w:ilvl w:val="0"/>
                <w:numId w:val="93"/>
              </w:numPr>
              <w:spacing w:before="0" w:after="0" w:line="276" w:lineRule="auto"/>
              <w:rPr>
                <w:noProof/>
              </w:rPr>
            </w:pPr>
            <w:r>
              <w:rPr>
                <w:noProof/>
              </w:rPr>
              <w:t>500 harmadszintes méter;</w:t>
            </w:r>
          </w:p>
          <w:p w14:paraId="58059F7A" w14:textId="77777777" w:rsidR="003F5418" w:rsidRDefault="002A6C25">
            <w:pPr>
              <w:pStyle w:val="P68B1DB1-ListParagraph5"/>
              <w:numPr>
                <w:ilvl w:val="0"/>
                <w:numId w:val="93"/>
              </w:numPr>
              <w:spacing w:before="0" w:after="0" w:line="276" w:lineRule="auto"/>
              <w:rPr>
                <w:noProof/>
              </w:rPr>
            </w:pPr>
            <w:r>
              <w:rPr>
                <w:noProof/>
              </w:rPr>
              <w:t>20000 negyedik szintmérő;</w:t>
            </w:r>
          </w:p>
          <w:p w14:paraId="6AC3E156" w14:textId="77777777" w:rsidR="003F5418" w:rsidRDefault="002A6C25">
            <w:pPr>
              <w:pStyle w:val="P68B1DB1-ListParagraph5"/>
              <w:numPr>
                <w:ilvl w:val="0"/>
                <w:numId w:val="93"/>
              </w:numPr>
              <w:spacing w:before="0" w:after="0" w:line="276" w:lineRule="auto"/>
              <w:rPr>
                <w:noProof/>
              </w:rPr>
            </w:pPr>
            <w:r>
              <w:rPr>
                <w:noProof/>
              </w:rPr>
              <w:t>Digitalizáció és hálózati fejlesztés</w:t>
            </w:r>
            <w:r>
              <w:rPr>
                <w:noProof/>
              </w:rPr>
              <w:t>ek.</w:t>
            </w:r>
          </w:p>
        </w:tc>
      </w:tr>
      <w:tr w:rsidR="003F5418" w14:paraId="49D82645" w14:textId="77777777">
        <w:trPr>
          <w:trHeight w:val="313"/>
          <w:jc w:val="center"/>
        </w:trPr>
        <w:tc>
          <w:tcPr>
            <w:tcW w:w="1130" w:type="dxa"/>
            <w:shd w:val="clear" w:color="auto" w:fill="C6EFCE"/>
            <w:noWrap/>
            <w:vAlign w:val="center"/>
          </w:tcPr>
          <w:p w14:paraId="1862A6A5" w14:textId="77777777" w:rsidR="003F5418" w:rsidRDefault="002A6C25">
            <w:pPr>
              <w:pStyle w:val="P68B1DB1-Normal4"/>
              <w:spacing w:line="276" w:lineRule="auto"/>
              <w:jc w:val="center"/>
              <w:rPr>
                <w:noProof/>
              </w:rPr>
            </w:pPr>
            <w:r>
              <w:rPr>
                <w:noProof/>
              </w:rPr>
              <w:t>M2C4–35</w:t>
            </w:r>
          </w:p>
        </w:tc>
        <w:tc>
          <w:tcPr>
            <w:tcW w:w="1560" w:type="dxa"/>
            <w:shd w:val="clear" w:color="auto" w:fill="C6EFCE"/>
            <w:noWrap/>
            <w:vAlign w:val="center"/>
          </w:tcPr>
          <w:p w14:paraId="1B9FC336" w14:textId="77777777" w:rsidR="003F5418" w:rsidRDefault="002A6C25">
            <w:pPr>
              <w:pStyle w:val="P68B1DB1-Normal4"/>
              <w:spacing w:line="276" w:lineRule="auto"/>
              <w:jc w:val="center"/>
              <w:rPr>
                <w:noProof/>
              </w:rPr>
            </w:pPr>
            <w:r>
              <w:rPr>
                <w:noProof/>
              </w:rPr>
              <w:t>Beruházás az öntöző agrorendszer ellenálló képességébe a vízkészletekkel való jobb gazdálkodás érdekében</w:t>
            </w:r>
          </w:p>
        </w:tc>
        <w:tc>
          <w:tcPr>
            <w:tcW w:w="1134" w:type="dxa"/>
            <w:shd w:val="clear" w:color="auto" w:fill="C6EFCE"/>
            <w:noWrap/>
            <w:vAlign w:val="center"/>
          </w:tcPr>
          <w:p w14:paraId="5B10BC17"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tcPr>
          <w:p w14:paraId="2C0CB784" w14:textId="77777777" w:rsidR="003F5418" w:rsidRDefault="002A6C25">
            <w:pPr>
              <w:pStyle w:val="P68B1DB1-Normal4"/>
              <w:spacing w:line="276" w:lineRule="auto"/>
              <w:jc w:val="center"/>
              <w:rPr>
                <w:noProof/>
              </w:rPr>
            </w:pPr>
            <w:r>
              <w:rPr>
                <w:noProof/>
              </w:rPr>
              <w:t>Az öntözési agrorendszer ellenálló képességét célzó beavatkozások a T1 vízkészletekkel való jobb gazdálkodás érdekében</w:t>
            </w:r>
          </w:p>
        </w:tc>
        <w:tc>
          <w:tcPr>
            <w:tcW w:w="1383" w:type="dxa"/>
            <w:shd w:val="clear" w:color="auto" w:fill="C6EFCE"/>
            <w:noWrap/>
            <w:vAlign w:val="center"/>
          </w:tcPr>
          <w:p w14:paraId="7EE911C6"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tcPr>
          <w:p w14:paraId="4E5BDC6E"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tcPr>
          <w:p w14:paraId="35243969" w14:textId="77777777" w:rsidR="003F5418" w:rsidRDefault="002A6C25">
            <w:pPr>
              <w:pStyle w:val="P68B1DB1-Normal4"/>
              <w:spacing w:line="276" w:lineRule="auto"/>
              <w:jc w:val="center"/>
              <w:rPr>
                <w:noProof/>
              </w:rPr>
            </w:pPr>
            <w:r>
              <w:rPr>
                <w:noProof/>
              </w:rPr>
              <w:t>8</w:t>
            </w:r>
          </w:p>
        </w:tc>
        <w:tc>
          <w:tcPr>
            <w:tcW w:w="1194" w:type="dxa"/>
            <w:shd w:val="clear" w:color="auto" w:fill="C6EFCE"/>
            <w:noWrap/>
            <w:vAlign w:val="center"/>
          </w:tcPr>
          <w:p w14:paraId="49BB35A1" w14:textId="77777777" w:rsidR="003F5418" w:rsidRDefault="002A6C25">
            <w:pPr>
              <w:pStyle w:val="P68B1DB1-Normal4"/>
              <w:spacing w:line="276" w:lineRule="auto"/>
              <w:jc w:val="center"/>
              <w:rPr>
                <w:noProof/>
              </w:rPr>
            </w:pPr>
            <w:r>
              <w:rPr>
                <w:noProof/>
              </w:rPr>
              <w:t>12</w:t>
            </w:r>
          </w:p>
        </w:tc>
        <w:tc>
          <w:tcPr>
            <w:tcW w:w="916" w:type="dxa"/>
            <w:shd w:val="clear" w:color="auto" w:fill="C6EFCE"/>
            <w:noWrap/>
            <w:vAlign w:val="center"/>
          </w:tcPr>
          <w:p w14:paraId="2E053C14"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tcPr>
          <w:p w14:paraId="19DE95E6" w14:textId="77777777" w:rsidR="003F5418" w:rsidRDefault="002A6C25">
            <w:pPr>
              <w:pStyle w:val="P68B1DB1-Normal4"/>
              <w:spacing w:line="276" w:lineRule="auto"/>
              <w:jc w:val="center"/>
              <w:rPr>
                <w:noProof/>
              </w:rPr>
            </w:pPr>
            <w:r>
              <w:rPr>
                <w:noProof/>
              </w:rPr>
              <w:t>2024</w:t>
            </w:r>
          </w:p>
        </w:tc>
        <w:tc>
          <w:tcPr>
            <w:tcW w:w="4116" w:type="dxa"/>
            <w:shd w:val="clear" w:color="auto" w:fill="C6EFCE"/>
            <w:noWrap/>
            <w:vAlign w:val="center"/>
          </w:tcPr>
          <w:p w14:paraId="0B2948BD" w14:textId="77777777" w:rsidR="003F5418" w:rsidRDefault="002A6C25">
            <w:pPr>
              <w:pStyle w:val="P68B1DB1-Normal4"/>
              <w:spacing w:line="276" w:lineRule="auto"/>
              <w:rPr>
                <w:noProof/>
              </w:rPr>
            </w:pPr>
            <w:r>
              <w:rPr>
                <w:noProof/>
              </w:rPr>
              <w:t>Az öntözött területek legalább 12%-a számára biztosítani kell az öntözési erőforrások hatékony felhasználását.</w:t>
            </w:r>
          </w:p>
        </w:tc>
      </w:tr>
      <w:tr w:rsidR="003F5418" w14:paraId="2CEEDC69" w14:textId="77777777">
        <w:trPr>
          <w:trHeight w:val="313"/>
          <w:jc w:val="center"/>
        </w:trPr>
        <w:tc>
          <w:tcPr>
            <w:tcW w:w="1130" w:type="dxa"/>
            <w:shd w:val="clear" w:color="auto" w:fill="C6EFCE"/>
            <w:noWrap/>
            <w:vAlign w:val="center"/>
          </w:tcPr>
          <w:p w14:paraId="0440F3F8" w14:textId="77777777" w:rsidR="003F5418" w:rsidRDefault="002A6C25">
            <w:pPr>
              <w:pStyle w:val="P68B1DB1-Normal4"/>
              <w:spacing w:line="276" w:lineRule="auto"/>
              <w:jc w:val="center"/>
              <w:rPr>
                <w:noProof/>
              </w:rPr>
            </w:pPr>
            <w:r>
              <w:rPr>
                <w:noProof/>
              </w:rPr>
              <w:t>M2C4–35a</w:t>
            </w:r>
          </w:p>
        </w:tc>
        <w:tc>
          <w:tcPr>
            <w:tcW w:w="1560" w:type="dxa"/>
            <w:shd w:val="clear" w:color="auto" w:fill="C6EFCE"/>
            <w:noWrap/>
            <w:vAlign w:val="center"/>
          </w:tcPr>
          <w:p w14:paraId="4ADC2ED6" w14:textId="77777777" w:rsidR="003F5418" w:rsidRDefault="002A6C25">
            <w:pPr>
              <w:pStyle w:val="P68B1DB1-Normal4"/>
              <w:spacing w:line="276" w:lineRule="auto"/>
              <w:jc w:val="center"/>
              <w:rPr>
                <w:noProof/>
              </w:rPr>
            </w:pPr>
            <w:r>
              <w:rPr>
                <w:noProof/>
              </w:rPr>
              <w:t>Beruházás az öntöző agrorendszer ellenálló képességébe a vízkészletekkel való jobb gazdálkodás érdekében</w:t>
            </w:r>
          </w:p>
        </w:tc>
        <w:tc>
          <w:tcPr>
            <w:tcW w:w="1134" w:type="dxa"/>
            <w:shd w:val="clear" w:color="auto" w:fill="C6EFCE"/>
            <w:noWrap/>
            <w:vAlign w:val="center"/>
          </w:tcPr>
          <w:p w14:paraId="7BFD94FD"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tcPr>
          <w:p w14:paraId="4A49B887" w14:textId="77777777" w:rsidR="003F5418" w:rsidRDefault="002A6C25">
            <w:pPr>
              <w:pStyle w:val="P68B1DB1-Normal4"/>
              <w:spacing w:line="276" w:lineRule="auto"/>
              <w:jc w:val="center"/>
              <w:rPr>
                <w:noProof/>
              </w:rPr>
            </w:pPr>
            <w:r>
              <w:rPr>
                <w:noProof/>
              </w:rPr>
              <w:t xml:space="preserve">Az öntözési </w:t>
            </w:r>
            <w:r>
              <w:rPr>
                <w:noProof/>
              </w:rPr>
              <w:t>agrorendszer ellenálló képességét célzó beavatkozások a T2 vízkészletekkel való jobb gazdálkodás érdekében</w:t>
            </w:r>
          </w:p>
        </w:tc>
        <w:tc>
          <w:tcPr>
            <w:tcW w:w="1383" w:type="dxa"/>
            <w:shd w:val="clear" w:color="auto" w:fill="C6EFCE"/>
            <w:noWrap/>
            <w:vAlign w:val="center"/>
          </w:tcPr>
          <w:p w14:paraId="0938EE62"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tcPr>
          <w:p w14:paraId="681DE92F" w14:textId="77777777" w:rsidR="003F5418" w:rsidRDefault="002A6C25">
            <w:pPr>
              <w:pStyle w:val="P68B1DB1-Normal4"/>
              <w:spacing w:line="276" w:lineRule="auto"/>
              <w:jc w:val="center"/>
              <w:rPr>
                <w:noProof/>
              </w:rPr>
            </w:pPr>
            <w:r>
              <w:rPr>
                <w:noProof/>
              </w:rPr>
              <w:t>Százalék</w:t>
            </w:r>
          </w:p>
        </w:tc>
        <w:tc>
          <w:tcPr>
            <w:tcW w:w="1290" w:type="dxa"/>
            <w:shd w:val="clear" w:color="auto" w:fill="C6EFCE"/>
            <w:noWrap/>
            <w:vAlign w:val="center"/>
          </w:tcPr>
          <w:p w14:paraId="5E87AA22" w14:textId="77777777" w:rsidR="003F5418" w:rsidRDefault="002A6C25">
            <w:pPr>
              <w:pStyle w:val="P68B1DB1-Normal4"/>
              <w:spacing w:line="276" w:lineRule="auto"/>
              <w:jc w:val="center"/>
              <w:rPr>
                <w:noProof/>
              </w:rPr>
            </w:pPr>
            <w:r>
              <w:rPr>
                <w:noProof/>
              </w:rPr>
              <w:t>12</w:t>
            </w:r>
          </w:p>
        </w:tc>
        <w:tc>
          <w:tcPr>
            <w:tcW w:w="1194" w:type="dxa"/>
            <w:shd w:val="clear" w:color="auto" w:fill="C6EFCE"/>
            <w:noWrap/>
            <w:vAlign w:val="center"/>
          </w:tcPr>
          <w:p w14:paraId="1596B013" w14:textId="77777777" w:rsidR="003F5418" w:rsidRDefault="002A6C25">
            <w:pPr>
              <w:pStyle w:val="P68B1DB1-Normal4"/>
              <w:spacing w:line="276" w:lineRule="auto"/>
              <w:jc w:val="center"/>
              <w:rPr>
                <w:noProof/>
              </w:rPr>
            </w:pPr>
            <w:r>
              <w:rPr>
                <w:noProof/>
              </w:rPr>
              <w:t>24</w:t>
            </w:r>
          </w:p>
        </w:tc>
        <w:tc>
          <w:tcPr>
            <w:tcW w:w="916" w:type="dxa"/>
            <w:shd w:val="clear" w:color="auto" w:fill="C6EFCE"/>
            <w:noWrap/>
            <w:vAlign w:val="center"/>
          </w:tcPr>
          <w:p w14:paraId="50ED7496"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tcPr>
          <w:p w14:paraId="409E745C"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tcPr>
          <w:p w14:paraId="19E2CD68" w14:textId="77777777" w:rsidR="003F5418" w:rsidRDefault="002A6C25">
            <w:pPr>
              <w:pStyle w:val="P68B1DB1-Normal4"/>
              <w:spacing w:line="276" w:lineRule="auto"/>
              <w:rPr>
                <w:noProof/>
              </w:rPr>
            </w:pPr>
            <w:r>
              <w:rPr>
                <w:noProof/>
              </w:rPr>
              <w:t>Az öntözési erőforrások hatékony felhasználásának előnyeit élvező öntözött területek legalább 24%-a</w:t>
            </w:r>
          </w:p>
        </w:tc>
      </w:tr>
      <w:tr w:rsidR="003F5418" w14:paraId="094F3139" w14:textId="77777777">
        <w:trPr>
          <w:trHeight w:val="313"/>
          <w:jc w:val="center"/>
        </w:trPr>
        <w:tc>
          <w:tcPr>
            <w:tcW w:w="1130" w:type="dxa"/>
            <w:shd w:val="clear" w:color="auto" w:fill="C6EFCE"/>
            <w:noWrap/>
            <w:vAlign w:val="center"/>
            <w:hideMark/>
          </w:tcPr>
          <w:p w14:paraId="628A6283" w14:textId="77777777" w:rsidR="003F5418" w:rsidRDefault="002A6C25">
            <w:pPr>
              <w:pStyle w:val="P68B1DB1-Normal4"/>
              <w:spacing w:line="276" w:lineRule="auto"/>
              <w:jc w:val="center"/>
              <w:rPr>
                <w:noProof/>
              </w:rPr>
            </w:pPr>
            <w:r>
              <w:rPr>
                <w:noProof/>
              </w:rPr>
              <w:t>M2C4–36</w:t>
            </w:r>
          </w:p>
        </w:tc>
        <w:tc>
          <w:tcPr>
            <w:tcW w:w="1560" w:type="dxa"/>
            <w:shd w:val="clear" w:color="auto" w:fill="C6EFCE"/>
            <w:noWrap/>
            <w:vAlign w:val="center"/>
            <w:hideMark/>
          </w:tcPr>
          <w:p w14:paraId="71F22888" w14:textId="77777777" w:rsidR="003F5418" w:rsidRDefault="002A6C25">
            <w:pPr>
              <w:pStyle w:val="P68B1DB1-Normal4"/>
              <w:spacing w:line="276" w:lineRule="auto"/>
              <w:jc w:val="center"/>
              <w:rPr>
                <w:noProof/>
              </w:rPr>
            </w:pPr>
            <w:r>
              <w:rPr>
                <w:noProof/>
              </w:rPr>
              <w:t xml:space="preserve">Beruházás </w:t>
            </w:r>
            <w:r>
              <w:rPr>
                <w:noProof/>
              </w:rPr>
              <w:t>csatorna- és tisztítási beruházások</w:t>
            </w:r>
          </w:p>
        </w:tc>
        <w:tc>
          <w:tcPr>
            <w:tcW w:w="1134" w:type="dxa"/>
            <w:shd w:val="clear" w:color="auto" w:fill="C6EFCE"/>
            <w:noWrap/>
            <w:vAlign w:val="center"/>
            <w:hideMark/>
          </w:tcPr>
          <w:p w14:paraId="7209EDA7" w14:textId="77777777" w:rsidR="003F5418" w:rsidRDefault="002A6C25">
            <w:pPr>
              <w:pStyle w:val="P68B1DB1-Normal4"/>
              <w:spacing w:line="276" w:lineRule="auto"/>
              <w:jc w:val="center"/>
              <w:rPr>
                <w:noProof/>
              </w:rPr>
            </w:pPr>
            <w:r>
              <w:rPr>
                <w:noProof/>
              </w:rPr>
              <w:t>Mérföldkő</w:t>
            </w:r>
          </w:p>
        </w:tc>
        <w:tc>
          <w:tcPr>
            <w:tcW w:w="1559" w:type="dxa"/>
            <w:shd w:val="clear" w:color="auto" w:fill="C6EFCE"/>
            <w:noWrap/>
            <w:vAlign w:val="center"/>
            <w:hideMark/>
          </w:tcPr>
          <w:p w14:paraId="01EF1070" w14:textId="3F8FFF0F" w:rsidR="003F5418" w:rsidRDefault="002A6C25">
            <w:pPr>
              <w:pStyle w:val="P68B1DB1-Normal4"/>
              <w:spacing w:line="276" w:lineRule="auto"/>
              <w:jc w:val="center"/>
              <w:rPr>
                <w:noProof/>
              </w:rPr>
            </w:pPr>
            <w:r>
              <w:rPr>
                <w:noProof/>
              </w:rPr>
              <w:t>A szennyvízelvezetési és -tisztítási projektek finanszírozásának odaítélése</w:t>
            </w:r>
          </w:p>
        </w:tc>
        <w:tc>
          <w:tcPr>
            <w:tcW w:w="1383" w:type="dxa"/>
            <w:shd w:val="clear" w:color="auto" w:fill="C6EFCE"/>
            <w:noWrap/>
            <w:vAlign w:val="center"/>
            <w:hideMark/>
          </w:tcPr>
          <w:p w14:paraId="4B565A66" w14:textId="1238B77F" w:rsidR="003F5418" w:rsidRDefault="002A6C25">
            <w:pPr>
              <w:pStyle w:val="P68B1DB1-Normal4"/>
              <w:spacing w:line="276" w:lineRule="auto"/>
              <w:jc w:val="center"/>
              <w:rPr>
                <w:rFonts w:eastAsia="Arial Narrow" w:cs="Arial Narrow"/>
                <w:noProof/>
              </w:rPr>
            </w:pPr>
            <w:r>
              <w:rPr>
                <w:noProof/>
              </w:rPr>
              <w:t>Rendelet kihirdetése</w:t>
            </w:r>
          </w:p>
        </w:tc>
        <w:tc>
          <w:tcPr>
            <w:tcW w:w="1094" w:type="dxa"/>
            <w:shd w:val="clear" w:color="auto" w:fill="C6EFCE"/>
            <w:noWrap/>
            <w:vAlign w:val="center"/>
            <w:hideMark/>
          </w:tcPr>
          <w:p w14:paraId="4AD6E05C" w14:textId="77777777" w:rsidR="003F5418" w:rsidRDefault="002A6C25">
            <w:pPr>
              <w:pStyle w:val="P68B1DB1-Normal4"/>
              <w:spacing w:line="276" w:lineRule="auto"/>
              <w:jc w:val="center"/>
              <w:rPr>
                <w:noProof/>
              </w:rPr>
            </w:pPr>
            <w:r>
              <w:rPr>
                <w:noProof/>
              </w:rPr>
              <w:t>NINCS</w:t>
            </w:r>
          </w:p>
        </w:tc>
        <w:tc>
          <w:tcPr>
            <w:tcW w:w="1290" w:type="dxa"/>
            <w:shd w:val="clear" w:color="auto" w:fill="C6EFCE"/>
            <w:noWrap/>
            <w:vAlign w:val="center"/>
            <w:hideMark/>
          </w:tcPr>
          <w:p w14:paraId="6F11873E" w14:textId="56DB3F97" w:rsidR="003F5418" w:rsidRDefault="002A6C25">
            <w:pPr>
              <w:pStyle w:val="P68B1DB1-Normal4"/>
              <w:spacing w:line="276" w:lineRule="auto"/>
              <w:jc w:val="center"/>
              <w:rPr>
                <w:noProof/>
              </w:rPr>
            </w:pPr>
            <w:r>
              <w:rPr>
                <w:noProof/>
              </w:rPr>
              <w:t xml:space="preserve">NINCS </w:t>
            </w:r>
          </w:p>
        </w:tc>
        <w:tc>
          <w:tcPr>
            <w:tcW w:w="1194" w:type="dxa"/>
            <w:shd w:val="clear" w:color="auto" w:fill="C6EFCE"/>
            <w:noWrap/>
            <w:vAlign w:val="center"/>
            <w:hideMark/>
          </w:tcPr>
          <w:p w14:paraId="1B25265D" w14:textId="34236351" w:rsidR="003F5418" w:rsidRDefault="002A6C25">
            <w:pPr>
              <w:pStyle w:val="P68B1DB1-Normal4"/>
              <w:spacing w:line="276" w:lineRule="auto"/>
              <w:jc w:val="center"/>
              <w:rPr>
                <w:noProof/>
              </w:rPr>
            </w:pPr>
            <w:r>
              <w:rPr>
                <w:noProof/>
              </w:rPr>
              <w:t>NINCS</w:t>
            </w:r>
          </w:p>
        </w:tc>
        <w:tc>
          <w:tcPr>
            <w:tcW w:w="916" w:type="dxa"/>
            <w:shd w:val="clear" w:color="auto" w:fill="C6EFCE"/>
            <w:noWrap/>
            <w:vAlign w:val="center"/>
            <w:hideMark/>
          </w:tcPr>
          <w:p w14:paraId="7B3D7BF9" w14:textId="77777777" w:rsidR="003F5418" w:rsidRDefault="002A6C25">
            <w:pPr>
              <w:pStyle w:val="P68B1DB1-Normal4"/>
              <w:spacing w:line="276" w:lineRule="auto"/>
              <w:jc w:val="center"/>
              <w:rPr>
                <w:noProof/>
              </w:rPr>
            </w:pPr>
            <w:r>
              <w:rPr>
                <w:noProof/>
              </w:rPr>
              <w:t>Q4</w:t>
            </w:r>
          </w:p>
        </w:tc>
        <w:tc>
          <w:tcPr>
            <w:tcW w:w="638" w:type="dxa"/>
            <w:shd w:val="clear" w:color="auto" w:fill="C6EFCE"/>
            <w:noWrap/>
            <w:vAlign w:val="center"/>
            <w:hideMark/>
          </w:tcPr>
          <w:p w14:paraId="00C9F686" w14:textId="77777777" w:rsidR="003F5418" w:rsidRDefault="002A6C25">
            <w:pPr>
              <w:pStyle w:val="P68B1DB1-Normal4"/>
              <w:spacing w:line="276" w:lineRule="auto"/>
              <w:jc w:val="center"/>
              <w:rPr>
                <w:noProof/>
              </w:rPr>
            </w:pPr>
            <w:r>
              <w:rPr>
                <w:noProof/>
              </w:rPr>
              <w:t>2023</w:t>
            </w:r>
          </w:p>
        </w:tc>
        <w:tc>
          <w:tcPr>
            <w:tcW w:w="4116" w:type="dxa"/>
            <w:shd w:val="clear" w:color="auto" w:fill="C6EFCE"/>
            <w:noWrap/>
            <w:vAlign w:val="center"/>
            <w:hideMark/>
          </w:tcPr>
          <w:p w14:paraId="5F0317EB" w14:textId="77777777" w:rsidR="003F5418" w:rsidRDefault="002A6C25">
            <w:pPr>
              <w:pStyle w:val="P68B1DB1-Normal4"/>
              <w:spacing w:line="276" w:lineRule="auto"/>
              <w:rPr>
                <w:noProof/>
              </w:rPr>
            </w:pPr>
            <w:r>
              <w:rPr>
                <w:noProof/>
              </w:rPr>
              <w:t xml:space="preserve">Az engedélyezési rendelet közzététele a projektjavaslatok finanszírozásának odaítélésével (felosztásával) együtt.  </w:t>
            </w:r>
          </w:p>
          <w:p w14:paraId="14B976C7" w14:textId="77777777" w:rsidR="003F5418" w:rsidRDefault="003F5418">
            <w:pPr>
              <w:spacing w:line="276" w:lineRule="auto"/>
              <w:rPr>
                <w:rFonts w:ascii="Arial Narrow" w:hAnsi="Arial Narrow"/>
                <w:noProof/>
                <w:color w:val="006100"/>
                <w:sz w:val="20"/>
              </w:rPr>
            </w:pPr>
          </w:p>
          <w:p w14:paraId="2A0E7E85" w14:textId="77777777" w:rsidR="003F5418" w:rsidRDefault="002A6C25">
            <w:pPr>
              <w:pStyle w:val="P68B1DB1-Normal4"/>
              <w:spacing w:line="276" w:lineRule="auto"/>
              <w:rPr>
                <w:noProof/>
              </w:rPr>
            </w:pPr>
            <w:r>
              <w:rPr>
                <w:noProof/>
              </w:rPr>
              <w:t>A beavatkozások:</w:t>
            </w:r>
          </w:p>
          <w:p w14:paraId="09188013" w14:textId="77777777" w:rsidR="003F5418" w:rsidRDefault="003F5418">
            <w:pPr>
              <w:spacing w:line="276" w:lineRule="auto"/>
              <w:rPr>
                <w:rFonts w:ascii="Arial Narrow" w:hAnsi="Arial Narrow"/>
                <w:noProof/>
                <w:color w:val="006100"/>
                <w:sz w:val="20"/>
              </w:rPr>
            </w:pPr>
          </w:p>
          <w:p w14:paraId="0BF5FE85" w14:textId="77777777" w:rsidR="003F5418" w:rsidRDefault="002A6C25">
            <w:pPr>
              <w:pStyle w:val="P68B1DB1-ListParagraph5"/>
              <w:numPr>
                <w:ilvl w:val="0"/>
                <w:numId w:val="69"/>
              </w:numPr>
              <w:spacing w:before="0" w:after="0" w:line="276" w:lineRule="auto"/>
              <w:ind w:left="468"/>
              <w:jc w:val="left"/>
              <w:rPr>
                <w:noProof/>
              </w:rPr>
            </w:pPr>
            <w:r>
              <w:rPr>
                <w:noProof/>
              </w:rPr>
              <w:t xml:space="preserve">A tengerekbe és belvizekbe kibocsátott szennyvíz tisztításának hatékonyabbá tétele, többek között technológiai innováció </w:t>
            </w:r>
            <w:r>
              <w:rPr>
                <w:noProof/>
              </w:rPr>
              <w:t>révén;</w:t>
            </w:r>
          </w:p>
          <w:p w14:paraId="7731EED5" w14:textId="77777777" w:rsidR="003F5418" w:rsidRDefault="003F5418">
            <w:pPr>
              <w:spacing w:line="276" w:lineRule="auto"/>
              <w:ind w:left="468"/>
              <w:rPr>
                <w:rFonts w:ascii="Arial Narrow" w:hAnsi="Arial Narrow"/>
                <w:noProof/>
                <w:color w:val="006100"/>
                <w:sz w:val="20"/>
              </w:rPr>
            </w:pPr>
          </w:p>
          <w:p w14:paraId="51A45C43" w14:textId="77777777" w:rsidR="003F5418" w:rsidRDefault="002A6C25">
            <w:pPr>
              <w:pStyle w:val="P68B1DB1-ListParagraph5"/>
              <w:numPr>
                <w:ilvl w:val="0"/>
                <w:numId w:val="69"/>
              </w:numPr>
              <w:spacing w:before="0" w:after="0" w:line="276" w:lineRule="auto"/>
              <w:ind w:left="468"/>
              <w:jc w:val="left"/>
              <w:rPr>
                <w:noProof/>
              </w:rPr>
            </w:pPr>
            <w:r>
              <w:rPr>
                <w:noProof/>
              </w:rPr>
              <w:t>Ahol lehetséges, egyes tisztítóüzemek átalakítása „zöld gyárakká”, amelyek a tisztított szennyvizet öntözési és ipari célokra újra felhasználják.</w:t>
            </w:r>
          </w:p>
          <w:p w14:paraId="29744BFC" w14:textId="77777777" w:rsidR="003F5418" w:rsidRDefault="003F5418">
            <w:pPr>
              <w:rPr>
                <w:rFonts w:ascii="Arial Narrow" w:hAnsi="Arial Narrow"/>
                <w:noProof/>
                <w:color w:val="006100"/>
                <w:sz w:val="20"/>
              </w:rPr>
            </w:pPr>
          </w:p>
          <w:p w14:paraId="6D93CD9F" w14:textId="77777777" w:rsidR="003F5418" w:rsidRDefault="002A6C25">
            <w:pPr>
              <w:pStyle w:val="P68B1DB1-Normal4"/>
              <w:rPr>
                <w:noProof/>
              </w:rPr>
            </w:pPr>
            <w:r>
              <w:rPr>
                <w:noProof/>
              </w:rPr>
              <w:t>Ez az intézkedés nem sértheti jelentősen az (EU) 2020/852 rendelet 17. cikke szerinti környezeti célk</w:t>
            </w:r>
            <w:r>
              <w:rPr>
                <w:noProof/>
              </w:rPr>
              <w:t>itűzéseket, figyelembe véve az intézkedés leírását és a helyreállítási és rezilienciaépítési tervben a DNSH technikai iránymutatással (2021/C58/01) összhangban meghatározott enyhítő lépéseket. Különösen az iszap égetése nem támogatható.</w:t>
            </w:r>
          </w:p>
          <w:p w14:paraId="5A444D1D" w14:textId="77777777" w:rsidR="003F5418" w:rsidRDefault="003F5418">
            <w:pPr>
              <w:spacing w:line="276" w:lineRule="auto"/>
              <w:rPr>
                <w:rFonts w:ascii="Arial Narrow" w:hAnsi="Arial Narrow"/>
                <w:noProof/>
                <w:color w:val="006100"/>
                <w:sz w:val="20"/>
              </w:rPr>
            </w:pPr>
          </w:p>
        </w:tc>
      </w:tr>
      <w:tr w:rsidR="003F5418" w14:paraId="1BD8C475" w14:textId="77777777">
        <w:trPr>
          <w:trHeight w:val="313"/>
          <w:jc w:val="center"/>
        </w:trPr>
        <w:tc>
          <w:tcPr>
            <w:tcW w:w="1130" w:type="dxa"/>
            <w:shd w:val="clear" w:color="auto" w:fill="C6EFCE"/>
            <w:noWrap/>
            <w:vAlign w:val="center"/>
            <w:hideMark/>
          </w:tcPr>
          <w:p w14:paraId="3E200976" w14:textId="77777777" w:rsidR="003F5418" w:rsidRDefault="002A6C25">
            <w:pPr>
              <w:pStyle w:val="P68B1DB1-Normal4"/>
              <w:spacing w:line="276" w:lineRule="auto"/>
              <w:jc w:val="center"/>
              <w:rPr>
                <w:noProof/>
              </w:rPr>
            </w:pPr>
            <w:r>
              <w:rPr>
                <w:noProof/>
              </w:rPr>
              <w:t>M2C4–37</w:t>
            </w:r>
          </w:p>
        </w:tc>
        <w:tc>
          <w:tcPr>
            <w:tcW w:w="1560" w:type="dxa"/>
            <w:shd w:val="clear" w:color="auto" w:fill="C6EFCE"/>
            <w:noWrap/>
            <w:vAlign w:val="center"/>
            <w:hideMark/>
          </w:tcPr>
          <w:p w14:paraId="6E17BEB8" w14:textId="77777777" w:rsidR="003F5418" w:rsidRDefault="002A6C25">
            <w:pPr>
              <w:pStyle w:val="P68B1DB1-Normal4"/>
              <w:spacing w:line="276" w:lineRule="auto"/>
              <w:jc w:val="center"/>
              <w:rPr>
                <w:noProof/>
              </w:rPr>
            </w:pPr>
            <w:r>
              <w:rPr>
                <w:noProof/>
              </w:rPr>
              <w:t>Beruházás</w:t>
            </w:r>
            <w:r>
              <w:rPr>
                <w:noProof/>
              </w:rPr>
              <w:t xml:space="preserve"> csatorna- és tisztítási beruházások</w:t>
            </w:r>
          </w:p>
        </w:tc>
        <w:tc>
          <w:tcPr>
            <w:tcW w:w="1134" w:type="dxa"/>
            <w:shd w:val="clear" w:color="auto" w:fill="C6EFCE"/>
            <w:noWrap/>
            <w:vAlign w:val="center"/>
            <w:hideMark/>
          </w:tcPr>
          <w:p w14:paraId="1FFC844B"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356BF701" w14:textId="77777777" w:rsidR="003F5418" w:rsidRDefault="002A6C25">
            <w:pPr>
              <w:pStyle w:val="P68B1DB1-Normal4"/>
              <w:spacing w:line="276" w:lineRule="auto"/>
              <w:jc w:val="center"/>
              <w:rPr>
                <w:noProof/>
              </w:rPr>
            </w:pPr>
            <w:r>
              <w:rPr>
                <w:noProof/>
              </w:rPr>
              <w:t>A T1 szennyvízelvezetésre és -tisztításra irányuló beavatkozások</w:t>
            </w:r>
          </w:p>
        </w:tc>
        <w:tc>
          <w:tcPr>
            <w:tcW w:w="1383" w:type="dxa"/>
            <w:shd w:val="clear" w:color="auto" w:fill="C6EFCE"/>
            <w:noWrap/>
            <w:vAlign w:val="center"/>
            <w:hideMark/>
          </w:tcPr>
          <w:p w14:paraId="09EFBF54"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4D8BA473"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0130ACB1" w14:textId="77777777" w:rsidR="003F5418" w:rsidRDefault="002A6C25">
            <w:pPr>
              <w:pStyle w:val="P68B1DB1-Normal4"/>
              <w:spacing w:line="276" w:lineRule="auto"/>
              <w:jc w:val="center"/>
              <w:rPr>
                <w:noProof/>
              </w:rPr>
            </w:pPr>
            <w:r>
              <w:rPr>
                <w:noProof/>
              </w:rPr>
              <w:t>0</w:t>
            </w:r>
          </w:p>
        </w:tc>
        <w:tc>
          <w:tcPr>
            <w:tcW w:w="1194" w:type="dxa"/>
            <w:shd w:val="clear" w:color="auto" w:fill="C6EFCE"/>
            <w:noWrap/>
            <w:vAlign w:val="center"/>
            <w:hideMark/>
          </w:tcPr>
          <w:p w14:paraId="435DBEC5" w14:textId="77777777" w:rsidR="003F5418" w:rsidRDefault="002A6C25">
            <w:pPr>
              <w:pStyle w:val="P68B1DB1-Normal4"/>
              <w:spacing w:line="276" w:lineRule="auto"/>
              <w:jc w:val="center"/>
              <w:rPr>
                <w:noProof/>
              </w:rPr>
            </w:pPr>
            <w:r>
              <w:rPr>
                <w:noProof/>
              </w:rPr>
              <w:t>500 000</w:t>
            </w:r>
          </w:p>
        </w:tc>
        <w:tc>
          <w:tcPr>
            <w:tcW w:w="916" w:type="dxa"/>
            <w:shd w:val="clear" w:color="auto" w:fill="C6EFCE"/>
            <w:noWrap/>
            <w:vAlign w:val="center"/>
            <w:hideMark/>
          </w:tcPr>
          <w:p w14:paraId="7E6C5572" w14:textId="24E43CD5" w:rsidR="003F5418" w:rsidRDefault="002A6C25">
            <w:pPr>
              <w:pStyle w:val="P68B1DB1-Normal4"/>
              <w:spacing w:line="276" w:lineRule="auto"/>
              <w:jc w:val="center"/>
              <w:rPr>
                <w:noProof/>
              </w:rPr>
            </w:pPr>
            <w:r>
              <w:rPr>
                <w:noProof/>
              </w:rPr>
              <w:t>Q2</w:t>
            </w:r>
          </w:p>
        </w:tc>
        <w:tc>
          <w:tcPr>
            <w:tcW w:w="638" w:type="dxa"/>
            <w:shd w:val="clear" w:color="auto" w:fill="C6EFCE"/>
            <w:noWrap/>
            <w:vAlign w:val="center"/>
            <w:hideMark/>
          </w:tcPr>
          <w:p w14:paraId="1D16DF77" w14:textId="62FE8BF9" w:rsidR="003F5418" w:rsidRDefault="002A6C25">
            <w:pPr>
              <w:pStyle w:val="P68B1DB1-Normal4"/>
              <w:spacing w:line="276" w:lineRule="auto"/>
              <w:jc w:val="center"/>
              <w:rPr>
                <w:noProof/>
              </w:rPr>
            </w:pPr>
            <w:r>
              <w:rPr>
                <w:noProof/>
              </w:rPr>
              <w:t>2025</w:t>
            </w:r>
          </w:p>
        </w:tc>
        <w:tc>
          <w:tcPr>
            <w:tcW w:w="4116" w:type="dxa"/>
            <w:shd w:val="clear" w:color="auto" w:fill="C6EFCE"/>
            <w:noWrap/>
            <w:vAlign w:val="center"/>
            <w:hideMark/>
          </w:tcPr>
          <w:p w14:paraId="1187A52F" w14:textId="77777777" w:rsidR="003F5418" w:rsidRDefault="002A6C25">
            <w:pPr>
              <w:pStyle w:val="P68B1DB1-Normal4"/>
              <w:spacing w:line="276" w:lineRule="auto"/>
              <w:rPr>
                <w:noProof/>
              </w:rPr>
            </w:pPr>
            <w:r>
              <w:rPr>
                <w:noProof/>
              </w:rPr>
              <w:t xml:space="preserve">A települési szennyvíz nem megfelelő gyűjtése és kezelése miatt a 91/271/EGK tanácsi irányelvnek meg nem felelő </w:t>
            </w:r>
            <w:r>
              <w:rPr>
                <w:noProof/>
              </w:rPr>
              <w:t>agglomerációkban lakó egyenértékű lakosok számának legalább 500000 fővel történő csökkentése</w:t>
            </w:r>
          </w:p>
        </w:tc>
      </w:tr>
      <w:tr w:rsidR="003F5418" w14:paraId="3F0D7707" w14:textId="77777777">
        <w:trPr>
          <w:trHeight w:val="313"/>
          <w:jc w:val="center"/>
        </w:trPr>
        <w:tc>
          <w:tcPr>
            <w:tcW w:w="1130" w:type="dxa"/>
            <w:shd w:val="clear" w:color="auto" w:fill="C6EFCE"/>
            <w:noWrap/>
            <w:vAlign w:val="center"/>
            <w:hideMark/>
          </w:tcPr>
          <w:p w14:paraId="65F581D0" w14:textId="77777777" w:rsidR="003F5418" w:rsidRDefault="002A6C25">
            <w:pPr>
              <w:pStyle w:val="P68B1DB1-Normal4"/>
              <w:spacing w:line="276" w:lineRule="auto"/>
              <w:jc w:val="center"/>
              <w:rPr>
                <w:noProof/>
              </w:rPr>
            </w:pPr>
            <w:r>
              <w:rPr>
                <w:noProof/>
              </w:rPr>
              <w:t>M2C4–38</w:t>
            </w:r>
          </w:p>
        </w:tc>
        <w:tc>
          <w:tcPr>
            <w:tcW w:w="1560" w:type="dxa"/>
            <w:shd w:val="clear" w:color="auto" w:fill="C6EFCE"/>
            <w:noWrap/>
            <w:vAlign w:val="center"/>
            <w:hideMark/>
          </w:tcPr>
          <w:p w14:paraId="1681E314" w14:textId="77777777" w:rsidR="003F5418" w:rsidRDefault="002A6C25">
            <w:pPr>
              <w:pStyle w:val="P68B1DB1-Normal4"/>
              <w:spacing w:line="276" w:lineRule="auto"/>
              <w:jc w:val="center"/>
              <w:rPr>
                <w:noProof/>
              </w:rPr>
            </w:pPr>
            <w:r>
              <w:rPr>
                <w:noProof/>
              </w:rPr>
              <w:t>Beruházás csatorna- és tisztítási beruházások</w:t>
            </w:r>
          </w:p>
        </w:tc>
        <w:tc>
          <w:tcPr>
            <w:tcW w:w="1134" w:type="dxa"/>
            <w:shd w:val="clear" w:color="auto" w:fill="C6EFCE"/>
            <w:noWrap/>
            <w:vAlign w:val="center"/>
            <w:hideMark/>
          </w:tcPr>
          <w:p w14:paraId="0FF139EE" w14:textId="77777777" w:rsidR="003F5418" w:rsidRDefault="002A6C25">
            <w:pPr>
              <w:pStyle w:val="P68B1DB1-Normal4"/>
              <w:spacing w:line="276" w:lineRule="auto"/>
              <w:jc w:val="center"/>
              <w:rPr>
                <w:noProof/>
              </w:rPr>
            </w:pPr>
            <w:r>
              <w:rPr>
                <w:noProof/>
              </w:rPr>
              <w:t>Cél</w:t>
            </w:r>
          </w:p>
        </w:tc>
        <w:tc>
          <w:tcPr>
            <w:tcW w:w="1559" w:type="dxa"/>
            <w:shd w:val="clear" w:color="auto" w:fill="C6EFCE"/>
            <w:noWrap/>
            <w:vAlign w:val="center"/>
            <w:hideMark/>
          </w:tcPr>
          <w:p w14:paraId="344813C3" w14:textId="77777777" w:rsidR="003F5418" w:rsidRDefault="002A6C25">
            <w:pPr>
              <w:pStyle w:val="P68B1DB1-Normal4"/>
              <w:spacing w:line="276" w:lineRule="auto"/>
              <w:jc w:val="center"/>
              <w:rPr>
                <w:noProof/>
              </w:rPr>
            </w:pPr>
            <w:r>
              <w:rPr>
                <w:noProof/>
              </w:rPr>
              <w:t>A T2 szennyvízelvezetésre és -tisztításra irányuló beavatkozások</w:t>
            </w:r>
          </w:p>
        </w:tc>
        <w:tc>
          <w:tcPr>
            <w:tcW w:w="1383" w:type="dxa"/>
            <w:shd w:val="clear" w:color="auto" w:fill="C6EFCE"/>
            <w:noWrap/>
            <w:vAlign w:val="center"/>
            <w:hideMark/>
          </w:tcPr>
          <w:p w14:paraId="4C2AF170" w14:textId="77777777" w:rsidR="003F5418" w:rsidRDefault="002A6C25">
            <w:pPr>
              <w:pStyle w:val="P68B1DB1-Normal4"/>
              <w:spacing w:line="276" w:lineRule="auto"/>
              <w:jc w:val="center"/>
              <w:rPr>
                <w:noProof/>
              </w:rPr>
            </w:pPr>
            <w:r>
              <w:rPr>
                <w:noProof/>
              </w:rPr>
              <w:t>NINCS</w:t>
            </w:r>
          </w:p>
        </w:tc>
        <w:tc>
          <w:tcPr>
            <w:tcW w:w="1094" w:type="dxa"/>
            <w:shd w:val="clear" w:color="auto" w:fill="C6EFCE"/>
            <w:noWrap/>
            <w:vAlign w:val="center"/>
            <w:hideMark/>
          </w:tcPr>
          <w:p w14:paraId="267D281C" w14:textId="77777777" w:rsidR="003F5418" w:rsidRDefault="002A6C25">
            <w:pPr>
              <w:pStyle w:val="P68B1DB1-Normal4"/>
              <w:spacing w:line="276" w:lineRule="auto"/>
              <w:jc w:val="center"/>
              <w:rPr>
                <w:noProof/>
              </w:rPr>
            </w:pPr>
            <w:r>
              <w:rPr>
                <w:noProof/>
              </w:rPr>
              <w:t>Szám</w:t>
            </w:r>
          </w:p>
        </w:tc>
        <w:tc>
          <w:tcPr>
            <w:tcW w:w="1290" w:type="dxa"/>
            <w:shd w:val="clear" w:color="auto" w:fill="C6EFCE"/>
            <w:noWrap/>
            <w:vAlign w:val="center"/>
            <w:hideMark/>
          </w:tcPr>
          <w:p w14:paraId="2A788C85" w14:textId="77777777" w:rsidR="003F5418" w:rsidRDefault="002A6C25">
            <w:pPr>
              <w:pStyle w:val="P68B1DB1-Normal4"/>
              <w:spacing w:line="276" w:lineRule="auto"/>
              <w:jc w:val="center"/>
              <w:rPr>
                <w:noProof/>
              </w:rPr>
            </w:pPr>
            <w:r>
              <w:rPr>
                <w:noProof/>
              </w:rPr>
              <w:t>500 000</w:t>
            </w:r>
          </w:p>
        </w:tc>
        <w:tc>
          <w:tcPr>
            <w:tcW w:w="1194" w:type="dxa"/>
            <w:shd w:val="clear" w:color="auto" w:fill="C6EFCE"/>
            <w:noWrap/>
            <w:vAlign w:val="center"/>
            <w:hideMark/>
          </w:tcPr>
          <w:p w14:paraId="6DB395B1" w14:textId="77777777" w:rsidR="003F5418" w:rsidRDefault="002A6C25">
            <w:pPr>
              <w:pStyle w:val="P68B1DB1-Normal4"/>
              <w:spacing w:line="276" w:lineRule="auto"/>
              <w:jc w:val="center"/>
              <w:rPr>
                <w:noProof/>
              </w:rPr>
            </w:pPr>
            <w:r>
              <w:rPr>
                <w:noProof/>
              </w:rPr>
              <w:t>2 250 000</w:t>
            </w:r>
          </w:p>
        </w:tc>
        <w:tc>
          <w:tcPr>
            <w:tcW w:w="916" w:type="dxa"/>
            <w:shd w:val="clear" w:color="auto" w:fill="C6EFCE"/>
            <w:noWrap/>
            <w:vAlign w:val="center"/>
            <w:hideMark/>
          </w:tcPr>
          <w:p w14:paraId="1D829D2A" w14:textId="77777777" w:rsidR="003F5418" w:rsidRDefault="002A6C25">
            <w:pPr>
              <w:pStyle w:val="P68B1DB1-Normal4"/>
              <w:spacing w:line="276" w:lineRule="auto"/>
              <w:jc w:val="center"/>
              <w:rPr>
                <w:noProof/>
              </w:rPr>
            </w:pPr>
            <w:r>
              <w:rPr>
                <w:noProof/>
              </w:rPr>
              <w:t>Q1</w:t>
            </w:r>
          </w:p>
        </w:tc>
        <w:tc>
          <w:tcPr>
            <w:tcW w:w="638" w:type="dxa"/>
            <w:shd w:val="clear" w:color="auto" w:fill="C6EFCE"/>
            <w:noWrap/>
            <w:vAlign w:val="center"/>
            <w:hideMark/>
          </w:tcPr>
          <w:p w14:paraId="36D42375" w14:textId="77777777" w:rsidR="003F5418" w:rsidRDefault="002A6C25">
            <w:pPr>
              <w:pStyle w:val="P68B1DB1-Normal4"/>
              <w:spacing w:line="276" w:lineRule="auto"/>
              <w:jc w:val="center"/>
              <w:rPr>
                <w:noProof/>
              </w:rPr>
            </w:pPr>
            <w:r>
              <w:rPr>
                <w:noProof/>
              </w:rPr>
              <w:t>2026</w:t>
            </w:r>
          </w:p>
        </w:tc>
        <w:tc>
          <w:tcPr>
            <w:tcW w:w="4116" w:type="dxa"/>
            <w:shd w:val="clear" w:color="auto" w:fill="C6EFCE"/>
            <w:noWrap/>
            <w:vAlign w:val="center"/>
            <w:hideMark/>
          </w:tcPr>
          <w:p w14:paraId="0361191F" w14:textId="77777777" w:rsidR="003F5418" w:rsidRDefault="002A6C25">
            <w:pPr>
              <w:pStyle w:val="P68B1DB1-Normal4"/>
              <w:spacing w:line="276" w:lineRule="auto"/>
              <w:rPr>
                <w:noProof/>
              </w:rPr>
            </w:pPr>
            <w:r>
              <w:rPr>
                <w:noProof/>
              </w:rPr>
              <w:t xml:space="preserve">A </w:t>
            </w:r>
            <w:r>
              <w:rPr>
                <w:noProof/>
              </w:rPr>
              <w:t>települési szennyvíz nem megfelelő gyűjtése és kezelése miatt a 91/271/EGK tanácsi irányelvnek meg nem felelő agglomerációkban lakó egyenértékű lakosok számának legalább 2250000 fővel történő csökkentése</w:t>
            </w:r>
          </w:p>
        </w:tc>
      </w:tr>
    </w:tbl>
    <w:p w14:paraId="029C2D4D" w14:textId="77777777" w:rsidR="003F5418" w:rsidRDefault="003F5418">
      <w:pPr>
        <w:tabs>
          <w:tab w:val="left" w:pos="4252"/>
        </w:tabs>
        <w:rPr>
          <w:i/>
          <w:noProof/>
        </w:rPr>
        <w:sectPr w:rsidR="003F5418">
          <w:headerReference w:type="even" r:id="rId206"/>
          <w:headerReference w:type="default" r:id="rId207"/>
          <w:footerReference w:type="even" r:id="rId208"/>
          <w:footerReference w:type="default" r:id="rId209"/>
          <w:headerReference w:type="first" r:id="rId210"/>
          <w:footerReference w:type="first" r:id="rId211"/>
          <w:pgSz w:w="16839" w:h="11907" w:orient="landscape"/>
          <w:pgMar w:top="1134" w:right="1134" w:bottom="1134" w:left="1134" w:header="567" w:footer="567" w:gutter="0"/>
          <w:cols w:space="720"/>
          <w:docGrid w:linePitch="360"/>
        </w:sectPr>
      </w:pPr>
    </w:p>
    <w:p w14:paraId="3C8289B6" w14:textId="77777777" w:rsidR="003F5418" w:rsidRDefault="002A6C25">
      <w:pPr>
        <w:pStyle w:val="Heading2"/>
        <w:numPr>
          <w:ilvl w:val="0"/>
          <w:numId w:val="0"/>
        </w:numPr>
        <w:rPr>
          <w:noProof/>
        </w:rPr>
      </w:pPr>
      <w:r>
        <w:rPr>
          <w:noProof/>
        </w:rPr>
        <w:t>H. 3. KÜLDETÉS: 1. KOMPONENS: Fenntartható közlekedési infrastruktúra</w:t>
      </w:r>
    </w:p>
    <w:p w14:paraId="76E9E16F" w14:textId="77777777" w:rsidR="003F5418" w:rsidRDefault="003F5418">
      <w:pPr>
        <w:spacing w:before="120" w:after="120"/>
        <w:jc w:val="both"/>
        <w:rPr>
          <w:noProof/>
        </w:rPr>
      </w:pPr>
    </w:p>
    <w:p w14:paraId="057A59C3"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H.1. </w:t>
      </w:r>
      <w:r>
        <w:rPr>
          <w:noProof/>
        </w:rPr>
        <w:t xml:space="preserve"> </w:t>
      </w:r>
      <w:r>
        <w:rPr>
          <w:b/>
          <w:i w:val="0"/>
          <w:noProof/>
          <w:u w:val="single"/>
        </w:rPr>
        <w:t>Vissza nem térítendő pénzügyi támogatás – a reformok és beruházások ismertetése</w:t>
      </w:r>
    </w:p>
    <w:p w14:paraId="41D239D3" w14:textId="77777777" w:rsidR="003F5418" w:rsidRDefault="002A6C25">
      <w:pPr>
        <w:pStyle w:val="P68B1DB1-Normal13"/>
        <w:spacing w:before="120" w:after="120"/>
        <w:jc w:val="both"/>
        <w:rPr>
          <w:noProof/>
        </w:rPr>
      </w:pPr>
      <w:r>
        <w:rPr>
          <w:noProof/>
        </w:rPr>
        <w:t>NINCS</w:t>
      </w:r>
    </w:p>
    <w:p w14:paraId="39011F08" w14:textId="77777777" w:rsidR="003F5418" w:rsidRDefault="002A6C25">
      <w:pPr>
        <w:pStyle w:val="Heading3"/>
        <w:numPr>
          <w:ilvl w:val="0"/>
          <w:numId w:val="0"/>
        </w:numPr>
        <w:ind w:left="850" w:hanging="850"/>
        <w:rPr>
          <w:b/>
          <w:i w:val="0"/>
          <w:noProof/>
          <w:u w:val="single"/>
        </w:rPr>
      </w:pPr>
      <w:r>
        <w:rPr>
          <w:b/>
          <w:i w:val="0"/>
          <w:noProof/>
          <w:u w:val="single"/>
        </w:rPr>
        <w:t xml:space="preserve">H.2. </w:t>
      </w:r>
      <w:r>
        <w:rPr>
          <w:noProof/>
        </w:rPr>
        <w:t xml:space="preserve"> </w:t>
      </w:r>
      <w:r>
        <w:rPr>
          <w:b/>
          <w:i w:val="0"/>
          <w:noProof/>
          <w:u w:val="single"/>
        </w:rPr>
        <w:t>Vissza</w:t>
      </w:r>
      <w:r>
        <w:rPr>
          <w:b/>
          <w:i w:val="0"/>
          <w:noProof/>
          <w:u w:val="single"/>
        </w:rPr>
        <w:t xml:space="preserve"> nem térítendő pénzügyi támogatás – a végrehajtáshoz és a nyomon követéshez kapcsolódó mérföldkövek, célok, mutatók és ütemterv</w:t>
      </w:r>
    </w:p>
    <w:p w14:paraId="7B104567" w14:textId="77777777" w:rsidR="003F5418" w:rsidRDefault="002A6C25">
      <w:pPr>
        <w:pStyle w:val="P68B1DB1-Normal11"/>
        <w:spacing w:before="120" w:after="120"/>
        <w:jc w:val="both"/>
        <w:rPr>
          <w:noProof/>
        </w:rPr>
      </w:pPr>
      <w:r>
        <w:rPr>
          <w:noProof/>
        </w:rPr>
        <w:t>NINCS</w:t>
      </w:r>
    </w:p>
    <w:p w14:paraId="3A4375E8" w14:textId="77777777" w:rsidR="003F5418" w:rsidRDefault="003F5418">
      <w:pPr>
        <w:spacing w:before="120" w:after="120"/>
        <w:ind w:left="709"/>
        <w:jc w:val="both"/>
        <w:rPr>
          <w:noProof/>
        </w:rPr>
        <w:sectPr w:rsidR="003F5418">
          <w:headerReference w:type="even" r:id="rId212"/>
          <w:headerReference w:type="default" r:id="rId213"/>
          <w:footerReference w:type="even" r:id="rId214"/>
          <w:footerReference w:type="default" r:id="rId215"/>
          <w:headerReference w:type="first" r:id="rId216"/>
          <w:footerReference w:type="first" r:id="rId217"/>
          <w:pgSz w:w="11907" w:h="16839"/>
          <w:pgMar w:top="1440" w:right="1440" w:bottom="1440" w:left="1440" w:header="567" w:footer="567" w:gutter="0"/>
          <w:cols w:space="720"/>
          <w:docGrid w:linePitch="360"/>
        </w:sectPr>
      </w:pPr>
    </w:p>
    <w:p w14:paraId="490F17ED"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H.3. </w:t>
      </w:r>
      <w:r>
        <w:rPr>
          <w:noProof/>
        </w:rPr>
        <w:t xml:space="preserve"> </w:t>
      </w:r>
      <w:r>
        <w:rPr>
          <w:b/>
          <w:i w:val="0"/>
          <w:noProof/>
          <w:u w:val="single"/>
        </w:rPr>
        <w:t xml:space="preserve">A hitelhez kapcsolódó reformok és beruházások ismertetése </w:t>
      </w:r>
    </w:p>
    <w:p w14:paraId="6315C659" w14:textId="77777777" w:rsidR="003F5418" w:rsidRDefault="002A6C25">
      <w:pPr>
        <w:spacing w:before="120" w:after="120"/>
        <w:jc w:val="both"/>
        <w:rPr>
          <w:noProof/>
        </w:rPr>
      </w:pPr>
      <w:r>
        <w:rPr>
          <w:noProof/>
        </w:rPr>
        <w:t>Az ezen a</w:t>
      </w:r>
      <w:r>
        <w:rPr>
          <w:noProof/>
        </w:rPr>
        <w:t>lkotóelembe történő beruházások a vasúti infrastruktúra (nagy sebességű, teherfuvarozás, regionális vasutak, európai vasúti forgalomirányítási rendszer) kiépítését támogatják. Ezeket a vasúti infrastrukturális beruházások felgyorsítására és a közúti infras</w:t>
      </w:r>
      <w:r>
        <w:rPr>
          <w:noProof/>
        </w:rPr>
        <w:t xml:space="preserve">truktúra minőségének javítására irányuló reformok kísérik. Az üzleti környezetvédelmi reform komponens olyan intézkedést tartalmaz, amely további ösztönzőket teremt a régiók számára, hogy regionális vasúti közszolgáltatási szerződéseiket pályáztassák meg. </w:t>
      </w:r>
      <w:r>
        <w:rPr>
          <w:noProof/>
        </w:rPr>
        <w:t>Ez a komponens a hidrogén vasúti felhasználásának fejlesztésére irányuló intézkedéseket tartalmaz.</w:t>
      </w:r>
    </w:p>
    <w:p w14:paraId="556729B6" w14:textId="77777777" w:rsidR="003F5418" w:rsidRDefault="002A6C25">
      <w:pPr>
        <w:spacing w:before="120" w:after="120"/>
        <w:jc w:val="both"/>
        <w:rPr>
          <w:noProof/>
        </w:rPr>
      </w:pPr>
      <w:r>
        <w:rPr>
          <w:noProof/>
        </w:rPr>
        <w:t>Ez a komponens támogatja a 2019. évi 3. országspecifikus ajánlás végrehajtását, amely sürgeti Olaszországot, hogy „Az infrastruktúra minőségével kapcsolatos,</w:t>
      </w:r>
      <w:r>
        <w:rPr>
          <w:noProof/>
        </w:rPr>
        <w:t xml:space="preserve"> a regionális egyenlőtlenségeket figyelembe vevő, beruházásokkal kapcsolatos gazdaságpolitikát” és a 2020. évi 3. országspecifikus ajánlást, valamint „A zöld és digitális átállásra, különösen a tiszta és hatékony energiatermelésre és -felhasználásra, a kut</w:t>
      </w:r>
      <w:r>
        <w:rPr>
          <w:noProof/>
        </w:rPr>
        <w:t>atásra és innovációra, a fenntartható tömegközlekedésre, a hulladék- és vízgazdálkodásra, valamint a megerősített digitális infrastruktúrára irányuló beruházásokat az alapvető szolgáltatások nyújtásának biztosítása érdekében” valósítsa meg.</w:t>
      </w:r>
    </w:p>
    <w:p w14:paraId="71B7FBBD" w14:textId="77777777" w:rsidR="003F5418" w:rsidRDefault="002A6C25">
      <w:pPr>
        <w:spacing w:before="120" w:after="120"/>
        <w:jc w:val="both"/>
        <w:rPr>
          <w:noProof/>
        </w:rPr>
      </w:pPr>
      <w:r>
        <w:rPr>
          <w:noProof/>
        </w:rPr>
        <w:t>A jelentős káro</w:t>
      </w:r>
      <w:r>
        <w:rPr>
          <w:noProof/>
        </w:rPr>
        <w:t>kozás elkerülését célzó elvről szóló technikai iránymutatásnak (2021/C58/01) megfelelően a helyreállítási és rezilienciaépítési tervben meghatározott intézkedések leírását és a helyreállítási és rezilienciaépítési tervben meghatározott enyhítő lépéseket fi</w:t>
      </w:r>
      <w:r>
        <w:rPr>
          <w:noProof/>
        </w:rPr>
        <w:t xml:space="preserve">gyelembe véve ebben a komponensben várhatóan egyetlen intézkedés sem sérti jelentős mértékben az (EU) 2020/852 rendelet 17. cikke szerinti környezeti célkitűzéseket.  </w:t>
      </w:r>
    </w:p>
    <w:p w14:paraId="3A416C95" w14:textId="3F003308" w:rsidR="003F5418" w:rsidRDefault="0035790E">
      <w:pPr>
        <w:pStyle w:val="P68B1DB1-Normal2"/>
        <w:spacing w:before="120" w:after="120"/>
        <w:jc w:val="both"/>
        <w:rPr>
          <w:noProof/>
        </w:rPr>
      </w:pPr>
      <w:r>
        <w:rPr>
          <w:noProof/>
        </w:rPr>
        <w:t>1</w:t>
      </w:r>
      <w:r w:rsidRPr="00B07E42">
        <w:rPr>
          <w:noProof/>
        </w:rPr>
        <w:t>.1.</w:t>
      </w:r>
      <w:r>
        <w:rPr>
          <w:noProof/>
        </w:rPr>
        <w:t xml:space="preserve"> Reform – Az Infrastrukturális és Közlekedési Minisztérium (MIT) és a </w:t>
      </w:r>
      <w:r>
        <w:rPr>
          <w:i/>
          <w:noProof/>
        </w:rPr>
        <w:t>Rete Ferroviaria Italiana</w:t>
      </w:r>
      <w:r>
        <w:rPr>
          <w:noProof/>
        </w:rPr>
        <w:t>vasúti pályahálózat-működtető közötti szerződés jóváhagyási folyamatának felgyorsítása</w:t>
      </w:r>
    </w:p>
    <w:p w14:paraId="7AEF71C2" w14:textId="77777777" w:rsidR="003F5418" w:rsidRDefault="002A6C25">
      <w:pPr>
        <w:spacing w:before="120" w:after="120"/>
        <w:jc w:val="both"/>
        <w:rPr>
          <w:noProof/>
        </w:rPr>
      </w:pPr>
      <w:r>
        <w:rPr>
          <w:noProof/>
        </w:rPr>
        <w:t xml:space="preserve">Ez a reform megszünteti azt a követelményt, hogy a parlamenti bizottságok véleményt nyilvánítsanak a </w:t>
      </w:r>
      <w:r>
        <w:rPr>
          <w:i/>
          <w:noProof/>
        </w:rPr>
        <w:t>Rete Ferroviaria Italiana</w:t>
      </w:r>
      <w:r>
        <w:rPr>
          <w:noProof/>
        </w:rPr>
        <w:t xml:space="preserve"> vasúti pályahálózat-működtető </w:t>
      </w:r>
      <w:r>
        <w:rPr>
          <w:i/>
          <w:noProof/>
        </w:rPr>
        <w:t>C</w:t>
      </w:r>
      <w:r>
        <w:rPr>
          <w:i/>
          <w:noProof/>
        </w:rPr>
        <w:t>ontratti di Programma (CdP)</w:t>
      </w:r>
      <w:r>
        <w:rPr>
          <w:noProof/>
        </w:rPr>
        <w:t xml:space="preserve"> beruházási listájáról. A parlamenti bizottságok véleményt nyilvánítanak a stratégiai beruházási programról.</w:t>
      </w:r>
    </w:p>
    <w:p w14:paraId="4EEC1351" w14:textId="04069646" w:rsidR="003F5418" w:rsidRDefault="0035790E">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Reform – A projektek engedélyezési folyamatának felgyorsítása</w:t>
      </w:r>
    </w:p>
    <w:p w14:paraId="51ADDD5F" w14:textId="77777777" w:rsidR="003F5418" w:rsidRDefault="002A6C25">
      <w:pPr>
        <w:spacing w:before="120" w:after="120"/>
        <w:jc w:val="both"/>
        <w:rPr>
          <w:noProof/>
        </w:rPr>
      </w:pPr>
      <w:r>
        <w:rPr>
          <w:noProof/>
        </w:rPr>
        <w:t>Ez a reform olyan jogszabályok elfogadásából áll, ame</w:t>
      </w:r>
      <w:r>
        <w:rPr>
          <w:noProof/>
        </w:rPr>
        <w:t>lyek lehetővé teszik a munkálatok helyének a „Gazdasági Műszaki Megvalósíthatósági Projekt” (PFTE) időpontjában történő megjelölését, ahelyett, hogy megvárnák a végleges projekttervezési szakaszt. A PFTE-n nem szerezhető további engedélyeket a későbbi proj</w:t>
      </w:r>
      <w:r>
        <w:rPr>
          <w:noProof/>
        </w:rPr>
        <w:t>ekttervezési szakaszokban szereznék be, a 241/1990. sz. törvény alóli kivételként a „Conferenza dei Servizi” összehívása nélkül. Ezek a változtatások 11 hónapról 6 hónapra csökkentik a projektek engedélyezési idejét.</w:t>
      </w:r>
    </w:p>
    <w:p w14:paraId="16126247" w14:textId="4DA63164" w:rsidR="003F5418" w:rsidRDefault="0035790E">
      <w:pPr>
        <w:pStyle w:val="P68B1DB1-Normal2"/>
        <w:spacing w:before="120" w:after="120"/>
        <w:jc w:val="both"/>
        <w:rPr>
          <w:noProof/>
        </w:rPr>
      </w:pPr>
      <w:r>
        <w:rPr>
          <w:noProof/>
        </w:rPr>
        <w:t>1</w:t>
      </w:r>
      <w:r w:rsidRPr="00B07E42">
        <w:rPr>
          <w:noProof/>
        </w:rPr>
        <w:t>.1.</w:t>
      </w:r>
      <w:r>
        <w:rPr>
          <w:noProof/>
        </w:rPr>
        <w:t xml:space="preserve"> Beruházás – Nagy sebességű vasúti összeköttetések déli személyszállítás és árufuvarozás számára</w:t>
      </w:r>
    </w:p>
    <w:p w14:paraId="5A50EC52" w14:textId="5A4CAC11" w:rsidR="003F5418" w:rsidRDefault="002A6C25">
      <w:pPr>
        <w:spacing w:before="120" w:after="120"/>
        <w:jc w:val="both"/>
        <w:rPr>
          <w:noProof/>
        </w:rPr>
      </w:pPr>
      <w:r>
        <w:rPr>
          <w:noProof/>
        </w:rPr>
        <w:t xml:space="preserve">Ez a beruházás a Napoli-Bari, Salerno-Reggio Calabria és Palermo-Catania vonalakon 119 km-es nagysebességű személy- és áruszállítási infrastruktúra megépítéséből áll. </w:t>
      </w:r>
    </w:p>
    <w:p w14:paraId="6D86FE45" w14:textId="77777777" w:rsidR="003F5418" w:rsidRDefault="002A6C25">
      <w:pPr>
        <w:spacing w:before="120" w:after="120"/>
        <w:jc w:val="both"/>
        <w:rPr>
          <w:noProof/>
        </w:rPr>
      </w:pPr>
      <w:r>
        <w:rPr>
          <w:noProof/>
        </w:rPr>
        <w:t>Az egyes releváns projekte</w:t>
      </w:r>
      <w:r>
        <w:rPr>
          <w:noProof/>
        </w:rPr>
        <w:t>k és/vagy beruházások értékelése és engedélyezése során tiszteletben kell tartani a 92/43/EGK irányelv 6. cikkének (3) és (4) bekezdésében meghatározott valamennyi szabályt és eljárást, és követni kell az Olasz Köztársaság 2019. december 28-i 303. sz. hiva</w:t>
      </w:r>
      <w:r>
        <w:rPr>
          <w:noProof/>
        </w:rPr>
        <w:t>talos gazzette-i számában közzétett, a hatásvizsgálatra vonatkozó nemzeti iránymutatásokat.</w:t>
      </w:r>
    </w:p>
    <w:p w14:paraId="6ED5A043" w14:textId="77777777" w:rsidR="003F5418" w:rsidRDefault="002A6C25">
      <w:pPr>
        <w:spacing w:before="120" w:after="120"/>
        <w:jc w:val="both"/>
        <w:rPr>
          <w:noProof/>
        </w:rPr>
      </w:pPr>
      <w:r>
        <w:rPr>
          <w:noProof/>
        </w:rPr>
        <w:t>Az intézkedés várhatóan nem sérti jelentősen az (EU) 2020/852 rendelet 17. cikke szerinti környezetvédelmi célkitűzéseket, figyelembe véve az intézkedés leírását és</w:t>
      </w:r>
      <w:r>
        <w:rPr>
          <w:noProof/>
        </w:rPr>
        <w:t xml:space="preserve"> a helyreállítási és rezilienciaépítési tervben meghatározott enyhítő lépéseket a jelentős károkozás elkerülését célzó elvről szóló technikai iránymutatásnak (2021/C58/01) megfelelően.</w:t>
      </w:r>
    </w:p>
    <w:p w14:paraId="14722CA5" w14:textId="3FC064D2" w:rsidR="003F5418" w:rsidRDefault="0035790E">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Beruházás – Nagy sebességű, Európa többi részével összekötő északi vonalak</w:t>
      </w:r>
    </w:p>
    <w:p w14:paraId="7B27649E" w14:textId="77777777" w:rsidR="003F5418" w:rsidRDefault="002A6C25">
      <w:pPr>
        <w:spacing w:before="120" w:after="120"/>
        <w:jc w:val="both"/>
        <w:rPr>
          <w:noProof/>
        </w:rPr>
      </w:pPr>
      <w:r>
        <w:rPr>
          <w:noProof/>
        </w:rPr>
        <w:t>Ez a beruházás a Brescia-Verona- Vicenza-Padova és Liguria-Alpi vonalakon 165 km-es nagy sebességű vasúti infrastruktúra személy- és áruszállításának megépítéséből áll. Az egyes releváns projektek/beruházások értékelésének és engedélyezésének tisz</w:t>
      </w:r>
      <w:r>
        <w:rPr>
          <w:noProof/>
        </w:rPr>
        <w:t>teletben kell tartania a 92/43/EGK uniós irányelv 6. cikkének (3) és (4) bekezdésében meghatározott valamennyi szabályt és eljárást, és követnie kell az Olasz Köztársaság 2019. december 28-i 303. sz. hivatalos gazzette-i számában közzétett, a hatásvizsgála</w:t>
      </w:r>
      <w:r>
        <w:rPr>
          <w:noProof/>
        </w:rPr>
        <w:t>tra vonatkozó nemzeti iránymutatásokat.</w:t>
      </w:r>
    </w:p>
    <w:p w14:paraId="314C07D2" w14:textId="77777777" w:rsidR="003F5418" w:rsidRDefault="002A6C25">
      <w:pPr>
        <w:spacing w:before="120" w:after="120"/>
        <w:jc w:val="both"/>
        <w:rPr>
          <w:noProof/>
        </w:rPr>
      </w:pPr>
      <w:r>
        <w:rPr>
          <w:noProof/>
        </w:rPr>
        <w:t>Ez az intézkedés várhatóan nem sérti jelentősen a környezeti célkitűzéseket az (EU) 2020/852 rendelet 17. cikke értelmében, figyelembe véve az intézkedés leírását és a helyreállítási és rezilienciaépítési tervben a D</w:t>
      </w:r>
      <w:r>
        <w:rPr>
          <w:noProof/>
        </w:rPr>
        <w:t>NSH technikai iránymutatással (2021/C58/01) összhangban meghatározott enyhítő lépéseket, valamint az Olaszország által teljesítendő mérföldköveket és célokat.</w:t>
      </w:r>
    </w:p>
    <w:p w14:paraId="4CD4D808" w14:textId="77777777" w:rsidR="003F5418" w:rsidRDefault="002A6C25">
      <w:pPr>
        <w:spacing w:before="120" w:after="120"/>
        <w:jc w:val="both"/>
        <w:rPr>
          <w:noProof/>
        </w:rPr>
      </w:pPr>
      <w:r>
        <w:rPr>
          <w:noProof/>
        </w:rPr>
        <w:t>A Rho-Parabiago szegmens esetében olyan pozitív környezeti hatásvizsgálatot kell végezni, amely t</w:t>
      </w:r>
      <w:r>
        <w:rPr>
          <w:noProof/>
        </w:rPr>
        <w:t>eljes mértékben és érdemben megfelelt a jogi kritériumoknak, és amely teljes mértékben figyelembe veszi a környezeti hatásvizsgálat eredményeit és feltételeit, amennyiben ez szükséges a DNSH technikai iránymutatásnak (2021/C58/01) való megfelelés eléréséhe</w:t>
      </w:r>
      <w:r>
        <w:rPr>
          <w:noProof/>
        </w:rPr>
        <w:t>z. A környezeti hatásvizsgálatot a 2011/92/EU irányelvvel összhangban teszik közzé és fejezték be, valamint a 2000/60/EK irányelv és a 92/43/EGK irányelv szerinti vonatkozó vizsgálatokat, beleértve a szükséges kockázatcsökkentő intézkedések végrehajtását i</w:t>
      </w:r>
      <w:r>
        <w:rPr>
          <w:noProof/>
        </w:rPr>
        <w:t>s. A KHV keretében a DNSH-ra vonatkozó technikai iránymutatásnak (2021/C58/01) való megfelelés biztosításához szükségesnek ítélt intézkedéseket be kell építeni a projektbe, és azoknak az infrastruktúra építésének, üzemeltetésének és leszerelésének szakaszá</w:t>
      </w:r>
      <w:r>
        <w:rPr>
          <w:noProof/>
        </w:rPr>
        <w:t>ban be kell tartani.</w:t>
      </w:r>
    </w:p>
    <w:p w14:paraId="1C709575" w14:textId="58080D05" w:rsidR="003F5418" w:rsidRDefault="0035790E">
      <w:pPr>
        <w:pStyle w:val="P68B1DB1-Normal2"/>
        <w:spacing w:before="120" w:after="120"/>
        <w:jc w:val="both"/>
        <w:rPr>
          <w:noProof/>
        </w:rPr>
      </w:pPr>
      <w:r>
        <w:rPr>
          <w:noProof/>
        </w:rPr>
        <w:t>1</w:t>
      </w:r>
      <w:r w:rsidRPr="00B07E42">
        <w:rPr>
          <w:noProof/>
        </w:rPr>
        <w:t>.</w:t>
      </w:r>
      <w:r>
        <w:rPr>
          <w:noProof/>
        </w:rPr>
        <w:t>3</w:t>
      </w:r>
      <w:r w:rsidRPr="00B07E42">
        <w:rPr>
          <w:noProof/>
        </w:rPr>
        <w:t>.</w:t>
      </w:r>
      <w:r>
        <w:rPr>
          <w:noProof/>
        </w:rPr>
        <w:t xml:space="preserve"> Beruházás – Diagonális összeköttetések</w:t>
      </w:r>
    </w:p>
    <w:p w14:paraId="26226839" w14:textId="77777777" w:rsidR="003F5418" w:rsidRDefault="002A6C25">
      <w:pPr>
        <w:spacing w:before="120" w:after="120"/>
        <w:jc w:val="both"/>
        <w:rPr>
          <w:noProof/>
        </w:rPr>
      </w:pPr>
      <w:r>
        <w:rPr>
          <w:noProof/>
        </w:rPr>
        <w:t>Ez a beruházás az Orte-Falconara e Taranto -Metaponto-Potenza-Battipaglia vonalakon mind személy-, mind teherszállítási célú, 27 km-es nagysebességű vasút megépítéséből áll. Az egyes releváns</w:t>
      </w:r>
      <w:r>
        <w:rPr>
          <w:noProof/>
        </w:rPr>
        <w:t xml:space="preserve"> projektek/beruházások értékelésének és engedélyezésének tiszteletben kell tartania a 92/43/EGK uniós irányelv 6. cikkének (3) és (4) bekezdésében meghatározott valamennyi szabályt és eljárást, és követnie kell az Olasz Köztársaság 2019. december 28-i 303.</w:t>
      </w:r>
      <w:r>
        <w:rPr>
          <w:noProof/>
        </w:rPr>
        <w:t xml:space="preserve"> sz. hivatalos gazzette-i számában közzétett, a hatásvizsgálatra vonatkozó nemzeti iránymutatásokat.</w:t>
      </w:r>
    </w:p>
    <w:p w14:paraId="11050776" w14:textId="39048F76" w:rsidR="003F5418" w:rsidRDefault="0035790E">
      <w:pPr>
        <w:pStyle w:val="P68B1DB1-Normal2"/>
        <w:spacing w:before="120" w:after="120"/>
        <w:jc w:val="both"/>
        <w:rPr>
          <w:noProof/>
        </w:rPr>
      </w:pPr>
      <w:r>
        <w:rPr>
          <w:noProof/>
        </w:rPr>
        <w:t>1</w:t>
      </w:r>
      <w:r w:rsidRPr="00B07E42">
        <w:rPr>
          <w:noProof/>
        </w:rPr>
        <w:t>.</w:t>
      </w:r>
      <w:r>
        <w:rPr>
          <w:noProof/>
        </w:rPr>
        <w:t>4</w:t>
      </w:r>
      <w:r w:rsidRPr="00B07E42">
        <w:rPr>
          <w:noProof/>
        </w:rPr>
        <w:t>.</w:t>
      </w:r>
      <w:r>
        <w:rPr>
          <w:noProof/>
        </w:rPr>
        <w:t xml:space="preserve"> Beruházás – Európai vasúti szállításirányítási rendszer (ERTMS)</w:t>
      </w:r>
    </w:p>
    <w:p w14:paraId="08FBE88D" w14:textId="3652BDB8" w:rsidR="003F5418" w:rsidRDefault="002A6C25">
      <w:pPr>
        <w:spacing w:before="120" w:after="120"/>
        <w:jc w:val="both"/>
        <w:rPr>
          <w:noProof/>
        </w:rPr>
      </w:pPr>
      <w:r>
        <w:rPr>
          <w:noProof/>
        </w:rPr>
        <w:t>E beruházás keretében 2 785 km vasútvonalat szerelnek fel az európai vasúti közlekedés</w:t>
      </w:r>
      <w:r>
        <w:rPr>
          <w:noProof/>
        </w:rPr>
        <w:t xml:space="preserve">irányítási rendszerrel (ERTMS) az ERTMS európai megvalósítási tervével összhangban.  </w:t>
      </w:r>
    </w:p>
    <w:p w14:paraId="431522EB" w14:textId="3543469C" w:rsidR="003F5418" w:rsidRDefault="0035790E">
      <w:pPr>
        <w:pStyle w:val="P68B1DB1-Normal2"/>
        <w:spacing w:before="120" w:after="120"/>
        <w:jc w:val="both"/>
        <w:rPr>
          <w:noProof/>
        </w:rPr>
      </w:pPr>
      <w:r>
        <w:rPr>
          <w:noProof/>
        </w:rPr>
        <w:t>1</w:t>
      </w:r>
      <w:r w:rsidRPr="00B07E42">
        <w:rPr>
          <w:noProof/>
        </w:rPr>
        <w:t>.</w:t>
      </w:r>
      <w:r>
        <w:rPr>
          <w:noProof/>
        </w:rPr>
        <w:t>5</w:t>
      </w:r>
      <w:r w:rsidRPr="00B07E42">
        <w:rPr>
          <w:noProof/>
        </w:rPr>
        <w:t>.</w:t>
      </w:r>
      <w:r>
        <w:rPr>
          <w:noProof/>
        </w:rPr>
        <w:t xml:space="preserve"> Beruházás – A nagyvárosi csomópontok és a legfontosabb nemzeti kapcsolatok megerősítése</w:t>
      </w:r>
    </w:p>
    <w:p w14:paraId="1CE965F8" w14:textId="77777777" w:rsidR="003F5418" w:rsidRDefault="002A6C25">
      <w:pPr>
        <w:spacing w:before="120" w:after="120"/>
        <w:jc w:val="both"/>
        <w:rPr>
          <w:noProof/>
        </w:rPr>
      </w:pPr>
      <w:r>
        <w:rPr>
          <w:noProof/>
        </w:rPr>
        <w:t>Ez a beruházás 12 nagyvárosi csomóponton és a legfontosabb nemzeti összekötte</w:t>
      </w:r>
      <w:r>
        <w:rPr>
          <w:noProof/>
        </w:rPr>
        <w:t>téseken (Liguria-Alps, Bologna-Venice-Tryte/Udine, Bologna-Milano, Bologna-Verona-Brennero, Közép- és Észak-Tirrén-szoros, adriai- és jón-tengeri összeköttetés, városi csomópontok és regionális vonalak) legalább 1,280 km hosszúságú vasútvonalak korszerűsít</w:t>
      </w:r>
      <w:r>
        <w:rPr>
          <w:noProof/>
        </w:rPr>
        <w:t>éséből áll; Áruterminálok). Az egyes releváns projektek vagy beruházások értékelésének és engedélyezésének tiszteletben kell tartania a 92/43/EGK irányelv 6. cikkének (3) és (4) bekezdésében meghatározott valamennyi szabályt és eljárást, és követnie kell a</w:t>
      </w:r>
      <w:r>
        <w:rPr>
          <w:noProof/>
        </w:rPr>
        <w:t>z Olasz Köztársaság 2019. december 28-i 303. sz. hivatalos gazzette-i számában közzétett, a hatásvizsgálatra vonatkozó nemzeti iránymutatásokat.</w:t>
      </w:r>
    </w:p>
    <w:p w14:paraId="40F99158" w14:textId="00F78DA4" w:rsidR="003F5418" w:rsidRDefault="0035790E">
      <w:pPr>
        <w:pStyle w:val="P68B1DB1-Normal2"/>
        <w:spacing w:before="120" w:after="120"/>
        <w:jc w:val="both"/>
        <w:rPr>
          <w:noProof/>
        </w:rPr>
      </w:pPr>
      <w:r>
        <w:rPr>
          <w:noProof/>
        </w:rPr>
        <w:t>1</w:t>
      </w:r>
      <w:r w:rsidRPr="00B07E42">
        <w:rPr>
          <w:noProof/>
        </w:rPr>
        <w:t>.</w:t>
      </w:r>
      <w:r>
        <w:rPr>
          <w:noProof/>
        </w:rPr>
        <w:t>6</w:t>
      </w:r>
      <w:r w:rsidRPr="00B07E42">
        <w:rPr>
          <w:noProof/>
        </w:rPr>
        <w:t>.</w:t>
      </w:r>
      <w:r>
        <w:rPr>
          <w:noProof/>
        </w:rPr>
        <w:t xml:space="preserve"> Beruházás – Regionális vonalak megerősítése – A regionális vasutak korszerűsítése (üzemeltetési kutatásfinanszírozási eszköz)</w:t>
      </w:r>
    </w:p>
    <w:p w14:paraId="4149A3ED" w14:textId="77777777" w:rsidR="003F5418" w:rsidRDefault="002A6C25">
      <w:pPr>
        <w:spacing w:before="120" w:after="120"/>
        <w:jc w:val="both"/>
        <w:rPr>
          <w:noProof/>
        </w:rPr>
      </w:pPr>
      <w:r>
        <w:rPr>
          <w:noProof/>
        </w:rPr>
        <w:t xml:space="preserve">Ez a beruházás 646 km-nyi regionális vonal korszerűsítéséből áll, amelyek tulajdonjogát a </w:t>
      </w:r>
      <w:r>
        <w:rPr>
          <w:i/>
          <w:noProof/>
        </w:rPr>
        <w:t>Rete Ferroviaria Italianára (RFI)</w:t>
      </w:r>
      <w:r>
        <w:rPr>
          <w:noProof/>
        </w:rPr>
        <w:t xml:space="preserve"> ruházták át, vagy fokozatosan átruházzák az utóbbira. Az egyes releváns projektek vagy beruházások értékelésének</w:t>
      </w:r>
      <w:r>
        <w:rPr>
          <w:noProof/>
        </w:rPr>
        <w:t xml:space="preserve"> és engedélyezésének tiszteletben kell tartania a 92/43/EGK irányelv 6. cikkének (3) és (4) bekezdésében meghatározott valamennyi szabályt és eljárást, és követnie kell az Olasz Köztársaság 2019. december 28-i 303. sz. hivatalos gazzette-i számában közzéte</w:t>
      </w:r>
      <w:r>
        <w:rPr>
          <w:noProof/>
        </w:rPr>
        <w:t>tt, a hatásvizsgálatra vonatkozó nemzeti iránymutatásokat.</w:t>
      </w:r>
    </w:p>
    <w:p w14:paraId="41229576" w14:textId="77777777" w:rsidR="003F5418" w:rsidRDefault="002A6C25">
      <w:pPr>
        <w:spacing w:before="120" w:after="120"/>
        <w:jc w:val="both"/>
        <w:rPr>
          <w:noProof/>
        </w:rPr>
      </w:pPr>
      <w:r>
        <w:rPr>
          <w:noProof/>
        </w:rPr>
        <w:t>A beavatkozásokat a következő sorokban tervezik:</w:t>
      </w:r>
    </w:p>
    <w:p w14:paraId="66CCABF4" w14:textId="77777777" w:rsidR="003F5418" w:rsidRDefault="002A6C25">
      <w:pPr>
        <w:numPr>
          <w:ilvl w:val="0"/>
          <w:numId w:val="48"/>
        </w:numPr>
        <w:spacing w:before="120" w:after="120" w:line="259" w:lineRule="auto"/>
        <w:ind w:left="360"/>
        <w:contextualSpacing/>
        <w:jc w:val="both"/>
        <w:rPr>
          <w:noProof/>
        </w:rPr>
      </w:pPr>
      <w:r>
        <w:rPr>
          <w:noProof/>
        </w:rPr>
        <w:t>Piemont: a Torino Cerese-Canavesana korszerűsítése és korszerűsítése: a forgalom rendszerességének javítása;</w:t>
      </w:r>
    </w:p>
    <w:p w14:paraId="54ED928C" w14:textId="77777777" w:rsidR="003F5418" w:rsidRDefault="002A6C25">
      <w:pPr>
        <w:numPr>
          <w:ilvl w:val="0"/>
          <w:numId w:val="48"/>
        </w:numPr>
        <w:spacing w:before="120" w:after="120" w:line="259" w:lineRule="auto"/>
        <w:ind w:left="360"/>
        <w:contextualSpacing/>
        <w:jc w:val="both"/>
        <w:rPr>
          <w:noProof/>
        </w:rPr>
      </w:pPr>
      <w:r>
        <w:rPr>
          <w:noProof/>
        </w:rPr>
        <w:t>Friuli Venezia Giulia: FuC-vasút: infra</w:t>
      </w:r>
      <w:r>
        <w:rPr>
          <w:noProof/>
        </w:rPr>
        <w:t>strukturális és technológiai munkálatok az Udine-Cividale vonalon: a forgalom rendszerességének javítása;</w:t>
      </w:r>
    </w:p>
    <w:p w14:paraId="391BD5B5" w14:textId="77777777" w:rsidR="003F5418" w:rsidRDefault="002A6C25">
      <w:pPr>
        <w:numPr>
          <w:ilvl w:val="0"/>
          <w:numId w:val="48"/>
        </w:numPr>
        <w:spacing w:before="120" w:after="120" w:line="259" w:lineRule="auto"/>
        <w:ind w:left="360"/>
        <w:contextualSpacing/>
        <w:jc w:val="both"/>
        <w:rPr>
          <w:noProof/>
        </w:rPr>
      </w:pPr>
      <w:r>
        <w:rPr>
          <w:noProof/>
        </w:rPr>
        <w:t>Umbria: Umbrian Central Railway (FCU): infrastrukturális és technológiai beavatkozások;</w:t>
      </w:r>
    </w:p>
    <w:p w14:paraId="7BE25A37" w14:textId="77777777" w:rsidR="003F5418" w:rsidRDefault="002A6C25">
      <w:pPr>
        <w:numPr>
          <w:ilvl w:val="0"/>
          <w:numId w:val="48"/>
        </w:numPr>
        <w:spacing w:before="120" w:after="120" w:line="259" w:lineRule="auto"/>
        <w:ind w:left="360"/>
        <w:contextualSpacing/>
        <w:jc w:val="both"/>
        <w:rPr>
          <w:noProof/>
        </w:rPr>
      </w:pPr>
      <w:r>
        <w:rPr>
          <w:noProof/>
        </w:rPr>
        <w:t xml:space="preserve">Campania (EAV): A Cancello-Benevento vonal megerősítése és </w:t>
      </w:r>
      <w:r>
        <w:rPr>
          <w:noProof/>
        </w:rPr>
        <w:t>korszerűsítése: a vasúti műveletekre vonatkozó biztonsági előírások javítása;</w:t>
      </w:r>
    </w:p>
    <w:p w14:paraId="35ABEB8A" w14:textId="77777777" w:rsidR="003F5418" w:rsidRDefault="002A6C25">
      <w:pPr>
        <w:numPr>
          <w:ilvl w:val="0"/>
          <w:numId w:val="48"/>
        </w:numPr>
        <w:spacing w:before="120" w:after="120" w:line="259" w:lineRule="auto"/>
        <w:ind w:left="360"/>
        <w:contextualSpacing/>
        <w:jc w:val="both"/>
        <w:rPr>
          <w:noProof/>
        </w:rPr>
      </w:pPr>
      <w:r>
        <w:rPr>
          <w:noProof/>
        </w:rPr>
        <w:t>Puglia: Bari-Bitritto-vonal: infrastrukturális korszerűsítés: a nemzeti vasúti infrastruktúra műszaki/szabályozási szabványainak való megfelelés; Ferrovie del Sud Est (FSE): a Ba</w:t>
      </w:r>
      <w:r>
        <w:rPr>
          <w:noProof/>
        </w:rPr>
        <w:t>ri-Taranto vonal infrastrukturális korszerűsítése: a beavatkozásnak lehetővé kell tennie az RFI teljesítményszabványaihoz és az átjárhatósági műszaki előírásokhoz való alkalmazkodást; FSE: SCMT/ERTMS berendezések befejezése a hálózaton: a forgalmi teljesít</w:t>
      </w:r>
      <w:r>
        <w:rPr>
          <w:noProof/>
        </w:rPr>
        <w:t>mény javítása, a kapacitás optimalizálása, a biztonsági előírások javítása; FSE: Intermodális központok megvalósítása és 20 állomás korszerűsítése: a beavatkozás célja az állomások hozzáférhetőségének javítása, valamint a vasúti buszok, a vasúti-magánautók</w:t>
      </w:r>
      <w:r>
        <w:rPr>
          <w:noProof/>
        </w:rPr>
        <w:t xml:space="preserve"> és a vasúti kerékpárok cseréjére szolgáló területek létrehozása;</w:t>
      </w:r>
    </w:p>
    <w:p w14:paraId="1F77D4D7" w14:textId="77777777" w:rsidR="003F5418" w:rsidRDefault="002A6C25">
      <w:pPr>
        <w:numPr>
          <w:ilvl w:val="0"/>
          <w:numId w:val="48"/>
        </w:numPr>
        <w:spacing w:before="120" w:after="120" w:line="259" w:lineRule="auto"/>
        <w:ind w:left="360"/>
        <w:contextualSpacing/>
        <w:jc w:val="both"/>
        <w:rPr>
          <w:noProof/>
        </w:rPr>
      </w:pPr>
      <w:r>
        <w:rPr>
          <w:noProof/>
        </w:rPr>
        <w:t>Calabria: Rosarno-S. Ferdinando vonal: a Rosarno és San Ferdinando vonalak berendezéseinek korszerűsítése a Gioia Tauro-hoz való csatlakozás érdekében.</w:t>
      </w:r>
    </w:p>
    <w:p w14:paraId="532D0F6D" w14:textId="7D53E366" w:rsidR="003F5418" w:rsidRDefault="0035790E">
      <w:pPr>
        <w:pStyle w:val="P68B1DB1-Normal2"/>
        <w:spacing w:before="120" w:after="120"/>
        <w:jc w:val="both"/>
        <w:rPr>
          <w:noProof/>
        </w:rPr>
      </w:pPr>
      <w:r>
        <w:rPr>
          <w:noProof/>
        </w:rPr>
        <w:t>1</w:t>
      </w:r>
      <w:r w:rsidRPr="00B07E42">
        <w:rPr>
          <w:noProof/>
        </w:rPr>
        <w:t>.</w:t>
      </w:r>
      <w:r>
        <w:rPr>
          <w:noProof/>
        </w:rPr>
        <w:t>7</w:t>
      </w:r>
      <w:r w:rsidRPr="00B07E42">
        <w:rPr>
          <w:noProof/>
        </w:rPr>
        <w:t>.</w:t>
      </w:r>
      <w:r>
        <w:rPr>
          <w:noProof/>
        </w:rPr>
        <w:t xml:space="preserve"> Beruházás – A déli vasutak korszerűsítése, villamosítása és rezilienciája</w:t>
      </w:r>
    </w:p>
    <w:p w14:paraId="02B5A1D7" w14:textId="17182BE8" w:rsidR="003F5418" w:rsidRDefault="002A6C25">
      <w:pPr>
        <w:spacing w:before="120" w:after="120"/>
        <w:jc w:val="both"/>
        <w:rPr>
          <w:noProof/>
        </w:rPr>
      </w:pPr>
      <w:r>
        <w:rPr>
          <w:noProof/>
        </w:rPr>
        <w:t xml:space="preserve">Ez a beruházás 1 162 km-nyi vasút korszerűsítésére, villamosítására és ellenálló képességére irányul délen.  Az ezen intézkedéshez tartozó projektek más európai programokból is támogatásban részesülhetnek. Az ilyen </w:t>
      </w:r>
      <w:r>
        <w:rPr>
          <w:noProof/>
        </w:rPr>
        <w:t>támogatás nem vehető figyelembe e beruházás megvalósításához. Ezen túlmenően az ezen intézkedéshez tartozó projektek nemzeti alapokból is részesülhetnek támogatásban.</w:t>
      </w:r>
    </w:p>
    <w:p w14:paraId="0D0E7566" w14:textId="3D815692" w:rsidR="003F5418" w:rsidRDefault="0035790E">
      <w:pPr>
        <w:pStyle w:val="P68B1DB1-Normal2"/>
        <w:spacing w:before="120" w:after="120"/>
        <w:jc w:val="both"/>
        <w:rPr>
          <w:noProof/>
        </w:rPr>
      </w:pPr>
      <w:r>
        <w:rPr>
          <w:noProof/>
        </w:rPr>
        <w:t>1</w:t>
      </w:r>
      <w:r w:rsidRPr="00B07E42">
        <w:rPr>
          <w:noProof/>
        </w:rPr>
        <w:t>.</w:t>
      </w:r>
      <w:r>
        <w:rPr>
          <w:noProof/>
        </w:rPr>
        <w:t>8</w:t>
      </w:r>
      <w:r w:rsidRPr="00B07E42">
        <w:rPr>
          <w:noProof/>
        </w:rPr>
        <w:t>.</w:t>
      </w:r>
      <w:r>
        <w:rPr>
          <w:noProof/>
        </w:rPr>
        <w:t xml:space="preserve"> Beruházás – A vasútállomások korszerűsítése (</w:t>
      </w:r>
      <w:r>
        <w:rPr>
          <w:i/>
          <w:noProof/>
        </w:rPr>
        <w:t>Rete Ferroviaria Italiana (RFI) irányítása)</w:t>
      </w:r>
      <w:r>
        <w:rPr>
          <w:noProof/>
        </w:rPr>
        <w:t>; délen)</w:t>
      </w:r>
    </w:p>
    <w:p w14:paraId="7EBA77AF" w14:textId="77777777" w:rsidR="003F5418" w:rsidRDefault="002A6C25">
      <w:pPr>
        <w:spacing w:before="120" w:after="120"/>
        <w:jc w:val="both"/>
        <w:rPr>
          <w:noProof/>
        </w:rPr>
      </w:pPr>
      <w:r>
        <w:rPr>
          <w:noProof/>
        </w:rPr>
        <w:t>Ez a beruházás 38 vasútállomás korszerűsítéséből és akadálymentessé tételéből áll az 1300/2014/EU bizottsági rendelettel és az uniós vasútbiztonsági szabályozással összhangban. Az egyes releváns projektek vagy beruházások értékelésének és enge</w:t>
      </w:r>
      <w:r>
        <w:rPr>
          <w:noProof/>
        </w:rPr>
        <w:t>délyezésének tiszteletben kell tartania a 92/43/EGK irányelv 6. cikkének (3) és (4) bekezdésében meghatározott valamennyi szabályt és eljárást, és követnie kell az Olasz Köztársaság 2019. december 28-i 303. sz. hivatalos gazzette-i számában közzétett, a ha</w:t>
      </w:r>
      <w:r>
        <w:rPr>
          <w:noProof/>
        </w:rPr>
        <w:t>tásvizsgálatra vonatkozó nemzeti iránymutatásokat.</w:t>
      </w:r>
    </w:p>
    <w:p w14:paraId="528E7D29" w14:textId="61740E45" w:rsidR="003F5418" w:rsidRDefault="0035790E">
      <w:pPr>
        <w:pStyle w:val="P68B1DB1-Normal2"/>
        <w:spacing w:before="120" w:after="120"/>
        <w:jc w:val="both"/>
        <w:rPr>
          <w:noProof/>
        </w:rPr>
      </w:pPr>
      <w:r>
        <w:rPr>
          <w:noProof/>
        </w:rPr>
        <w:t>1</w:t>
      </w:r>
      <w:r w:rsidRPr="00B07E42">
        <w:rPr>
          <w:noProof/>
        </w:rPr>
        <w:t>.</w:t>
      </w:r>
      <w:r>
        <w:rPr>
          <w:noProof/>
        </w:rPr>
        <w:t>9</w:t>
      </w:r>
      <w:r w:rsidRPr="00B07E42">
        <w:rPr>
          <w:noProof/>
        </w:rPr>
        <w:t>.</w:t>
      </w:r>
      <w:r>
        <w:rPr>
          <w:noProof/>
        </w:rPr>
        <w:t xml:space="preserve"> Beruházás – Régiók közötti kapcsolatok </w:t>
      </w:r>
    </w:p>
    <w:p w14:paraId="3F645D8B" w14:textId="77777777" w:rsidR="003F5418" w:rsidRDefault="002A6C25">
      <w:pPr>
        <w:spacing w:before="120" w:after="120"/>
        <w:jc w:val="both"/>
        <w:rPr>
          <w:noProof/>
        </w:rPr>
      </w:pPr>
      <w:r>
        <w:rPr>
          <w:noProof/>
        </w:rPr>
        <w:t>Ez a beruházás a következő sorokból álló 221 km-es beavatkozás felgyorsítását foglalja magában:</w:t>
      </w:r>
    </w:p>
    <w:p w14:paraId="08657A90" w14:textId="77777777" w:rsidR="003F5418" w:rsidRDefault="002A6C25">
      <w:pPr>
        <w:pStyle w:val="ListParagraph"/>
        <w:numPr>
          <w:ilvl w:val="0"/>
          <w:numId w:val="91"/>
        </w:numPr>
        <w:rPr>
          <w:noProof/>
        </w:rPr>
      </w:pPr>
      <w:r>
        <w:rPr>
          <w:noProof/>
        </w:rPr>
        <w:t>Milánó – Genova</w:t>
      </w:r>
    </w:p>
    <w:p w14:paraId="381B8A5B" w14:textId="77777777" w:rsidR="003F5418" w:rsidRDefault="002A6C25">
      <w:pPr>
        <w:pStyle w:val="ListParagraph"/>
        <w:numPr>
          <w:ilvl w:val="0"/>
          <w:numId w:val="91"/>
        </w:numPr>
        <w:rPr>
          <w:noProof/>
        </w:rPr>
      </w:pPr>
      <w:r>
        <w:rPr>
          <w:noProof/>
        </w:rPr>
        <w:t>Palermo – Catania (linea storica)</w:t>
      </w:r>
    </w:p>
    <w:p w14:paraId="139786B3" w14:textId="77777777" w:rsidR="003F5418" w:rsidRDefault="002A6C25">
      <w:pPr>
        <w:pStyle w:val="ListParagraph"/>
        <w:numPr>
          <w:ilvl w:val="0"/>
          <w:numId w:val="91"/>
        </w:numPr>
        <w:rPr>
          <w:noProof/>
        </w:rPr>
      </w:pPr>
      <w:r>
        <w:rPr>
          <w:noProof/>
        </w:rPr>
        <w:t>Battipaglia-Potenza</w:t>
      </w:r>
    </w:p>
    <w:p w14:paraId="37173900" w14:textId="77777777" w:rsidR="003F5418" w:rsidRDefault="002A6C25">
      <w:pPr>
        <w:pStyle w:val="ListParagraph"/>
        <w:numPr>
          <w:ilvl w:val="0"/>
          <w:numId w:val="91"/>
        </w:numPr>
        <w:rPr>
          <w:noProof/>
        </w:rPr>
      </w:pPr>
      <w:r>
        <w:rPr>
          <w:noProof/>
        </w:rPr>
        <w:t>Orte – Falconara.</w:t>
      </w:r>
    </w:p>
    <w:p w14:paraId="10F282C7" w14:textId="77777777" w:rsidR="003F5418" w:rsidRDefault="002A6C25">
      <w:pPr>
        <w:rPr>
          <w:noProof/>
        </w:rPr>
      </w:pPr>
      <w:r>
        <w:rPr>
          <w:noProof/>
        </w:rPr>
        <w:t>A beruházás célja a jelenlegi infrastruktúrák teljesítményének növelése olyan beavatkozások révén, amelyek a következőket foglalhatják magukban:</w:t>
      </w:r>
    </w:p>
    <w:p w14:paraId="428FD499" w14:textId="77777777" w:rsidR="003F5418" w:rsidRDefault="002A6C25">
      <w:pPr>
        <w:pStyle w:val="ListParagraph"/>
        <w:numPr>
          <w:ilvl w:val="0"/>
          <w:numId w:val="92"/>
        </w:numPr>
        <w:rPr>
          <w:noProof/>
        </w:rPr>
      </w:pPr>
      <w:r>
        <w:rPr>
          <w:noProof/>
        </w:rPr>
        <w:t>az állomások alapterületi terveinek módosításai (PRG – Piano Regolatore G</w:t>
      </w:r>
      <w:r>
        <w:rPr>
          <w:noProof/>
        </w:rPr>
        <w:t xml:space="preserve">enerale); </w:t>
      </w:r>
    </w:p>
    <w:p w14:paraId="22DBD64A" w14:textId="77777777" w:rsidR="003F5418" w:rsidRDefault="002A6C25">
      <w:pPr>
        <w:pStyle w:val="ListParagraph"/>
        <w:numPr>
          <w:ilvl w:val="0"/>
          <w:numId w:val="92"/>
        </w:numPr>
        <w:rPr>
          <w:noProof/>
        </w:rPr>
      </w:pPr>
      <w:r>
        <w:rPr>
          <w:noProof/>
        </w:rPr>
        <w:t>ERTMS;</w:t>
      </w:r>
    </w:p>
    <w:p w14:paraId="66B88D27" w14:textId="77777777" w:rsidR="003F5418" w:rsidRDefault="002A6C25">
      <w:pPr>
        <w:pStyle w:val="ListParagraph"/>
        <w:numPr>
          <w:ilvl w:val="0"/>
          <w:numId w:val="92"/>
        </w:numPr>
        <w:rPr>
          <w:noProof/>
        </w:rPr>
      </w:pPr>
      <w:r>
        <w:rPr>
          <w:noProof/>
        </w:rPr>
        <w:t>a forgalomirányító rendszer, például az ACC (Apparato Centrale Computerizzato) és az ACCM (Apparato Centrale a Calcolatore Multistazione) konfigurációja és/vagy módosítása</w:t>
      </w:r>
    </w:p>
    <w:p w14:paraId="510BFAD1" w14:textId="77777777" w:rsidR="003F5418" w:rsidRDefault="002A6C25">
      <w:pPr>
        <w:pStyle w:val="ListParagraph"/>
        <w:numPr>
          <w:ilvl w:val="0"/>
          <w:numId w:val="92"/>
        </w:numPr>
        <w:rPr>
          <w:noProof/>
        </w:rPr>
      </w:pPr>
      <w:r>
        <w:rPr>
          <w:noProof/>
        </w:rPr>
        <w:t>a fizikai infrastruktúrák egyéb fejlesztései, amelyek magukban fog</w:t>
      </w:r>
      <w:r>
        <w:rPr>
          <w:noProof/>
        </w:rPr>
        <w:t>lalhatják a vasúti ágyat, a berendezéseket és az infrastruktúrához kapcsolódó egyéb beavatkozásokat.</w:t>
      </w:r>
    </w:p>
    <w:p w14:paraId="53A2021C" w14:textId="11CA78C9" w:rsidR="003F5418" w:rsidRDefault="0035790E">
      <w:pPr>
        <w:pStyle w:val="P68B1DB1-Normal2"/>
        <w:spacing w:before="120" w:after="120"/>
        <w:jc w:val="both"/>
        <w:rPr>
          <w:noProof/>
        </w:rPr>
      </w:pPr>
      <w:r>
        <w:rPr>
          <w:noProof/>
        </w:rPr>
        <w:t>2</w:t>
      </w:r>
      <w:r w:rsidRPr="00B07E42">
        <w:rPr>
          <w:noProof/>
        </w:rPr>
        <w:t>.1.</w:t>
      </w:r>
      <w:r>
        <w:rPr>
          <w:noProof/>
        </w:rPr>
        <w:t xml:space="preserve"> Reform – A kockázatok osztályozására és kezelésére, a biztonság értékelésére és a meglévő hidak ellenőrzésére vonatkozó iránymutatások elfogadása</w:t>
      </w:r>
    </w:p>
    <w:p w14:paraId="0937D261" w14:textId="77777777" w:rsidR="003F5418" w:rsidRDefault="002A6C25">
      <w:pPr>
        <w:spacing w:before="120" w:after="120"/>
        <w:jc w:val="both"/>
        <w:rPr>
          <w:noProof/>
        </w:rPr>
      </w:pPr>
      <w:r>
        <w:rPr>
          <w:noProof/>
        </w:rPr>
        <w:t>Ez a</w:t>
      </w:r>
      <w:r>
        <w:rPr>
          <w:noProof/>
        </w:rPr>
        <w:t xml:space="preserve"> reform a kockázatok osztályozására és kezelésére, a biztonság értékelésére és a meglévő hidak nyomon követésére vonatkozó iránymutatások elfogadását foglalja magában. „Iránymutatások” elfogadása, amelyek lehetővé teszik közös szabványok és módszerek alkal</w:t>
      </w:r>
      <w:r>
        <w:rPr>
          <w:noProof/>
        </w:rPr>
        <w:t>mazását a teljes nemzeti közúthálózaton.</w:t>
      </w:r>
    </w:p>
    <w:p w14:paraId="3D8E7D6C" w14:textId="71A250E8" w:rsidR="003F5418" w:rsidRDefault="0035790E">
      <w:pPr>
        <w:pStyle w:val="P68B1DB1-Normal2"/>
        <w:spacing w:before="120" w:after="120"/>
        <w:jc w:val="both"/>
        <w:rPr>
          <w:noProof/>
        </w:rPr>
      </w:pPr>
      <w:r>
        <w:rPr>
          <w:noProof/>
        </w:rPr>
        <w:t>2</w:t>
      </w:r>
      <w:r w:rsidRPr="00B07E42">
        <w:rPr>
          <w:noProof/>
        </w:rPr>
        <w:t>.</w:t>
      </w:r>
      <w:r>
        <w:rPr>
          <w:noProof/>
        </w:rPr>
        <w:t>2</w:t>
      </w:r>
      <w:r w:rsidRPr="00B07E42">
        <w:rPr>
          <w:noProof/>
        </w:rPr>
        <w:t>.</w:t>
      </w:r>
      <w:r>
        <w:rPr>
          <w:noProof/>
        </w:rPr>
        <w:t xml:space="preserve"> Reform – A hidak és viaduktok tulajdonának áthelyezése az alsóbb szintű utakról a magasabb rangú utakra</w:t>
      </w:r>
    </w:p>
    <w:p w14:paraId="1E6E7C31" w14:textId="77777777" w:rsidR="003F5418" w:rsidRDefault="002A6C25">
      <w:pPr>
        <w:spacing w:before="120" w:after="120" w:line="300" w:lineRule="atLeast"/>
        <w:jc w:val="both"/>
        <w:rPr>
          <w:noProof/>
        </w:rPr>
      </w:pPr>
      <w:r>
        <w:rPr>
          <w:noProof/>
        </w:rPr>
        <w:t>Ez a reform a hidak, viaduktok és túljárók tulajdonjogának az alacsonyabb típusú utakról a magasabb típusú utakra (autópályákra és elővárosi főutakra) történő átruházásából áll, ami lehetővé teszi az úthálózat általános biztonságának növelését, mivel a hid</w:t>
      </w:r>
      <w:r>
        <w:rPr>
          <w:noProof/>
        </w:rPr>
        <w:t>akat, az átjárókat és a túljárókat az ANAS és/vagy az autópályák koncessziós jogosultjai tartják fenn, amelyek jobb tervezési és karbantartási kapacitással rendelkeznek, mint az egyes települések vagy tartományok.</w:t>
      </w:r>
    </w:p>
    <w:p w14:paraId="0F9F231E" w14:textId="77777777" w:rsidR="003F5418" w:rsidRDefault="002A6C25">
      <w:pPr>
        <w:pStyle w:val="Heading3"/>
        <w:numPr>
          <w:ilvl w:val="0"/>
          <w:numId w:val="0"/>
        </w:numPr>
        <w:ind w:left="850" w:hanging="850"/>
        <w:rPr>
          <w:b/>
          <w:i w:val="0"/>
          <w:noProof/>
          <w:u w:val="single"/>
        </w:rPr>
      </w:pPr>
      <w:r>
        <w:rPr>
          <w:b/>
          <w:i w:val="0"/>
          <w:noProof/>
          <w:u w:val="single"/>
        </w:rPr>
        <w:t xml:space="preserve">H.4. </w:t>
      </w:r>
      <w:r>
        <w:rPr>
          <w:noProof/>
        </w:rPr>
        <w:t xml:space="preserve"> </w:t>
      </w:r>
      <w:r>
        <w:rPr>
          <w:b/>
          <w:i w:val="0"/>
          <w:noProof/>
          <w:u w:val="single"/>
        </w:rPr>
        <w:t>Hitel – a végrehajtáshoz és a nyomon</w:t>
      </w:r>
      <w:r>
        <w:rPr>
          <w:b/>
          <w:i w:val="0"/>
          <w:noProof/>
          <w:u w:val="single"/>
        </w:rPr>
        <w:t xml:space="preserve"> követéshez kapcsolódó mérföldkövek, célok, mutatók és ütemterv </w:t>
      </w:r>
    </w:p>
    <w:p w14:paraId="6712FC07" w14:textId="77777777" w:rsidR="003F5418" w:rsidRDefault="003F5418">
      <w:pPr>
        <w:spacing w:before="120" w:after="120"/>
        <w:ind w:left="709"/>
        <w:contextualSpacing/>
        <w:jc w:val="both"/>
        <w:rPr>
          <w:noProof/>
        </w:rPr>
      </w:pPr>
    </w:p>
    <w:p w14:paraId="5E5B9958" w14:textId="77777777" w:rsidR="003F5418" w:rsidRDefault="003F5418">
      <w:pPr>
        <w:spacing w:before="120" w:after="120"/>
        <w:ind w:left="709"/>
        <w:contextualSpacing/>
        <w:jc w:val="both"/>
        <w:rPr>
          <w:noProof/>
        </w:rPr>
        <w:sectPr w:rsidR="003F5418">
          <w:headerReference w:type="even" r:id="rId218"/>
          <w:headerReference w:type="default" r:id="rId219"/>
          <w:footerReference w:type="even" r:id="rId220"/>
          <w:footerReference w:type="default" r:id="rId221"/>
          <w:headerReference w:type="first" r:id="rId222"/>
          <w:footerReference w:type="first" r:id="rId223"/>
          <w:pgSz w:w="11907" w:h="16839"/>
          <w:pgMar w:top="1134" w:right="1134" w:bottom="1134" w:left="1134" w:header="567" w:footer="567" w:gutter="0"/>
          <w:cols w:space="720"/>
          <w:docGrid w:linePitch="360"/>
        </w:sectPr>
      </w:pPr>
    </w:p>
    <w:tbl>
      <w:tblPr>
        <w:tblW w:w="52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2"/>
        <w:gridCol w:w="1274"/>
        <w:gridCol w:w="1418"/>
        <w:gridCol w:w="1555"/>
        <w:gridCol w:w="993"/>
        <w:gridCol w:w="1134"/>
        <w:gridCol w:w="853"/>
        <w:gridCol w:w="850"/>
        <w:gridCol w:w="850"/>
        <w:gridCol w:w="3661"/>
      </w:tblGrid>
      <w:tr w:rsidR="003F5418" w14:paraId="407E49AD" w14:textId="77777777">
        <w:trPr>
          <w:trHeight w:val="939"/>
          <w:tblHeader/>
          <w:jc w:val="right"/>
        </w:trPr>
        <w:tc>
          <w:tcPr>
            <w:tcW w:w="369" w:type="pct"/>
            <w:vMerge w:val="restart"/>
            <w:shd w:val="clear" w:color="auto" w:fill="BDD7EE"/>
            <w:vAlign w:val="center"/>
            <w:hideMark/>
          </w:tcPr>
          <w:p w14:paraId="7B16A805" w14:textId="77777777" w:rsidR="003F5418" w:rsidRDefault="002A6C25">
            <w:pPr>
              <w:pStyle w:val="P68B1DB1-Normal3"/>
              <w:jc w:val="center"/>
              <w:rPr>
                <w:noProof/>
              </w:rPr>
            </w:pPr>
            <w:r>
              <w:rPr>
                <w:noProof/>
              </w:rPr>
              <w:t>Sorszám</w:t>
            </w:r>
          </w:p>
        </w:tc>
        <w:tc>
          <w:tcPr>
            <w:tcW w:w="511" w:type="pct"/>
            <w:vMerge w:val="restart"/>
            <w:shd w:val="clear" w:color="auto" w:fill="BDD7EE"/>
            <w:vAlign w:val="center"/>
            <w:hideMark/>
          </w:tcPr>
          <w:p w14:paraId="2F38CCF7" w14:textId="77777777" w:rsidR="003F5418" w:rsidRDefault="002A6C25">
            <w:pPr>
              <w:pStyle w:val="P68B1DB1-Normal3"/>
              <w:jc w:val="center"/>
              <w:rPr>
                <w:noProof/>
              </w:rPr>
            </w:pPr>
            <w:r>
              <w:rPr>
                <w:noProof/>
              </w:rPr>
              <w:t>Kapcsolódó intézkedés (reform vagy beruházás)</w:t>
            </w:r>
          </w:p>
        </w:tc>
        <w:tc>
          <w:tcPr>
            <w:tcW w:w="417" w:type="pct"/>
            <w:vMerge w:val="restart"/>
            <w:shd w:val="clear" w:color="auto" w:fill="BDD7EE"/>
            <w:vAlign w:val="center"/>
            <w:hideMark/>
          </w:tcPr>
          <w:p w14:paraId="311BF107" w14:textId="77777777" w:rsidR="003F5418" w:rsidRDefault="002A6C25">
            <w:pPr>
              <w:pStyle w:val="P68B1DB1-Normal3"/>
              <w:jc w:val="center"/>
              <w:rPr>
                <w:noProof/>
              </w:rPr>
            </w:pPr>
            <w:r>
              <w:rPr>
                <w:noProof/>
              </w:rPr>
              <w:t>Mérföldkő/cél</w:t>
            </w:r>
          </w:p>
        </w:tc>
        <w:tc>
          <w:tcPr>
            <w:tcW w:w="464" w:type="pct"/>
            <w:vMerge w:val="restart"/>
            <w:shd w:val="clear" w:color="auto" w:fill="BDD7EE"/>
            <w:vAlign w:val="center"/>
            <w:hideMark/>
          </w:tcPr>
          <w:p w14:paraId="17FA7675" w14:textId="77777777" w:rsidR="003F5418" w:rsidRDefault="002A6C25">
            <w:pPr>
              <w:pStyle w:val="P68B1DB1-Normal3"/>
              <w:jc w:val="center"/>
              <w:rPr>
                <w:noProof/>
              </w:rPr>
            </w:pPr>
            <w:r>
              <w:rPr>
                <w:noProof/>
              </w:rPr>
              <w:t>Név</w:t>
            </w:r>
          </w:p>
        </w:tc>
        <w:tc>
          <w:tcPr>
            <w:tcW w:w="509" w:type="pct"/>
            <w:vMerge w:val="restart"/>
            <w:shd w:val="clear" w:color="auto" w:fill="BDD7EE"/>
            <w:vAlign w:val="center"/>
            <w:hideMark/>
          </w:tcPr>
          <w:p w14:paraId="7E9F22F8"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975" w:type="pct"/>
            <w:gridSpan w:val="3"/>
            <w:shd w:val="clear" w:color="auto" w:fill="BDD7EE"/>
            <w:vAlign w:val="center"/>
            <w:hideMark/>
          </w:tcPr>
          <w:p w14:paraId="3A0D7456"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556" w:type="pct"/>
            <w:gridSpan w:val="2"/>
            <w:shd w:val="clear" w:color="auto" w:fill="BDD7EE"/>
            <w:vAlign w:val="center"/>
            <w:hideMark/>
          </w:tcPr>
          <w:p w14:paraId="3134E4FB" w14:textId="77777777" w:rsidR="003F5418" w:rsidRDefault="002A6C25">
            <w:pPr>
              <w:pStyle w:val="P68B1DB1-Normal3"/>
              <w:jc w:val="center"/>
              <w:rPr>
                <w:noProof/>
              </w:rPr>
            </w:pPr>
            <w:r>
              <w:rPr>
                <w:noProof/>
              </w:rPr>
              <w:t>A végrehajtás indikatív ütemterve</w:t>
            </w:r>
          </w:p>
        </w:tc>
        <w:tc>
          <w:tcPr>
            <w:tcW w:w="1198" w:type="pct"/>
            <w:vMerge w:val="restart"/>
            <w:shd w:val="clear" w:color="auto" w:fill="BDD7EE"/>
            <w:vAlign w:val="center"/>
            <w:hideMark/>
          </w:tcPr>
          <w:p w14:paraId="55412D93" w14:textId="77777777" w:rsidR="003F5418" w:rsidRDefault="002A6C25">
            <w:pPr>
              <w:pStyle w:val="P68B1DB1-Normal3"/>
              <w:jc w:val="center"/>
              <w:rPr>
                <w:noProof/>
              </w:rPr>
            </w:pPr>
            <w:r>
              <w:rPr>
                <w:noProof/>
              </w:rPr>
              <w:t>Az egyes mérföldkövek és célértékek leírása</w:t>
            </w:r>
          </w:p>
        </w:tc>
      </w:tr>
      <w:tr w:rsidR="003F5418" w14:paraId="519D4DF9" w14:textId="77777777">
        <w:trPr>
          <w:trHeight w:val="598"/>
          <w:tblHeader/>
          <w:jc w:val="right"/>
        </w:trPr>
        <w:tc>
          <w:tcPr>
            <w:tcW w:w="369" w:type="pct"/>
            <w:vMerge/>
            <w:shd w:val="clear" w:color="auto" w:fill="BDD7EE"/>
            <w:vAlign w:val="center"/>
            <w:hideMark/>
          </w:tcPr>
          <w:p w14:paraId="47DD538E" w14:textId="77777777" w:rsidR="003F5418" w:rsidRDefault="003F5418">
            <w:pPr>
              <w:jc w:val="center"/>
              <w:rPr>
                <w:rFonts w:ascii="Arial Narrow" w:hAnsi="Arial Narrow"/>
                <w:b/>
                <w:noProof/>
                <w:sz w:val="20"/>
              </w:rPr>
            </w:pPr>
          </w:p>
        </w:tc>
        <w:tc>
          <w:tcPr>
            <w:tcW w:w="511" w:type="pct"/>
            <w:vMerge/>
            <w:shd w:val="clear" w:color="auto" w:fill="BDD7EE"/>
            <w:vAlign w:val="center"/>
            <w:hideMark/>
          </w:tcPr>
          <w:p w14:paraId="10DB4309" w14:textId="77777777" w:rsidR="003F5418" w:rsidRDefault="003F5418">
            <w:pPr>
              <w:jc w:val="center"/>
              <w:rPr>
                <w:rFonts w:ascii="Arial Narrow" w:hAnsi="Arial Narrow"/>
                <w:b/>
                <w:noProof/>
                <w:sz w:val="20"/>
              </w:rPr>
            </w:pPr>
          </w:p>
        </w:tc>
        <w:tc>
          <w:tcPr>
            <w:tcW w:w="417" w:type="pct"/>
            <w:vMerge/>
            <w:shd w:val="clear" w:color="auto" w:fill="BDD7EE"/>
            <w:vAlign w:val="center"/>
            <w:hideMark/>
          </w:tcPr>
          <w:p w14:paraId="46A75895" w14:textId="77777777" w:rsidR="003F5418" w:rsidRDefault="003F5418">
            <w:pPr>
              <w:jc w:val="center"/>
              <w:rPr>
                <w:rFonts w:ascii="Arial Narrow" w:hAnsi="Arial Narrow"/>
                <w:b/>
                <w:noProof/>
                <w:sz w:val="20"/>
              </w:rPr>
            </w:pPr>
          </w:p>
        </w:tc>
        <w:tc>
          <w:tcPr>
            <w:tcW w:w="464" w:type="pct"/>
            <w:vMerge/>
            <w:shd w:val="clear" w:color="auto" w:fill="BDD7EE"/>
            <w:vAlign w:val="center"/>
            <w:hideMark/>
          </w:tcPr>
          <w:p w14:paraId="1CFE1B55" w14:textId="77777777" w:rsidR="003F5418" w:rsidRDefault="003F5418">
            <w:pPr>
              <w:jc w:val="center"/>
              <w:rPr>
                <w:rFonts w:ascii="Arial Narrow" w:hAnsi="Arial Narrow"/>
                <w:b/>
                <w:noProof/>
                <w:sz w:val="20"/>
              </w:rPr>
            </w:pPr>
          </w:p>
        </w:tc>
        <w:tc>
          <w:tcPr>
            <w:tcW w:w="509" w:type="pct"/>
            <w:vMerge/>
            <w:shd w:val="clear" w:color="auto" w:fill="BDD7EE"/>
            <w:vAlign w:val="center"/>
            <w:hideMark/>
          </w:tcPr>
          <w:p w14:paraId="5B6B3F21" w14:textId="77777777" w:rsidR="003F5418" w:rsidRDefault="003F5418">
            <w:pPr>
              <w:jc w:val="center"/>
              <w:rPr>
                <w:rFonts w:ascii="Arial Narrow" w:hAnsi="Arial Narrow"/>
                <w:b/>
                <w:noProof/>
                <w:sz w:val="20"/>
              </w:rPr>
            </w:pPr>
          </w:p>
        </w:tc>
        <w:tc>
          <w:tcPr>
            <w:tcW w:w="325" w:type="pct"/>
            <w:shd w:val="clear" w:color="auto" w:fill="BDD7EE"/>
            <w:vAlign w:val="center"/>
            <w:hideMark/>
          </w:tcPr>
          <w:p w14:paraId="3C61B81E" w14:textId="77777777" w:rsidR="003F5418" w:rsidRDefault="002A6C25">
            <w:pPr>
              <w:pStyle w:val="P68B1DB1-Normal3"/>
              <w:jc w:val="center"/>
              <w:rPr>
                <w:noProof/>
              </w:rPr>
            </w:pPr>
            <w:r>
              <w:rPr>
                <w:noProof/>
              </w:rPr>
              <w:t>Mértékegység</w:t>
            </w:r>
          </w:p>
        </w:tc>
        <w:tc>
          <w:tcPr>
            <w:tcW w:w="371" w:type="pct"/>
            <w:shd w:val="clear" w:color="auto" w:fill="BDD7EE"/>
            <w:vAlign w:val="center"/>
            <w:hideMark/>
          </w:tcPr>
          <w:p w14:paraId="0BE13CA8" w14:textId="77777777" w:rsidR="003F5418" w:rsidRDefault="002A6C25">
            <w:pPr>
              <w:pStyle w:val="P68B1DB1-Normal3"/>
              <w:jc w:val="center"/>
              <w:rPr>
                <w:noProof/>
              </w:rPr>
            </w:pPr>
            <w:r>
              <w:rPr>
                <w:noProof/>
              </w:rPr>
              <w:t>Kiindulási</w:t>
            </w:r>
          </w:p>
        </w:tc>
        <w:tc>
          <w:tcPr>
            <w:tcW w:w="279" w:type="pct"/>
            <w:shd w:val="clear" w:color="auto" w:fill="BDD7EE"/>
            <w:vAlign w:val="center"/>
            <w:hideMark/>
          </w:tcPr>
          <w:p w14:paraId="5AE09FC5" w14:textId="77777777" w:rsidR="003F5418" w:rsidRDefault="002A6C25">
            <w:pPr>
              <w:pStyle w:val="P68B1DB1-Normal3"/>
              <w:jc w:val="center"/>
              <w:rPr>
                <w:noProof/>
              </w:rPr>
            </w:pPr>
            <w:r>
              <w:rPr>
                <w:noProof/>
              </w:rPr>
              <w:t>Cél</w:t>
            </w:r>
          </w:p>
        </w:tc>
        <w:tc>
          <w:tcPr>
            <w:tcW w:w="278" w:type="pct"/>
            <w:shd w:val="clear" w:color="auto" w:fill="BDD7EE"/>
            <w:vAlign w:val="center"/>
            <w:hideMark/>
          </w:tcPr>
          <w:p w14:paraId="765E1EE1" w14:textId="77777777" w:rsidR="003F5418" w:rsidRDefault="002A6C25">
            <w:pPr>
              <w:pStyle w:val="P68B1DB1-Normal3"/>
              <w:jc w:val="center"/>
              <w:rPr>
                <w:noProof/>
              </w:rPr>
            </w:pPr>
            <w:r>
              <w:rPr>
                <w:noProof/>
              </w:rPr>
              <w:t>Negyedév</w:t>
            </w:r>
          </w:p>
        </w:tc>
        <w:tc>
          <w:tcPr>
            <w:tcW w:w="278" w:type="pct"/>
            <w:shd w:val="clear" w:color="auto" w:fill="BDD7EE"/>
            <w:vAlign w:val="center"/>
            <w:hideMark/>
          </w:tcPr>
          <w:p w14:paraId="13D3A789" w14:textId="77777777" w:rsidR="003F5418" w:rsidRDefault="002A6C25">
            <w:pPr>
              <w:pStyle w:val="P68B1DB1-Normal3"/>
              <w:jc w:val="center"/>
              <w:rPr>
                <w:noProof/>
              </w:rPr>
            </w:pPr>
            <w:r>
              <w:rPr>
                <w:noProof/>
              </w:rPr>
              <w:t>Éve</w:t>
            </w:r>
          </w:p>
        </w:tc>
        <w:tc>
          <w:tcPr>
            <w:tcW w:w="1198" w:type="pct"/>
            <w:vMerge/>
            <w:shd w:val="clear" w:color="auto" w:fill="BDD7EE"/>
            <w:vAlign w:val="center"/>
            <w:hideMark/>
          </w:tcPr>
          <w:p w14:paraId="39CEE7BF" w14:textId="77777777" w:rsidR="003F5418" w:rsidRDefault="003F5418">
            <w:pPr>
              <w:jc w:val="center"/>
              <w:rPr>
                <w:rFonts w:ascii="Arial Narrow" w:hAnsi="Arial Narrow"/>
                <w:b/>
                <w:noProof/>
                <w:sz w:val="20"/>
              </w:rPr>
            </w:pPr>
          </w:p>
        </w:tc>
      </w:tr>
      <w:tr w:rsidR="003F5418" w14:paraId="781AAC7B" w14:textId="77777777">
        <w:trPr>
          <w:trHeight w:val="2818"/>
          <w:jc w:val="right"/>
        </w:trPr>
        <w:tc>
          <w:tcPr>
            <w:tcW w:w="369" w:type="pct"/>
            <w:shd w:val="clear" w:color="auto" w:fill="C6EFCE"/>
            <w:noWrap/>
            <w:vAlign w:val="center"/>
            <w:hideMark/>
          </w:tcPr>
          <w:p w14:paraId="1AC51D28" w14:textId="77777777" w:rsidR="003F5418" w:rsidRDefault="002A6C25">
            <w:pPr>
              <w:pStyle w:val="P68B1DB1-Normal4"/>
              <w:jc w:val="center"/>
              <w:rPr>
                <w:noProof/>
              </w:rPr>
            </w:pPr>
            <w:r>
              <w:rPr>
                <w:noProof/>
              </w:rPr>
              <w:t>M3C1–1</w:t>
            </w:r>
          </w:p>
        </w:tc>
        <w:tc>
          <w:tcPr>
            <w:tcW w:w="511" w:type="pct"/>
            <w:shd w:val="clear" w:color="auto" w:fill="C6EFCE"/>
            <w:noWrap/>
            <w:vAlign w:val="center"/>
          </w:tcPr>
          <w:p w14:paraId="16FC36E4" w14:textId="77777777" w:rsidR="003F5418" w:rsidRDefault="002A6C25">
            <w:pPr>
              <w:pStyle w:val="P68B1DB1-Normal4"/>
              <w:jc w:val="center"/>
              <w:rPr>
                <w:noProof/>
              </w:rPr>
            </w:pPr>
            <w:r>
              <w:rPr>
                <w:noProof/>
              </w:rPr>
              <w:t>Reform – Az MIT és az RFI közötti szerződés jóváhagyási folyamatának felgyorsítása</w:t>
            </w:r>
          </w:p>
        </w:tc>
        <w:tc>
          <w:tcPr>
            <w:tcW w:w="417" w:type="pct"/>
            <w:shd w:val="clear" w:color="auto" w:fill="C6EFCE"/>
            <w:noWrap/>
            <w:vAlign w:val="center"/>
            <w:hideMark/>
          </w:tcPr>
          <w:p w14:paraId="64D27482"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78CC9B74" w14:textId="77777777" w:rsidR="003F5418" w:rsidRDefault="002A6C25">
            <w:pPr>
              <w:pStyle w:val="P68B1DB1-Normal4"/>
              <w:jc w:val="center"/>
              <w:rPr>
                <w:noProof/>
              </w:rPr>
            </w:pPr>
            <w:r>
              <w:rPr>
                <w:noProof/>
              </w:rPr>
              <w:t>A Contratti di Programma (CdP) jóváhagyási eljárására vonatkozó jogszabály-módosítás hatálybalépése</w:t>
            </w:r>
          </w:p>
        </w:tc>
        <w:tc>
          <w:tcPr>
            <w:tcW w:w="509" w:type="pct"/>
            <w:shd w:val="clear" w:color="auto" w:fill="C6EFCE"/>
            <w:noWrap/>
            <w:vAlign w:val="center"/>
            <w:hideMark/>
          </w:tcPr>
          <w:p w14:paraId="5C74B77C" w14:textId="77777777" w:rsidR="003F5418" w:rsidRDefault="002A6C25">
            <w:pPr>
              <w:pStyle w:val="P68B1DB1-Normal4"/>
              <w:jc w:val="center"/>
              <w:rPr>
                <w:noProof/>
              </w:rPr>
            </w:pPr>
            <w:r>
              <w:rPr>
                <w:noProof/>
              </w:rPr>
              <w:t>A Contratti di Programma jóváhagyási eljárására vonatkozó jogszabály-módosítás hatálybalépését előíró törvényi rendelkezés</w:t>
            </w:r>
          </w:p>
        </w:tc>
        <w:tc>
          <w:tcPr>
            <w:tcW w:w="325" w:type="pct"/>
            <w:shd w:val="clear" w:color="auto" w:fill="C6EFCE"/>
            <w:noWrap/>
            <w:vAlign w:val="center"/>
            <w:hideMark/>
          </w:tcPr>
          <w:p w14:paraId="04B0041D"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6F9A8DDF"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17418CD7" w14:textId="77777777" w:rsidR="003F5418" w:rsidRDefault="002A6C25">
            <w:pPr>
              <w:pStyle w:val="P68B1DB1-Normal4"/>
              <w:jc w:val="center"/>
              <w:rPr>
                <w:noProof/>
              </w:rPr>
            </w:pPr>
            <w:r>
              <w:rPr>
                <w:noProof/>
              </w:rPr>
              <w:t>NINCS</w:t>
            </w:r>
          </w:p>
        </w:tc>
        <w:tc>
          <w:tcPr>
            <w:tcW w:w="278" w:type="pct"/>
            <w:shd w:val="clear" w:color="auto" w:fill="C6EFCE"/>
            <w:noWrap/>
            <w:vAlign w:val="center"/>
            <w:hideMark/>
          </w:tcPr>
          <w:p w14:paraId="48C4CC14" w14:textId="77777777" w:rsidR="003F5418" w:rsidRDefault="002A6C25">
            <w:pPr>
              <w:pStyle w:val="P68B1DB1-Normal4"/>
              <w:jc w:val="center"/>
              <w:rPr>
                <w:noProof/>
              </w:rPr>
            </w:pPr>
            <w:r>
              <w:rPr>
                <w:noProof/>
              </w:rPr>
              <w:t>Q4</w:t>
            </w:r>
          </w:p>
        </w:tc>
        <w:tc>
          <w:tcPr>
            <w:tcW w:w="278" w:type="pct"/>
            <w:shd w:val="clear" w:color="auto" w:fill="C6EFCE"/>
            <w:noWrap/>
            <w:vAlign w:val="center"/>
            <w:hideMark/>
          </w:tcPr>
          <w:p w14:paraId="40D5E90B" w14:textId="77777777" w:rsidR="003F5418" w:rsidRDefault="002A6C25">
            <w:pPr>
              <w:pStyle w:val="P68B1DB1-Normal4"/>
              <w:jc w:val="center"/>
              <w:rPr>
                <w:noProof/>
              </w:rPr>
            </w:pPr>
            <w:r>
              <w:rPr>
                <w:noProof/>
              </w:rPr>
              <w:t>2021</w:t>
            </w:r>
          </w:p>
        </w:tc>
        <w:tc>
          <w:tcPr>
            <w:tcW w:w="1198" w:type="pct"/>
            <w:shd w:val="clear" w:color="auto" w:fill="C6EFCE"/>
            <w:noWrap/>
            <w:vAlign w:val="center"/>
            <w:hideMark/>
          </w:tcPr>
          <w:p w14:paraId="3FA355AD" w14:textId="62D9FD41" w:rsidR="003F5418" w:rsidRDefault="002A6C25">
            <w:pPr>
              <w:pStyle w:val="P68B1DB1-ListParagraph5"/>
              <w:ind w:left="40"/>
              <w:jc w:val="left"/>
              <w:rPr>
                <w:noProof/>
              </w:rPr>
            </w:pPr>
            <w:r>
              <w:rPr>
                <w:noProof/>
              </w:rPr>
              <w:t xml:space="preserve">A jogszabály-módosításnak csökkentenie kell a </w:t>
            </w:r>
            <w:r>
              <w:rPr>
                <w:i/>
                <w:noProof/>
              </w:rPr>
              <w:t>Rete Ferroviaria Italiana</w:t>
            </w:r>
            <w:r>
              <w:rPr>
                <w:noProof/>
              </w:rPr>
              <w:t>vasúti pályahálózat-működtető Contratti di Programma (CdP) jóváhagyási eljárásának időtartamát.</w:t>
            </w:r>
          </w:p>
        </w:tc>
      </w:tr>
      <w:tr w:rsidR="003F5418" w14:paraId="28C9532D" w14:textId="77777777">
        <w:trPr>
          <w:trHeight w:val="3100"/>
          <w:jc w:val="right"/>
        </w:trPr>
        <w:tc>
          <w:tcPr>
            <w:tcW w:w="369" w:type="pct"/>
            <w:shd w:val="clear" w:color="auto" w:fill="C6EFCE"/>
            <w:noWrap/>
            <w:vAlign w:val="center"/>
            <w:hideMark/>
          </w:tcPr>
          <w:p w14:paraId="3257D455" w14:textId="77777777" w:rsidR="003F5418" w:rsidRDefault="002A6C25">
            <w:pPr>
              <w:pStyle w:val="P68B1DB1-Normal4"/>
              <w:jc w:val="center"/>
              <w:rPr>
                <w:noProof/>
              </w:rPr>
            </w:pPr>
            <w:r>
              <w:rPr>
                <w:noProof/>
              </w:rPr>
              <w:t>M3C1–2</w:t>
            </w:r>
          </w:p>
        </w:tc>
        <w:tc>
          <w:tcPr>
            <w:tcW w:w="511" w:type="pct"/>
            <w:shd w:val="clear" w:color="auto" w:fill="C6EFCE"/>
            <w:noWrap/>
            <w:vAlign w:val="center"/>
          </w:tcPr>
          <w:p w14:paraId="6E799F36" w14:textId="77777777" w:rsidR="003F5418" w:rsidRDefault="002A6C25">
            <w:pPr>
              <w:pStyle w:val="P68B1DB1-Normal4"/>
              <w:jc w:val="center"/>
              <w:rPr>
                <w:noProof/>
              </w:rPr>
            </w:pPr>
            <w:r>
              <w:rPr>
                <w:noProof/>
              </w:rPr>
              <w:t>Reform – A projektek engedélyezési folyamatának felgyorsítása</w:t>
            </w:r>
          </w:p>
        </w:tc>
        <w:tc>
          <w:tcPr>
            <w:tcW w:w="417" w:type="pct"/>
            <w:shd w:val="clear" w:color="auto" w:fill="C6EFCE"/>
            <w:noWrap/>
            <w:vAlign w:val="center"/>
            <w:hideMark/>
          </w:tcPr>
          <w:p w14:paraId="4ADDCEC1"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3A51B0EF" w14:textId="77777777" w:rsidR="003F5418" w:rsidRDefault="002A6C25">
            <w:pPr>
              <w:pStyle w:val="P68B1DB1-Normal4"/>
              <w:jc w:val="center"/>
              <w:rPr>
                <w:noProof/>
              </w:rPr>
            </w:pPr>
            <w:r>
              <w:rPr>
                <w:noProof/>
              </w:rPr>
              <w:t>Olyan szabályozási módosítás hatálybalépése, amely a projektek engedélyezési idejét 11-ről hat hónapra csökkenti</w:t>
            </w:r>
          </w:p>
        </w:tc>
        <w:tc>
          <w:tcPr>
            <w:tcW w:w="509" w:type="pct"/>
            <w:shd w:val="clear" w:color="auto" w:fill="C6EFCE"/>
            <w:noWrap/>
            <w:vAlign w:val="center"/>
            <w:hideMark/>
          </w:tcPr>
          <w:p w14:paraId="6AFD8D19" w14:textId="77777777" w:rsidR="003F5418" w:rsidRDefault="002A6C25">
            <w:pPr>
              <w:pStyle w:val="P68B1DB1-Normal4"/>
              <w:jc w:val="center"/>
              <w:rPr>
                <w:noProof/>
              </w:rPr>
            </w:pPr>
            <w:r>
              <w:rPr>
                <w:noProof/>
              </w:rPr>
              <w:t>Az engedélyezési időt 11-ről hat hónapra csökkentő jogszabály-módosítás hatálybalépését feltüntető jogszabályi rendelkezés.</w:t>
            </w:r>
          </w:p>
        </w:tc>
        <w:tc>
          <w:tcPr>
            <w:tcW w:w="325" w:type="pct"/>
            <w:shd w:val="clear" w:color="auto" w:fill="C6EFCE"/>
            <w:noWrap/>
            <w:vAlign w:val="center"/>
            <w:hideMark/>
          </w:tcPr>
          <w:p w14:paraId="1C1AF4D7"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512FA037"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2B223C18" w14:textId="77777777" w:rsidR="003F5418" w:rsidRDefault="002A6C25">
            <w:pPr>
              <w:pStyle w:val="P68B1DB1-Normal4"/>
              <w:jc w:val="center"/>
              <w:rPr>
                <w:noProof/>
              </w:rPr>
            </w:pPr>
            <w:r>
              <w:rPr>
                <w:noProof/>
              </w:rPr>
              <w:t>NINCS</w:t>
            </w:r>
          </w:p>
        </w:tc>
        <w:tc>
          <w:tcPr>
            <w:tcW w:w="278" w:type="pct"/>
            <w:shd w:val="clear" w:color="auto" w:fill="C6EFCE"/>
            <w:noWrap/>
            <w:vAlign w:val="center"/>
            <w:hideMark/>
          </w:tcPr>
          <w:p w14:paraId="5B681D97" w14:textId="77777777" w:rsidR="003F5418" w:rsidRDefault="002A6C25">
            <w:pPr>
              <w:pStyle w:val="P68B1DB1-Normal4"/>
              <w:jc w:val="center"/>
              <w:rPr>
                <w:noProof/>
              </w:rPr>
            </w:pPr>
            <w:r>
              <w:rPr>
                <w:noProof/>
              </w:rPr>
              <w:t>Q4</w:t>
            </w:r>
          </w:p>
        </w:tc>
        <w:tc>
          <w:tcPr>
            <w:tcW w:w="278" w:type="pct"/>
            <w:shd w:val="clear" w:color="auto" w:fill="C6EFCE"/>
            <w:noWrap/>
            <w:vAlign w:val="center"/>
            <w:hideMark/>
          </w:tcPr>
          <w:p w14:paraId="4443FE86" w14:textId="77777777" w:rsidR="003F5418" w:rsidRDefault="002A6C25">
            <w:pPr>
              <w:pStyle w:val="P68B1DB1-Normal4"/>
              <w:jc w:val="center"/>
              <w:rPr>
                <w:noProof/>
              </w:rPr>
            </w:pPr>
            <w:r>
              <w:rPr>
                <w:noProof/>
              </w:rPr>
              <w:t>2021</w:t>
            </w:r>
          </w:p>
        </w:tc>
        <w:tc>
          <w:tcPr>
            <w:tcW w:w="1198" w:type="pct"/>
            <w:shd w:val="clear" w:color="auto" w:fill="C6EFCE"/>
            <w:noWrap/>
            <w:vAlign w:val="center"/>
            <w:hideMark/>
          </w:tcPr>
          <w:p w14:paraId="7F883E41" w14:textId="77777777" w:rsidR="003F5418" w:rsidRDefault="002A6C25">
            <w:pPr>
              <w:pStyle w:val="P68B1DB1-Normal4"/>
              <w:spacing w:before="100" w:beforeAutospacing="1" w:after="165"/>
              <w:rPr>
                <w:noProof/>
              </w:rPr>
            </w:pPr>
            <w:r>
              <w:rPr>
                <w:noProof/>
              </w:rPr>
              <w:t>A szabályozási változás a projektek engedélyezési idejét 11-ről hat hónapra csökkenti.</w:t>
            </w:r>
          </w:p>
        </w:tc>
      </w:tr>
      <w:tr w:rsidR="003F5418" w14:paraId="740B95B1" w14:textId="77777777">
        <w:trPr>
          <w:trHeight w:val="313"/>
          <w:jc w:val="right"/>
        </w:trPr>
        <w:tc>
          <w:tcPr>
            <w:tcW w:w="369" w:type="pct"/>
            <w:shd w:val="clear" w:color="auto" w:fill="C6EFCE"/>
            <w:noWrap/>
            <w:vAlign w:val="center"/>
            <w:hideMark/>
          </w:tcPr>
          <w:p w14:paraId="4E88C016" w14:textId="77777777" w:rsidR="003F5418" w:rsidRDefault="002A6C25">
            <w:pPr>
              <w:pStyle w:val="P68B1DB1-Normal4"/>
              <w:jc w:val="center"/>
              <w:rPr>
                <w:noProof/>
              </w:rPr>
            </w:pPr>
            <w:r>
              <w:rPr>
                <w:noProof/>
              </w:rPr>
              <w:t>M3C1–3</w:t>
            </w:r>
          </w:p>
        </w:tc>
        <w:tc>
          <w:tcPr>
            <w:tcW w:w="511" w:type="pct"/>
            <w:shd w:val="clear" w:color="auto" w:fill="C6EFCE"/>
            <w:noWrap/>
            <w:vAlign w:val="center"/>
            <w:hideMark/>
          </w:tcPr>
          <w:p w14:paraId="6F3DE48E" w14:textId="77777777" w:rsidR="003F5418" w:rsidRDefault="002A6C25">
            <w:pPr>
              <w:pStyle w:val="P68B1DB1-Normal4"/>
              <w:jc w:val="center"/>
              <w:rPr>
                <w:noProof/>
              </w:rPr>
            </w:pPr>
            <w:r>
              <w:rPr>
                <w:noProof/>
              </w:rPr>
              <w:t>Beruházás – Nagy sebességű vasúti összeköttetések déli személyszállítás és árufuvarozás számára</w:t>
            </w:r>
          </w:p>
        </w:tc>
        <w:tc>
          <w:tcPr>
            <w:tcW w:w="417" w:type="pct"/>
            <w:shd w:val="clear" w:color="auto" w:fill="C6EFCE"/>
            <w:noWrap/>
            <w:vAlign w:val="center"/>
            <w:hideMark/>
          </w:tcPr>
          <w:p w14:paraId="34761040" w14:textId="77777777" w:rsidR="003F5418" w:rsidRDefault="002A6C25">
            <w:pPr>
              <w:pStyle w:val="P68B1DB1-Normal4"/>
              <w:jc w:val="center"/>
              <w:rPr>
                <w:noProof/>
              </w:rPr>
            </w:pPr>
            <w:r>
              <w:rPr>
                <w:noProof/>
              </w:rPr>
              <w:t>Mérföldkő</w:t>
            </w:r>
          </w:p>
        </w:tc>
        <w:tc>
          <w:tcPr>
            <w:tcW w:w="464" w:type="pct"/>
            <w:shd w:val="clear" w:color="auto" w:fill="C6EFCE"/>
            <w:noWrap/>
            <w:vAlign w:val="center"/>
            <w:hideMark/>
          </w:tcPr>
          <w:p w14:paraId="305A3A0C" w14:textId="77777777" w:rsidR="003F5418" w:rsidRDefault="002A6C25">
            <w:pPr>
              <w:pStyle w:val="P68B1DB1-Normal4"/>
              <w:jc w:val="center"/>
              <w:rPr>
                <w:noProof/>
              </w:rPr>
            </w:pPr>
            <w:r>
              <w:rPr>
                <w:noProof/>
              </w:rPr>
              <w:t>A Nápoly-Bari és Palermo-Catania vonalakon nagy</w:t>
            </w:r>
            <w:r>
              <w:rPr>
                <w:noProof/>
              </w:rPr>
              <w:t xml:space="preserve"> sebességű vasút építésére irányuló szerződés(ek) odaítélése</w:t>
            </w:r>
          </w:p>
        </w:tc>
        <w:tc>
          <w:tcPr>
            <w:tcW w:w="509" w:type="pct"/>
            <w:shd w:val="clear" w:color="auto" w:fill="C6EFCE"/>
            <w:noWrap/>
            <w:vAlign w:val="center"/>
            <w:hideMark/>
          </w:tcPr>
          <w:p w14:paraId="1071AD30" w14:textId="77777777" w:rsidR="003F5418" w:rsidRDefault="002A6C25">
            <w:pPr>
              <w:pStyle w:val="P68B1DB1-Normal4"/>
              <w:jc w:val="center"/>
              <w:rPr>
                <w:noProof/>
              </w:rPr>
            </w:pPr>
            <w:r>
              <w:rPr>
                <w:noProof/>
              </w:rPr>
              <w:t>Értesítés a Nápoly-Bari és Palermo-Catania vasútvonalon nagy sebességű vasút építésére irányuló valamennyi közbeszerzési szerződés odaítéléséről</w:t>
            </w:r>
          </w:p>
        </w:tc>
        <w:tc>
          <w:tcPr>
            <w:tcW w:w="325" w:type="pct"/>
            <w:shd w:val="clear" w:color="auto" w:fill="C6EFCE"/>
            <w:noWrap/>
            <w:vAlign w:val="center"/>
            <w:hideMark/>
          </w:tcPr>
          <w:p w14:paraId="740DC135" w14:textId="77777777" w:rsidR="003F5418" w:rsidRDefault="002A6C25">
            <w:pPr>
              <w:pStyle w:val="P68B1DB1-Normal4"/>
              <w:jc w:val="center"/>
              <w:rPr>
                <w:noProof/>
              </w:rPr>
            </w:pPr>
            <w:r>
              <w:rPr>
                <w:noProof/>
              </w:rPr>
              <w:t>NINCS</w:t>
            </w:r>
          </w:p>
        </w:tc>
        <w:tc>
          <w:tcPr>
            <w:tcW w:w="371" w:type="pct"/>
            <w:shd w:val="clear" w:color="auto" w:fill="C6EFCE"/>
            <w:noWrap/>
            <w:vAlign w:val="center"/>
            <w:hideMark/>
          </w:tcPr>
          <w:p w14:paraId="4EBA05FD" w14:textId="77777777" w:rsidR="003F5418" w:rsidRDefault="002A6C25">
            <w:pPr>
              <w:pStyle w:val="P68B1DB1-Normal4"/>
              <w:jc w:val="center"/>
              <w:rPr>
                <w:noProof/>
              </w:rPr>
            </w:pPr>
            <w:r>
              <w:rPr>
                <w:noProof/>
              </w:rPr>
              <w:t>NINCS</w:t>
            </w:r>
          </w:p>
        </w:tc>
        <w:tc>
          <w:tcPr>
            <w:tcW w:w="279" w:type="pct"/>
            <w:shd w:val="clear" w:color="auto" w:fill="C6EFCE"/>
            <w:noWrap/>
            <w:vAlign w:val="center"/>
            <w:hideMark/>
          </w:tcPr>
          <w:p w14:paraId="51849EF0" w14:textId="77777777" w:rsidR="003F5418" w:rsidRDefault="002A6C25">
            <w:pPr>
              <w:pStyle w:val="P68B1DB1-Normal4"/>
              <w:jc w:val="center"/>
              <w:rPr>
                <w:noProof/>
              </w:rPr>
            </w:pPr>
            <w:r>
              <w:rPr>
                <w:noProof/>
              </w:rPr>
              <w:t>NINCS</w:t>
            </w:r>
          </w:p>
        </w:tc>
        <w:tc>
          <w:tcPr>
            <w:tcW w:w="278" w:type="pct"/>
            <w:shd w:val="clear" w:color="auto" w:fill="C6EFCE"/>
            <w:noWrap/>
            <w:vAlign w:val="center"/>
            <w:hideMark/>
          </w:tcPr>
          <w:p w14:paraId="67D249D5" w14:textId="77777777" w:rsidR="003F5418" w:rsidRDefault="002A6C25">
            <w:pPr>
              <w:pStyle w:val="P68B1DB1-Normal4"/>
              <w:jc w:val="center"/>
              <w:rPr>
                <w:noProof/>
              </w:rPr>
            </w:pPr>
            <w:r>
              <w:rPr>
                <w:noProof/>
              </w:rPr>
              <w:t>Q4</w:t>
            </w:r>
          </w:p>
        </w:tc>
        <w:tc>
          <w:tcPr>
            <w:tcW w:w="278" w:type="pct"/>
            <w:shd w:val="clear" w:color="auto" w:fill="C6EFCE"/>
            <w:noWrap/>
            <w:vAlign w:val="center"/>
            <w:hideMark/>
          </w:tcPr>
          <w:p w14:paraId="096758C2" w14:textId="77777777" w:rsidR="003F5418" w:rsidRDefault="002A6C25">
            <w:pPr>
              <w:pStyle w:val="P68B1DB1-Normal4"/>
              <w:jc w:val="center"/>
              <w:rPr>
                <w:noProof/>
              </w:rPr>
            </w:pPr>
            <w:r>
              <w:rPr>
                <w:noProof/>
              </w:rPr>
              <w:t>2022</w:t>
            </w:r>
          </w:p>
        </w:tc>
        <w:tc>
          <w:tcPr>
            <w:tcW w:w="1198" w:type="pct"/>
            <w:shd w:val="clear" w:color="auto" w:fill="C6EFCE"/>
            <w:noWrap/>
            <w:vAlign w:val="center"/>
            <w:hideMark/>
          </w:tcPr>
          <w:p w14:paraId="5CC4BEED" w14:textId="77777777" w:rsidR="003F5418" w:rsidRDefault="002A6C25">
            <w:pPr>
              <w:pStyle w:val="P68B1DB1-Normal4"/>
              <w:spacing w:before="120" w:after="120"/>
              <w:rPr>
                <w:noProof/>
              </w:rPr>
            </w:pPr>
            <w:r>
              <w:rPr>
                <w:noProof/>
              </w:rPr>
              <w:t xml:space="preserve">Értesítés a Nápoly-Bari </w:t>
            </w:r>
            <w:r>
              <w:rPr>
                <w:noProof/>
              </w:rPr>
              <w:t>és Palermo-Catania vonalakon a nagy sebességű vasút építésére irányuló valamennyi közbeszerzési szerződés odaítéléséről a közbeszerzési szabályok teljes körű betartásával</w:t>
            </w:r>
          </w:p>
          <w:p w14:paraId="02DD69A3" w14:textId="77777777" w:rsidR="003F5418" w:rsidRDefault="002A6C25">
            <w:pPr>
              <w:pStyle w:val="P68B1DB1-Normal4"/>
              <w:spacing w:before="120" w:after="120"/>
              <w:rPr>
                <w:noProof/>
              </w:rPr>
            </w:pPr>
            <w:r>
              <w:rPr>
                <w:noProof/>
              </w:rPr>
              <w:t>A szerződés(ek) e vonalak következő részeire vonatkozik:</w:t>
            </w:r>
          </w:p>
          <w:p w14:paraId="032A3609" w14:textId="77777777" w:rsidR="003F5418" w:rsidRDefault="002A6C25">
            <w:pPr>
              <w:pStyle w:val="P68B1DB1-Normal4"/>
              <w:spacing w:before="120" w:after="120"/>
              <w:rPr>
                <w:noProof/>
              </w:rPr>
            </w:pPr>
            <w:r>
              <w:rPr>
                <w:noProof/>
              </w:rPr>
              <w:t>Nápoly-Bari vonal: Orsara-Bo</w:t>
            </w:r>
            <w:r>
              <w:rPr>
                <w:noProof/>
              </w:rPr>
              <w:t>vino</w:t>
            </w:r>
          </w:p>
          <w:p w14:paraId="0567A402" w14:textId="77777777" w:rsidR="003F5418" w:rsidRDefault="002A6C25">
            <w:pPr>
              <w:pStyle w:val="P68B1DB1-Normal4"/>
              <w:spacing w:before="120" w:after="120"/>
              <w:rPr>
                <w:noProof/>
              </w:rPr>
            </w:pPr>
            <w:r>
              <w:rPr>
                <w:noProof/>
              </w:rPr>
              <w:t>Palermo-Catania vonal:  Catenanuova – Dittaino és Dittaino – Enna</w:t>
            </w:r>
          </w:p>
        </w:tc>
      </w:tr>
      <w:tr w:rsidR="003F5418" w14:paraId="3FC23712" w14:textId="77777777">
        <w:trPr>
          <w:trHeight w:val="313"/>
          <w:jc w:val="right"/>
        </w:trPr>
        <w:tc>
          <w:tcPr>
            <w:tcW w:w="369" w:type="pct"/>
            <w:shd w:val="clear" w:color="auto" w:fill="C6EFCE"/>
            <w:noWrap/>
            <w:vAlign w:val="center"/>
            <w:hideMark/>
          </w:tcPr>
          <w:p w14:paraId="7B7AAFFB" w14:textId="77777777" w:rsidR="003F5418" w:rsidRDefault="002A6C25">
            <w:pPr>
              <w:pStyle w:val="P68B1DB1-Normal4"/>
              <w:jc w:val="center"/>
              <w:rPr>
                <w:noProof/>
              </w:rPr>
            </w:pPr>
            <w:r>
              <w:rPr>
                <w:noProof/>
              </w:rPr>
              <w:t>M3C1–4</w:t>
            </w:r>
          </w:p>
        </w:tc>
        <w:tc>
          <w:tcPr>
            <w:tcW w:w="511" w:type="pct"/>
            <w:shd w:val="clear" w:color="auto" w:fill="C6EFCE"/>
            <w:noWrap/>
            <w:vAlign w:val="center"/>
            <w:hideMark/>
          </w:tcPr>
          <w:p w14:paraId="2CBE2CF1" w14:textId="77777777" w:rsidR="003F5418" w:rsidRDefault="002A6C25">
            <w:pPr>
              <w:pStyle w:val="P68B1DB1-Normal4"/>
              <w:jc w:val="center"/>
              <w:rPr>
                <w:noProof/>
              </w:rPr>
            </w:pPr>
            <w:r>
              <w:rPr>
                <w:noProof/>
              </w:rPr>
              <w:t>Beruházás – Nagy sebességű vasúti összeköttetések déli személyszállítás és árufuvarozás számára</w:t>
            </w:r>
          </w:p>
        </w:tc>
        <w:tc>
          <w:tcPr>
            <w:tcW w:w="417" w:type="pct"/>
            <w:shd w:val="clear" w:color="auto" w:fill="C6EFCE"/>
            <w:noWrap/>
            <w:vAlign w:val="center"/>
            <w:hideMark/>
          </w:tcPr>
          <w:p w14:paraId="16CEDDAA" w14:textId="77777777" w:rsidR="003F5418" w:rsidRDefault="002A6C25">
            <w:pPr>
              <w:pStyle w:val="P68B1DB1-Normal4"/>
              <w:jc w:val="center"/>
              <w:rPr>
                <w:noProof/>
              </w:rPr>
            </w:pPr>
            <w:r>
              <w:rPr>
                <w:noProof/>
              </w:rPr>
              <w:t>Mérföldkő</w:t>
            </w:r>
          </w:p>
        </w:tc>
        <w:tc>
          <w:tcPr>
            <w:tcW w:w="464" w:type="pct"/>
            <w:shd w:val="clear" w:color="auto" w:fill="C6EFCE"/>
            <w:noWrap/>
            <w:vAlign w:val="center"/>
            <w:hideMark/>
          </w:tcPr>
          <w:p w14:paraId="191A7A82" w14:textId="77777777" w:rsidR="003F5418" w:rsidRDefault="002A6C25">
            <w:pPr>
              <w:pStyle w:val="P68B1DB1-Normal4"/>
              <w:jc w:val="center"/>
              <w:rPr>
                <w:noProof/>
              </w:rPr>
            </w:pPr>
            <w:r>
              <w:rPr>
                <w:noProof/>
              </w:rPr>
              <w:t xml:space="preserve">A Salerno Reggio Calabria vonalakon nagysebességű vasút építésére </w:t>
            </w:r>
            <w:r>
              <w:rPr>
                <w:noProof/>
              </w:rPr>
              <w:t>irányuló szerződés odaítélése</w:t>
            </w:r>
          </w:p>
        </w:tc>
        <w:tc>
          <w:tcPr>
            <w:tcW w:w="509" w:type="pct"/>
            <w:shd w:val="clear" w:color="auto" w:fill="C6EFCE"/>
            <w:noWrap/>
            <w:vAlign w:val="center"/>
            <w:hideMark/>
          </w:tcPr>
          <w:p w14:paraId="27DA8619" w14:textId="77777777" w:rsidR="003F5418" w:rsidRDefault="002A6C25">
            <w:pPr>
              <w:pStyle w:val="P68B1DB1-Normal6"/>
              <w:jc w:val="center"/>
              <w:rPr>
                <w:noProof/>
                <w:color w:val="006100"/>
              </w:rPr>
            </w:pPr>
            <w:r>
              <w:rPr>
                <w:noProof/>
                <w:color w:val="006100"/>
              </w:rPr>
              <w:t xml:space="preserve">Értesítés a Salerno-Reggio Calabria vonalon nagysebességű vasút megépítésére irányuló multidiszciplináris szerződésodaítéléséről </w:t>
            </w:r>
          </w:p>
        </w:tc>
        <w:tc>
          <w:tcPr>
            <w:tcW w:w="325" w:type="pct"/>
            <w:shd w:val="clear" w:color="auto" w:fill="C6EFCE"/>
            <w:noWrap/>
            <w:vAlign w:val="center"/>
            <w:hideMark/>
          </w:tcPr>
          <w:p w14:paraId="055741C1" w14:textId="77777777" w:rsidR="003F5418" w:rsidRDefault="002A6C25">
            <w:pPr>
              <w:pStyle w:val="P68B1DB1-Normal4"/>
              <w:jc w:val="center"/>
              <w:rPr>
                <w:noProof/>
              </w:rPr>
            </w:pPr>
            <w:r>
              <w:rPr>
                <w:noProof/>
              </w:rPr>
              <w:t>NINCS</w:t>
            </w:r>
          </w:p>
        </w:tc>
        <w:tc>
          <w:tcPr>
            <w:tcW w:w="371" w:type="pct"/>
            <w:shd w:val="clear" w:color="auto" w:fill="C6EFCE"/>
            <w:noWrap/>
            <w:vAlign w:val="center"/>
            <w:hideMark/>
          </w:tcPr>
          <w:p w14:paraId="7F824653" w14:textId="77777777" w:rsidR="003F5418" w:rsidRDefault="002A6C25">
            <w:pPr>
              <w:pStyle w:val="P68B1DB1-Normal4"/>
              <w:jc w:val="center"/>
              <w:rPr>
                <w:noProof/>
              </w:rPr>
            </w:pPr>
            <w:r>
              <w:rPr>
                <w:noProof/>
              </w:rPr>
              <w:t>NINCS</w:t>
            </w:r>
          </w:p>
        </w:tc>
        <w:tc>
          <w:tcPr>
            <w:tcW w:w="279" w:type="pct"/>
            <w:shd w:val="clear" w:color="auto" w:fill="C6EFCE"/>
            <w:noWrap/>
            <w:vAlign w:val="center"/>
            <w:hideMark/>
          </w:tcPr>
          <w:p w14:paraId="43D0EDB7" w14:textId="77777777" w:rsidR="003F5418" w:rsidRDefault="002A6C25">
            <w:pPr>
              <w:pStyle w:val="P68B1DB1-Normal4"/>
              <w:jc w:val="center"/>
              <w:rPr>
                <w:noProof/>
              </w:rPr>
            </w:pPr>
            <w:r>
              <w:rPr>
                <w:noProof/>
              </w:rPr>
              <w:t>NINCS</w:t>
            </w:r>
          </w:p>
        </w:tc>
        <w:tc>
          <w:tcPr>
            <w:tcW w:w="278" w:type="pct"/>
            <w:shd w:val="clear" w:color="auto" w:fill="C6EFCE"/>
            <w:noWrap/>
            <w:vAlign w:val="center"/>
            <w:hideMark/>
          </w:tcPr>
          <w:p w14:paraId="413C6038" w14:textId="77777777" w:rsidR="003F5418" w:rsidRDefault="002A6C25">
            <w:pPr>
              <w:pStyle w:val="P68B1DB1-Normal4"/>
              <w:jc w:val="center"/>
              <w:rPr>
                <w:noProof/>
              </w:rPr>
            </w:pPr>
            <w:r>
              <w:rPr>
                <w:noProof/>
              </w:rPr>
              <w:t>Q4</w:t>
            </w:r>
          </w:p>
        </w:tc>
        <w:tc>
          <w:tcPr>
            <w:tcW w:w="278" w:type="pct"/>
            <w:shd w:val="clear" w:color="auto" w:fill="C6EFCE"/>
            <w:noWrap/>
            <w:vAlign w:val="center"/>
            <w:hideMark/>
          </w:tcPr>
          <w:p w14:paraId="44441CE9" w14:textId="77777777" w:rsidR="003F5418" w:rsidRDefault="002A6C25">
            <w:pPr>
              <w:pStyle w:val="P68B1DB1-Normal4"/>
              <w:jc w:val="center"/>
              <w:rPr>
                <w:noProof/>
              </w:rPr>
            </w:pPr>
            <w:r>
              <w:rPr>
                <w:noProof/>
              </w:rPr>
              <w:t>2023</w:t>
            </w:r>
          </w:p>
        </w:tc>
        <w:tc>
          <w:tcPr>
            <w:tcW w:w="1198" w:type="pct"/>
            <w:shd w:val="clear" w:color="auto" w:fill="C6EFCE"/>
            <w:noWrap/>
            <w:vAlign w:val="center"/>
            <w:hideMark/>
          </w:tcPr>
          <w:p w14:paraId="0415E4F3" w14:textId="77777777" w:rsidR="003F5418" w:rsidRDefault="002A6C25">
            <w:pPr>
              <w:pStyle w:val="P68B1DB1-Normal4"/>
              <w:spacing w:before="120" w:after="120"/>
              <w:rPr>
                <w:noProof/>
              </w:rPr>
            </w:pPr>
            <w:r>
              <w:rPr>
                <w:noProof/>
              </w:rPr>
              <w:t xml:space="preserve">Értesítés a Salerno Reggio Calabria vonalon nagysebességű vasút </w:t>
            </w:r>
            <w:r>
              <w:rPr>
                <w:noProof/>
              </w:rPr>
              <w:t>megépítésére irányuló multidiszciplináris szerződés odaítéléséről.</w:t>
            </w:r>
          </w:p>
          <w:p w14:paraId="56FCEAA2" w14:textId="77777777" w:rsidR="003F5418" w:rsidRDefault="002A6C25">
            <w:pPr>
              <w:pStyle w:val="P68B1DB1-Normal4"/>
              <w:spacing w:before="120" w:after="120"/>
              <w:rPr>
                <w:noProof/>
              </w:rPr>
            </w:pPr>
            <w:r>
              <w:rPr>
                <w:noProof/>
              </w:rPr>
              <w:t>A szerződés e sor következő részeire vonatkozik: Battipaglia – Romagnano</w:t>
            </w:r>
          </w:p>
        </w:tc>
      </w:tr>
      <w:tr w:rsidR="003F5418" w14:paraId="123F56B9" w14:textId="77777777">
        <w:trPr>
          <w:trHeight w:val="309"/>
          <w:jc w:val="right"/>
        </w:trPr>
        <w:tc>
          <w:tcPr>
            <w:tcW w:w="369" w:type="pct"/>
            <w:shd w:val="clear" w:color="auto" w:fill="C6EFCE"/>
            <w:noWrap/>
            <w:vAlign w:val="center"/>
          </w:tcPr>
          <w:p w14:paraId="18C78ECC" w14:textId="77777777" w:rsidR="003F5418" w:rsidRDefault="002A6C25">
            <w:pPr>
              <w:pStyle w:val="P68B1DB1-Normal4"/>
              <w:jc w:val="center"/>
              <w:rPr>
                <w:noProof/>
              </w:rPr>
            </w:pPr>
            <w:r>
              <w:rPr>
                <w:noProof/>
              </w:rPr>
              <w:t>M3C1–6</w:t>
            </w:r>
          </w:p>
        </w:tc>
        <w:tc>
          <w:tcPr>
            <w:tcW w:w="511" w:type="pct"/>
            <w:shd w:val="clear" w:color="auto" w:fill="C6EFCE"/>
            <w:noWrap/>
            <w:vAlign w:val="center"/>
          </w:tcPr>
          <w:p w14:paraId="3ABDF91C" w14:textId="77777777" w:rsidR="003F5418" w:rsidRDefault="002A6C25">
            <w:pPr>
              <w:pStyle w:val="P68B1DB1-Normal4"/>
              <w:jc w:val="center"/>
              <w:rPr>
                <w:noProof/>
              </w:rPr>
            </w:pPr>
            <w:r>
              <w:rPr>
                <w:noProof/>
              </w:rPr>
              <w:t>Beruházás – Nagy sebességű vasúti összeköttetések déli személyszállítás és árufuvarozás számára</w:t>
            </w:r>
          </w:p>
        </w:tc>
        <w:tc>
          <w:tcPr>
            <w:tcW w:w="417" w:type="pct"/>
            <w:shd w:val="clear" w:color="auto" w:fill="C6EFCE"/>
            <w:noWrap/>
            <w:vAlign w:val="center"/>
          </w:tcPr>
          <w:p w14:paraId="250A6836"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1B4CAC92" w14:textId="77777777" w:rsidR="003F5418" w:rsidRDefault="002A6C25">
            <w:pPr>
              <w:pStyle w:val="P68B1DB1-Normal4"/>
              <w:jc w:val="center"/>
              <w:rPr>
                <w:noProof/>
              </w:rPr>
            </w:pPr>
            <w:r>
              <w:rPr>
                <w:noProof/>
              </w:rPr>
              <w:t>Nagy sebességű vasúti személy- és áruszállítás a Nápoly-Bari, Salerno-Reggio Calabria, Palermo-Catania vonalakon</w:t>
            </w:r>
          </w:p>
        </w:tc>
        <w:tc>
          <w:tcPr>
            <w:tcW w:w="509" w:type="pct"/>
            <w:shd w:val="clear" w:color="auto" w:fill="C6EFCE"/>
            <w:noWrap/>
            <w:vAlign w:val="center"/>
          </w:tcPr>
          <w:p w14:paraId="6785256B"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79F9658A" w14:textId="07933EE0" w:rsidR="003F5418" w:rsidRDefault="002A6C25">
            <w:pPr>
              <w:pStyle w:val="P68B1DB1-Normal4"/>
              <w:jc w:val="center"/>
              <w:rPr>
                <w:rFonts w:eastAsia="Arial Narrow" w:cs="Arial Narrow"/>
                <w:noProof/>
              </w:rPr>
            </w:pPr>
            <w:r>
              <w:rPr>
                <w:noProof/>
              </w:rPr>
              <w:t>Kilométer</w:t>
            </w:r>
          </w:p>
        </w:tc>
        <w:tc>
          <w:tcPr>
            <w:tcW w:w="371" w:type="pct"/>
            <w:shd w:val="clear" w:color="auto" w:fill="C6EFCE"/>
            <w:noWrap/>
            <w:vAlign w:val="center"/>
          </w:tcPr>
          <w:p w14:paraId="6FB96002" w14:textId="15591663" w:rsidR="003F5418" w:rsidRDefault="002A6C25">
            <w:pPr>
              <w:pStyle w:val="P68B1DB1-Normal4"/>
              <w:jc w:val="center"/>
              <w:rPr>
                <w:noProof/>
              </w:rPr>
            </w:pPr>
            <w:r>
              <w:rPr>
                <w:noProof/>
              </w:rPr>
              <w:t>0</w:t>
            </w:r>
          </w:p>
        </w:tc>
        <w:tc>
          <w:tcPr>
            <w:tcW w:w="279" w:type="pct"/>
            <w:shd w:val="clear" w:color="auto" w:fill="C6EFCE"/>
            <w:noWrap/>
            <w:vAlign w:val="center"/>
          </w:tcPr>
          <w:p w14:paraId="35A516C0" w14:textId="77777777" w:rsidR="003F5418" w:rsidRDefault="002A6C25">
            <w:pPr>
              <w:pStyle w:val="P68B1DB1-Normal4"/>
              <w:jc w:val="center"/>
              <w:rPr>
                <w:noProof/>
              </w:rPr>
            </w:pPr>
            <w:r>
              <w:rPr>
                <w:noProof/>
              </w:rPr>
              <w:t>119</w:t>
            </w:r>
          </w:p>
        </w:tc>
        <w:tc>
          <w:tcPr>
            <w:tcW w:w="278" w:type="pct"/>
            <w:shd w:val="clear" w:color="auto" w:fill="C6EFCE"/>
            <w:noWrap/>
            <w:vAlign w:val="center"/>
          </w:tcPr>
          <w:p w14:paraId="19669E7E"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10DAF9FB"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3BB4BA1F" w14:textId="77777777" w:rsidR="003F5418" w:rsidRDefault="002A6C25">
            <w:pPr>
              <w:pStyle w:val="P68B1DB1-Normal4"/>
              <w:spacing w:before="120" w:after="120"/>
              <w:rPr>
                <w:noProof/>
              </w:rPr>
            </w:pPr>
            <w:r>
              <w:rPr>
                <w:noProof/>
              </w:rPr>
              <w:t>A Napoli-Bari, Salerno-Reggio Calabria és Palermo-Catania vonalakon 119 km-nyi nagy sebességű vasút épült, készen</w:t>
            </w:r>
            <w:r>
              <w:rPr>
                <w:noProof/>
              </w:rPr>
              <w:t xml:space="preserve"> áll az engedélyezésre és az üzemeltetési szakaszra.</w:t>
            </w:r>
          </w:p>
          <w:p w14:paraId="1F5509FC" w14:textId="77777777" w:rsidR="003F5418" w:rsidRDefault="002A6C25">
            <w:pPr>
              <w:pStyle w:val="P68B1DB1-Normal4"/>
              <w:rPr>
                <w:noProof/>
              </w:rPr>
            </w:pPr>
            <w:r>
              <w:rPr>
                <w:noProof/>
              </w:rPr>
              <w:t>Az indikatív bontás a következő:</w:t>
            </w:r>
          </w:p>
          <w:p w14:paraId="1C6CD068" w14:textId="77777777" w:rsidR="003F5418" w:rsidRDefault="003F5418">
            <w:pPr>
              <w:rPr>
                <w:rFonts w:ascii="Arial Narrow" w:hAnsi="Arial Narrow"/>
                <w:noProof/>
                <w:color w:val="006100"/>
                <w:sz w:val="20"/>
              </w:rPr>
            </w:pPr>
          </w:p>
          <w:p w14:paraId="1583E0AE" w14:textId="77777777" w:rsidR="003F5418" w:rsidRDefault="002A6C25">
            <w:pPr>
              <w:pStyle w:val="P68B1DB1-Normal6"/>
              <w:rPr>
                <w:noProof/>
              </w:rPr>
            </w:pPr>
            <w:r>
              <w:rPr>
                <w:noProof/>
                <w:color w:val="006100"/>
              </w:rPr>
              <w:t>Nápoly-Bari vonal 49 km;</w:t>
            </w:r>
            <w:r>
              <w:rPr>
                <w:noProof/>
              </w:rPr>
              <w:t xml:space="preserve"> </w:t>
            </w:r>
          </w:p>
          <w:p w14:paraId="7F4F1DD7" w14:textId="2C2E01B7" w:rsidR="003F5418" w:rsidRDefault="002A6C25">
            <w:pPr>
              <w:pStyle w:val="P68B1DB1-Normal4"/>
              <w:rPr>
                <w:noProof/>
              </w:rPr>
            </w:pPr>
            <w:r>
              <w:rPr>
                <w:noProof/>
              </w:rPr>
              <w:t>ebből:</w:t>
            </w:r>
          </w:p>
          <w:p w14:paraId="77BE2A10" w14:textId="20EC3C82" w:rsidR="003F5418" w:rsidRDefault="002A6C25">
            <w:pPr>
              <w:pStyle w:val="P68B1DB1-Normal4"/>
              <w:spacing w:before="120" w:after="120"/>
              <w:rPr>
                <w:noProof/>
              </w:rPr>
            </w:pPr>
            <w:r>
              <w:rPr>
                <w:noProof/>
              </w:rPr>
              <w:t>Frasso – Telese 11</w:t>
            </w:r>
          </w:p>
          <w:p w14:paraId="33650DF7" w14:textId="77777777" w:rsidR="003F5418" w:rsidRDefault="002A6C25">
            <w:pPr>
              <w:pStyle w:val="P68B1DB1-Normal4"/>
              <w:spacing w:before="120" w:after="120"/>
              <w:rPr>
                <w:noProof/>
              </w:rPr>
            </w:pPr>
            <w:r>
              <w:rPr>
                <w:noProof/>
              </w:rPr>
              <w:t>Telese-Vitulano 19 km</w:t>
            </w:r>
          </w:p>
          <w:p w14:paraId="46D5851C" w14:textId="77777777" w:rsidR="003F5418" w:rsidRDefault="002A6C25">
            <w:pPr>
              <w:pStyle w:val="P68B1DB1-Normal4"/>
              <w:spacing w:before="120" w:after="120"/>
              <w:rPr>
                <w:noProof/>
              </w:rPr>
            </w:pPr>
            <w:r>
              <w:rPr>
                <w:noProof/>
              </w:rPr>
              <w:t>Apice – Hirpinia 19 km</w:t>
            </w:r>
          </w:p>
          <w:p w14:paraId="34B9A558" w14:textId="77777777" w:rsidR="003F5418" w:rsidRDefault="002A6C25">
            <w:pPr>
              <w:pStyle w:val="P68B1DB1-Normal4"/>
              <w:spacing w:before="120" w:after="120"/>
              <w:rPr>
                <w:noProof/>
              </w:rPr>
            </w:pPr>
            <w:r>
              <w:rPr>
                <w:noProof/>
              </w:rPr>
              <w:t xml:space="preserve">Salerno – Reggio Calabria 33 km </w:t>
            </w:r>
          </w:p>
          <w:p w14:paraId="4FD78CD7" w14:textId="15BC82CC" w:rsidR="003F5418" w:rsidRDefault="002A6C25">
            <w:pPr>
              <w:pStyle w:val="P68B1DB1-Normal4"/>
              <w:rPr>
                <w:noProof/>
              </w:rPr>
            </w:pPr>
            <w:r>
              <w:rPr>
                <w:noProof/>
              </w:rPr>
              <w:t xml:space="preserve">ebből Battipaglia-Romagnano 33 km </w:t>
            </w:r>
            <w:r>
              <w:rPr>
                <w:noProof/>
              </w:rPr>
              <w:t>Palermo-Catania vonal, amelyből 37 km:</w:t>
            </w:r>
          </w:p>
          <w:p w14:paraId="1B42E268" w14:textId="77777777" w:rsidR="003F5418" w:rsidRDefault="002A6C25">
            <w:pPr>
              <w:pStyle w:val="P68B1DB1-Normal4"/>
              <w:rPr>
                <w:noProof/>
              </w:rPr>
            </w:pPr>
            <w:r>
              <w:rPr>
                <w:noProof/>
              </w:rPr>
              <w:t>Catenanuova – Dittaino 22 km</w:t>
            </w:r>
          </w:p>
          <w:p w14:paraId="6FF48280" w14:textId="77777777" w:rsidR="003F5418" w:rsidRDefault="002A6C25">
            <w:pPr>
              <w:pStyle w:val="P68B1DB1-Normal4"/>
              <w:rPr>
                <w:noProof/>
              </w:rPr>
            </w:pPr>
            <w:r>
              <w:rPr>
                <w:noProof/>
              </w:rPr>
              <w:t>Dittanio – Enna 15 km</w:t>
            </w:r>
          </w:p>
        </w:tc>
      </w:tr>
      <w:tr w:rsidR="003F5418" w14:paraId="1EA76613" w14:textId="77777777">
        <w:trPr>
          <w:trHeight w:val="309"/>
          <w:jc w:val="right"/>
        </w:trPr>
        <w:tc>
          <w:tcPr>
            <w:tcW w:w="369" w:type="pct"/>
            <w:shd w:val="clear" w:color="auto" w:fill="C6EFCE"/>
            <w:noWrap/>
            <w:vAlign w:val="center"/>
          </w:tcPr>
          <w:p w14:paraId="22EEB22D" w14:textId="77777777" w:rsidR="003F5418" w:rsidRDefault="002A6C25">
            <w:pPr>
              <w:pStyle w:val="P68B1DB1-Normal4"/>
              <w:jc w:val="center"/>
              <w:rPr>
                <w:noProof/>
              </w:rPr>
            </w:pPr>
            <w:r>
              <w:rPr>
                <w:noProof/>
              </w:rPr>
              <w:t>M3C1–23</w:t>
            </w:r>
          </w:p>
        </w:tc>
        <w:tc>
          <w:tcPr>
            <w:tcW w:w="511" w:type="pct"/>
            <w:shd w:val="clear" w:color="auto" w:fill="C6EFCE"/>
            <w:noWrap/>
            <w:vAlign w:val="center"/>
          </w:tcPr>
          <w:p w14:paraId="3A364050" w14:textId="77777777" w:rsidR="003F5418" w:rsidRDefault="002A6C25">
            <w:pPr>
              <w:pStyle w:val="P68B1DB1-Normal4"/>
              <w:jc w:val="center"/>
              <w:rPr>
                <w:noProof/>
              </w:rPr>
            </w:pPr>
            <w:r>
              <w:rPr>
                <w:noProof/>
              </w:rPr>
              <w:t>Beruházás</w:t>
            </w:r>
          </w:p>
          <w:p w14:paraId="4E4E2058" w14:textId="77777777" w:rsidR="003F5418" w:rsidRDefault="002A6C25">
            <w:pPr>
              <w:pStyle w:val="P68B1DB1-Normal4"/>
              <w:jc w:val="center"/>
              <w:rPr>
                <w:noProof/>
              </w:rPr>
            </w:pPr>
            <w:r>
              <w:rPr>
                <w:noProof/>
              </w:rPr>
              <w:t>Régiók közötti kapcsolatok</w:t>
            </w:r>
          </w:p>
        </w:tc>
        <w:tc>
          <w:tcPr>
            <w:tcW w:w="417" w:type="pct"/>
            <w:shd w:val="clear" w:color="auto" w:fill="C6EFCE"/>
            <w:noWrap/>
            <w:vAlign w:val="center"/>
          </w:tcPr>
          <w:p w14:paraId="263B9D4C"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580E3178" w14:textId="77777777" w:rsidR="003F5418" w:rsidRDefault="002A6C25">
            <w:pPr>
              <w:pStyle w:val="P68B1DB1-Normal4"/>
              <w:jc w:val="center"/>
              <w:rPr>
                <w:noProof/>
              </w:rPr>
            </w:pPr>
            <w:r>
              <w:rPr>
                <w:noProof/>
              </w:rPr>
              <w:t>Beruházás</w:t>
            </w:r>
          </w:p>
          <w:p w14:paraId="338C9FA9" w14:textId="77777777" w:rsidR="003F5418" w:rsidRDefault="002A6C25">
            <w:pPr>
              <w:pStyle w:val="P68B1DB1-Normal4"/>
              <w:jc w:val="center"/>
              <w:rPr>
                <w:noProof/>
              </w:rPr>
            </w:pPr>
            <w:r>
              <w:rPr>
                <w:noProof/>
              </w:rPr>
              <w:t>Régiók közötti kapcsolatok</w:t>
            </w:r>
          </w:p>
        </w:tc>
        <w:tc>
          <w:tcPr>
            <w:tcW w:w="509" w:type="pct"/>
            <w:shd w:val="clear" w:color="auto" w:fill="C6EFCE"/>
            <w:noWrap/>
            <w:vAlign w:val="center"/>
          </w:tcPr>
          <w:p w14:paraId="34D5F2C8"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0ECFBB13"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52488844" w14:textId="77777777" w:rsidR="003F5418" w:rsidRDefault="002A6C25">
            <w:pPr>
              <w:pStyle w:val="P68B1DB1-Normal4"/>
              <w:jc w:val="center"/>
              <w:rPr>
                <w:noProof/>
              </w:rPr>
            </w:pPr>
            <w:r>
              <w:rPr>
                <w:noProof/>
              </w:rPr>
              <w:t>0</w:t>
            </w:r>
          </w:p>
        </w:tc>
        <w:tc>
          <w:tcPr>
            <w:tcW w:w="279" w:type="pct"/>
            <w:shd w:val="clear" w:color="auto" w:fill="C6EFCE"/>
            <w:noWrap/>
            <w:vAlign w:val="center"/>
          </w:tcPr>
          <w:p w14:paraId="43A073AB" w14:textId="77777777" w:rsidR="003F5418" w:rsidRDefault="002A6C25">
            <w:pPr>
              <w:pStyle w:val="P68B1DB1-Normal4"/>
              <w:jc w:val="center"/>
              <w:rPr>
                <w:noProof/>
              </w:rPr>
            </w:pPr>
            <w:r>
              <w:rPr>
                <w:noProof/>
              </w:rPr>
              <w:t xml:space="preserve">70 </w:t>
            </w:r>
          </w:p>
        </w:tc>
        <w:tc>
          <w:tcPr>
            <w:tcW w:w="278" w:type="pct"/>
            <w:shd w:val="clear" w:color="auto" w:fill="C6EFCE"/>
            <w:noWrap/>
            <w:vAlign w:val="center"/>
          </w:tcPr>
          <w:p w14:paraId="7D822E3A"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06344F60" w14:textId="77777777" w:rsidR="003F5418" w:rsidRDefault="002A6C25">
            <w:pPr>
              <w:pStyle w:val="P68B1DB1-Normal4"/>
              <w:jc w:val="center"/>
              <w:rPr>
                <w:noProof/>
              </w:rPr>
            </w:pPr>
            <w:r>
              <w:rPr>
                <w:noProof/>
              </w:rPr>
              <w:t>2025</w:t>
            </w:r>
          </w:p>
        </w:tc>
        <w:tc>
          <w:tcPr>
            <w:tcW w:w="1198" w:type="pct"/>
            <w:shd w:val="clear" w:color="auto" w:fill="C6EFCE"/>
            <w:noWrap/>
            <w:vAlign w:val="center"/>
          </w:tcPr>
          <w:p w14:paraId="1FD5C35C" w14:textId="77777777" w:rsidR="003F5418" w:rsidRDefault="002A6C25">
            <w:pPr>
              <w:pStyle w:val="P68B1DB1-Normal4"/>
              <w:rPr>
                <w:noProof/>
              </w:rPr>
            </w:pPr>
            <w:r>
              <w:rPr>
                <w:noProof/>
              </w:rPr>
              <w:t>70 km régióközi összeköttetés megugrott</w:t>
            </w:r>
          </w:p>
          <w:p w14:paraId="66B45DB6" w14:textId="77777777" w:rsidR="003F5418" w:rsidRDefault="003F5418">
            <w:pPr>
              <w:rPr>
                <w:rFonts w:ascii="Arial Narrow" w:hAnsi="Arial Narrow"/>
                <w:noProof/>
                <w:color w:val="006100"/>
                <w:sz w:val="20"/>
              </w:rPr>
            </w:pPr>
          </w:p>
          <w:p w14:paraId="307BFF49" w14:textId="77777777" w:rsidR="003F5418" w:rsidRDefault="002A6C25">
            <w:pPr>
              <w:pStyle w:val="P68B1DB1-Normal4"/>
              <w:rPr>
                <w:noProof/>
              </w:rPr>
            </w:pPr>
            <w:r>
              <w:rPr>
                <w:noProof/>
              </w:rPr>
              <w:t xml:space="preserve">A </w:t>
            </w:r>
            <w:r>
              <w:rPr>
                <w:noProof/>
              </w:rPr>
              <w:t>korszerűsítendő vonalak a következők közé tartoznak:</w:t>
            </w:r>
          </w:p>
          <w:p w14:paraId="1FFD6A24" w14:textId="77777777" w:rsidR="003F5418" w:rsidRDefault="003F5418">
            <w:pPr>
              <w:rPr>
                <w:rFonts w:ascii="Arial Narrow" w:hAnsi="Arial Narrow"/>
                <w:noProof/>
                <w:color w:val="006100"/>
                <w:sz w:val="20"/>
              </w:rPr>
            </w:pPr>
          </w:p>
          <w:p w14:paraId="57DD99A7" w14:textId="77777777" w:rsidR="003F5418" w:rsidRDefault="002A6C25">
            <w:pPr>
              <w:pStyle w:val="P68B1DB1-Normal4"/>
              <w:rPr>
                <w:noProof/>
              </w:rPr>
            </w:pPr>
            <w:r>
              <w:rPr>
                <w:noProof/>
              </w:rPr>
              <w:t xml:space="preserve">Milánó Genova </w:t>
            </w:r>
          </w:p>
          <w:p w14:paraId="6B5C8CCF" w14:textId="77777777" w:rsidR="003F5418" w:rsidRDefault="002A6C25">
            <w:pPr>
              <w:pStyle w:val="P68B1DB1-Normal4"/>
              <w:rPr>
                <w:noProof/>
              </w:rPr>
            </w:pPr>
            <w:r>
              <w:rPr>
                <w:noProof/>
              </w:rPr>
              <w:t>Palermo Catania (linea storica)</w:t>
            </w:r>
          </w:p>
          <w:p w14:paraId="5892C5AD" w14:textId="77777777" w:rsidR="003F5418" w:rsidRDefault="002A6C25">
            <w:pPr>
              <w:pStyle w:val="P68B1DB1-Normal4"/>
              <w:rPr>
                <w:noProof/>
              </w:rPr>
            </w:pPr>
            <w:r>
              <w:rPr>
                <w:noProof/>
              </w:rPr>
              <w:t xml:space="preserve">Battipaglia Potenza </w:t>
            </w:r>
          </w:p>
          <w:p w14:paraId="11B66E05" w14:textId="77777777" w:rsidR="003F5418" w:rsidRDefault="002A6C25">
            <w:pPr>
              <w:pStyle w:val="P68B1DB1-Normal4"/>
              <w:rPr>
                <w:noProof/>
              </w:rPr>
            </w:pPr>
            <w:r>
              <w:rPr>
                <w:noProof/>
              </w:rPr>
              <w:t xml:space="preserve">Orte Falconara </w:t>
            </w:r>
          </w:p>
        </w:tc>
      </w:tr>
      <w:tr w:rsidR="003F5418" w14:paraId="657F4ED5" w14:textId="77777777">
        <w:trPr>
          <w:trHeight w:val="309"/>
          <w:jc w:val="right"/>
        </w:trPr>
        <w:tc>
          <w:tcPr>
            <w:tcW w:w="369" w:type="pct"/>
            <w:shd w:val="clear" w:color="auto" w:fill="C6EFCE"/>
            <w:noWrap/>
            <w:vAlign w:val="center"/>
          </w:tcPr>
          <w:p w14:paraId="1703997B" w14:textId="77777777" w:rsidR="003F5418" w:rsidRDefault="002A6C25">
            <w:pPr>
              <w:pStyle w:val="P68B1DB1-Normal4"/>
              <w:jc w:val="center"/>
              <w:rPr>
                <w:noProof/>
              </w:rPr>
            </w:pPr>
            <w:r>
              <w:rPr>
                <w:noProof/>
              </w:rPr>
              <w:t>M3C1–24</w:t>
            </w:r>
          </w:p>
        </w:tc>
        <w:tc>
          <w:tcPr>
            <w:tcW w:w="511" w:type="pct"/>
            <w:shd w:val="clear" w:color="auto" w:fill="C6EFCE"/>
            <w:noWrap/>
            <w:vAlign w:val="center"/>
          </w:tcPr>
          <w:p w14:paraId="0023CE77" w14:textId="77777777" w:rsidR="003F5418" w:rsidRDefault="002A6C25">
            <w:pPr>
              <w:pStyle w:val="P68B1DB1-Normal4"/>
              <w:jc w:val="center"/>
              <w:rPr>
                <w:noProof/>
              </w:rPr>
            </w:pPr>
            <w:r>
              <w:rPr>
                <w:noProof/>
              </w:rPr>
              <w:t>Beruházás</w:t>
            </w:r>
          </w:p>
          <w:p w14:paraId="78B46958" w14:textId="77777777" w:rsidR="003F5418" w:rsidRDefault="002A6C25">
            <w:pPr>
              <w:pStyle w:val="P68B1DB1-Normal4"/>
              <w:jc w:val="center"/>
              <w:rPr>
                <w:noProof/>
              </w:rPr>
            </w:pPr>
            <w:r>
              <w:rPr>
                <w:noProof/>
              </w:rPr>
              <w:t>Régiók közötti kapcsolatok</w:t>
            </w:r>
          </w:p>
        </w:tc>
        <w:tc>
          <w:tcPr>
            <w:tcW w:w="417" w:type="pct"/>
            <w:shd w:val="clear" w:color="auto" w:fill="C6EFCE"/>
            <w:noWrap/>
            <w:vAlign w:val="center"/>
          </w:tcPr>
          <w:p w14:paraId="3C3A4510"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227854DA" w14:textId="77777777" w:rsidR="003F5418" w:rsidRDefault="002A6C25">
            <w:pPr>
              <w:pStyle w:val="P68B1DB1-Normal4"/>
              <w:jc w:val="center"/>
              <w:rPr>
                <w:noProof/>
              </w:rPr>
            </w:pPr>
            <w:r>
              <w:rPr>
                <w:noProof/>
              </w:rPr>
              <w:t>Beruházás</w:t>
            </w:r>
          </w:p>
          <w:p w14:paraId="7D5BE118" w14:textId="77777777" w:rsidR="003F5418" w:rsidRDefault="002A6C25">
            <w:pPr>
              <w:pStyle w:val="P68B1DB1-Normal4"/>
              <w:jc w:val="center"/>
              <w:rPr>
                <w:noProof/>
              </w:rPr>
            </w:pPr>
            <w:r>
              <w:rPr>
                <w:noProof/>
              </w:rPr>
              <w:t>Régiók közötti kapcsolatok</w:t>
            </w:r>
          </w:p>
        </w:tc>
        <w:tc>
          <w:tcPr>
            <w:tcW w:w="509" w:type="pct"/>
            <w:shd w:val="clear" w:color="auto" w:fill="C6EFCE"/>
            <w:noWrap/>
            <w:vAlign w:val="center"/>
          </w:tcPr>
          <w:p w14:paraId="48D754DF"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07DFD24C"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30935493" w14:textId="77777777" w:rsidR="003F5418" w:rsidRDefault="002A6C25">
            <w:pPr>
              <w:pStyle w:val="P68B1DB1-Normal4"/>
              <w:jc w:val="center"/>
              <w:rPr>
                <w:noProof/>
              </w:rPr>
            </w:pPr>
            <w:r>
              <w:rPr>
                <w:noProof/>
              </w:rPr>
              <w:t>70</w:t>
            </w:r>
          </w:p>
        </w:tc>
        <w:tc>
          <w:tcPr>
            <w:tcW w:w="279" w:type="pct"/>
            <w:shd w:val="clear" w:color="auto" w:fill="C6EFCE"/>
            <w:noWrap/>
            <w:vAlign w:val="center"/>
          </w:tcPr>
          <w:p w14:paraId="1F205044" w14:textId="77777777" w:rsidR="003F5418" w:rsidRDefault="002A6C25">
            <w:pPr>
              <w:pStyle w:val="P68B1DB1-Normal4"/>
              <w:jc w:val="center"/>
              <w:rPr>
                <w:noProof/>
              </w:rPr>
            </w:pPr>
            <w:r>
              <w:rPr>
                <w:noProof/>
              </w:rPr>
              <w:t>221</w:t>
            </w:r>
          </w:p>
        </w:tc>
        <w:tc>
          <w:tcPr>
            <w:tcW w:w="278" w:type="pct"/>
            <w:shd w:val="clear" w:color="auto" w:fill="C6EFCE"/>
            <w:noWrap/>
            <w:vAlign w:val="center"/>
          </w:tcPr>
          <w:p w14:paraId="35B3F168"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5340FF2B"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7F89ED08" w14:textId="77777777" w:rsidR="003F5418" w:rsidRDefault="002A6C25">
            <w:pPr>
              <w:pStyle w:val="P68B1DB1-Normal4"/>
              <w:rPr>
                <w:noProof/>
              </w:rPr>
            </w:pPr>
            <w:r>
              <w:rPr>
                <w:noProof/>
              </w:rPr>
              <w:t>221 km-nyi régióközi összeköttetés növekedett.</w:t>
            </w:r>
          </w:p>
          <w:p w14:paraId="695758FE" w14:textId="77777777" w:rsidR="003F5418" w:rsidRDefault="003F5418">
            <w:pPr>
              <w:rPr>
                <w:rFonts w:ascii="Arial Narrow" w:hAnsi="Arial Narrow"/>
                <w:noProof/>
                <w:color w:val="006100"/>
                <w:sz w:val="20"/>
              </w:rPr>
            </w:pPr>
          </w:p>
          <w:p w14:paraId="56FE09AC" w14:textId="77777777" w:rsidR="003F5418" w:rsidRDefault="002A6C25">
            <w:pPr>
              <w:pStyle w:val="P68B1DB1-Normal4"/>
              <w:rPr>
                <w:noProof/>
              </w:rPr>
            </w:pPr>
            <w:r>
              <w:rPr>
                <w:noProof/>
              </w:rPr>
              <w:t>A korszerűsítendő vonalak a következők:</w:t>
            </w:r>
          </w:p>
          <w:p w14:paraId="6AC5FFEC" w14:textId="77777777" w:rsidR="003F5418" w:rsidRDefault="003F5418">
            <w:pPr>
              <w:rPr>
                <w:rFonts w:ascii="Arial Narrow" w:hAnsi="Arial Narrow"/>
                <w:noProof/>
                <w:color w:val="006100"/>
                <w:sz w:val="20"/>
              </w:rPr>
            </w:pPr>
          </w:p>
          <w:p w14:paraId="48F7E4EA" w14:textId="77777777" w:rsidR="003F5418" w:rsidRDefault="002A6C25">
            <w:pPr>
              <w:pStyle w:val="P68B1DB1-Normal4"/>
              <w:rPr>
                <w:noProof/>
              </w:rPr>
            </w:pPr>
            <w:r>
              <w:rPr>
                <w:noProof/>
              </w:rPr>
              <w:t>Milánó Genova (70 km)</w:t>
            </w:r>
          </w:p>
          <w:p w14:paraId="6915B94D" w14:textId="77777777" w:rsidR="003F5418" w:rsidRDefault="002A6C25">
            <w:pPr>
              <w:pStyle w:val="P68B1DB1-Normal4"/>
              <w:rPr>
                <w:noProof/>
              </w:rPr>
            </w:pPr>
            <w:r>
              <w:rPr>
                <w:noProof/>
              </w:rPr>
              <w:t>Palermo Catania (linea storica) (84 km)</w:t>
            </w:r>
          </w:p>
          <w:p w14:paraId="0172A614" w14:textId="77777777" w:rsidR="003F5418" w:rsidRDefault="002A6C25">
            <w:pPr>
              <w:pStyle w:val="P68B1DB1-Normal4"/>
              <w:rPr>
                <w:noProof/>
              </w:rPr>
            </w:pPr>
            <w:r>
              <w:rPr>
                <w:noProof/>
              </w:rPr>
              <w:t>Battipaglia Potenza (60 km)</w:t>
            </w:r>
          </w:p>
          <w:p w14:paraId="2659FE58" w14:textId="77777777" w:rsidR="003F5418" w:rsidRDefault="002A6C25">
            <w:pPr>
              <w:pStyle w:val="P68B1DB1-Normal4"/>
              <w:rPr>
                <w:noProof/>
              </w:rPr>
            </w:pPr>
            <w:r>
              <w:rPr>
                <w:noProof/>
              </w:rPr>
              <w:t>Orte Falconara (7 km)</w:t>
            </w:r>
          </w:p>
        </w:tc>
      </w:tr>
      <w:tr w:rsidR="003F5418" w14:paraId="79AF3F19" w14:textId="77777777">
        <w:trPr>
          <w:trHeight w:val="309"/>
          <w:jc w:val="right"/>
        </w:trPr>
        <w:tc>
          <w:tcPr>
            <w:tcW w:w="369" w:type="pct"/>
            <w:shd w:val="clear" w:color="auto" w:fill="C6EFCE"/>
            <w:noWrap/>
            <w:vAlign w:val="center"/>
          </w:tcPr>
          <w:p w14:paraId="6000370D" w14:textId="77777777" w:rsidR="003F5418" w:rsidRDefault="002A6C25">
            <w:pPr>
              <w:pStyle w:val="P68B1DB1-Normal4"/>
              <w:jc w:val="center"/>
              <w:rPr>
                <w:noProof/>
              </w:rPr>
            </w:pPr>
            <w:r>
              <w:rPr>
                <w:noProof/>
              </w:rPr>
              <w:t>M3C1–9</w:t>
            </w:r>
          </w:p>
        </w:tc>
        <w:tc>
          <w:tcPr>
            <w:tcW w:w="511" w:type="pct"/>
            <w:shd w:val="clear" w:color="auto" w:fill="C6EFCE"/>
            <w:noWrap/>
            <w:vAlign w:val="center"/>
          </w:tcPr>
          <w:p w14:paraId="034CE503" w14:textId="7BF293BD" w:rsidR="003F5418" w:rsidRDefault="002A6C25">
            <w:pPr>
              <w:pStyle w:val="P68B1DB1-Normal4"/>
              <w:jc w:val="center"/>
              <w:rPr>
                <w:noProof/>
              </w:rPr>
            </w:pPr>
            <w:r>
              <w:rPr>
                <w:noProof/>
              </w:rPr>
              <w:t xml:space="preserve">Beruházás – Nagy sebességű, Európa többi </w:t>
            </w:r>
            <w:r>
              <w:rPr>
                <w:noProof/>
              </w:rPr>
              <w:t>részével összekötő északi vonalak</w:t>
            </w:r>
          </w:p>
        </w:tc>
        <w:tc>
          <w:tcPr>
            <w:tcW w:w="417" w:type="pct"/>
            <w:shd w:val="clear" w:color="auto" w:fill="C6EFCE"/>
            <w:noWrap/>
            <w:vAlign w:val="center"/>
          </w:tcPr>
          <w:p w14:paraId="37FA5E29"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1AFB1BF9" w14:textId="77777777" w:rsidR="003F5418" w:rsidRDefault="002A6C25">
            <w:pPr>
              <w:pStyle w:val="P68B1DB1-Normal4"/>
              <w:jc w:val="center"/>
              <w:rPr>
                <w:noProof/>
              </w:rPr>
            </w:pPr>
            <w:r>
              <w:rPr>
                <w:noProof/>
              </w:rPr>
              <w:t>A Brescia-Verona-Vicenza-Padova vonalakon személy- és áruszállítást egyaránt igénybe vevő nagysebességű vasút; Liguria-Alpi.</w:t>
            </w:r>
          </w:p>
        </w:tc>
        <w:tc>
          <w:tcPr>
            <w:tcW w:w="509" w:type="pct"/>
            <w:shd w:val="clear" w:color="auto" w:fill="C6EFCE"/>
            <w:noWrap/>
            <w:vAlign w:val="center"/>
          </w:tcPr>
          <w:p w14:paraId="2E6CD81B"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20AB4393"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654C27FB" w14:textId="77777777" w:rsidR="003F5418" w:rsidRDefault="002A6C25">
            <w:pPr>
              <w:pStyle w:val="P68B1DB1-Normal4"/>
              <w:jc w:val="center"/>
              <w:rPr>
                <w:noProof/>
              </w:rPr>
            </w:pPr>
            <w:r>
              <w:rPr>
                <w:noProof/>
              </w:rPr>
              <w:t>0</w:t>
            </w:r>
          </w:p>
        </w:tc>
        <w:tc>
          <w:tcPr>
            <w:tcW w:w="279" w:type="pct"/>
            <w:shd w:val="clear" w:color="auto" w:fill="C6EFCE"/>
            <w:noWrap/>
            <w:vAlign w:val="center"/>
          </w:tcPr>
          <w:p w14:paraId="35A6B043" w14:textId="77777777" w:rsidR="003F5418" w:rsidRDefault="002A6C25">
            <w:pPr>
              <w:pStyle w:val="P68B1DB1-Normal4"/>
              <w:jc w:val="center"/>
              <w:rPr>
                <w:noProof/>
              </w:rPr>
            </w:pPr>
            <w:r>
              <w:rPr>
                <w:noProof/>
              </w:rPr>
              <w:t>165</w:t>
            </w:r>
          </w:p>
        </w:tc>
        <w:tc>
          <w:tcPr>
            <w:tcW w:w="278" w:type="pct"/>
            <w:shd w:val="clear" w:color="auto" w:fill="C6EFCE"/>
            <w:noWrap/>
            <w:vAlign w:val="center"/>
          </w:tcPr>
          <w:p w14:paraId="56C4B947"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5404C8CF"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56989C3E" w14:textId="77777777" w:rsidR="003F5418" w:rsidRDefault="002A6C25">
            <w:pPr>
              <w:pStyle w:val="P68B1DB1-Normal4"/>
              <w:rPr>
                <w:noProof/>
              </w:rPr>
            </w:pPr>
            <w:r>
              <w:rPr>
                <w:noProof/>
              </w:rPr>
              <w:t>165 km nagy sebességű vasút személy- és áruszállítás céljára egyaránt a Brescia-Verona-Vicenza-Padova vonalakon; Liguria-Alpi épült, készen áll az engedélyezésre és az üzemeltetési szakaszra.</w:t>
            </w:r>
          </w:p>
          <w:p w14:paraId="37AED7B5" w14:textId="77777777" w:rsidR="003F5418" w:rsidRDefault="003F5418">
            <w:pPr>
              <w:rPr>
                <w:rFonts w:ascii="Arial Narrow" w:hAnsi="Arial Narrow"/>
                <w:noProof/>
                <w:color w:val="006100"/>
                <w:sz w:val="20"/>
              </w:rPr>
            </w:pPr>
          </w:p>
          <w:p w14:paraId="499604C8" w14:textId="77777777" w:rsidR="003F5418" w:rsidRDefault="002A6C25">
            <w:pPr>
              <w:pStyle w:val="P68B1DB1-Normal4"/>
              <w:rPr>
                <w:noProof/>
              </w:rPr>
            </w:pPr>
            <w:r>
              <w:rPr>
                <w:noProof/>
              </w:rPr>
              <w:t>A 165 km-t a következő szakaszokban kell megépíteni:</w:t>
            </w:r>
          </w:p>
          <w:p w14:paraId="1B42582E" w14:textId="77777777" w:rsidR="003F5418" w:rsidRDefault="003F5418">
            <w:pPr>
              <w:rPr>
                <w:rFonts w:ascii="Arial Narrow" w:hAnsi="Arial Narrow"/>
                <w:noProof/>
                <w:color w:val="006100"/>
                <w:sz w:val="20"/>
              </w:rPr>
            </w:pPr>
          </w:p>
          <w:p w14:paraId="5B3DA949" w14:textId="77777777" w:rsidR="003F5418" w:rsidRDefault="002A6C25">
            <w:pPr>
              <w:pStyle w:val="P68B1DB1-Normal4"/>
              <w:rPr>
                <w:noProof/>
              </w:rPr>
            </w:pPr>
            <w:r>
              <w:rPr>
                <w:noProof/>
              </w:rPr>
              <w:t>Brescia-V</w:t>
            </w:r>
            <w:r>
              <w:rPr>
                <w:noProof/>
              </w:rPr>
              <w:t>erona, 48 km</w:t>
            </w:r>
          </w:p>
          <w:p w14:paraId="679447C8" w14:textId="2E53BC50" w:rsidR="003F5418" w:rsidRDefault="002A6C25">
            <w:pPr>
              <w:pStyle w:val="P68B1DB1-Normal4"/>
              <w:rPr>
                <w:noProof/>
              </w:rPr>
            </w:pPr>
            <w:r>
              <w:rPr>
                <w:noProof/>
              </w:rPr>
              <w:t>Verona-Bivio Vicenza, 44 km</w:t>
            </w:r>
          </w:p>
          <w:p w14:paraId="3E92C3EF" w14:textId="77777777" w:rsidR="003F5418" w:rsidRDefault="002A6C25">
            <w:pPr>
              <w:pStyle w:val="P68B1DB1-Normal4"/>
              <w:rPr>
                <w:noProof/>
              </w:rPr>
            </w:pPr>
            <w:r>
              <w:rPr>
                <w:noProof/>
              </w:rPr>
              <w:t>Genovai csomópont és harmadik giovi, 53 km-es átkelő</w:t>
            </w:r>
          </w:p>
          <w:p w14:paraId="1F738077" w14:textId="77777777" w:rsidR="003F5418" w:rsidRDefault="002A6C25">
            <w:pPr>
              <w:pStyle w:val="P68B1DB1-Normal4"/>
              <w:rPr>
                <w:noProof/>
              </w:rPr>
            </w:pPr>
            <w:r>
              <w:rPr>
                <w:noProof/>
              </w:rPr>
              <w:t>Rho-Parabiago 9 km</w:t>
            </w:r>
          </w:p>
          <w:p w14:paraId="2D142A80" w14:textId="77777777" w:rsidR="003F5418" w:rsidRDefault="002A6C25">
            <w:pPr>
              <w:pStyle w:val="P68B1DB1-Normal4"/>
              <w:rPr>
                <w:noProof/>
              </w:rPr>
            </w:pPr>
            <w:r>
              <w:rPr>
                <w:noProof/>
              </w:rPr>
              <w:t>Pavia-Milano-Rogoredo 11 km</w:t>
            </w:r>
          </w:p>
        </w:tc>
      </w:tr>
      <w:tr w:rsidR="003F5418" w14:paraId="40510E48" w14:textId="77777777">
        <w:trPr>
          <w:trHeight w:val="3419"/>
          <w:jc w:val="right"/>
        </w:trPr>
        <w:tc>
          <w:tcPr>
            <w:tcW w:w="369" w:type="pct"/>
            <w:shd w:val="clear" w:color="auto" w:fill="C6EFCE"/>
            <w:noWrap/>
            <w:vAlign w:val="center"/>
          </w:tcPr>
          <w:p w14:paraId="531490AD" w14:textId="77777777" w:rsidR="003F5418" w:rsidRDefault="002A6C25">
            <w:pPr>
              <w:pStyle w:val="P68B1DB1-Normal4"/>
              <w:jc w:val="center"/>
              <w:rPr>
                <w:noProof/>
              </w:rPr>
            </w:pPr>
            <w:r>
              <w:rPr>
                <w:noProof/>
              </w:rPr>
              <w:t>M3C1–10</w:t>
            </w:r>
          </w:p>
        </w:tc>
        <w:tc>
          <w:tcPr>
            <w:tcW w:w="511" w:type="pct"/>
            <w:shd w:val="clear" w:color="auto" w:fill="C6EFCE"/>
            <w:noWrap/>
            <w:vAlign w:val="center"/>
          </w:tcPr>
          <w:p w14:paraId="56FF1A95" w14:textId="77777777" w:rsidR="003F5418" w:rsidRDefault="002A6C25">
            <w:pPr>
              <w:pStyle w:val="P68B1DB1-Normal4"/>
              <w:jc w:val="center"/>
              <w:rPr>
                <w:noProof/>
              </w:rPr>
            </w:pPr>
            <w:r>
              <w:rPr>
                <w:noProof/>
              </w:rPr>
              <w:t>Beruházás – Diagonális összeköttetések</w:t>
            </w:r>
          </w:p>
        </w:tc>
        <w:tc>
          <w:tcPr>
            <w:tcW w:w="417" w:type="pct"/>
            <w:shd w:val="clear" w:color="auto" w:fill="C6EFCE"/>
            <w:noWrap/>
            <w:vAlign w:val="center"/>
          </w:tcPr>
          <w:p w14:paraId="13ABA8E3"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3B7ACF60" w14:textId="77777777" w:rsidR="003F5418" w:rsidRDefault="002A6C25">
            <w:pPr>
              <w:pStyle w:val="P68B1DB1-Normal4"/>
              <w:jc w:val="center"/>
              <w:rPr>
                <w:noProof/>
              </w:rPr>
            </w:pPr>
            <w:r>
              <w:rPr>
                <w:noProof/>
              </w:rPr>
              <w:t xml:space="preserve">Az Orte-Falconara és Taranto </w:t>
            </w:r>
            <w:r>
              <w:rPr>
                <w:noProof/>
              </w:rPr>
              <w:t>-Metaponto-Potenza-Battipaglia vonalak összeköttetéseinek kiépítésére irányuló szerződés(ek) odaítélése</w:t>
            </w:r>
          </w:p>
        </w:tc>
        <w:tc>
          <w:tcPr>
            <w:tcW w:w="509" w:type="pct"/>
            <w:shd w:val="clear" w:color="auto" w:fill="C6EFCE"/>
            <w:noWrap/>
            <w:vAlign w:val="center"/>
          </w:tcPr>
          <w:p w14:paraId="71727794" w14:textId="77777777" w:rsidR="003F5418" w:rsidRDefault="002A6C25">
            <w:pPr>
              <w:pStyle w:val="P68B1DB1-Normal6"/>
              <w:jc w:val="center"/>
              <w:rPr>
                <w:noProof/>
                <w:color w:val="006100"/>
              </w:rPr>
            </w:pPr>
            <w:r>
              <w:rPr>
                <w:noProof/>
                <w:color w:val="006100"/>
              </w:rPr>
              <w:t xml:space="preserve">Értesítés az Orte-Falconara és Taranto – Metaponto-Potenza-Battipaglia vonalakon történő nagy sebességű vasút megépítésére irányuló multidiszciplináris </w:t>
            </w:r>
            <w:r>
              <w:rPr>
                <w:noProof/>
                <w:color w:val="006100"/>
              </w:rPr>
              <w:t>szerződésodaítéléséről</w:t>
            </w:r>
          </w:p>
        </w:tc>
        <w:tc>
          <w:tcPr>
            <w:tcW w:w="325" w:type="pct"/>
            <w:shd w:val="clear" w:color="auto" w:fill="C6EFCE"/>
            <w:noWrap/>
            <w:vAlign w:val="center"/>
          </w:tcPr>
          <w:p w14:paraId="4F626393"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0C92CD28"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76D52755" w14:textId="77777777" w:rsidR="003F5418" w:rsidRDefault="002A6C25">
            <w:pPr>
              <w:pStyle w:val="P68B1DB1-Normal4"/>
              <w:jc w:val="center"/>
              <w:rPr>
                <w:noProof/>
              </w:rPr>
            </w:pPr>
            <w:r>
              <w:rPr>
                <w:noProof/>
              </w:rPr>
              <w:t>NINCS</w:t>
            </w:r>
          </w:p>
        </w:tc>
        <w:tc>
          <w:tcPr>
            <w:tcW w:w="278" w:type="pct"/>
            <w:shd w:val="clear" w:color="auto" w:fill="C6EFCE"/>
            <w:noWrap/>
            <w:vAlign w:val="center"/>
          </w:tcPr>
          <w:p w14:paraId="6A52E3BC" w14:textId="77777777" w:rsidR="003F5418" w:rsidRDefault="002A6C25">
            <w:pPr>
              <w:pStyle w:val="P68B1DB1-Normal4"/>
              <w:jc w:val="center"/>
              <w:rPr>
                <w:noProof/>
              </w:rPr>
            </w:pPr>
            <w:r>
              <w:rPr>
                <w:noProof/>
              </w:rPr>
              <w:t>Q1</w:t>
            </w:r>
          </w:p>
        </w:tc>
        <w:tc>
          <w:tcPr>
            <w:tcW w:w="278" w:type="pct"/>
            <w:shd w:val="clear" w:color="auto" w:fill="C6EFCE"/>
            <w:noWrap/>
            <w:vAlign w:val="center"/>
          </w:tcPr>
          <w:p w14:paraId="08F786E1" w14:textId="77777777" w:rsidR="003F5418" w:rsidRDefault="002A6C25">
            <w:pPr>
              <w:pStyle w:val="P68B1DB1-Normal4"/>
              <w:jc w:val="center"/>
              <w:rPr>
                <w:noProof/>
              </w:rPr>
            </w:pPr>
            <w:r>
              <w:rPr>
                <w:noProof/>
              </w:rPr>
              <w:t>2024</w:t>
            </w:r>
          </w:p>
        </w:tc>
        <w:tc>
          <w:tcPr>
            <w:tcW w:w="1198" w:type="pct"/>
            <w:shd w:val="clear" w:color="auto" w:fill="C6EFCE"/>
            <w:noWrap/>
            <w:vAlign w:val="center"/>
          </w:tcPr>
          <w:p w14:paraId="1AFE2894" w14:textId="77777777" w:rsidR="003F5418" w:rsidRDefault="002A6C25">
            <w:pPr>
              <w:pStyle w:val="P68B1DB1-Normal4"/>
              <w:rPr>
                <w:noProof/>
              </w:rPr>
            </w:pPr>
            <w:r>
              <w:rPr>
                <w:noProof/>
              </w:rPr>
              <w:t>Értesítés az Orte-Falconara és Taranto -Metaponto-Potenza-Battipaglia vonalak összeköttetéseinek kiépítésére irányuló multidiszciplináris szerződés odaítéléséről.</w:t>
            </w:r>
          </w:p>
          <w:p w14:paraId="23676A24" w14:textId="77777777" w:rsidR="003F5418" w:rsidRDefault="003F5418">
            <w:pPr>
              <w:rPr>
                <w:rFonts w:ascii="Arial Narrow" w:hAnsi="Arial Narrow"/>
                <w:noProof/>
                <w:color w:val="006100"/>
                <w:sz w:val="20"/>
              </w:rPr>
            </w:pPr>
          </w:p>
          <w:p w14:paraId="515FBFA5" w14:textId="77777777" w:rsidR="003F5418" w:rsidRDefault="002A6C25">
            <w:pPr>
              <w:pStyle w:val="P68B1DB1-Normal4"/>
              <w:rPr>
                <w:noProof/>
              </w:rPr>
            </w:pPr>
            <w:r>
              <w:rPr>
                <w:noProof/>
              </w:rPr>
              <w:t xml:space="preserve">A szerződés(ek) a következő sorokra vonatkozik: </w:t>
            </w:r>
          </w:p>
          <w:p w14:paraId="6147EB3D" w14:textId="77777777" w:rsidR="003F5418" w:rsidRDefault="003F5418">
            <w:pPr>
              <w:rPr>
                <w:rFonts w:ascii="Arial Narrow" w:hAnsi="Arial Narrow"/>
                <w:noProof/>
                <w:color w:val="006100"/>
                <w:sz w:val="20"/>
              </w:rPr>
            </w:pPr>
          </w:p>
          <w:p w14:paraId="1F187C3F" w14:textId="77777777" w:rsidR="003F5418" w:rsidRDefault="002A6C25">
            <w:pPr>
              <w:pStyle w:val="P68B1DB1-Normal4"/>
              <w:rPr>
                <w:noProof/>
              </w:rPr>
            </w:pPr>
            <w:r>
              <w:rPr>
                <w:noProof/>
              </w:rPr>
              <w:t>Orte-Falconara</w:t>
            </w:r>
          </w:p>
          <w:p w14:paraId="096344BF" w14:textId="77777777" w:rsidR="003F5418" w:rsidRDefault="002A6C25">
            <w:pPr>
              <w:pStyle w:val="P68B1DB1-Normal4"/>
              <w:rPr>
                <w:noProof/>
              </w:rPr>
            </w:pPr>
            <w:r>
              <w:rPr>
                <w:noProof/>
              </w:rPr>
              <w:t>Taranto – Metaponto-Potenza-Battipaglia</w:t>
            </w:r>
          </w:p>
        </w:tc>
      </w:tr>
      <w:tr w:rsidR="003F5418" w14:paraId="798D7538" w14:textId="77777777">
        <w:trPr>
          <w:trHeight w:val="309"/>
          <w:jc w:val="right"/>
        </w:trPr>
        <w:tc>
          <w:tcPr>
            <w:tcW w:w="369" w:type="pct"/>
            <w:shd w:val="clear" w:color="auto" w:fill="C6EFCE"/>
            <w:noWrap/>
            <w:vAlign w:val="center"/>
          </w:tcPr>
          <w:p w14:paraId="009DB128" w14:textId="77777777" w:rsidR="003F5418" w:rsidRDefault="002A6C25">
            <w:pPr>
              <w:pStyle w:val="P68B1DB1-Normal4"/>
              <w:jc w:val="center"/>
              <w:rPr>
                <w:noProof/>
              </w:rPr>
            </w:pPr>
            <w:r>
              <w:rPr>
                <w:noProof/>
              </w:rPr>
              <w:t>M3C1–11</w:t>
            </w:r>
          </w:p>
        </w:tc>
        <w:tc>
          <w:tcPr>
            <w:tcW w:w="511" w:type="pct"/>
            <w:shd w:val="clear" w:color="auto" w:fill="C6EFCE"/>
            <w:noWrap/>
            <w:vAlign w:val="center"/>
          </w:tcPr>
          <w:p w14:paraId="3CA20C92" w14:textId="77777777" w:rsidR="003F5418" w:rsidRDefault="002A6C25">
            <w:pPr>
              <w:pStyle w:val="P68B1DB1-Normal4"/>
              <w:jc w:val="center"/>
              <w:rPr>
                <w:noProof/>
              </w:rPr>
            </w:pPr>
            <w:r>
              <w:rPr>
                <w:noProof/>
              </w:rPr>
              <w:t>Beruházás – Diagonális összeköttetések</w:t>
            </w:r>
          </w:p>
        </w:tc>
        <w:tc>
          <w:tcPr>
            <w:tcW w:w="417" w:type="pct"/>
            <w:shd w:val="clear" w:color="auto" w:fill="C6EFCE"/>
            <w:noWrap/>
            <w:vAlign w:val="center"/>
          </w:tcPr>
          <w:p w14:paraId="2FC909FE"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4E91291E" w14:textId="77777777" w:rsidR="003F5418" w:rsidRDefault="002A6C25">
            <w:pPr>
              <w:pStyle w:val="P68B1DB1-Normal4"/>
              <w:jc w:val="center"/>
              <w:rPr>
                <w:noProof/>
              </w:rPr>
            </w:pPr>
            <w:r>
              <w:rPr>
                <w:noProof/>
              </w:rPr>
              <w:t xml:space="preserve">Nagy sebességű vasúti személy- és áruszállítás az Orte-Falconara és Taranto – </w:t>
            </w:r>
            <w:r>
              <w:rPr>
                <w:noProof/>
              </w:rPr>
              <w:t>Metaponto-Potenza-Battipaglia vonalon</w:t>
            </w:r>
          </w:p>
        </w:tc>
        <w:tc>
          <w:tcPr>
            <w:tcW w:w="509" w:type="pct"/>
            <w:shd w:val="clear" w:color="auto" w:fill="C6EFCE"/>
            <w:noWrap/>
            <w:vAlign w:val="center"/>
          </w:tcPr>
          <w:p w14:paraId="31E3478E"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773CDC63"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74DFBEF1" w14:textId="77777777" w:rsidR="003F5418" w:rsidRDefault="002A6C25">
            <w:pPr>
              <w:pStyle w:val="P68B1DB1-Normal4"/>
              <w:jc w:val="center"/>
              <w:rPr>
                <w:noProof/>
              </w:rPr>
            </w:pPr>
            <w:r>
              <w:rPr>
                <w:noProof/>
              </w:rPr>
              <w:t>0</w:t>
            </w:r>
          </w:p>
        </w:tc>
        <w:tc>
          <w:tcPr>
            <w:tcW w:w="279" w:type="pct"/>
            <w:shd w:val="clear" w:color="auto" w:fill="C6EFCE"/>
            <w:noWrap/>
            <w:vAlign w:val="center"/>
          </w:tcPr>
          <w:p w14:paraId="46AD22DB" w14:textId="77777777" w:rsidR="003F5418" w:rsidRDefault="002A6C25">
            <w:pPr>
              <w:pStyle w:val="P68B1DB1-Normal4"/>
              <w:jc w:val="center"/>
              <w:rPr>
                <w:noProof/>
              </w:rPr>
            </w:pPr>
            <w:r>
              <w:rPr>
                <w:noProof/>
              </w:rPr>
              <w:t>27</w:t>
            </w:r>
          </w:p>
        </w:tc>
        <w:tc>
          <w:tcPr>
            <w:tcW w:w="278" w:type="pct"/>
            <w:shd w:val="clear" w:color="auto" w:fill="C6EFCE"/>
            <w:noWrap/>
            <w:vAlign w:val="center"/>
          </w:tcPr>
          <w:p w14:paraId="7B1EF669"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6DE00597"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46435DFA" w14:textId="77777777" w:rsidR="003F5418" w:rsidRDefault="002A6C25">
            <w:pPr>
              <w:pStyle w:val="P68B1DB1-Normal4"/>
              <w:rPr>
                <w:noProof/>
              </w:rPr>
            </w:pPr>
            <w:r>
              <w:rPr>
                <w:noProof/>
              </w:rPr>
              <w:t>Az Orte-Falconara és a Taranto -Metaponto-Potenza-Battipaglia vonalakon 27 km-nyi nagy sebességű vasút épült, készen áll az engedélyezésre és az üzemeltetési szakaszra.</w:t>
            </w:r>
          </w:p>
          <w:p w14:paraId="21791DDC" w14:textId="77777777" w:rsidR="003F5418" w:rsidRDefault="003F5418">
            <w:pPr>
              <w:rPr>
                <w:rFonts w:ascii="Arial Narrow" w:hAnsi="Arial Narrow"/>
                <w:noProof/>
                <w:color w:val="006100"/>
                <w:sz w:val="20"/>
              </w:rPr>
            </w:pPr>
          </w:p>
          <w:p w14:paraId="3E7B32D3" w14:textId="77777777" w:rsidR="003F5418" w:rsidRDefault="002A6C25">
            <w:pPr>
              <w:pStyle w:val="P68B1DB1-Normal4"/>
              <w:rPr>
                <w:noProof/>
              </w:rPr>
            </w:pPr>
            <w:r>
              <w:rPr>
                <w:noProof/>
              </w:rPr>
              <w:t xml:space="preserve">A 27 km megoszlása a </w:t>
            </w:r>
            <w:r>
              <w:rPr>
                <w:noProof/>
              </w:rPr>
              <w:t>következő:</w:t>
            </w:r>
          </w:p>
          <w:p w14:paraId="1759A172" w14:textId="77777777" w:rsidR="003F5418" w:rsidRDefault="003F5418">
            <w:pPr>
              <w:rPr>
                <w:rFonts w:ascii="Arial Narrow" w:hAnsi="Arial Narrow"/>
                <w:noProof/>
                <w:color w:val="006100"/>
                <w:sz w:val="20"/>
              </w:rPr>
            </w:pPr>
          </w:p>
          <w:p w14:paraId="64934F41" w14:textId="77777777" w:rsidR="003F5418" w:rsidRDefault="002A6C25">
            <w:pPr>
              <w:pStyle w:val="P68B1DB1-Normal4"/>
              <w:rPr>
                <w:noProof/>
              </w:rPr>
            </w:pPr>
            <w:r>
              <w:rPr>
                <w:noProof/>
              </w:rPr>
              <w:t>Orte-Falconara, 13 km</w:t>
            </w:r>
          </w:p>
          <w:p w14:paraId="02545D57" w14:textId="77777777" w:rsidR="003F5418" w:rsidRDefault="002A6C25">
            <w:pPr>
              <w:pStyle w:val="P68B1DB1-Normal4"/>
              <w:rPr>
                <w:noProof/>
              </w:rPr>
            </w:pPr>
            <w:r>
              <w:rPr>
                <w:noProof/>
              </w:rPr>
              <w:t>Taranto – Metaponto – Potenza – Battipaglia, 14 km</w:t>
            </w:r>
          </w:p>
        </w:tc>
      </w:tr>
      <w:tr w:rsidR="003F5418" w14:paraId="56CC8A4B" w14:textId="77777777">
        <w:trPr>
          <w:trHeight w:val="309"/>
          <w:jc w:val="right"/>
        </w:trPr>
        <w:tc>
          <w:tcPr>
            <w:tcW w:w="369" w:type="pct"/>
            <w:shd w:val="clear" w:color="auto" w:fill="C6EFCE"/>
            <w:noWrap/>
            <w:vAlign w:val="center"/>
          </w:tcPr>
          <w:p w14:paraId="42D6E267" w14:textId="77777777" w:rsidR="003F5418" w:rsidRDefault="002A6C25">
            <w:pPr>
              <w:pStyle w:val="P68B1DB1-Normal4"/>
              <w:jc w:val="center"/>
              <w:rPr>
                <w:noProof/>
              </w:rPr>
            </w:pPr>
            <w:r>
              <w:rPr>
                <w:noProof/>
              </w:rPr>
              <w:t>M3C1–12</w:t>
            </w:r>
          </w:p>
        </w:tc>
        <w:tc>
          <w:tcPr>
            <w:tcW w:w="511" w:type="pct"/>
            <w:shd w:val="clear" w:color="auto" w:fill="C6EFCE"/>
            <w:noWrap/>
            <w:vAlign w:val="center"/>
          </w:tcPr>
          <w:p w14:paraId="48B859F7" w14:textId="77777777" w:rsidR="003F5418" w:rsidRDefault="002A6C25">
            <w:pPr>
              <w:pStyle w:val="P68B1DB1-Normal4"/>
              <w:jc w:val="center"/>
              <w:rPr>
                <w:noProof/>
              </w:rPr>
            </w:pPr>
            <w:r>
              <w:rPr>
                <w:noProof/>
              </w:rPr>
              <w:t>Beruházás – Az európai vasúti közlekedésirányítási rendszer (ERTMS) bevezetése</w:t>
            </w:r>
          </w:p>
        </w:tc>
        <w:tc>
          <w:tcPr>
            <w:tcW w:w="417" w:type="pct"/>
            <w:shd w:val="clear" w:color="auto" w:fill="C6EFCE"/>
            <w:noWrap/>
            <w:vAlign w:val="center"/>
          </w:tcPr>
          <w:p w14:paraId="63603CAF"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7E04EB40" w14:textId="77777777" w:rsidR="003F5418" w:rsidRDefault="002A6C25">
            <w:pPr>
              <w:pStyle w:val="P68B1DB1-Normal4"/>
              <w:jc w:val="center"/>
              <w:rPr>
                <w:noProof/>
              </w:rPr>
            </w:pPr>
            <w:r>
              <w:rPr>
                <w:noProof/>
              </w:rPr>
              <w:t xml:space="preserve">Az Európai Vasúti Szállításirányítási Rendszerre vonatkozó szerződések </w:t>
            </w:r>
            <w:r>
              <w:rPr>
                <w:noProof/>
              </w:rPr>
              <w:t>odaítélése</w:t>
            </w:r>
          </w:p>
        </w:tc>
        <w:tc>
          <w:tcPr>
            <w:tcW w:w="509" w:type="pct"/>
            <w:shd w:val="clear" w:color="auto" w:fill="C6EFCE"/>
            <w:noWrap/>
            <w:vAlign w:val="center"/>
          </w:tcPr>
          <w:p w14:paraId="1DC1E2C0" w14:textId="77777777" w:rsidR="003F5418" w:rsidRDefault="002A6C25">
            <w:pPr>
              <w:pStyle w:val="P68B1DB1-Normal4"/>
              <w:jc w:val="center"/>
              <w:rPr>
                <w:noProof/>
              </w:rPr>
            </w:pPr>
            <w:r>
              <w:rPr>
                <w:noProof/>
              </w:rPr>
              <w:t>Értesítés az európai vasúti szállításirányítási rendszer bevezetésére irányuló valamennyi közbeszerzési szerződés odaítéléséről</w:t>
            </w:r>
          </w:p>
        </w:tc>
        <w:tc>
          <w:tcPr>
            <w:tcW w:w="325" w:type="pct"/>
            <w:shd w:val="clear" w:color="auto" w:fill="C6EFCE"/>
            <w:noWrap/>
            <w:vAlign w:val="center"/>
          </w:tcPr>
          <w:p w14:paraId="322493D4"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4047E8B5"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21B7468A" w14:textId="77777777" w:rsidR="003F5418" w:rsidRDefault="002A6C25">
            <w:pPr>
              <w:pStyle w:val="P68B1DB1-Normal4"/>
              <w:jc w:val="center"/>
              <w:rPr>
                <w:noProof/>
              </w:rPr>
            </w:pPr>
            <w:r>
              <w:rPr>
                <w:noProof/>
              </w:rPr>
              <w:t>NINCS</w:t>
            </w:r>
          </w:p>
        </w:tc>
        <w:tc>
          <w:tcPr>
            <w:tcW w:w="278" w:type="pct"/>
            <w:shd w:val="clear" w:color="auto" w:fill="C6EFCE"/>
            <w:noWrap/>
            <w:vAlign w:val="center"/>
          </w:tcPr>
          <w:p w14:paraId="0F19ED5C"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70B39200" w14:textId="77777777" w:rsidR="003F5418" w:rsidRDefault="002A6C25">
            <w:pPr>
              <w:pStyle w:val="P68B1DB1-Normal4"/>
              <w:jc w:val="center"/>
              <w:rPr>
                <w:noProof/>
              </w:rPr>
            </w:pPr>
            <w:r>
              <w:rPr>
                <w:noProof/>
              </w:rPr>
              <w:t>2022</w:t>
            </w:r>
          </w:p>
        </w:tc>
        <w:tc>
          <w:tcPr>
            <w:tcW w:w="1198" w:type="pct"/>
            <w:shd w:val="clear" w:color="auto" w:fill="C6EFCE"/>
            <w:noWrap/>
            <w:vAlign w:val="center"/>
          </w:tcPr>
          <w:p w14:paraId="33F4F0F4" w14:textId="77777777" w:rsidR="003F5418" w:rsidRDefault="002A6C25">
            <w:pPr>
              <w:pStyle w:val="P68B1DB1-Normal4"/>
              <w:rPr>
                <w:noProof/>
              </w:rPr>
            </w:pPr>
            <w:r>
              <w:rPr>
                <w:noProof/>
              </w:rPr>
              <w:t xml:space="preserve">Értesítés az európai vasúti közlekedésirányítási rendszer (ERTMS) bevezetésére irányuló </w:t>
            </w:r>
            <w:r>
              <w:rPr>
                <w:noProof/>
              </w:rPr>
              <w:t>valamennyi közbeszerzési szerződés odaítéléséről</w:t>
            </w:r>
          </w:p>
        </w:tc>
      </w:tr>
      <w:tr w:rsidR="003F5418" w14:paraId="523630AF" w14:textId="77777777">
        <w:trPr>
          <w:trHeight w:val="309"/>
          <w:jc w:val="right"/>
        </w:trPr>
        <w:tc>
          <w:tcPr>
            <w:tcW w:w="369" w:type="pct"/>
            <w:shd w:val="clear" w:color="auto" w:fill="C6EFCE"/>
            <w:noWrap/>
            <w:vAlign w:val="center"/>
          </w:tcPr>
          <w:p w14:paraId="7FE24E49" w14:textId="77777777" w:rsidR="003F5418" w:rsidRDefault="002A6C25">
            <w:pPr>
              <w:pStyle w:val="P68B1DB1-Normal4"/>
              <w:jc w:val="center"/>
              <w:rPr>
                <w:noProof/>
              </w:rPr>
            </w:pPr>
            <w:r>
              <w:rPr>
                <w:noProof/>
              </w:rPr>
              <w:t>M3C1–13</w:t>
            </w:r>
          </w:p>
        </w:tc>
        <w:tc>
          <w:tcPr>
            <w:tcW w:w="511" w:type="pct"/>
            <w:shd w:val="clear" w:color="auto" w:fill="C6EFCE"/>
            <w:noWrap/>
            <w:vAlign w:val="center"/>
          </w:tcPr>
          <w:p w14:paraId="27E24E11" w14:textId="77777777" w:rsidR="003F5418" w:rsidRDefault="002A6C25">
            <w:pPr>
              <w:pStyle w:val="P68B1DB1-Normal4"/>
              <w:jc w:val="center"/>
              <w:rPr>
                <w:noProof/>
              </w:rPr>
            </w:pPr>
            <w:r>
              <w:rPr>
                <w:noProof/>
              </w:rPr>
              <w:t>Beruházás – Az európai vasúti közlekedésirányítási rendszer (ERTMS) bevezetése</w:t>
            </w:r>
          </w:p>
        </w:tc>
        <w:tc>
          <w:tcPr>
            <w:tcW w:w="417" w:type="pct"/>
            <w:shd w:val="clear" w:color="auto" w:fill="C6EFCE"/>
            <w:noWrap/>
            <w:vAlign w:val="center"/>
          </w:tcPr>
          <w:p w14:paraId="2FD9AC48"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4CB31248" w14:textId="77777777" w:rsidR="003F5418" w:rsidRDefault="002A6C25">
            <w:pPr>
              <w:pStyle w:val="P68B1DB1-Normal4"/>
              <w:jc w:val="center"/>
              <w:rPr>
                <w:noProof/>
              </w:rPr>
            </w:pPr>
            <w:r>
              <w:rPr>
                <w:noProof/>
              </w:rPr>
              <w:t>1 400 km vasútvonal fel van szerelve az európai vasúti közlekedésirányítási rendszerrel</w:t>
            </w:r>
          </w:p>
        </w:tc>
        <w:tc>
          <w:tcPr>
            <w:tcW w:w="509" w:type="pct"/>
            <w:shd w:val="clear" w:color="auto" w:fill="C6EFCE"/>
            <w:noWrap/>
            <w:vAlign w:val="center"/>
          </w:tcPr>
          <w:p w14:paraId="0CD142FB"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53033D19"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3E4BBE7A" w14:textId="77777777" w:rsidR="003F5418" w:rsidRDefault="002A6C25">
            <w:pPr>
              <w:pStyle w:val="P68B1DB1-Normal4"/>
              <w:jc w:val="center"/>
              <w:rPr>
                <w:noProof/>
              </w:rPr>
            </w:pPr>
            <w:r>
              <w:rPr>
                <w:noProof/>
              </w:rPr>
              <w:t>0</w:t>
            </w:r>
          </w:p>
        </w:tc>
        <w:tc>
          <w:tcPr>
            <w:tcW w:w="279" w:type="pct"/>
            <w:shd w:val="clear" w:color="auto" w:fill="C6EFCE"/>
            <w:noWrap/>
            <w:vAlign w:val="center"/>
          </w:tcPr>
          <w:p w14:paraId="7AD7125A" w14:textId="77777777" w:rsidR="003F5418" w:rsidRDefault="002A6C25">
            <w:pPr>
              <w:pStyle w:val="P68B1DB1-Normal4"/>
              <w:jc w:val="center"/>
              <w:rPr>
                <w:noProof/>
              </w:rPr>
            </w:pPr>
            <w:r>
              <w:rPr>
                <w:noProof/>
              </w:rPr>
              <w:t>1 400</w:t>
            </w:r>
          </w:p>
        </w:tc>
        <w:tc>
          <w:tcPr>
            <w:tcW w:w="278" w:type="pct"/>
            <w:shd w:val="clear" w:color="auto" w:fill="C6EFCE"/>
            <w:noWrap/>
            <w:vAlign w:val="center"/>
          </w:tcPr>
          <w:p w14:paraId="27E80434"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0AF5FBF6" w14:textId="77777777" w:rsidR="003F5418" w:rsidRDefault="002A6C25">
            <w:pPr>
              <w:pStyle w:val="P68B1DB1-Normal4"/>
              <w:jc w:val="center"/>
              <w:rPr>
                <w:noProof/>
              </w:rPr>
            </w:pPr>
            <w:r>
              <w:rPr>
                <w:noProof/>
              </w:rPr>
              <w:t>2025</w:t>
            </w:r>
          </w:p>
        </w:tc>
        <w:tc>
          <w:tcPr>
            <w:tcW w:w="1198" w:type="pct"/>
            <w:shd w:val="clear" w:color="auto" w:fill="C6EFCE"/>
            <w:noWrap/>
            <w:vAlign w:val="center"/>
          </w:tcPr>
          <w:p w14:paraId="19CFC145" w14:textId="2150E9DE" w:rsidR="003F5418" w:rsidRDefault="002A6C25">
            <w:pPr>
              <w:pStyle w:val="P68B1DB1-Normal4"/>
              <w:rPr>
                <w:noProof/>
              </w:rPr>
            </w:pPr>
            <w:r>
              <w:rPr>
                <w:noProof/>
              </w:rPr>
              <w:t>1 400 km, az európai megvalósítási tervvel összhangban az európai vasúti közlekedésirányítási rendszerrel felszerelt vasút, amely készen áll az engedélyezési és üzemeltetési szakaszokra.</w:t>
            </w:r>
          </w:p>
        </w:tc>
      </w:tr>
      <w:tr w:rsidR="003F5418" w14:paraId="68ACFCF6" w14:textId="77777777">
        <w:trPr>
          <w:trHeight w:val="309"/>
          <w:jc w:val="right"/>
        </w:trPr>
        <w:tc>
          <w:tcPr>
            <w:tcW w:w="369" w:type="pct"/>
            <w:shd w:val="clear" w:color="auto" w:fill="C6EFCE"/>
            <w:noWrap/>
            <w:vAlign w:val="center"/>
          </w:tcPr>
          <w:p w14:paraId="03F68165" w14:textId="77777777" w:rsidR="003F5418" w:rsidRDefault="002A6C25">
            <w:pPr>
              <w:pStyle w:val="P68B1DB1-Normal4"/>
              <w:jc w:val="center"/>
              <w:rPr>
                <w:noProof/>
              </w:rPr>
            </w:pPr>
            <w:r>
              <w:rPr>
                <w:noProof/>
              </w:rPr>
              <w:t>M3C1–14</w:t>
            </w:r>
          </w:p>
        </w:tc>
        <w:tc>
          <w:tcPr>
            <w:tcW w:w="511" w:type="pct"/>
            <w:shd w:val="clear" w:color="auto" w:fill="C6EFCE"/>
            <w:noWrap/>
            <w:vAlign w:val="center"/>
          </w:tcPr>
          <w:p w14:paraId="22CEAEAC" w14:textId="77777777" w:rsidR="003F5418" w:rsidRDefault="002A6C25">
            <w:pPr>
              <w:pStyle w:val="P68B1DB1-Normal4"/>
              <w:jc w:val="center"/>
              <w:rPr>
                <w:noProof/>
              </w:rPr>
            </w:pPr>
            <w:r>
              <w:rPr>
                <w:noProof/>
              </w:rPr>
              <w:t xml:space="preserve">Beruházás – Az európai vasúti közlekedésirányítási rendszer </w:t>
            </w:r>
            <w:r>
              <w:rPr>
                <w:noProof/>
              </w:rPr>
              <w:t>(ERTMS) bevezetése</w:t>
            </w:r>
          </w:p>
        </w:tc>
        <w:tc>
          <w:tcPr>
            <w:tcW w:w="417" w:type="pct"/>
            <w:shd w:val="clear" w:color="auto" w:fill="C6EFCE"/>
            <w:noWrap/>
            <w:vAlign w:val="center"/>
          </w:tcPr>
          <w:p w14:paraId="6E0FD20D"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6FFA2731" w14:textId="77777777" w:rsidR="003F5418" w:rsidRDefault="002A6C25">
            <w:pPr>
              <w:pStyle w:val="P68B1DB1-Normal4"/>
              <w:jc w:val="center"/>
              <w:rPr>
                <w:noProof/>
              </w:rPr>
            </w:pPr>
            <w:r>
              <w:rPr>
                <w:noProof/>
              </w:rPr>
              <w:t xml:space="preserve"> 2 785 km vasútvonal fel van szerelve az európai vasúti közlekedésirányítási rendszerrel</w:t>
            </w:r>
          </w:p>
        </w:tc>
        <w:tc>
          <w:tcPr>
            <w:tcW w:w="509" w:type="pct"/>
            <w:shd w:val="clear" w:color="auto" w:fill="C6EFCE"/>
            <w:noWrap/>
            <w:vAlign w:val="center"/>
          </w:tcPr>
          <w:p w14:paraId="6ABE8759"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2A5B479C"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0AD70331" w14:textId="77777777" w:rsidR="003F5418" w:rsidRDefault="002A6C25">
            <w:pPr>
              <w:pStyle w:val="P68B1DB1-Normal4"/>
              <w:jc w:val="center"/>
              <w:rPr>
                <w:noProof/>
              </w:rPr>
            </w:pPr>
            <w:r>
              <w:rPr>
                <w:noProof/>
              </w:rPr>
              <w:t>1 400</w:t>
            </w:r>
          </w:p>
        </w:tc>
        <w:tc>
          <w:tcPr>
            <w:tcW w:w="279" w:type="pct"/>
            <w:shd w:val="clear" w:color="auto" w:fill="C6EFCE"/>
            <w:noWrap/>
            <w:vAlign w:val="center"/>
          </w:tcPr>
          <w:p w14:paraId="75A22845" w14:textId="77777777" w:rsidR="003F5418" w:rsidRDefault="002A6C25">
            <w:pPr>
              <w:pStyle w:val="P68B1DB1-Normal4"/>
              <w:jc w:val="center"/>
              <w:rPr>
                <w:noProof/>
              </w:rPr>
            </w:pPr>
            <w:r>
              <w:rPr>
                <w:noProof/>
              </w:rPr>
              <w:t>2 785</w:t>
            </w:r>
          </w:p>
        </w:tc>
        <w:tc>
          <w:tcPr>
            <w:tcW w:w="278" w:type="pct"/>
            <w:shd w:val="clear" w:color="auto" w:fill="C6EFCE"/>
            <w:noWrap/>
            <w:vAlign w:val="center"/>
          </w:tcPr>
          <w:p w14:paraId="68EFC51E"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5169F906"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69832EF3" w14:textId="0B820AE2" w:rsidR="003F5418" w:rsidRDefault="002A6C25">
            <w:pPr>
              <w:pStyle w:val="P68B1DB1-Normal4"/>
              <w:spacing w:before="120" w:after="120"/>
              <w:rPr>
                <w:noProof/>
              </w:rPr>
            </w:pPr>
            <w:r>
              <w:rPr>
                <w:noProof/>
              </w:rPr>
              <w:t xml:space="preserve">2 785 km, az európai megvalósítási tervvel összhangban az európai vasúti közlekedésirányítási rendszerrel </w:t>
            </w:r>
            <w:r>
              <w:rPr>
                <w:noProof/>
              </w:rPr>
              <w:t>felszerelt vasút, amely készen áll az engedélyezési és üzemeltetési szakaszokra.</w:t>
            </w:r>
          </w:p>
        </w:tc>
      </w:tr>
      <w:tr w:rsidR="003F5418" w14:paraId="3D753C5A" w14:textId="77777777">
        <w:trPr>
          <w:trHeight w:val="309"/>
          <w:jc w:val="right"/>
        </w:trPr>
        <w:tc>
          <w:tcPr>
            <w:tcW w:w="369" w:type="pct"/>
            <w:shd w:val="clear" w:color="auto" w:fill="C6EFCE"/>
            <w:noWrap/>
            <w:vAlign w:val="center"/>
          </w:tcPr>
          <w:p w14:paraId="4F715DA8" w14:textId="77777777" w:rsidR="003F5418" w:rsidRDefault="002A6C25">
            <w:pPr>
              <w:pStyle w:val="P68B1DB1-Normal4"/>
              <w:jc w:val="center"/>
              <w:rPr>
                <w:noProof/>
              </w:rPr>
            </w:pPr>
            <w:r>
              <w:rPr>
                <w:noProof/>
              </w:rPr>
              <w:t>M3C1–15</w:t>
            </w:r>
          </w:p>
        </w:tc>
        <w:tc>
          <w:tcPr>
            <w:tcW w:w="511" w:type="pct"/>
            <w:shd w:val="clear" w:color="auto" w:fill="C6EFCE"/>
            <w:noWrap/>
            <w:vAlign w:val="center"/>
          </w:tcPr>
          <w:p w14:paraId="4B22CC46" w14:textId="77777777" w:rsidR="003F5418" w:rsidRDefault="002A6C25">
            <w:pPr>
              <w:pStyle w:val="P68B1DB1-Normal4"/>
              <w:jc w:val="center"/>
              <w:rPr>
                <w:noProof/>
              </w:rPr>
            </w:pPr>
            <w:r>
              <w:rPr>
                <w:noProof/>
              </w:rPr>
              <w:t>Beruházás – A nagyvárosi csomópontok és a kulcsfontosságú nemzeti kapcsolatok megerősítése</w:t>
            </w:r>
          </w:p>
        </w:tc>
        <w:tc>
          <w:tcPr>
            <w:tcW w:w="417" w:type="pct"/>
            <w:shd w:val="clear" w:color="auto" w:fill="C6EFCE"/>
            <w:noWrap/>
            <w:vAlign w:val="center"/>
          </w:tcPr>
          <w:p w14:paraId="110375E5"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4CCE8B36" w14:textId="77777777" w:rsidR="003F5418" w:rsidRDefault="002A6C25">
            <w:pPr>
              <w:pStyle w:val="P68B1DB1-Normal4"/>
              <w:jc w:val="center"/>
              <w:rPr>
                <w:noProof/>
              </w:rPr>
            </w:pPr>
            <w:r>
              <w:rPr>
                <w:noProof/>
              </w:rPr>
              <w:t xml:space="preserve">700 km korszerűsített vonalszakasz nagyvárosi csomópontokon és fő </w:t>
            </w:r>
            <w:r>
              <w:rPr>
                <w:noProof/>
              </w:rPr>
              <w:t>nemzeti összeköttetéseken</w:t>
            </w:r>
          </w:p>
        </w:tc>
        <w:tc>
          <w:tcPr>
            <w:tcW w:w="509" w:type="pct"/>
            <w:shd w:val="clear" w:color="auto" w:fill="C6EFCE"/>
            <w:noWrap/>
            <w:vAlign w:val="center"/>
          </w:tcPr>
          <w:p w14:paraId="2ABF7939"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0E9A5B0C"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52A39EF2" w14:textId="77777777" w:rsidR="003F5418" w:rsidRDefault="002A6C25">
            <w:pPr>
              <w:pStyle w:val="P68B1DB1-Normal4"/>
              <w:jc w:val="center"/>
              <w:rPr>
                <w:noProof/>
              </w:rPr>
            </w:pPr>
            <w:r>
              <w:rPr>
                <w:noProof/>
              </w:rPr>
              <w:t>0</w:t>
            </w:r>
          </w:p>
        </w:tc>
        <w:tc>
          <w:tcPr>
            <w:tcW w:w="279" w:type="pct"/>
            <w:shd w:val="clear" w:color="auto" w:fill="C6EFCE"/>
            <w:noWrap/>
            <w:vAlign w:val="center"/>
          </w:tcPr>
          <w:p w14:paraId="6A157D9B" w14:textId="77777777" w:rsidR="003F5418" w:rsidRDefault="002A6C25">
            <w:pPr>
              <w:pStyle w:val="P68B1DB1-Normal4"/>
              <w:jc w:val="center"/>
              <w:rPr>
                <w:noProof/>
              </w:rPr>
            </w:pPr>
            <w:r>
              <w:rPr>
                <w:noProof/>
              </w:rPr>
              <w:t>700</w:t>
            </w:r>
          </w:p>
        </w:tc>
        <w:tc>
          <w:tcPr>
            <w:tcW w:w="278" w:type="pct"/>
            <w:shd w:val="clear" w:color="auto" w:fill="C6EFCE"/>
            <w:noWrap/>
            <w:vAlign w:val="center"/>
          </w:tcPr>
          <w:p w14:paraId="55809F64"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426F9160" w14:textId="77777777" w:rsidR="003F5418" w:rsidRDefault="002A6C25">
            <w:pPr>
              <w:pStyle w:val="P68B1DB1-Normal4"/>
              <w:jc w:val="center"/>
              <w:rPr>
                <w:noProof/>
              </w:rPr>
            </w:pPr>
            <w:r>
              <w:rPr>
                <w:noProof/>
              </w:rPr>
              <w:t>2024</w:t>
            </w:r>
          </w:p>
        </w:tc>
        <w:tc>
          <w:tcPr>
            <w:tcW w:w="1198" w:type="pct"/>
            <w:shd w:val="clear" w:color="auto" w:fill="C6EFCE"/>
            <w:noWrap/>
            <w:vAlign w:val="center"/>
          </w:tcPr>
          <w:p w14:paraId="4D28E5BE" w14:textId="77777777" w:rsidR="003F5418" w:rsidRDefault="002A6C25">
            <w:pPr>
              <w:pStyle w:val="P68B1DB1-Normal4"/>
              <w:rPr>
                <w:noProof/>
              </w:rPr>
            </w:pPr>
            <w:r>
              <w:rPr>
                <w:noProof/>
              </w:rPr>
              <w:t>Legalább 700 km korszerűsített vonalszakasz nagyvárosi csomópontokon és kulcsfontosságú nemzeti összeköttetéseken épülnek, amelyek készen állnak az engedélyezési és üzemeltetési szakaszokra.</w:t>
            </w:r>
          </w:p>
          <w:p w14:paraId="35028A02" w14:textId="77777777" w:rsidR="003F5418" w:rsidRDefault="003F5418">
            <w:pPr>
              <w:rPr>
                <w:rFonts w:ascii="Arial Narrow" w:hAnsi="Arial Narrow"/>
                <w:noProof/>
                <w:color w:val="006100"/>
                <w:sz w:val="20"/>
              </w:rPr>
            </w:pPr>
          </w:p>
        </w:tc>
      </w:tr>
      <w:tr w:rsidR="003F5418" w14:paraId="03A9CE0C" w14:textId="77777777">
        <w:trPr>
          <w:trHeight w:val="309"/>
          <w:jc w:val="right"/>
        </w:trPr>
        <w:tc>
          <w:tcPr>
            <w:tcW w:w="369" w:type="pct"/>
            <w:shd w:val="clear" w:color="auto" w:fill="C6EFCE"/>
            <w:noWrap/>
            <w:vAlign w:val="center"/>
          </w:tcPr>
          <w:p w14:paraId="5599296D" w14:textId="77777777" w:rsidR="003F5418" w:rsidRDefault="002A6C25">
            <w:pPr>
              <w:pStyle w:val="P68B1DB1-Normal4"/>
              <w:jc w:val="center"/>
              <w:rPr>
                <w:noProof/>
              </w:rPr>
            </w:pPr>
            <w:r>
              <w:rPr>
                <w:noProof/>
              </w:rPr>
              <w:t>M3C1–16</w:t>
            </w:r>
          </w:p>
        </w:tc>
        <w:tc>
          <w:tcPr>
            <w:tcW w:w="511" w:type="pct"/>
            <w:shd w:val="clear" w:color="auto" w:fill="C6EFCE"/>
            <w:noWrap/>
            <w:vAlign w:val="center"/>
          </w:tcPr>
          <w:p w14:paraId="6FD7278A" w14:textId="77777777" w:rsidR="003F5418" w:rsidRDefault="002A6C25">
            <w:pPr>
              <w:pStyle w:val="P68B1DB1-Normal4"/>
              <w:jc w:val="center"/>
              <w:rPr>
                <w:noProof/>
              </w:rPr>
            </w:pPr>
            <w:r>
              <w:rPr>
                <w:noProof/>
              </w:rPr>
              <w:t>Beruházás – A nagyvárosi csomópontok és a kulcsfontosságú nemzeti kapcsolatok megerősítése</w:t>
            </w:r>
          </w:p>
        </w:tc>
        <w:tc>
          <w:tcPr>
            <w:tcW w:w="417" w:type="pct"/>
            <w:shd w:val="clear" w:color="auto" w:fill="C6EFCE"/>
            <w:noWrap/>
            <w:vAlign w:val="center"/>
          </w:tcPr>
          <w:p w14:paraId="2C14DD62"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377DC302" w14:textId="77777777" w:rsidR="003F5418" w:rsidRDefault="002A6C25">
            <w:pPr>
              <w:pStyle w:val="P68B1DB1-Normal4"/>
              <w:jc w:val="center"/>
              <w:rPr>
                <w:noProof/>
              </w:rPr>
            </w:pPr>
            <w:r>
              <w:rPr>
                <w:noProof/>
              </w:rPr>
              <w:t>1 280 km korszerűsített vonalszakasz nagyvárosi csomópontokon és főbb nemzeti összeköttetéseken</w:t>
            </w:r>
          </w:p>
        </w:tc>
        <w:tc>
          <w:tcPr>
            <w:tcW w:w="509" w:type="pct"/>
            <w:shd w:val="clear" w:color="auto" w:fill="C6EFCE"/>
            <w:noWrap/>
            <w:vAlign w:val="center"/>
          </w:tcPr>
          <w:p w14:paraId="6EAEE55C"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46A1FF1F"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4FC5161D" w14:textId="77777777" w:rsidR="003F5418" w:rsidRDefault="002A6C25">
            <w:pPr>
              <w:pStyle w:val="P68B1DB1-Normal4"/>
              <w:jc w:val="center"/>
              <w:rPr>
                <w:noProof/>
              </w:rPr>
            </w:pPr>
            <w:r>
              <w:rPr>
                <w:noProof/>
              </w:rPr>
              <w:t>700</w:t>
            </w:r>
          </w:p>
        </w:tc>
        <w:tc>
          <w:tcPr>
            <w:tcW w:w="279" w:type="pct"/>
            <w:shd w:val="clear" w:color="auto" w:fill="C6EFCE"/>
            <w:noWrap/>
            <w:vAlign w:val="center"/>
          </w:tcPr>
          <w:p w14:paraId="56EE25CF" w14:textId="77777777" w:rsidR="003F5418" w:rsidRDefault="002A6C25">
            <w:pPr>
              <w:pStyle w:val="P68B1DB1-Normal4"/>
              <w:jc w:val="center"/>
              <w:rPr>
                <w:noProof/>
              </w:rPr>
            </w:pPr>
            <w:r>
              <w:rPr>
                <w:noProof/>
              </w:rPr>
              <w:t>1 280</w:t>
            </w:r>
          </w:p>
        </w:tc>
        <w:tc>
          <w:tcPr>
            <w:tcW w:w="278" w:type="pct"/>
            <w:shd w:val="clear" w:color="auto" w:fill="C6EFCE"/>
            <w:noWrap/>
            <w:vAlign w:val="center"/>
          </w:tcPr>
          <w:p w14:paraId="092D56C9"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2B6715AB"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2CB700E3" w14:textId="664BB836" w:rsidR="003F5418" w:rsidRDefault="002A6C25">
            <w:pPr>
              <w:pStyle w:val="P68B1DB1-Normal4"/>
              <w:rPr>
                <w:noProof/>
              </w:rPr>
            </w:pPr>
            <w:r>
              <w:rPr>
                <w:noProof/>
              </w:rPr>
              <w:t xml:space="preserve">Fejlett/korszerűsített vonalak </w:t>
            </w:r>
            <w:r>
              <w:rPr>
                <w:noProof/>
              </w:rPr>
              <w:t>legalább 1 280 km-es szakaszai nagyvárosi csomópontokon és kulcsfontosságú nemzeti összeköttetéseken épülnek, amelyek készen állnak az engedélyezési és üzemeltetési szakaszokra.</w:t>
            </w:r>
          </w:p>
        </w:tc>
      </w:tr>
      <w:tr w:rsidR="003F5418" w14:paraId="0BDC8030" w14:textId="77777777">
        <w:trPr>
          <w:trHeight w:val="309"/>
          <w:jc w:val="right"/>
        </w:trPr>
        <w:tc>
          <w:tcPr>
            <w:tcW w:w="369" w:type="pct"/>
            <w:shd w:val="clear" w:color="auto" w:fill="C6EFCE"/>
            <w:noWrap/>
            <w:vAlign w:val="center"/>
          </w:tcPr>
          <w:p w14:paraId="24526413" w14:textId="77777777" w:rsidR="003F5418" w:rsidRDefault="002A6C25">
            <w:pPr>
              <w:pStyle w:val="P68B1DB1-Normal4"/>
              <w:jc w:val="center"/>
              <w:rPr>
                <w:noProof/>
              </w:rPr>
            </w:pPr>
            <w:r>
              <w:rPr>
                <w:noProof/>
              </w:rPr>
              <w:t>M3C1–17</w:t>
            </w:r>
          </w:p>
        </w:tc>
        <w:tc>
          <w:tcPr>
            <w:tcW w:w="511" w:type="pct"/>
            <w:shd w:val="clear" w:color="auto" w:fill="C6EFCE"/>
            <w:noWrap/>
            <w:vAlign w:val="center"/>
          </w:tcPr>
          <w:p w14:paraId="07D5EBD9" w14:textId="77777777" w:rsidR="003F5418" w:rsidRDefault="002A6C25">
            <w:pPr>
              <w:pStyle w:val="P68B1DB1-Normal4"/>
              <w:jc w:val="center"/>
              <w:rPr>
                <w:noProof/>
              </w:rPr>
            </w:pPr>
            <w:r>
              <w:rPr>
                <w:noProof/>
              </w:rPr>
              <w:t xml:space="preserve">Beruházás – A déli vasutak korszerűsítése, villamosítása és </w:t>
            </w:r>
            <w:r>
              <w:rPr>
                <w:noProof/>
              </w:rPr>
              <w:t>rezilienciája</w:t>
            </w:r>
          </w:p>
        </w:tc>
        <w:tc>
          <w:tcPr>
            <w:tcW w:w="417" w:type="pct"/>
            <w:shd w:val="clear" w:color="auto" w:fill="C6EFCE"/>
            <w:noWrap/>
            <w:vAlign w:val="center"/>
          </w:tcPr>
          <w:p w14:paraId="34C58720" w14:textId="77777777" w:rsidR="003F5418" w:rsidRDefault="003F5418">
            <w:pPr>
              <w:jc w:val="center"/>
              <w:rPr>
                <w:rFonts w:ascii="Arial Narrow" w:hAnsi="Arial Narrow"/>
                <w:noProof/>
                <w:color w:val="006100"/>
                <w:sz w:val="20"/>
              </w:rPr>
            </w:pPr>
          </w:p>
          <w:p w14:paraId="18DD9F4F" w14:textId="77777777" w:rsidR="003F5418" w:rsidRDefault="002A6C25">
            <w:pPr>
              <w:pStyle w:val="P68B1DB1-Normal4"/>
              <w:jc w:val="center"/>
              <w:rPr>
                <w:noProof/>
              </w:rPr>
            </w:pPr>
            <w:r>
              <w:rPr>
                <w:noProof/>
              </w:rPr>
              <w:t xml:space="preserve">Cél </w:t>
            </w:r>
          </w:p>
        </w:tc>
        <w:tc>
          <w:tcPr>
            <w:tcW w:w="464" w:type="pct"/>
            <w:shd w:val="clear" w:color="auto" w:fill="C6EFCE"/>
            <w:noWrap/>
            <w:vAlign w:val="center"/>
          </w:tcPr>
          <w:p w14:paraId="09355486" w14:textId="1742D8E9" w:rsidR="003F5418" w:rsidRDefault="002A6C25">
            <w:pPr>
              <w:pStyle w:val="P68B1DB1-Normal4"/>
              <w:jc w:val="center"/>
              <w:rPr>
                <w:noProof/>
              </w:rPr>
            </w:pPr>
            <w:r>
              <w:rPr>
                <w:noProof/>
              </w:rPr>
              <w:t>172 km-nyi, az engedélyezési és üzemeltetési szakaszra kész, a déli vasutak ellenálló képességével kapcsolatos munkálatok befejezése.</w:t>
            </w:r>
          </w:p>
        </w:tc>
        <w:tc>
          <w:tcPr>
            <w:tcW w:w="509" w:type="pct"/>
            <w:shd w:val="clear" w:color="auto" w:fill="C6EFCE"/>
            <w:noWrap/>
            <w:vAlign w:val="center"/>
          </w:tcPr>
          <w:p w14:paraId="5DF83C58"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172FE77E"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23D0995A" w14:textId="77777777" w:rsidR="003F5418" w:rsidRDefault="002A6C25">
            <w:pPr>
              <w:pStyle w:val="P68B1DB1-Normal4"/>
              <w:jc w:val="center"/>
              <w:rPr>
                <w:noProof/>
              </w:rPr>
            </w:pPr>
            <w:r>
              <w:rPr>
                <w:noProof/>
              </w:rPr>
              <w:t>0</w:t>
            </w:r>
          </w:p>
        </w:tc>
        <w:tc>
          <w:tcPr>
            <w:tcW w:w="279" w:type="pct"/>
            <w:shd w:val="clear" w:color="auto" w:fill="C6EFCE"/>
            <w:noWrap/>
            <w:vAlign w:val="center"/>
          </w:tcPr>
          <w:p w14:paraId="1497DD9A" w14:textId="7A881ECF" w:rsidR="003F5418" w:rsidRDefault="002A6C25">
            <w:pPr>
              <w:pStyle w:val="P68B1DB1-Normal4"/>
              <w:jc w:val="center"/>
              <w:rPr>
                <w:noProof/>
              </w:rPr>
            </w:pPr>
            <w:r>
              <w:rPr>
                <w:noProof/>
              </w:rPr>
              <w:t>172</w:t>
            </w:r>
          </w:p>
        </w:tc>
        <w:tc>
          <w:tcPr>
            <w:tcW w:w="278" w:type="pct"/>
            <w:shd w:val="clear" w:color="auto" w:fill="C6EFCE"/>
            <w:noWrap/>
            <w:vAlign w:val="center"/>
          </w:tcPr>
          <w:p w14:paraId="211D1080"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730EB0C6" w14:textId="77777777" w:rsidR="003F5418" w:rsidRDefault="002A6C25">
            <w:pPr>
              <w:pStyle w:val="P68B1DB1-Normal4"/>
              <w:jc w:val="center"/>
              <w:rPr>
                <w:noProof/>
              </w:rPr>
            </w:pPr>
            <w:r>
              <w:rPr>
                <w:noProof/>
              </w:rPr>
              <w:t>2023</w:t>
            </w:r>
          </w:p>
        </w:tc>
        <w:tc>
          <w:tcPr>
            <w:tcW w:w="1198" w:type="pct"/>
            <w:shd w:val="clear" w:color="auto" w:fill="C6EFCE"/>
            <w:noWrap/>
            <w:vAlign w:val="center"/>
          </w:tcPr>
          <w:p w14:paraId="15A09790" w14:textId="3A44F978" w:rsidR="003F5418" w:rsidRDefault="002A6C25">
            <w:pPr>
              <w:pStyle w:val="P68B1DB1-Normal4"/>
              <w:spacing w:before="120" w:after="120"/>
              <w:rPr>
                <w:noProof/>
              </w:rPr>
            </w:pPr>
            <w:r>
              <w:rPr>
                <w:noProof/>
              </w:rPr>
              <w:t xml:space="preserve">Legalább 172 km-es, a déli vasutak ellenálló képességéhez kapcsolódó, az engedélyezési és üzemeltetési szakaszra kész munkálatok befejezése. </w:t>
            </w:r>
          </w:p>
          <w:p w14:paraId="4CE33E10" w14:textId="03234198" w:rsidR="003F5418" w:rsidRDefault="002A6C25">
            <w:pPr>
              <w:pStyle w:val="P68B1DB1-Normal4"/>
              <w:spacing w:before="120" w:after="120"/>
              <w:rPr>
                <w:noProof/>
              </w:rPr>
            </w:pPr>
            <w:r>
              <w:rPr>
                <w:noProof/>
              </w:rPr>
              <w:t>A 172 km a következő vonalakra vonatkozik:</w:t>
            </w:r>
          </w:p>
          <w:p w14:paraId="44D0C1FB" w14:textId="0EC853CC"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Paola-Reggio Calabria;</w:t>
            </w:r>
          </w:p>
          <w:p w14:paraId="17AE8FAE" w14:textId="56BD3BBB"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Lentini Diramazione-Gela;</w:t>
            </w:r>
          </w:p>
          <w:p w14:paraId="1ECAC35B" w14:textId="60145E85"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Messina – Catani</w:t>
            </w:r>
            <w:r>
              <w:rPr>
                <w:rFonts w:ascii="Arial Narrow" w:hAnsi="Arial Narrow"/>
                <w:noProof/>
                <w:sz w:val="20"/>
              </w:rPr>
              <w:t>a – Siracusa;</w:t>
            </w:r>
          </w:p>
          <w:p w14:paraId="63B535ED" w14:textId="71CF8684"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Caserta – Battipaglia;</w:t>
            </w:r>
          </w:p>
          <w:p w14:paraId="39E2A3F5" w14:textId="5DA3E435"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Romák – Nápoly; és</w:t>
            </w:r>
          </w:p>
          <w:p w14:paraId="46B8C632" w14:textId="2BAAABE6" w:rsidR="003F5418" w:rsidRDefault="002A6C25">
            <w:pPr>
              <w:pStyle w:val="P68B1DB1-Normal24"/>
              <w:spacing w:before="120" w:after="120"/>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Bari-Brindisi.</w:t>
            </w:r>
          </w:p>
          <w:p w14:paraId="1367B020" w14:textId="5BC9B496" w:rsidR="003F5418" w:rsidRDefault="002A6C25">
            <w:pPr>
              <w:pStyle w:val="P68B1DB1-Normal4"/>
              <w:spacing w:before="120" w:after="120"/>
              <w:rPr>
                <w:noProof/>
              </w:rPr>
            </w:pPr>
            <w:r>
              <w:rPr>
                <w:noProof/>
              </w:rPr>
              <w:t>A célértéket a Helyreállítási és Rezilienciaépítési Eszköztől eltérő uniós forrásokból nem támogatott CLP-k (azaz a „Codice Locale Progetto”) révén kell elérni.</w:t>
            </w:r>
          </w:p>
        </w:tc>
      </w:tr>
      <w:tr w:rsidR="003F5418" w14:paraId="2FAFC21B" w14:textId="77777777">
        <w:trPr>
          <w:trHeight w:val="309"/>
          <w:jc w:val="right"/>
        </w:trPr>
        <w:tc>
          <w:tcPr>
            <w:tcW w:w="369" w:type="pct"/>
            <w:shd w:val="clear" w:color="auto" w:fill="C6EFCE"/>
            <w:noWrap/>
            <w:vAlign w:val="center"/>
          </w:tcPr>
          <w:p w14:paraId="252E6CA2" w14:textId="77777777" w:rsidR="003F5418" w:rsidRDefault="002A6C25">
            <w:pPr>
              <w:pStyle w:val="P68B1DB1-Normal4"/>
              <w:jc w:val="center"/>
              <w:rPr>
                <w:noProof/>
              </w:rPr>
            </w:pPr>
            <w:r>
              <w:rPr>
                <w:noProof/>
              </w:rPr>
              <w:t>M3C1–17a</w:t>
            </w:r>
          </w:p>
        </w:tc>
        <w:tc>
          <w:tcPr>
            <w:tcW w:w="511" w:type="pct"/>
            <w:shd w:val="clear" w:color="auto" w:fill="C6EFCE"/>
            <w:noWrap/>
            <w:vAlign w:val="center"/>
          </w:tcPr>
          <w:p w14:paraId="010A495D" w14:textId="77777777" w:rsidR="003F5418" w:rsidRDefault="002A6C25">
            <w:pPr>
              <w:pStyle w:val="P68B1DB1-Normal4"/>
              <w:jc w:val="center"/>
              <w:rPr>
                <w:noProof/>
              </w:rPr>
            </w:pPr>
            <w:bookmarkStart w:id="11" w:name="_Hlk160473215"/>
            <w:r>
              <w:rPr>
                <w:noProof/>
              </w:rPr>
              <w:t>Beruházás – A déli vasutak korszerűsítése, villamosítása és rezilienciája</w:t>
            </w:r>
            <w:bookmarkEnd w:id="11"/>
          </w:p>
        </w:tc>
        <w:tc>
          <w:tcPr>
            <w:tcW w:w="417" w:type="pct"/>
            <w:shd w:val="clear" w:color="auto" w:fill="C6EFCE"/>
            <w:noWrap/>
            <w:vAlign w:val="center"/>
          </w:tcPr>
          <w:p w14:paraId="02AD2558"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477E490E" w14:textId="6421B6C1" w:rsidR="003F5418" w:rsidRDefault="002A6C25">
            <w:pPr>
              <w:pStyle w:val="P68B1DB1-Normal4"/>
              <w:jc w:val="center"/>
              <w:rPr>
                <w:noProof/>
              </w:rPr>
            </w:pPr>
            <w:r>
              <w:rPr>
                <w:noProof/>
              </w:rPr>
              <w:t>1 162 km-nyi, a vasutak korszerűsítésével, villamosításával és ellenálló képességével kapcsolatos, az engedélyezési és üzemeltetési szakaszra kész munkálatok elvégzése.</w:t>
            </w:r>
          </w:p>
        </w:tc>
        <w:tc>
          <w:tcPr>
            <w:tcW w:w="509" w:type="pct"/>
            <w:shd w:val="clear" w:color="auto" w:fill="C6EFCE"/>
            <w:noWrap/>
            <w:vAlign w:val="center"/>
          </w:tcPr>
          <w:p w14:paraId="52C58A3E"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7F554A2E"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060BC8DE" w14:textId="7C6D0943" w:rsidR="003F5418" w:rsidRDefault="002A6C25">
            <w:pPr>
              <w:pStyle w:val="P68B1DB1-Normal4"/>
              <w:jc w:val="center"/>
              <w:rPr>
                <w:noProof/>
              </w:rPr>
            </w:pPr>
            <w:r>
              <w:rPr>
                <w:noProof/>
              </w:rPr>
              <w:t>172</w:t>
            </w:r>
          </w:p>
        </w:tc>
        <w:tc>
          <w:tcPr>
            <w:tcW w:w="279" w:type="pct"/>
            <w:shd w:val="clear" w:color="auto" w:fill="C6EFCE"/>
            <w:noWrap/>
            <w:vAlign w:val="center"/>
          </w:tcPr>
          <w:p w14:paraId="0D258D65" w14:textId="7E0958E8" w:rsidR="003F5418" w:rsidRDefault="002A6C25">
            <w:pPr>
              <w:pStyle w:val="P68B1DB1-Normal4"/>
              <w:jc w:val="center"/>
              <w:rPr>
                <w:noProof/>
              </w:rPr>
            </w:pPr>
            <w:r>
              <w:rPr>
                <w:noProof/>
              </w:rPr>
              <w:t>1162</w:t>
            </w:r>
          </w:p>
        </w:tc>
        <w:tc>
          <w:tcPr>
            <w:tcW w:w="278" w:type="pct"/>
            <w:shd w:val="clear" w:color="auto" w:fill="C6EFCE"/>
            <w:noWrap/>
            <w:vAlign w:val="center"/>
          </w:tcPr>
          <w:p w14:paraId="74AE1DA0"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56B37D55"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3EDC099C" w14:textId="12F4546C" w:rsidR="003F5418" w:rsidRDefault="002A6C25">
            <w:pPr>
              <w:pStyle w:val="P68B1DB1-Normal4"/>
              <w:spacing w:before="120" w:after="120"/>
              <w:rPr>
                <w:noProof/>
              </w:rPr>
            </w:pPr>
            <w:r>
              <w:rPr>
                <w:noProof/>
              </w:rPr>
              <w:t xml:space="preserve">A déli vasutak korszerűsítéséhez, villamosításához és ellenálló képességéhez kapcsolódó, legalább 1 162 km-es, az engedélyezési és üzemeltetési szakaszra kész munkálatok befejezése. </w:t>
            </w:r>
          </w:p>
          <w:p w14:paraId="1A697672" w14:textId="42576A88" w:rsidR="003F5418" w:rsidRDefault="002A6C25">
            <w:pPr>
              <w:pStyle w:val="P68B1DB1-Normal4"/>
              <w:spacing w:before="120" w:after="120"/>
              <w:rPr>
                <w:noProof/>
              </w:rPr>
            </w:pPr>
            <w:r>
              <w:rPr>
                <w:noProof/>
              </w:rPr>
              <w:t xml:space="preserve">A munkák a következőképpen oszlanak meg: </w:t>
            </w:r>
          </w:p>
          <w:p w14:paraId="5AF1C5E9" w14:textId="77777777" w:rsidR="003F5418" w:rsidRDefault="002A6C25">
            <w:pPr>
              <w:pStyle w:val="P68B1DB1-Normal4"/>
              <w:spacing w:before="120" w:after="120"/>
              <w:rPr>
                <w:noProof/>
              </w:rPr>
            </w:pPr>
            <w:r>
              <w:rPr>
                <w:noProof/>
              </w:rPr>
              <w:t>– A korsz</w:t>
            </w:r>
            <w:r>
              <w:rPr>
                <w:noProof/>
              </w:rPr>
              <w:t>erűsítéshez és villamosításhoz kapcsolódó legalább 462 km-nyi beavatkozásnak a következő vonalakra kell vonatkoznia:</w:t>
            </w:r>
          </w:p>
          <w:p w14:paraId="084254F6" w14:textId="77777777" w:rsidR="003F5418" w:rsidRDefault="002A6C25">
            <w:pPr>
              <w:pStyle w:val="P68B1DB1-Normal4"/>
              <w:spacing w:before="120" w:after="120"/>
              <w:rPr>
                <w:noProof/>
              </w:rPr>
            </w:pPr>
            <w:r>
              <w:rPr>
                <w:noProof/>
              </w:rPr>
              <w:t>Molise régió,</w:t>
            </w:r>
          </w:p>
          <w:p w14:paraId="73C2289F" w14:textId="2E9EBF32" w:rsidR="003F5418" w:rsidRDefault="002A6C25">
            <w:pPr>
              <w:pStyle w:val="P68B1DB1-ListParagraph5"/>
              <w:numPr>
                <w:ilvl w:val="0"/>
                <w:numId w:val="48"/>
              </w:numPr>
              <w:ind w:left="535"/>
              <w:jc w:val="left"/>
              <w:rPr>
                <w:noProof/>
              </w:rPr>
            </w:pPr>
            <w:r>
              <w:rPr>
                <w:noProof/>
              </w:rPr>
              <w:t>Venafro-Campobasso-Termoli;</w:t>
            </w:r>
          </w:p>
          <w:p w14:paraId="7A9D51FF" w14:textId="77777777" w:rsidR="003F5418" w:rsidRDefault="002A6C25">
            <w:pPr>
              <w:pStyle w:val="P68B1DB1-Normal4"/>
              <w:spacing w:before="120" w:after="120"/>
              <w:rPr>
                <w:noProof/>
              </w:rPr>
            </w:pPr>
            <w:r>
              <w:rPr>
                <w:noProof/>
              </w:rPr>
              <w:t>Puglia régió</w:t>
            </w:r>
          </w:p>
          <w:p w14:paraId="005F95C2" w14:textId="51C59545" w:rsidR="003F5418" w:rsidRDefault="002A6C25">
            <w:pPr>
              <w:pStyle w:val="P68B1DB1-ListParagraph5"/>
              <w:numPr>
                <w:ilvl w:val="0"/>
                <w:numId w:val="48"/>
              </w:numPr>
              <w:ind w:left="535"/>
              <w:jc w:val="left"/>
              <w:rPr>
                <w:noProof/>
              </w:rPr>
            </w:pPr>
            <w:r>
              <w:rPr>
                <w:noProof/>
              </w:rPr>
              <w:t>Pescara-Foggia</w:t>
            </w:r>
          </w:p>
          <w:p w14:paraId="6E00D92A" w14:textId="77777777" w:rsidR="003F5418" w:rsidRDefault="002A6C25">
            <w:pPr>
              <w:pStyle w:val="P68B1DB1-ListParagraph5"/>
              <w:numPr>
                <w:ilvl w:val="0"/>
                <w:numId w:val="48"/>
              </w:numPr>
              <w:ind w:left="535"/>
              <w:jc w:val="left"/>
              <w:rPr>
                <w:noProof/>
              </w:rPr>
            </w:pPr>
            <w:r>
              <w:rPr>
                <w:noProof/>
              </w:rPr>
              <w:t>Potenza-Foggia</w:t>
            </w:r>
          </w:p>
          <w:p w14:paraId="3198081C" w14:textId="77777777" w:rsidR="003F5418" w:rsidRDefault="002A6C25">
            <w:pPr>
              <w:pStyle w:val="P68B1DB1-ListParagraph5"/>
              <w:numPr>
                <w:ilvl w:val="0"/>
                <w:numId w:val="48"/>
              </w:numPr>
              <w:ind w:left="535"/>
              <w:jc w:val="left"/>
              <w:rPr>
                <w:noProof/>
              </w:rPr>
            </w:pPr>
            <w:r>
              <w:rPr>
                <w:noProof/>
              </w:rPr>
              <w:t>Linkek Brindisi (intermodális központtal együtt);</w:t>
            </w:r>
          </w:p>
          <w:p w14:paraId="307BF8F5" w14:textId="77777777" w:rsidR="003F5418" w:rsidRDefault="002A6C25">
            <w:pPr>
              <w:pStyle w:val="P68B1DB1-ListParagraph5"/>
              <w:numPr>
                <w:ilvl w:val="0"/>
                <w:numId w:val="48"/>
              </w:numPr>
              <w:ind w:left="535"/>
              <w:jc w:val="left"/>
              <w:rPr>
                <w:noProof/>
              </w:rPr>
            </w:pPr>
            <w:r>
              <w:rPr>
                <w:noProof/>
              </w:rPr>
              <w:t>Tara</w:t>
            </w:r>
            <w:r>
              <w:rPr>
                <w:noProof/>
              </w:rPr>
              <w:t>nto linkek;</w:t>
            </w:r>
          </w:p>
          <w:p w14:paraId="1F0AA03A" w14:textId="77777777" w:rsidR="003F5418" w:rsidRDefault="002A6C25">
            <w:pPr>
              <w:pStyle w:val="P68B1DB1-ListParagraph5"/>
              <w:numPr>
                <w:ilvl w:val="0"/>
                <w:numId w:val="48"/>
              </w:numPr>
              <w:ind w:left="535"/>
              <w:jc w:val="left"/>
              <w:rPr>
                <w:noProof/>
              </w:rPr>
            </w:pPr>
            <w:r>
              <w:rPr>
                <w:noProof/>
              </w:rPr>
              <w:t>Taranto-Brindisi</w:t>
            </w:r>
          </w:p>
          <w:p w14:paraId="75B1A703" w14:textId="77777777" w:rsidR="003F5418" w:rsidRDefault="002A6C25">
            <w:pPr>
              <w:pStyle w:val="P68B1DB1-Normal4"/>
              <w:spacing w:before="120" w:after="120"/>
              <w:rPr>
                <w:noProof/>
              </w:rPr>
            </w:pPr>
            <w:r>
              <w:rPr>
                <w:noProof/>
              </w:rPr>
              <w:t>Calabria régió</w:t>
            </w:r>
          </w:p>
          <w:p w14:paraId="140B40A7" w14:textId="4256677F" w:rsidR="003F5418" w:rsidRDefault="002A6C25">
            <w:pPr>
              <w:pStyle w:val="P68B1DB1-Normal4"/>
              <w:spacing w:before="120" w:after="120"/>
              <w:rPr>
                <w:noProof/>
              </w:rPr>
            </w:pPr>
            <w:r>
              <w:rPr>
                <w:noProof/>
              </w:rPr>
              <w:t>A Sibari-Melito Porto Salvo jón-tengeri vonal; Catanzaro Lido – Lamezia Terme link Basilicata régió</w:t>
            </w:r>
          </w:p>
          <w:p w14:paraId="0EBC0F5A" w14:textId="77777777" w:rsidR="003F5418" w:rsidRDefault="002A6C25">
            <w:pPr>
              <w:pStyle w:val="P68B1DB1-ListParagraph5"/>
              <w:numPr>
                <w:ilvl w:val="0"/>
                <w:numId w:val="48"/>
              </w:numPr>
              <w:ind w:left="535"/>
              <w:jc w:val="left"/>
              <w:rPr>
                <w:noProof/>
              </w:rPr>
            </w:pPr>
            <w:r>
              <w:rPr>
                <w:noProof/>
              </w:rPr>
              <w:t>Ferrandina-Matera</w:t>
            </w:r>
          </w:p>
          <w:p w14:paraId="5FA5AA83" w14:textId="77777777" w:rsidR="003F5418" w:rsidRDefault="002A6C25">
            <w:pPr>
              <w:pStyle w:val="P68B1DB1-Normal4"/>
              <w:spacing w:before="120" w:after="120"/>
              <w:rPr>
                <w:noProof/>
              </w:rPr>
            </w:pPr>
            <w:r>
              <w:rPr>
                <w:noProof/>
              </w:rPr>
              <w:t>Campania régió</w:t>
            </w:r>
          </w:p>
          <w:p w14:paraId="718B53FB" w14:textId="77777777" w:rsidR="003F5418" w:rsidRDefault="002A6C25">
            <w:pPr>
              <w:pStyle w:val="P68B1DB1-ListParagraph5"/>
              <w:numPr>
                <w:ilvl w:val="0"/>
                <w:numId w:val="48"/>
              </w:numPr>
              <w:ind w:left="535"/>
              <w:jc w:val="left"/>
              <w:rPr>
                <w:noProof/>
              </w:rPr>
            </w:pPr>
            <w:r>
              <w:rPr>
                <w:noProof/>
              </w:rPr>
              <w:t>Salerno Arechi – Aeroporto Pontecagnano</w:t>
            </w:r>
          </w:p>
          <w:p w14:paraId="0921AFB6" w14:textId="77777777" w:rsidR="003F5418" w:rsidRDefault="002A6C25">
            <w:pPr>
              <w:pStyle w:val="P68B1DB1-Normal4"/>
              <w:rPr>
                <w:noProof/>
              </w:rPr>
            </w:pPr>
            <w:r>
              <w:rPr>
                <w:noProof/>
              </w:rPr>
              <w:t>Szicília régió</w:t>
            </w:r>
          </w:p>
          <w:p w14:paraId="6C5E7F67" w14:textId="77777777" w:rsidR="003F5418" w:rsidRDefault="002A6C25">
            <w:pPr>
              <w:pStyle w:val="P68B1DB1-ListParagraph5"/>
              <w:numPr>
                <w:ilvl w:val="0"/>
                <w:numId w:val="48"/>
              </w:numPr>
              <w:ind w:left="535"/>
              <w:jc w:val="left"/>
              <w:rPr>
                <w:noProof/>
              </w:rPr>
            </w:pPr>
            <w:r>
              <w:rPr>
                <w:noProof/>
              </w:rPr>
              <w:t xml:space="preserve">Agrigento – Porto </w:t>
            </w:r>
            <w:r>
              <w:rPr>
                <w:noProof/>
              </w:rPr>
              <w:t>Empedocle</w:t>
            </w:r>
          </w:p>
          <w:p w14:paraId="004A8BA8" w14:textId="77777777" w:rsidR="003F5418" w:rsidRDefault="002A6C25">
            <w:pPr>
              <w:pStyle w:val="P68B1DB1-ListParagraph5"/>
              <w:numPr>
                <w:ilvl w:val="0"/>
                <w:numId w:val="48"/>
              </w:numPr>
              <w:ind w:left="535"/>
              <w:jc w:val="left"/>
              <w:rPr>
                <w:noProof/>
              </w:rPr>
            </w:pPr>
            <w:r>
              <w:rPr>
                <w:noProof/>
              </w:rPr>
              <w:t>Link az Augusta kikötőhöz</w:t>
            </w:r>
          </w:p>
          <w:p w14:paraId="46DC5B9C" w14:textId="77777777" w:rsidR="003F5418" w:rsidRDefault="002A6C25">
            <w:pPr>
              <w:pStyle w:val="P68B1DB1-ListParagraph5"/>
              <w:numPr>
                <w:ilvl w:val="0"/>
                <w:numId w:val="48"/>
              </w:numPr>
              <w:ind w:left="535"/>
              <w:jc w:val="left"/>
              <w:rPr>
                <w:noProof/>
              </w:rPr>
            </w:pPr>
            <w:r>
              <w:rPr>
                <w:noProof/>
              </w:rPr>
              <w:t>Hivatkozás Trapani Birgi repülőtérre</w:t>
            </w:r>
          </w:p>
          <w:p w14:paraId="0EB356A1" w14:textId="77777777" w:rsidR="003F5418" w:rsidRDefault="002A6C25">
            <w:pPr>
              <w:pStyle w:val="P68B1DB1-Normal4"/>
              <w:rPr>
                <w:noProof/>
              </w:rPr>
            </w:pPr>
            <w:r>
              <w:rPr>
                <w:noProof/>
              </w:rPr>
              <w:t>Szardínia régió</w:t>
            </w:r>
          </w:p>
          <w:p w14:paraId="110F1005" w14:textId="77777777" w:rsidR="003F5418" w:rsidRDefault="002A6C25">
            <w:pPr>
              <w:pStyle w:val="P68B1DB1-ListParagraph5"/>
              <w:numPr>
                <w:ilvl w:val="0"/>
                <w:numId w:val="48"/>
              </w:numPr>
              <w:ind w:left="677" w:hanging="458"/>
              <w:jc w:val="left"/>
              <w:rPr>
                <w:noProof/>
              </w:rPr>
            </w:pPr>
            <w:r>
              <w:rPr>
                <w:noProof/>
              </w:rPr>
              <w:t xml:space="preserve">Vasúti összeköttetés az olbiai repülőtérrel </w:t>
            </w:r>
          </w:p>
          <w:p w14:paraId="09E645C5" w14:textId="77777777" w:rsidR="003F5418" w:rsidRDefault="002A6C25">
            <w:pPr>
              <w:pStyle w:val="P68B1DB1-ListParagraph5"/>
              <w:numPr>
                <w:ilvl w:val="0"/>
                <w:numId w:val="48"/>
              </w:numPr>
              <w:ind w:left="677" w:hanging="458"/>
              <w:jc w:val="left"/>
              <w:rPr>
                <w:noProof/>
              </w:rPr>
            </w:pPr>
            <w:r>
              <w:rPr>
                <w:noProof/>
              </w:rPr>
              <w:t>Domború Decimomannu-Villamassargia</w:t>
            </w:r>
          </w:p>
          <w:p w14:paraId="620F41A6" w14:textId="77777777" w:rsidR="003F5418" w:rsidRDefault="002A6C25">
            <w:pPr>
              <w:pStyle w:val="P68B1DB1-Normal4"/>
              <w:rPr>
                <w:noProof/>
              </w:rPr>
            </w:pPr>
            <w:r>
              <w:rPr>
                <w:noProof/>
              </w:rPr>
              <w:t xml:space="preserve">Legalább 528 km reziliencia-beavatkozásnak a következő sorokra kell vonatkoznia: </w:t>
            </w:r>
          </w:p>
          <w:p w14:paraId="7E566826" w14:textId="77777777" w:rsidR="003F5418" w:rsidRDefault="002A6C25">
            <w:pPr>
              <w:pStyle w:val="P68B1DB1-Normal4"/>
              <w:rPr>
                <w:noProof/>
              </w:rPr>
            </w:pPr>
            <w:r>
              <w:rPr>
                <w:noProof/>
              </w:rPr>
              <w:t>Campa</w:t>
            </w:r>
            <w:r>
              <w:rPr>
                <w:noProof/>
              </w:rPr>
              <w:t>nia, Basilicata és Calabria régió:</w:t>
            </w:r>
          </w:p>
          <w:p w14:paraId="53E67AC1" w14:textId="5AC91B74"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Romák – Nápoly (AV,via Cassino, via Formia);</w:t>
            </w:r>
          </w:p>
          <w:p w14:paraId="4C002F2E" w14:textId="5C14DF31"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Aversa – Caserta</w:t>
            </w:r>
          </w:p>
          <w:p w14:paraId="3E1ED539" w14:textId="0B0B981C"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 xml:space="preserve">Villa Literno – Napoli Gianturco; </w:t>
            </w:r>
          </w:p>
          <w:p w14:paraId="3FE6B98F" w14:textId="16906FDB"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Napoli – Salerno LMV Napoli – Salerno Storica;</w:t>
            </w:r>
          </w:p>
          <w:p w14:paraId="1169723A" w14:textId="6AFF7147"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Nocera Inferiore – Salerno;</w:t>
            </w:r>
          </w:p>
          <w:p w14:paraId="154FD54B" w14:textId="5B76C9B6"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 xml:space="preserve">Battipaglia – Paola; </w:t>
            </w:r>
          </w:p>
          <w:p w14:paraId="32B656E5" w14:textId="6A46574C"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Battipaglia –</w:t>
            </w:r>
            <w:r>
              <w:rPr>
                <w:rFonts w:ascii="Arial Narrow" w:hAnsi="Arial Narrow"/>
                <w:noProof/>
                <w:sz w:val="20"/>
              </w:rPr>
              <w:t xml:space="preserve"> Potenza; </w:t>
            </w:r>
          </w:p>
          <w:p w14:paraId="18304EF5" w14:textId="59DEC6DB"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Caserta – Battipaglia; Caserta – Foggia; Catanzaro – Reggio Calabria;</w:t>
            </w:r>
          </w:p>
          <w:p w14:paraId="1051D696" w14:textId="0426EFFD"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Paola – Reggio Calabria; és</w:t>
            </w:r>
          </w:p>
          <w:p w14:paraId="2EA1FA35" w14:textId="52FC4A30"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 xml:space="preserve">Paola – Cosenza – Sibari; </w:t>
            </w:r>
          </w:p>
          <w:p w14:paraId="17088232" w14:textId="77777777" w:rsidR="003F5418" w:rsidRDefault="002A6C25">
            <w:pPr>
              <w:pStyle w:val="P68B1DB1-Normal4"/>
              <w:rPr>
                <w:noProof/>
              </w:rPr>
            </w:pPr>
            <w:r>
              <w:rPr>
                <w:noProof/>
              </w:rPr>
              <w:t>Molise régió:</w:t>
            </w:r>
          </w:p>
          <w:p w14:paraId="3C7781D2" w14:textId="0AAB5AA0"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 xml:space="preserve">Termoli – Campobasso. </w:t>
            </w:r>
          </w:p>
          <w:p w14:paraId="4FBC1DF8" w14:textId="77777777" w:rsidR="003F5418" w:rsidRDefault="003F5418">
            <w:pPr>
              <w:rPr>
                <w:rFonts w:ascii="Arial Narrow" w:hAnsi="Arial Narrow"/>
                <w:noProof/>
                <w:color w:val="006100"/>
                <w:sz w:val="20"/>
              </w:rPr>
            </w:pPr>
          </w:p>
          <w:p w14:paraId="7ED69446" w14:textId="77777777" w:rsidR="003F5418" w:rsidRDefault="002A6C25">
            <w:pPr>
              <w:pStyle w:val="P68B1DB1-Normal4"/>
              <w:rPr>
                <w:noProof/>
              </w:rPr>
            </w:pPr>
            <w:r>
              <w:rPr>
                <w:noProof/>
              </w:rPr>
              <w:t>Puglia régió:</w:t>
            </w:r>
          </w:p>
          <w:p w14:paraId="5A9B30CF" w14:textId="72F0C7EE" w:rsidR="003F5418" w:rsidRDefault="002A6C25">
            <w:pPr>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Bari-Taranto; </w:t>
            </w:r>
          </w:p>
          <w:p w14:paraId="0EAC6824" w14:textId="77777777" w:rsidR="003F5418" w:rsidRDefault="002A6C25">
            <w:pPr>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Taranto – Brindisi; és</w:t>
            </w:r>
          </w:p>
          <w:p w14:paraId="0723F8FC" w14:textId="77777777" w:rsidR="003F5418" w:rsidRDefault="002A6C25">
            <w:pPr>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Barletta-Spinazzola.</w:t>
            </w:r>
          </w:p>
          <w:p w14:paraId="0A138F1A" w14:textId="77777777" w:rsidR="003F5418" w:rsidRDefault="003F5418">
            <w:pPr>
              <w:rPr>
                <w:rFonts w:ascii="Arial Narrow" w:hAnsi="Arial Narrow"/>
                <w:noProof/>
                <w:color w:val="006100"/>
                <w:sz w:val="20"/>
              </w:rPr>
            </w:pPr>
          </w:p>
          <w:p w14:paraId="2B658AB9" w14:textId="77777777" w:rsidR="003F5418" w:rsidRDefault="002A6C25">
            <w:pPr>
              <w:pStyle w:val="P68B1DB1-Normal4"/>
              <w:rPr>
                <w:noProof/>
              </w:rPr>
            </w:pPr>
            <w:r>
              <w:rPr>
                <w:noProof/>
              </w:rPr>
              <w:t>Szicília régió:</w:t>
            </w:r>
          </w:p>
          <w:p w14:paraId="7187B079" w14:textId="65CC8D2F"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Fiumetorto – Agrigento;</w:t>
            </w:r>
          </w:p>
          <w:p w14:paraId="3338540B" w14:textId="0E003D20"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Lercara dir. – Bicocca;</w:t>
            </w:r>
          </w:p>
          <w:p w14:paraId="12FCE86A" w14:textId="395629E9"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Messina – Catania – Siracusa;</w:t>
            </w:r>
          </w:p>
          <w:p w14:paraId="0B6CE9C0" w14:textId="46DF355D"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Palermo – Messina; és</w:t>
            </w:r>
          </w:p>
          <w:p w14:paraId="6C5029EA" w14:textId="65AA89BB" w:rsidR="003F5418" w:rsidRDefault="002A6C25">
            <w:pPr>
              <w:pStyle w:val="P68B1DB1-Normal24"/>
              <w:rPr>
                <w:rFonts w:ascii="Arial Narrow" w:hAnsi="Arial Narrow"/>
                <w:noProof/>
                <w:sz w:val="20"/>
              </w:rPr>
            </w:pPr>
            <w:r>
              <w:rPr>
                <w:rFonts w:ascii="Arial Narrow" w:hAnsi="Arial Narrow"/>
                <w:noProof/>
                <w:sz w:val="20"/>
              </w:rPr>
              <w:t>•</w:t>
            </w:r>
            <w:r>
              <w:rPr>
                <w:noProof/>
              </w:rPr>
              <w:t xml:space="preserve"> </w:t>
            </w:r>
            <w:r>
              <w:rPr>
                <w:rFonts w:ascii="Arial Narrow" w:hAnsi="Arial Narrow"/>
                <w:noProof/>
                <w:sz w:val="20"/>
              </w:rPr>
              <w:t>Caltanissetta Xirbi – Canicattì – Aragona; Canicattì – Siracusa.</w:t>
            </w:r>
          </w:p>
          <w:p w14:paraId="5A64D491" w14:textId="77777777" w:rsidR="003F5418" w:rsidRDefault="003F5418">
            <w:pPr>
              <w:rPr>
                <w:rFonts w:ascii="Arial Narrow" w:hAnsi="Arial Narrow"/>
                <w:noProof/>
                <w:color w:val="006100"/>
                <w:sz w:val="20"/>
              </w:rPr>
            </w:pPr>
          </w:p>
          <w:p w14:paraId="693BA181" w14:textId="77777777" w:rsidR="003F5418" w:rsidRDefault="002A6C25">
            <w:pPr>
              <w:pStyle w:val="P68B1DB1-Normal4"/>
              <w:rPr>
                <w:noProof/>
              </w:rPr>
            </w:pPr>
            <w:r>
              <w:rPr>
                <w:noProof/>
              </w:rPr>
              <w:t>A célértéket a Helyreállítási és Rezilienc</w:t>
            </w:r>
            <w:r>
              <w:rPr>
                <w:noProof/>
              </w:rPr>
              <w:t xml:space="preserve">iaépítési Eszköztől eltérő uniós forrásokból nem támogatott CLP-k (azaz a „Codice Locale Progetto”) révén kell elérni. </w:t>
            </w:r>
          </w:p>
        </w:tc>
      </w:tr>
      <w:tr w:rsidR="003F5418" w14:paraId="2048D194" w14:textId="77777777">
        <w:trPr>
          <w:trHeight w:val="309"/>
          <w:jc w:val="right"/>
        </w:trPr>
        <w:tc>
          <w:tcPr>
            <w:tcW w:w="369" w:type="pct"/>
            <w:shd w:val="clear" w:color="auto" w:fill="C6EFCE"/>
            <w:noWrap/>
            <w:vAlign w:val="center"/>
          </w:tcPr>
          <w:p w14:paraId="04B66366" w14:textId="77777777" w:rsidR="003F5418" w:rsidRDefault="002A6C25">
            <w:pPr>
              <w:pStyle w:val="P68B1DB1-Normal4"/>
              <w:jc w:val="center"/>
              <w:rPr>
                <w:noProof/>
              </w:rPr>
            </w:pPr>
            <w:r>
              <w:rPr>
                <w:noProof/>
              </w:rPr>
              <w:t>M3C1–18</w:t>
            </w:r>
          </w:p>
        </w:tc>
        <w:tc>
          <w:tcPr>
            <w:tcW w:w="511" w:type="pct"/>
            <w:shd w:val="clear" w:color="auto" w:fill="C6EFCE"/>
            <w:noWrap/>
            <w:vAlign w:val="center"/>
          </w:tcPr>
          <w:p w14:paraId="640FEE82" w14:textId="77777777" w:rsidR="003F5418" w:rsidRDefault="002A6C25">
            <w:pPr>
              <w:pStyle w:val="P68B1DB1-Normal4"/>
              <w:jc w:val="center"/>
              <w:rPr>
                <w:noProof/>
              </w:rPr>
            </w:pPr>
            <w:r>
              <w:rPr>
                <w:noProof/>
              </w:rPr>
              <w:t>Beruházás – Regionális vonalak megerősítése – A regionális vasutak korszerűsítése (üzemeltetési kutatásfinanszírozási eszköz)</w:t>
            </w:r>
          </w:p>
        </w:tc>
        <w:tc>
          <w:tcPr>
            <w:tcW w:w="417" w:type="pct"/>
            <w:shd w:val="clear" w:color="auto" w:fill="C6EFCE"/>
            <w:noWrap/>
            <w:vAlign w:val="center"/>
          </w:tcPr>
          <w:p w14:paraId="523DE2BE"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2B3073FB" w14:textId="77777777" w:rsidR="003F5418" w:rsidRDefault="002A6C25">
            <w:pPr>
              <w:pStyle w:val="P68B1DB1-Normal4"/>
              <w:jc w:val="center"/>
              <w:rPr>
                <w:noProof/>
              </w:rPr>
            </w:pPr>
            <w:r>
              <w:rPr>
                <w:noProof/>
              </w:rPr>
              <w:t>Korszerűsített regionális vonalak, amelyek készen állnak az engedélyezésre és az üzemeltetési szakaszra</w:t>
            </w:r>
          </w:p>
        </w:tc>
        <w:tc>
          <w:tcPr>
            <w:tcW w:w="509" w:type="pct"/>
            <w:shd w:val="clear" w:color="auto" w:fill="C6EFCE"/>
            <w:noWrap/>
            <w:vAlign w:val="center"/>
          </w:tcPr>
          <w:p w14:paraId="7CDE3FAB"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753D7B01"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52A4C72E" w14:textId="77777777" w:rsidR="003F5418" w:rsidRDefault="002A6C25">
            <w:pPr>
              <w:pStyle w:val="P68B1DB1-Normal4"/>
              <w:jc w:val="center"/>
              <w:rPr>
                <w:noProof/>
              </w:rPr>
            </w:pPr>
            <w:r>
              <w:rPr>
                <w:noProof/>
              </w:rPr>
              <w:t>0</w:t>
            </w:r>
          </w:p>
        </w:tc>
        <w:tc>
          <w:tcPr>
            <w:tcW w:w="279" w:type="pct"/>
            <w:shd w:val="clear" w:color="auto" w:fill="C6EFCE"/>
            <w:noWrap/>
            <w:vAlign w:val="center"/>
          </w:tcPr>
          <w:p w14:paraId="167A0642" w14:textId="77777777" w:rsidR="003F5418" w:rsidRDefault="002A6C25">
            <w:pPr>
              <w:pStyle w:val="P68B1DB1-Normal4"/>
              <w:jc w:val="center"/>
              <w:rPr>
                <w:noProof/>
              </w:rPr>
            </w:pPr>
            <w:r>
              <w:rPr>
                <w:noProof/>
              </w:rPr>
              <w:t>646</w:t>
            </w:r>
          </w:p>
        </w:tc>
        <w:tc>
          <w:tcPr>
            <w:tcW w:w="278" w:type="pct"/>
            <w:shd w:val="clear" w:color="auto" w:fill="C6EFCE"/>
            <w:noWrap/>
            <w:vAlign w:val="center"/>
          </w:tcPr>
          <w:p w14:paraId="624EBD95"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01CBF265"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081ECA70" w14:textId="77777777" w:rsidR="003F5418" w:rsidRDefault="002A6C25">
            <w:pPr>
              <w:pStyle w:val="P68B1DB1-Normal4"/>
              <w:rPr>
                <w:noProof/>
              </w:rPr>
            </w:pPr>
            <w:r>
              <w:rPr>
                <w:noProof/>
              </w:rPr>
              <w:t>646 km korszerűsített regionális vonal, amely készen áll az engedélyezésre és az üzemeltetési szakaszra.</w:t>
            </w:r>
          </w:p>
        </w:tc>
      </w:tr>
      <w:tr w:rsidR="003F5418" w14:paraId="1F65CE74" w14:textId="77777777">
        <w:trPr>
          <w:trHeight w:val="309"/>
          <w:jc w:val="right"/>
        </w:trPr>
        <w:tc>
          <w:tcPr>
            <w:tcW w:w="369" w:type="pct"/>
            <w:shd w:val="clear" w:color="auto" w:fill="C6EFCE"/>
            <w:noWrap/>
            <w:vAlign w:val="center"/>
          </w:tcPr>
          <w:p w14:paraId="249CEFA7" w14:textId="77777777" w:rsidR="003F5418" w:rsidRDefault="002A6C25">
            <w:pPr>
              <w:pStyle w:val="P68B1DB1-Normal4"/>
              <w:jc w:val="center"/>
              <w:rPr>
                <w:noProof/>
              </w:rPr>
            </w:pPr>
            <w:r>
              <w:rPr>
                <w:noProof/>
              </w:rPr>
              <w:t>M3C1–19</w:t>
            </w:r>
          </w:p>
        </w:tc>
        <w:tc>
          <w:tcPr>
            <w:tcW w:w="511" w:type="pct"/>
            <w:shd w:val="clear" w:color="auto" w:fill="C6EFCE"/>
            <w:noWrap/>
            <w:vAlign w:val="center"/>
          </w:tcPr>
          <w:p w14:paraId="33A29C8B" w14:textId="77777777" w:rsidR="003F5418" w:rsidRDefault="002A6C25">
            <w:pPr>
              <w:pStyle w:val="P68B1DB1-Normal4"/>
              <w:jc w:val="center"/>
              <w:rPr>
                <w:noProof/>
              </w:rPr>
            </w:pPr>
            <w:r>
              <w:rPr>
                <w:noProof/>
              </w:rPr>
              <w:t>Beruházás</w:t>
            </w:r>
            <w:r>
              <w:rPr>
                <w:noProof/>
              </w:rPr>
              <w:t xml:space="preserve"> – Vasúti állomások korszerűsítése (RFI-kezelés; délen)</w:t>
            </w:r>
          </w:p>
        </w:tc>
        <w:tc>
          <w:tcPr>
            <w:tcW w:w="417" w:type="pct"/>
            <w:shd w:val="clear" w:color="auto" w:fill="C6EFCE"/>
            <w:noWrap/>
            <w:vAlign w:val="center"/>
          </w:tcPr>
          <w:p w14:paraId="005C4B8A"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6FCAB074" w14:textId="77777777" w:rsidR="003F5418" w:rsidRDefault="002A6C25">
            <w:pPr>
              <w:pStyle w:val="P68B1DB1-Normal4"/>
              <w:jc w:val="center"/>
              <w:rPr>
                <w:noProof/>
              </w:rPr>
            </w:pPr>
            <w:r>
              <w:rPr>
                <w:noProof/>
              </w:rPr>
              <w:t>Korszerűsített és hozzáférhető vasútállomások</w:t>
            </w:r>
          </w:p>
        </w:tc>
        <w:tc>
          <w:tcPr>
            <w:tcW w:w="509" w:type="pct"/>
            <w:shd w:val="clear" w:color="auto" w:fill="C6EFCE"/>
            <w:noWrap/>
            <w:vAlign w:val="center"/>
          </w:tcPr>
          <w:p w14:paraId="4DE046FE"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30105DA9"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7EE5D8A2" w14:textId="77777777" w:rsidR="003F5418" w:rsidRDefault="002A6C25">
            <w:pPr>
              <w:pStyle w:val="P68B1DB1-Normal4"/>
              <w:jc w:val="center"/>
              <w:rPr>
                <w:noProof/>
              </w:rPr>
            </w:pPr>
            <w:r>
              <w:rPr>
                <w:noProof/>
              </w:rPr>
              <w:t>0</w:t>
            </w:r>
          </w:p>
        </w:tc>
        <w:tc>
          <w:tcPr>
            <w:tcW w:w="279" w:type="pct"/>
            <w:shd w:val="clear" w:color="auto" w:fill="C6EFCE"/>
            <w:noWrap/>
            <w:vAlign w:val="center"/>
          </w:tcPr>
          <w:p w14:paraId="52B4C08D" w14:textId="77777777" w:rsidR="003F5418" w:rsidRDefault="002A6C25">
            <w:pPr>
              <w:pStyle w:val="P68B1DB1-Normal4"/>
              <w:jc w:val="center"/>
              <w:rPr>
                <w:noProof/>
              </w:rPr>
            </w:pPr>
            <w:r>
              <w:rPr>
                <w:noProof/>
              </w:rPr>
              <w:t>10</w:t>
            </w:r>
          </w:p>
        </w:tc>
        <w:tc>
          <w:tcPr>
            <w:tcW w:w="278" w:type="pct"/>
            <w:shd w:val="clear" w:color="auto" w:fill="C6EFCE"/>
            <w:noWrap/>
            <w:vAlign w:val="center"/>
          </w:tcPr>
          <w:p w14:paraId="7B4BCB3E"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25C10A8D" w14:textId="77777777" w:rsidR="003F5418" w:rsidRDefault="002A6C25">
            <w:pPr>
              <w:pStyle w:val="P68B1DB1-Normal4"/>
              <w:jc w:val="center"/>
              <w:rPr>
                <w:noProof/>
              </w:rPr>
            </w:pPr>
            <w:r>
              <w:rPr>
                <w:noProof/>
              </w:rPr>
              <w:t>2024</w:t>
            </w:r>
          </w:p>
        </w:tc>
        <w:tc>
          <w:tcPr>
            <w:tcW w:w="1198" w:type="pct"/>
            <w:shd w:val="clear" w:color="auto" w:fill="C6EFCE"/>
            <w:noWrap/>
            <w:vAlign w:val="center"/>
          </w:tcPr>
          <w:p w14:paraId="79BE94F7" w14:textId="77777777" w:rsidR="003F5418" w:rsidRDefault="002A6C25">
            <w:pPr>
              <w:pStyle w:val="P68B1DB1-Normal4"/>
              <w:rPr>
                <w:noProof/>
              </w:rPr>
            </w:pPr>
            <w:r>
              <w:rPr>
                <w:noProof/>
              </w:rPr>
              <w:t xml:space="preserve">Tíz vasútállomás korszerűsítése és megközelíthetősége az 1300/2014/EU bizottsági rendelettel és az uniós vasútbiztonsági </w:t>
            </w:r>
            <w:r>
              <w:rPr>
                <w:noProof/>
              </w:rPr>
              <w:t>szabályokkal összhangban</w:t>
            </w:r>
          </w:p>
        </w:tc>
      </w:tr>
      <w:tr w:rsidR="003F5418" w14:paraId="165E7EC4" w14:textId="77777777">
        <w:trPr>
          <w:trHeight w:val="309"/>
          <w:jc w:val="right"/>
        </w:trPr>
        <w:tc>
          <w:tcPr>
            <w:tcW w:w="369" w:type="pct"/>
            <w:shd w:val="clear" w:color="auto" w:fill="C6EFCE"/>
            <w:noWrap/>
            <w:vAlign w:val="center"/>
          </w:tcPr>
          <w:p w14:paraId="1FAE0266" w14:textId="77777777" w:rsidR="003F5418" w:rsidRDefault="002A6C25">
            <w:pPr>
              <w:pStyle w:val="P68B1DB1-Normal4"/>
              <w:jc w:val="center"/>
              <w:rPr>
                <w:noProof/>
              </w:rPr>
            </w:pPr>
            <w:r>
              <w:rPr>
                <w:noProof/>
              </w:rPr>
              <w:t>M3C1–20</w:t>
            </w:r>
          </w:p>
        </w:tc>
        <w:tc>
          <w:tcPr>
            <w:tcW w:w="511" w:type="pct"/>
            <w:shd w:val="clear" w:color="auto" w:fill="C6EFCE"/>
            <w:noWrap/>
            <w:vAlign w:val="center"/>
          </w:tcPr>
          <w:p w14:paraId="719EB6C1" w14:textId="77777777" w:rsidR="003F5418" w:rsidRDefault="002A6C25">
            <w:pPr>
              <w:pStyle w:val="P68B1DB1-Normal4"/>
              <w:jc w:val="center"/>
              <w:rPr>
                <w:noProof/>
              </w:rPr>
            </w:pPr>
            <w:r>
              <w:rPr>
                <w:noProof/>
              </w:rPr>
              <w:t>Beruházás – Vasúti állomások korszerűsítése (RFI-kezelés; délen)</w:t>
            </w:r>
          </w:p>
        </w:tc>
        <w:tc>
          <w:tcPr>
            <w:tcW w:w="417" w:type="pct"/>
            <w:shd w:val="clear" w:color="auto" w:fill="C6EFCE"/>
            <w:noWrap/>
            <w:vAlign w:val="center"/>
          </w:tcPr>
          <w:p w14:paraId="70D5F0B0" w14:textId="77777777" w:rsidR="003F5418" w:rsidRDefault="002A6C25">
            <w:pPr>
              <w:pStyle w:val="P68B1DB1-Normal4"/>
              <w:jc w:val="center"/>
              <w:rPr>
                <w:noProof/>
              </w:rPr>
            </w:pPr>
            <w:r>
              <w:rPr>
                <w:noProof/>
              </w:rPr>
              <w:t>Cél</w:t>
            </w:r>
          </w:p>
        </w:tc>
        <w:tc>
          <w:tcPr>
            <w:tcW w:w="464" w:type="pct"/>
            <w:shd w:val="clear" w:color="auto" w:fill="C6EFCE"/>
            <w:noWrap/>
            <w:vAlign w:val="center"/>
          </w:tcPr>
          <w:p w14:paraId="5A7F8367" w14:textId="77777777" w:rsidR="003F5418" w:rsidRDefault="002A6C25">
            <w:pPr>
              <w:pStyle w:val="P68B1DB1-Normal4"/>
              <w:jc w:val="center"/>
              <w:rPr>
                <w:noProof/>
              </w:rPr>
            </w:pPr>
            <w:r>
              <w:rPr>
                <w:noProof/>
              </w:rPr>
              <w:t>Korszerűsített és hozzáférhető vasútállomások</w:t>
            </w:r>
          </w:p>
        </w:tc>
        <w:tc>
          <w:tcPr>
            <w:tcW w:w="509" w:type="pct"/>
            <w:shd w:val="clear" w:color="auto" w:fill="C6EFCE"/>
            <w:noWrap/>
            <w:vAlign w:val="center"/>
          </w:tcPr>
          <w:p w14:paraId="68E0DCCF" w14:textId="77777777" w:rsidR="003F5418" w:rsidRDefault="002A6C25">
            <w:pPr>
              <w:pStyle w:val="P68B1DB1-Normal4"/>
              <w:jc w:val="center"/>
              <w:rPr>
                <w:noProof/>
              </w:rPr>
            </w:pPr>
            <w:r>
              <w:rPr>
                <w:noProof/>
              </w:rPr>
              <w:t>NINCS</w:t>
            </w:r>
          </w:p>
        </w:tc>
        <w:tc>
          <w:tcPr>
            <w:tcW w:w="325" w:type="pct"/>
            <w:shd w:val="clear" w:color="auto" w:fill="C6EFCE"/>
            <w:noWrap/>
            <w:vAlign w:val="center"/>
          </w:tcPr>
          <w:p w14:paraId="1583DB9A" w14:textId="77777777" w:rsidR="003F5418" w:rsidRDefault="002A6C25">
            <w:pPr>
              <w:pStyle w:val="P68B1DB1-Normal4"/>
              <w:jc w:val="center"/>
              <w:rPr>
                <w:noProof/>
              </w:rPr>
            </w:pPr>
            <w:r>
              <w:rPr>
                <w:noProof/>
              </w:rPr>
              <w:t>Szám</w:t>
            </w:r>
          </w:p>
        </w:tc>
        <w:tc>
          <w:tcPr>
            <w:tcW w:w="371" w:type="pct"/>
            <w:shd w:val="clear" w:color="auto" w:fill="C6EFCE"/>
            <w:noWrap/>
            <w:vAlign w:val="center"/>
          </w:tcPr>
          <w:p w14:paraId="7E8C53B8" w14:textId="77777777" w:rsidR="003F5418" w:rsidRDefault="002A6C25">
            <w:pPr>
              <w:pStyle w:val="P68B1DB1-Normal4"/>
              <w:jc w:val="center"/>
              <w:rPr>
                <w:noProof/>
              </w:rPr>
            </w:pPr>
            <w:r>
              <w:rPr>
                <w:noProof/>
              </w:rPr>
              <w:t>10</w:t>
            </w:r>
          </w:p>
        </w:tc>
        <w:tc>
          <w:tcPr>
            <w:tcW w:w="279" w:type="pct"/>
            <w:shd w:val="clear" w:color="auto" w:fill="C6EFCE"/>
            <w:noWrap/>
            <w:vAlign w:val="center"/>
          </w:tcPr>
          <w:p w14:paraId="6874C38F" w14:textId="77777777" w:rsidR="003F5418" w:rsidRDefault="002A6C25">
            <w:pPr>
              <w:pStyle w:val="P68B1DB1-Normal4"/>
              <w:jc w:val="center"/>
              <w:rPr>
                <w:noProof/>
              </w:rPr>
            </w:pPr>
            <w:r>
              <w:rPr>
                <w:noProof/>
              </w:rPr>
              <w:t>38</w:t>
            </w:r>
          </w:p>
        </w:tc>
        <w:tc>
          <w:tcPr>
            <w:tcW w:w="278" w:type="pct"/>
            <w:shd w:val="clear" w:color="auto" w:fill="C6EFCE"/>
            <w:noWrap/>
            <w:vAlign w:val="center"/>
          </w:tcPr>
          <w:p w14:paraId="627F3FC1" w14:textId="77777777" w:rsidR="003F5418" w:rsidRDefault="002A6C25">
            <w:pPr>
              <w:pStyle w:val="P68B1DB1-Normal4"/>
              <w:jc w:val="center"/>
              <w:rPr>
                <w:noProof/>
              </w:rPr>
            </w:pPr>
            <w:r>
              <w:rPr>
                <w:noProof/>
              </w:rPr>
              <w:t>Q2</w:t>
            </w:r>
          </w:p>
        </w:tc>
        <w:tc>
          <w:tcPr>
            <w:tcW w:w="278" w:type="pct"/>
            <w:shd w:val="clear" w:color="auto" w:fill="C6EFCE"/>
            <w:noWrap/>
            <w:vAlign w:val="center"/>
          </w:tcPr>
          <w:p w14:paraId="46BDC427" w14:textId="77777777" w:rsidR="003F5418" w:rsidRDefault="002A6C25">
            <w:pPr>
              <w:pStyle w:val="P68B1DB1-Normal4"/>
              <w:jc w:val="center"/>
              <w:rPr>
                <w:noProof/>
              </w:rPr>
            </w:pPr>
            <w:r>
              <w:rPr>
                <w:noProof/>
              </w:rPr>
              <w:t>2026</w:t>
            </w:r>
          </w:p>
        </w:tc>
        <w:tc>
          <w:tcPr>
            <w:tcW w:w="1198" w:type="pct"/>
            <w:shd w:val="clear" w:color="auto" w:fill="C6EFCE"/>
            <w:noWrap/>
            <w:vAlign w:val="center"/>
          </w:tcPr>
          <w:p w14:paraId="791ADB5D" w14:textId="77777777" w:rsidR="003F5418" w:rsidRDefault="002A6C25">
            <w:pPr>
              <w:pStyle w:val="P68B1DB1-Normal4"/>
              <w:spacing w:before="120"/>
              <w:rPr>
                <w:noProof/>
              </w:rPr>
            </w:pPr>
            <w:r>
              <w:rPr>
                <w:noProof/>
              </w:rPr>
              <w:t xml:space="preserve">38 vasútállomás korszerűsítése és megközelíthetősége az 1300/2014/EU bizottsági </w:t>
            </w:r>
            <w:r>
              <w:rPr>
                <w:noProof/>
              </w:rPr>
              <w:t>rendelettel és az uniós vasútbiztonsági előírásokkal összhangban</w:t>
            </w:r>
          </w:p>
        </w:tc>
      </w:tr>
      <w:tr w:rsidR="003F5418" w14:paraId="1CE8A233" w14:textId="77777777">
        <w:trPr>
          <w:trHeight w:val="309"/>
          <w:jc w:val="right"/>
        </w:trPr>
        <w:tc>
          <w:tcPr>
            <w:tcW w:w="369" w:type="pct"/>
            <w:shd w:val="clear" w:color="auto" w:fill="C6EFCE"/>
            <w:noWrap/>
            <w:vAlign w:val="center"/>
          </w:tcPr>
          <w:p w14:paraId="4231E1F8" w14:textId="77777777" w:rsidR="003F5418" w:rsidRDefault="002A6C25">
            <w:pPr>
              <w:pStyle w:val="P68B1DB1-Normal4"/>
              <w:jc w:val="center"/>
              <w:rPr>
                <w:noProof/>
              </w:rPr>
            </w:pPr>
            <w:r>
              <w:rPr>
                <w:noProof/>
              </w:rPr>
              <w:t>M3C1–21</w:t>
            </w:r>
          </w:p>
        </w:tc>
        <w:tc>
          <w:tcPr>
            <w:tcW w:w="511" w:type="pct"/>
            <w:shd w:val="clear" w:color="auto" w:fill="C6EFCE"/>
            <w:noWrap/>
            <w:vAlign w:val="center"/>
          </w:tcPr>
          <w:p w14:paraId="0EB6CCDA" w14:textId="77777777" w:rsidR="003F5418" w:rsidRDefault="002A6C25">
            <w:pPr>
              <w:pStyle w:val="P68B1DB1-Normal4"/>
              <w:jc w:val="center"/>
              <w:rPr>
                <w:noProof/>
              </w:rPr>
            </w:pPr>
            <w:r>
              <w:rPr>
                <w:noProof/>
              </w:rPr>
              <w:t xml:space="preserve">Reform – A (a 2020. szeptember 11-i 120. sz. törvénybe átültetett) közelmúltbeli „Decree Simplification” végrehajtása a kockázatok osztályozására és kezelésére, a biztonság </w:t>
            </w:r>
            <w:r>
              <w:rPr>
                <w:noProof/>
              </w:rPr>
              <w:t>értékelésére és a meglévő hidak ellenőrzésére vonatkozó iránymutatások elfogadásáról szóló rendelet kibocsátásával</w:t>
            </w:r>
          </w:p>
        </w:tc>
        <w:tc>
          <w:tcPr>
            <w:tcW w:w="417" w:type="pct"/>
            <w:shd w:val="clear" w:color="auto" w:fill="C6EFCE"/>
            <w:noWrap/>
            <w:vAlign w:val="center"/>
          </w:tcPr>
          <w:p w14:paraId="15DD6DF0"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6ACF4024" w14:textId="77777777" w:rsidR="003F5418" w:rsidRDefault="002A6C25">
            <w:pPr>
              <w:pStyle w:val="P68B1DB1-Normal4"/>
              <w:jc w:val="center"/>
              <w:rPr>
                <w:noProof/>
              </w:rPr>
            </w:pPr>
            <w:r>
              <w:rPr>
                <w:noProof/>
              </w:rPr>
              <w:t>A kockázatok osztályozására és kezelésére, a biztonság értékelésére és a meglévő hidak nyomon követésére vonatkozó iránymutatások h</w:t>
            </w:r>
            <w:r>
              <w:rPr>
                <w:noProof/>
              </w:rPr>
              <w:t>atálybalépése</w:t>
            </w:r>
          </w:p>
        </w:tc>
        <w:tc>
          <w:tcPr>
            <w:tcW w:w="509" w:type="pct"/>
            <w:shd w:val="clear" w:color="auto" w:fill="C6EFCE"/>
            <w:noWrap/>
            <w:vAlign w:val="center"/>
          </w:tcPr>
          <w:p w14:paraId="2BDC8882" w14:textId="77777777" w:rsidR="003F5418" w:rsidRDefault="002A6C25">
            <w:pPr>
              <w:pStyle w:val="P68B1DB1-Normal4"/>
              <w:jc w:val="center"/>
              <w:rPr>
                <w:noProof/>
              </w:rPr>
            </w:pPr>
            <w:r>
              <w:rPr>
                <w:noProof/>
              </w:rPr>
              <w:t>A „kockázatok osztályozására és kezelésére, a biztonsági értékelésre és a meglévő hidak ellenőrzésére vonatkozó iránymutatásokról” szóló rendelet hatályba lépéséről szóló rendeletben szereplő rendelkezés</w:t>
            </w:r>
          </w:p>
        </w:tc>
        <w:tc>
          <w:tcPr>
            <w:tcW w:w="325" w:type="pct"/>
            <w:shd w:val="clear" w:color="auto" w:fill="C6EFCE"/>
            <w:noWrap/>
            <w:vAlign w:val="center"/>
          </w:tcPr>
          <w:p w14:paraId="466DBE90"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7B348442"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28C2D209" w14:textId="77777777" w:rsidR="003F5418" w:rsidRDefault="002A6C25">
            <w:pPr>
              <w:pStyle w:val="P68B1DB1-Normal4"/>
              <w:jc w:val="center"/>
              <w:rPr>
                <w:noProof/>
              </w:rPr>
            </w:pPr>
            <w:r>
              <w:rPr>
                <w:noProof/>
              </w:rPr>
              <w:t>NINCS</w:t>
            </w:r>
          </w:p>
        </w:tc>
        <w:tc>
          <w:tcPr>
            <w:tcW w:w="278" w:type="pct"/>
            <w:shd w:val="clear" w:color="auto" w:fill="C6EFCE"/>
            <w:noWrap/>
            <w:vAlign w:val="center"/>
          </w:tcPr>
          <w:p w14:paraId="55007910"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0E3133D5" w14:textId="77777777" w:rsidR="003F5418" w:rsidRDefault="002A6C25">
            <w:pPr>
              <w:pStyle w:val="P68B1DB1-Normal4"/>
              <w:jc w:val="center"/>
              <w:rPr>
                <w:noProof/>
              </w:rPr>
            </w:pPr>
            <w:r>
              <w:rPr>
                <w:noProof/>
              </w:rPr>
              <w:t>2021</w:t>
            </w:r>
          </w:p>
        </w:tc>
        <w:tc>
          <w:tcPr>
            <w:tcW w:w="1198" w:type="pct"/>
            <w:shd w:val="clear" w:color="auto" w:fill="C6EFCE"/>
            <w:noWrap/>
            <w:vAlign w:val="center"/>
          </w:tcPr>
          <w:p w14:paraId="109E1DC4" w14:textId="77777777" w:rsidR="003F5418" w:rsidRDefault="002A6C25">
            <w:pPr>
              <w:pStyle w:val="P68B1DB1-Normal6"/>
              <w:spacing w:before="120" w:after="120"/>
              <w:rPr>
                <w:noProof/>
                <w:color w:val="006100"/>
              </w:rPr>
            </w:pPr>
            <w:r>
              <w:rPr>
                <w:noProof/>
                <w:color w:val="006100"/>
              </w:rPr>
              <w:t xml:space="preserve">Az </w:t>
            </w:r>
            <w:r>
              <w:rPr>
                <w:noProof/>
                <w:color w:val="006100"/>
              </w:rPr>
              <w:t>iránymutatások közös szabványokat és módszereket határoznak meg a teljes nemzeti úthálózatra</w:t>
            </w:r>
            <w:r>
              <w:rPr>
                <w:noProof/>
              </w:rPr>
              <w:t xml:space="preserve"> </w:t>
            </w:r>
            <w:r>
              <w:rPr>
                <w:noProof/>
                <w:color w:val="006100"/>
              </w:rPr>
              <w:t>vonatkozóan a kockázatok osztályozására és kezelésére, a biztonság értékelésére és a meglévő hidak ellenőrzésére vonatkozóan.</w:t>
            </w:r>
          </w:p>
        </w:tc>
      </w:tr>
      <w:tr w:rsidR="003F5418" w14:paraId="47BA7E4F" w14:textId="77777777">
        <w:trPr>
          <w:trHeight w:val="309"/>
          <w:jc w:val="right"/>
        </w:trPr>
        <w:tc>
          <w:tcPr>
            <w:tcW w:w="369" w:type="pct"/>
            <w:shd w:val="clear" w:color="auto" w:fill="C6EFCE"/>
            <w:noWrap/>
            <w:vAlign w:val="center"/>
          </w:tcPr>
          <w:p w14:paraId="23A348A2" w14:textId="77777777" w:rsidR="003F5418" w:rsidRDefault="002A6C25">
            <w:pPr>
              <w:pStyle w:val="P68B1DB1-Normal4"/>
              <w:jc w:val="center"/>
              <w:rPr>
                <w:noProof/>
              </w:rPr>
            </w:pPr>
            <w:r>
              <w:rPr>
                <w:noProof/>
              </w:rPr>
              <w:t>M3C1–22</w:t>
            </w:r>
          </w:p>
        </w:tc>
        <w:tc>
          <w:tcPr>
            <w:tcW w:w="511" w:type="pct"/>
            <w:shd w:val="clear" w:color="auto" w:fill="C6EFCE"/>
            <w:noWrap/>
            <w:vAlign w:val="center"/>
          </w:tcPr>
          <w:p w14:paraId="4A263AFA" w14:textId="77777777" w:rsidR="003F5418" w:rsidRDefault="002A6C25">
            <w:pPr>
              <w:pStyle w:val="P68B1DB1-Normal4"/>
              <w:jc w:val="center"/>
              <w:rPr>
                <w:noProof/>
              </w:rPr>
            </w:pPr>
            <w:r>
              <w:rPr>
                <w:noProof/>
              </w:rPr>
              <w:t xml:space="preserve">Reform – A hidak és </w:t>
            </w:r>
            <w:r>
              <w:rPr>
                <w:noProof/>
              </w:rPr>
              <w:t>viaduktok tulajdonának áthelyezése az alsóbb szintű utakról a magasabb rangú utakra</w:t>
            </w:r>
          </w:p>
        </w:tc>
        <w:tc>
          <w:tcPr>
            <w:tcW w:w="417" w:type="pct"/>
            <w:shd w:val="clear" w:color="auto" w:fill="C6EFCE"/>
            <w:noWrap/>
            <w:vAlign w:val="center"/>
          </w:tcPr>
          <w:p w14:paraId="37B177A4" w14:textId="77777777" w:rsidR="003F5418" w:rsidRDefault="002A6C25">
            <w:pPr>
              <w:pStyle w:val="P68B1DB1-Normal4"/>
              <w:jc w:val="center"/>
              <w:rPr>
                <w:noProof/>
              </w:rPr>
            </w:pPr>
            <w:r>
              <w:rPr>
                <w:noProof/>
              </w:rPr>
              <w:t>Mérföldkő</w:t>
            </w:r>
          </w:p>
        </w:tc>
        <w:tc>
          <w:tcPr>
            <w:tcW w:w="464" w:type="pct"/>
            <w:shd w:val="clear" w:color="auto" w:fill="C6EFCE"/>
            <w:noWrap/>
            <w:vAlign w:val="center"/>
          </w:tcPr>
          <w:p w14:paraId="2E479ADB" w14:textId="77777777" w:rsidR="003F5418" w:rsidRDefault="002A6C25">
            <w:pPr>
              <w:pStyle w:val="P68B1DB1-Normal4"/>
              <w:jc w:val="center"/>
              <w:rPr>
                <w:noProof/>
              </w:rPr>
            </w:pPr>
            <w:r>
              <w:rPr>
                <w:noProof/>
              </w:rPr>
              <w:t>A hidak, viaduktok és túljárók tulajdonjogának átruházása az alacsonyabb szintű közutakról a magasabb rangú utakra (autópályákra és fő országos közutakra)</w:t>
            </w:r>
          </w:p>
        </w:tc>
        <w:tc>
          <w:tcPr>
            <w:tcW w:w="509" w:type="pct"/>
            <w:shd w:val="clear" w:color="auto" w:fill="C6EFCE"/>
            <w:noWrap/>
            <w:vAlign w:val="center"/>
          </w:tcPr>
          <w:p w14:paraId="0C0C99F4" w14:textId="77777777" w:rsidR="003F5418" w:rsidRDefault="002A6C25">
            <w:pPr>
              <w:pStyle w:val="P68B1DB1-Normal4"/>
              <w:jc w:val="center"/>
              <w:rPr>
                <w:noProof/>
              </w:rPr>
            </w:pPr>
            <w:r>
              <w:rPr>
                <w:noProof/>
              </w:rPr>
              <w:t>A vonat</w:t>
            </w:r>
            <w:r>
              <w:rPr>
                <w:noProof/>
              </w:rPr>
              <w:t>kozó jogi aktus azon rendelkezése, amely a hidak, viaduktok és túljárók tulajdonjogának az alacsonyabb szintű utakról a magasabb rangú utakra (autópályákra és fő országos közutakra) történő átruházásának hatálybalépésére utal</w:t>
            </w:r>
          </w:p>
        </w:tc>
        <w:tc>
          <w:tcPr>
            <w:tcW w:w="325" w:type="pct"/>
            <w:shd w:val="clear" w:color="auto" w:fill="C6EFCE"/>
            <w:noWrap/>
            <w:vAlign w:val="center"/>
          </w:tcPr>
          <w:p w14:paraId="5A7AE9AD" w14:textId="77777777" w:rsidR="003F5418" w:rsidRDefault="002A6C25">
            <w:pPr>
              <w:pStyle w:val="P68B1DB1-Normal4"/>
              <w:jc w:val="center"/>
              <w:rPr>
                <w:noProof/>
              </w:rPr>
            </w:pPr>
            <w:r>
              <w:rPr>
                <w:noProof/>
              </w:rPr>
              <w:t>NINCS</w:t>
            </w:r>
          </w:p>
        </w:tc>
        <w:tc>
          <w:tcPr>
            <w:tcW w:w="371" w:type="pct"/>
            <w:shd w:val="clear" w:color="auto" w:fill="C6EFCE"/>
            <w:noWrap/>
            <w:vAlign w:val="center"/>
          </w:tcPr>
          <w:p w14:paraId="386368FD" w14:textId="77777777" w:rsidR="003F5418" w:rsidRDefault="002A6C25">
            <w:pPr>
              <w:pStyle w:val="P68B1DB1-Normal4"/>
              <w:jc w:val="center"/>
              <w:rPr>
                <w:noProof/>
              </w:rPr>
            </w:pPr>
            <w:r>
              <w:rPr>
                <w:noProof/>
              </w:rPr>
              <w:t>NINCS</w:t>
            </w:r>
          </w:p>
        </w:tc>
        <w:tc>
          <w:tcPr>
            <w:tcW w:w="279" w:type="pct"/>
            <w:shd w:val="clear" w:color="auto" w:fill="C6EFCE"/>
            <w:noWrap/>
            <w:vAlign w:val="center"/>
          </w:tcPr>
          <w:p w14:paraId="58BF9544" w14:textId="77777777" w:rsidR="003F5418" w:rsidRDefault="002A6C25">
            <w:pPr>
              <w:pStyle w:val="P68B1DB1-Normal4"/>
              <w:jc w:val="center"/>
              <w:rPr>
                <w:noProof/>
              </w:rPr>
            </w:pPr>
            <w:r>
              <w:rPr>
                <w:noProof/>
              </w:rPr>
              <w:t>NINCS</w:t>
            </w:r>
          </w:p>
        </w:tc>
        <w:tc>
          <w:tcPr>
            <w:tcW w:w="278" w:type="pct"/>
            <w:shd w:val="clear" w:color="auto" w:fill="C6EFCE"/>
            <w:noWrap/>
            <w:vAlign w:val="center"/>
          </w:tcPr>
          <w:p w14:paraId="48CE25FF" w14:textId="77777777" w:rsidR="003F5418" w:rsidRDefault="002A6C25">
            <w:pPr>
              <w:pStyle w:val="P68B1DB1-Normal4"/>
              <w:jc w:val="center"/>
              <w:rPr>
                <w:noProof/>
              </w:rPr>
            </w:pPr>
            <w:r>
              <w:rPr>
                <w:noProof/>
              </w:rPr>
              <w:t>Q4</w:t>
            </w:r>
          </w:p>
        </w:tc>
        <w:tc>
          <w:tcPr>
            <w:tcW w:w="278" w:type="pct"/>
            <w:shd w:val="clear" w:color="auto" w:fill="C6EFCE"/>
            <w:noWrap/>
            <w:vAlign w:val="center"/>
          </w:tcPr>
          <w:p w14:paraId="27948EBD" w14:textId="77777777" w:rsidR="003F5418" w:rsidRDefault="002A6C25">
            <w:pPr>
              <w:pStyle w:val="P68B1DB1-Normal4"/>
              <w:jc w:val="center"/>
              <w:rPr>
                <w:noProof/>
              </w:rPr>
            </w:pPr>
            <w:r>
              <w:rPr>
                <w:noProof/>
              </w:rPr>
              <w:t>2021</w:t>
            </w:r>
          </w:p>
        </w:tc>
        <w:tc>
          <w:tcPr>
            <w:tcW w:w="1198" w:type="pct"/>
            <w:shd w:val="clear" w:color="auto" w:fill="C6EFCE"/>
            <w:noWrap/>
            <w:vAlign w:val="center"/>
          </w:tcPr>
          <w:p w14:paraId="0934C01B" w14:textId="77777777" w:rsidR="003F5418" w:rsidRDefault="002A6C25">
            <w:pPr>
              <w:pStyle w:val="P68B1DB1-Normal4"/>
              <w:jc w:val="center"/>
              <w:rPr>
                <w:noProof/>
              </w:rPr>
            </w:pPr>
            <w:r>
              <w:rPr>
                <w:noProof/>
              </w:rPr>
              <w:t xml:space="preserve">A </w:t>
            </w:r>
            <w:r>
              <w:rPr>
                <w:noProof/>
              </w:rPr>
              <w:t>műalkotások tulajdonjogának átruházására a 120/20. sz. törvény hatálybalépésétől számított hat hónapon belül kerül sor. Várhatóan a Codice della Strada (285/1992. sz. törvényerejű rendelet) és annak rendeletei (495/92. sz. köztársasági elnöki rendelet) sza</w:t>
            </w:r>
            <w:r>
              <w:rPr>
                <w:noProof/>
              </w:rPr>
              <w:t>bályai szerint készülnek el, amelyek meghatározzák a tulajdonjognak az úttulajdonosok közötti átruházására vonatkozó rendelkezéseket.</w:t>
            </w:r>
          </w:p>
        </w:tc>
      </w:tr>
    </w:tbl>
    <w:p w14:paraId="588C86DF" w14:textId="77777777" w:rsidR="003F5418" w:rsidRDefault="003F5418">
      <w:pPr>
        <w:spacing w:before="120" w:after="120"/>
        <w:jc w:val="both"/>
        <w:rPr>
          <w:noProof/>
        </w:rPr>
      </w:pPr>
    </w:p>
    <w:p w14:paraId="221F019D" w14:textId="77777777" w:rsidR="003F5418" w:rsidRDefault="003F5418">
      <w:pPr>
        <w:tabs>
          <w:tab w:val="left" w:pos="4252"/>
        </w:tabs>
        <w:rPr>
          <w:i/>
          <w:noProof/>
        </w:rPr>
      </w:pPr>
    </w:p>
    <w:p w14:paraId="1A8DAD64" w14:textId="77777777" w:rsidR="003F5418" w:rsidRDefault="003F5418">
      <w:pPr>
        <w:tabs>
          <w:tab w:val="left" w:pos="4252"/>
        </w:tabs>
        <w:rPr>
          <w:i/>
          <w:noProof/>
        </w:rPr>
      </w:pPr>
    </w:p>
    <w:p w14:paraId="4841A880" w14:textId="77777777" w:rsidR="003F5418" w:rsidRDefault="003F5418">
      <w:pPr>
        <w:spacing w:before="120" w:after="120"/>
        <w:jc w:val="both"/>
        <w:rPr>
          <w:b/>
          <w:noProof/>
          <w:u w:val="single"/>
        </w:rPr>
        <w:sectPr w:rsidR="003F5418">
          <w:headerReference w:type="even" r:id="rId224"/>
          <w:headerReference w:type="default" r:id="rId225"/>
          <w:footerReference w:type="even" r:id="rId226"/>
          <w:footerReference w:type="default" r:id="rId227"/>
          <w:headerReference w:type="first" r:id="rId228"/>
          <w:footerReference w:type="first" r:id="rId229"/>
          <w:pgSz w:w="16838" w:h="11907" w:orient="landscape" w:code="9"/>
          <w:pgMar w:top="1134" w:right="1134" w:bottom="1134" w:left="1134" w:header="567" w:footer="567" w:gutter="0"/>
          <w:cols w:space="720"/>
          <w:docGrid w:linePitch="360"/>
        </w:sectPr>
      </w:pPr>
    </w:p>
    <w:p w14:paraId="19EA01CE" w14:textId="77777777" w:rsidR="003F5418" w:rsidRDefault="002A6C25">
      <w:pPr>
        <w:pStyle w:val="Heading2"/>
        <w:numPr>
          <w:ilvl w:val="0"/>
          <w:numId w:val="0"/>
        </w:numPr>
        <w:ind w:left="850" w:hanging="850"/>
        <w:rPr>
          <w:noProof/>
        </w:rPr>
      </w:pPr>
      <w:r>
        <w:rPr>
          <w:noProof/>
        </w:rPr>
        <w:t>I. 3. FEJEZET – 2. SZERVEZET – Intermodalitás és integrált</w:t>
      </w:r>
      <w:r>
        <w:rPr>
          <w:noProof/>
        </w:rPr>
        <w:t xml:space="preserve"> logisztika</w:t>
      </w:r>
    </w:p>
    <w:p w14:paraId="4154045E" w14:textId="77777777" w:rsidR="003F5418" w:rsidRDefault="002A6C25">
      <w:pPr>
        <w:tabs>
          <w:tab w:val="left" w:pos="1134"/>
        </w:tabs>
        <w:spacing w:before="120" w:after="120"/>
        <w:jc w:val="both"/>
        <w:rPr>
          <w:rFonts w:eastAsia="Calibri"/>
          <w:noProof/>
        </w:rPr>
      </w:pPr>
      <w:r>
        <w:rPr>
          <w:noProof/>
        </w:rPr>
        <w:t>Az olasz helyreállítási és rezilienciaépítési terv e komponensének célja, hogy az olasz kikötőket hatékonyabbá és versenyképesebbé, energiahatékonyabbá és a logisztikai láncba jobban integrálja. Célja továbbá a légiforgalmi szolgáltatási rendsz</w:t>
      </w:r>
      <w:r>
        <w:rPr>
          <w:noProof/>
        </w:rPr>
        <w:t>er digitalizálása.</w:t>
      </w:r>
    </w:p>
    <w:p w14:paraId="4F385D65" w14:textId="77777777" w:rsidR="003F5418" w:rsidRDefault="002A6C25">
      <w:pPr>
        <w:tabs>
          <w:tab w:val="left" w:pos="1134"/>
        </w:tabs>
        <w:spacing w:before="120" w:after="120"/>
        <w:jc w:val="both"/>
        <w:rPr>
          <w:rFonts w:eastAsia="Calibri"/>
          <w:noProof/>
        </w:rPr>
      </w:pPr>
      <w:r>
        <w:rPr>
          <w:noProof/>
        </w:rPr>
        <w:t>E célból fontos reformokat tartalmaz egyrészt a folyamatok egyszerűsítése, a kikötőtervezés aktualizálása, valamint az olasz kikötőkben a koncessziók versenyképesebbé tétele érdekében. Másrészt néhány olyan beruházás, amelynek célja az i</w:t>
      </w:r>
      <w:r>
        <w:rPr>
          <w:noProof/>
        </w:rPr>
        <w:t>ntermodalitás biztosítása az óceánkereskedelemhez és a Földközi-tenger közötti kereskedelemhez fűződő kapcsolatokat fejlesztő, az olasz kikötői rendszer dinamizmusát és versenyképességét fokozó európai kommunikációs irányvonalakkal, többek között az üveghá</w:t>
      </w:r>
      <w:r>
        <w:rPr>
          <w:noProof/>
        </w:rPr>
        <w:t>zhatást okozó gázok kibocsátásának csökkentése céljából. Az e komponenshez kapcsolódó beruházások várhatóan jelentősen növelik a személy- és áruszállítás volumenét az olasz kikötőkben, ami kedvezően hat az ösztönző gazdasági tevékenységekre az érintett ter</w:t>
      </w:r>
      <w:r>
        <w:rPr>
          <w:noProof/>
        </w:rPr>
        <w:t>ületeken és a nemzetgazdaság egészére.</w:t>
      </w:r>
    </w:p>
    <w:p w14:paraId="4063BDF7" w14:textId="77777777" w:rsidR="003F5418" w:rsidRDefault="002A6C25">
      <w:pPr>
        <w:tabs>
          <w:tab w:val="left" w:pos="1134"/>
        </w:tabs>
        <w:spacing w:before="120" w:after="120"/>
        <w:jc w:val="both"/>
        <w:rPr>
          <w:rFonts w:eastAsia="Calibri"/>
          <w:noProof/>
        </w:rPr>
      </w:pPr>
      <w:r>
        <w:rPr>
          <w:noProof/>
        </w:rPr>
        <w:t>Másrészt ez az alkotóelem a logisztikai rendszerek digitalizálásához kapcsolódik, beleértve a repülőtéri rendszereket is. Ezek az ágazatok várhatóan versenyképesebbé válnak azáltal, hogy innovatív technológiai megoldá</w:t>
      </w:r>
      <w:r>
        <w:rPr>
          <w:noProof/>
        </w:rPr>
        <w:t xml:space="preserve">sokat alkalmaznak a rendszer hatékonyabbá tétele és környezeti hatásuk csökkentése érdekében. </w:t>
      </w:r>
    </w:p>
    <w:p w14:paraId="4D7B7124" w14:textId="77777777" w:rsidR="003F5418" w:rsidRDefault="002A6C25">
      <w:pPr>
        <w:spacing w:before="120" w:after="120"/>
        <w:jc w:val="both"/>
        <w:rPr>
          <w:noProof/>
        </w:rPr>
      </w:pPr>
      <w:r>
        <w:rPr>
          <w:noProof/>
        </w:rPr>
        <w:t>Ez a komponens a 2019. évi 3. országspecifikus ajánlással foglalkozik, amelyben Olaszországot „Az infrastruktúra minőségével kapcsolatos, beruházásokkal kapcsola</w:t>
      </w:r>
      <w:r>
        <w:rPr>
          <w:noProof/>
        </w:rPr>
        <w:t>tos gazdaságpolitikára” és a 2020. évi 3. országspecifikus ajánlásra, amely a zöld és digitális átállásra, különösen a tiszta és hatékony energiatermelésre és -felhasználásra, a kutatásra és innovációra, a fenntartható tömegközlekedésre, a hulladék- és víz</w:t>
      </w:r>
      <w:r>
        <w:rPr>
          <w:noProof/>
        </w:rPr>
        <w:t>gazdálkodásra, valamint a megerősített digitális infrastruktúrára irányuló beruházásokat javasolja az alapvető szolgáltatások nyújtásának biztosítása érdekében.</w:t>
      </w:r>
    </w:p>
    <w:p w14:paraId="13B045B3" w14:textId="77777777" w:rsidR="003F5418" w:rsidRDefault="002A6C25">
      <w:pPr>
        <w:spacing w:before="120" w:after="120"/>
        <w:jc w:val="both"/>
        <w:rPr>
          <w:noProof/>
        </w:rPr>
      </w:pPr>
      <w:r>
        <w:rPr>
          <w:noProof/>
        </w:rPr>
        <w:t>A jelentős károkozás elkerülését célzó elvről szóló technikai iránymutatásnak (2021/C58/01) meg</w:t>
      </w:r>
      <w:r>
        <w:rPr>
          <w:noProof/>
        </w:rPr>
        <w:t>felelően a helyreállítási és rezilienciaépítési tervben meghatározott intézkedések leírását és a helyreállítási és rezilienciaépítési tervben meghatározott enyhítő lépéseket figyelembe véve ebben a komponensben várhatóan egyetlen intézkedés sem sérti jelen</w:t>
      </w:r>
      <w:r>
        <w:rPr>
          <w:noProof/>
        </w:rPr>
        <w:t>tős mértékben az (EU) 2020/852 rendelet 17. cikke szerinti környezeti célkitűzéseket.</w:t>
      </w:r>
    </w:p>
    <w:p w14:paraId="6C6EB2C6"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I.1. </w:t>
      </w:r>
      <w:r>
        <w:rPr>
          <w:noProof/>
        </w:rPr>
        <w:t xml:space="preserve"> </w:t>
      </w:r>
      <w:r>
        <w:rPr>
          <w:b/>
          <w:i w:val="0"/>
          <w:noProof/>
          <w:u w:val="single"/>
        </w:rPr>
        <w:t>Vissza nem térítendő pénzügyi támogatás – a reformok és beruházások ismertetése</w:t>
      </w:r>
    </w:p>
    <w:p w14:paraId="6DCD5275" w14:textId="5E232B0F" w:rsidR="003F5418" w:rsidRDefault="006769D3">
      <w:pPr>
        <w:pStyle w:val="P68B1DB1-Normal2"/>
        <w:spacing w:before="120" w:after="120" w:line="257" w:lineRule="auto"/>
        <w:jc w:val="both"/>
        <w:rPr>
          <w:noProof/>
        </w:rPr>
      </w:pPr>
      <w:r>
        <w:rPr>
          <w:noProof/>
        </w:rPr>
        <w:t>1</w:t>
      </w:r>
      <w:r w:rsidRPr="00B07E42">
        <w:rPr>
          <w:noProof/>
        </w:rPr>
        <w:t>.1.</w:t>
      </w:r>
      <w:r>
        <w:rPr>
          <w:noProof/>
        </w:rPr>
        <w:t xml:space="preserve"> Reform – A stratégiai tervezési folyamat eljárásainak egyszerűsítése</w:t>
      </w:r>
    </w:p>
    <w:p w14:paraId="78E14E82" w14:textId="77777777" w:rsidR="003F5418" w:rsidRDefault="002A6C25">
      <w:pPr>
        <w:spacing w:before="120" w:after="120" w:line="257" w:lineRule="auto"/>
        <w:jc w:val="both"/>
        <w:rPr>
          <w:noProof/>
        </w:rPr>
      </w:pPr>
      <w:r>
        <w:rPr>
          <w:noProof/>
        </w:rPr>
        <w:t>Ez az inté</w:t>
      </w:r>
      <w:r>
        <w:rPr>
          <w:noProof/>
        </w:rPr>
        <w:t>zkedés a kikötőtervezés aktualizálását irányozza elő az olasz kikötői rendszer stratégiai jövőképének biztosítása érdekében. A reformnak legalább i. a kikötői rendszerekért felelős hatóságok fejlesztési célkitűzéseit kell szabályoznia; ii. a szigorúan kikö</w:t>
      </w:r>
      <w:r>
        <w:rPr>
          <w:noProof/>
        </w:rPr>
        <w:t>tői és hátsó kikötő funkciókra szánt azonosított és körvonalazott területek, iii. a közút és a vasút kikötőkkel való utolsó mérföldes infrastrukturális összeköttetései, iv. a terv tartalmának meghatározása során követett kritériumok, valamint v. egyértelmű</w:t>
      </w:r>
      <w:r>
        <w:rPr>
          <w:noProof/>
        </w:rPr>
        <w:t>en azonosítja a kikötői szabályozási tervek elkészítésére vonatkozó iránymutatásokat, szabályokat és eljárásokat.</w:t>
      </w:r>
    </w:p>
    <w:p w14:paraId="768DC2BD" w14:textId="1A741BAF" w:rsidR="003F5418" w:rsidRDefault="006769D3">
      <w:pPr>
        <w:pStyle w:val="P68B1DB1-Normal2"/>
        <w:spacing w:before="120" w:after="120" w:line="257" w:lineRule="auto"/>
        <w:jc w:val="both"/>
        <w:rPr>
          <w:noProof/>
        </w:rPr>
      </w:pPr>
      <w:r>
        <w:rPr>
          <w:noProof/>
        </w:rPr>
        <w:t>1</w:t>
      </w:r>
      <w:r w:rsidRPr="00B07E42">
        <w:rPr>
          <w:noProof/>
        </w:rPr>
        <w:t>.</w:t>
      </w:r>
      <w:r>
        <w:rPr>
          <w:noProof/>
        </w:rPr>
        <w:t>2</w:t>
      </w:r>
      <w:r w:rsidRPr="00B07E42">
        <w:rPr>
          <w:noProof/>
        </w:rPr>
        <w:t>.</w:t>
      </w:r>
      <w:r>
        <w:rPr>
          <w:noProof/>
        </w:rPr>
        <w:t xml:space="preserve"> Reform – Versenyképes koncessziók odaítélése az olasz kikötőkben  </w:t>
      </w:r>
    </w:p>
    <w:p w14:paraId="3774D40E" w14:textId="77777777" w:rsidR="003F5418" w:rsidRDefault="002A6C25">
      <w:pPr>
        <w:spacing w:before="120" w:after="120"/>
        <w:jc w:val="both"/>
        <w:rPr>
          <w:rFonts w:eastAsia="Calibri"/>
          <w:noProof/>
        </w:rPr>
      </w:pPr>
      <w:r>
        <w:rPr>
          <w:noProof/>
        </w:rPr>
        <w:t xml:space="preserve">Ezen intézkedés célja, hogy meghatározza a koncesszió időtartamára, a </w:t>
      </w:r>
      <w:r>
        <w:rPr>
          <w:noProof/>
        </w:rPr>
        <w:t>koncessziót odaítélő hatóságok felügyeleti és ellenőrzési hatáskörére, a megújítási eljárásokra, a létesítményeknek a koncesszió végén az új koncessziós jogosultra történő átruházására, valamint a koncessziós jogosultaknak felszámított díjak minimális fels</w:t>
      </w:r>
      <w:r>
        <w:rPr>
          <w:noProof/>
        </w:rPr>
        <w:t>ő határának meghatározására vonatkozó feltételeket.</w:t>
      </w:r>
    </w:p>
    <w:p w14:paraId="17F7FF9F" w14:textId="77777777" w:rsidR="003F5418" w:rsidRDefault="003F5418">
      <w:pPr>
        <w:spacing w:before="120" w:after="120"/>
        <w:jc w:val="both"/>
        <w:rPr>
          <w:rFonts w:eastAsia="Calibri"/>
          <w:noProof/>
        </w:rPr>
      </w:pPr>
    </w:p>
    <w:p w14:paraId="201624C5" w14:textId="29C9C404" w:rsidR="003F5418" w:rsidRDefault="006769D3">
      <w:pPr>
        <w:pStyle w:val="P68B1DB1-Normal2"/>
        <w:spacing w:before="120" w:after="120"/>
        <w:jc w:val="both"/>
        <w:rPr>
          <w:rFonts w:eastAsia="Calibri"/>
          <w:noProof/>
        </w:rPr>
      </w:pPr>
      <w:r>
        <w:rPr>
          <w:noProof/>
        </w:rPr>
        <w:t>1</w:t>
      </w:r>
      <w:r w:rsidRPr="00B07E42">
        <w:rPr>
          <w:noProof/>
        </w:rPr>
        <w:t>.</w:t>
      </w:r>
      <w:r>
        <w:rPr>
          <w:noProof/>
        </w:rPr>
        <w:t>3</w:t>
      </w:r>
      <w:r w:rsidRPr="00B07E42">
        <w:rPr>
          <w:noProof/>
        </w:rPr>
        <w:t>.</w:t>
      </w:r>
      <w:r>
        <w:rPr>
          <w:noProof/>
        </w:rPr>
        <w:t xml:space="preserve"> Reform – A hidegvasolás engedélyezési eljárásaira vonatkozó engedélyek egyszerűsítése az olasz kikötőkben  </w:t>
      </w:r>
    </w:p>
    <w:p w14:paraId="0C8D6147" w14:textId="77777777" w:rsidR="003F5418" w:rsidRDefault="002A6C25">
      <w:pPr>
        <w:spacing w:before="120" w:after="120"/>
        <w:jc w:val="both"/>
        <w:rPr>
          <w:rFonts w:eastAsia="Calibri"/>
          <w:noProof/>
        </w:rPr>
      </w:pPr>
      <w:r>
        <w:rPr>
          <w:noProof/>
        </w:rPr>
        <w:t xml:space="preserve">Ez az intézkedés várhatóan egyszerűsíti és csökkenti a Nemzeti Villamosenergia-átviteli </w:t>
      </w:r>
      <w:r>
        <w:rPr>
          <w:noProof/>
        </w:rPr>
        <w:t>Hálózat üzemeinek építésére vonatkozó engedélyezési eljárást a hajók villamosenergia-ellátását szolgáló elosztórendszerek (</w:t>
      </w:r>
      <w:r>
        <w:rPr>
          <w:i/>
          <w:noProof/>
        </w:rPr>
        <w:t>hideg vasalás</w:t>
      </w:r>
      <w:r>
        <w:rPr>
          <w:noProof/>
        </w:rPr>
        <w:t>) üzemeltetése céljából.</w:t>
      </w:r>
    </w:p>
    <w:p w14:paraId="26D98DC0" w14:textId="77777777" w:rsidR="003F5418" w:rsidRDefault="002A6C25">
      <w:pPr>
        <w:spacing w:before="120" w:after="120"/>
        <w:jc w:val="both"/>
        <w:rPr>
          <w:rFonts w:eastAsia="Calibri"/>
          <w:noProof/>
        </w:rPr>
      </w:pPr>
      <w:r>
        <w:rPr>
          <w:noProof/>
        </w:rPr>
        <w:t>Az Infrastrukturális és Közlekedési Minisztérium javaslatot tesz az engedélyezési eljárás egysz</w:t>
      </w:r>
      <w:r>
        <w:rPr>
          <w:noProof/>
        </w:rPr>
        <w:t>erűsítésére. Különösen azt kell javasolni, hogy a hidegvasolási projekteket a Gazdaságfejlesztési Minisztériumnak beszámoló területi hivatalok értékeljék, amelyek rövidebb időn belül tanulmányozhatnák a projekteket, és következésképpen engedélyezhetnék azo</w:t>
      </w:r>
      <w:r>
        <w:rPr>
          <w:noProof/>
        </w:rPr>
        <w:t xml:space="preserve">kat. Ezen túlmenően szabályozási beavatkozást kell előirányozni a 132 kV-nál nagyobb feszültségű projektek egységes engedélyezési eljárásának meghatározására a folyamatbeli szinergiák kihasználása érdekében. </w:t>
      </w:r>
    </w:p>
    <w:p w14:paraId="031FD7FE" w14:textId="291977D6" w:rsidR="003F5418" w:rsidRDefault="006769D3">
      <w:pPr>
        <w:pStyle w:val="P68B1DB1-Normal2"/>
        <w:spacing w:before="120" w:after="120"/>
        <w:jc w:val="both"/>
        <w:rPr>
          <w:rFonts w:eastAsia="Calibri"/>
          <w:noProof/>
        </w:rPr>
      </w:pPr>
      <w:r>
        <w:rPr>
          <w:noProof/>
        </w:rPr>
        <w:t>2</w:t>
      </w:r>
      <w:r w:rsidRPr="00B07E42">
        <w:rPr>
          <w:noProof/>
        </w:rPr>
        <w:t>.1.</w:t>
      </w:r>
      <w:r>
        <w:rPr>
          <w:noProof/>
        </w:rPr>
        <w:t xml:space="preserve"> Reform: Az egyablakos vámügyintézés („Sportello Unico Doganale”) bevezetése</w:t>
      </w:r>
    </w:p>
    <w:p w14:paraId="77ADEB8F" w14:textId="77777777" w:rsidR="003F5418" w:rsidRDefault="002A6C25">
      <w:pPr>
        <w:spacing w:before="120" w:after="120"/>
        <w:jc w:val="both"/>
        <w:rPr>
          <w:noProof/>
        </w:rPr>
      </w:pPr>
      <w:r>
        <w:rPr>
          <w:noProof/>
        </w:rPr>
        <w:t>A cél egy külön portál létrehozása az egységes ellenőrzési iroda számára, amely lehetővé teszi a nemzeti adatbázisokkal való interoperabilitást és a vámhatóságok ellenőrzési tevékenységeinek összehangolását.</w:t>
      </w:r>
    </w:p>
    <w:p w14:paraId="6632C74F" w14:textId="533D51F9" w:rsidR="003F5418" w:rsidRDefault="006769D3">
      <w:pPr>
        <w:pStyle w:val="P68B1DB1-Normal2"/>
        <w:spacing w:before="120" w:after="120"/>
        <w:jc w:val="both"/>
        <w:rPr>
          <w:noProof/>
        </w:rPr>
      </w:pPr>
      <w:r>
        <w:rPr>
          <w:noProof/>
        </w:rPr>
        <w:t>2</w:t>
      </w:r>
      <w:r w:rsidRPr="00B07E42">
        <w:rPr>
          <w:noProof/>
        </w:rPr>
        <w:t>.1.</w:t>
      </w:r>
      <w:r>
        <w:rPr>
          <w:noProof/>
        </w:rPr>
        <w:t xml:space="preserve"> Beruházás: A logisztikai lánc digitalizálása</w:t>
      </w:r>
    </w:p>
    <w:p w14:paraId="451503EE" w14:textId="77777777" w:rsidR="003F5418" w:rsidRDefault="002A6C25">
      <w:pPr>
        <w:spacing w:before="120" w:after="120"/>
        <w:jc w:val="both"/>
        <w:rPr>
          <w:noProof/>
        </w:rPr>
      </w:pPr>
      <w:r>
        <w:rPr>
          <w:noProof/>
        </w:rPr>
        <w:t>Ez a beruházás várhatóan növelni fogja a nemzeti logisztika versenyképességét azáltal, hogy interoperábilis digitális rendszert hoz létre az állami és magánszereplők között a teherszállítás és a logisztika területén, ame</w:t>
      </w:r>
      <w:r>
        <w:rPr>
          <w:noProof/>
        </w:rPr>
        <w:t>ly egyszerűsíti az eljárásokat, folyamatokat és ellenőrzéseket azáltal, hogy a dokumentumok dematerializálására, valamint az adatok és információk cseréjére összpontosít.</w:t>
      </w:r>
    </w:p>
    <w:p w14:paraId="5244A052" w14:textId="14DC0EC9" w:rsidR="003F5418" w:rsidRDefault="006769D3">
      <w:pPr>
        <w:pStyle w:val="P68B1DB1-Normal2"/>
        <w:spacing w:before="120" w:after="120"/>
        <w:jc w:val="both"/>
        <w:rPr>
          <w:rFonts w:eastAsia="Calibri"/>
          <w:noProof/>
        </w:rPr>
      </w:pPr>
      <w:r>
        <w:rPr>
          <w:noProof/>
        </w:rPr>
        <w:t>2</w:t>
      </w:r>
      <w:r w:rsidRPr="00B07E42">
        <w:rPr>
          <w:noProof/>
        </w:rPr>
        <w:t>.</w:t>
      </w:r>
      <w:r>
        <w:rPr>
          <w:noProof/>
        </w:rPr>
        <w:t>2</w:t>
      </w:r>
      <w:r w:rsidRPr="00B07E42">
        <w:rPr>
          <w:noProof/>
        </w:rPr>
        <w:t>.</w:t>
      </w:r>
      <w:r>
        <w:rPr>
          <w:noProof/>
        </w:rPr>
        <w:t xml:space="preserve"> Beruházás: A légiforgalmi szolgáltatás digitalizálása</w:t>
      </w:r>
    </w:p>
    <w:p w14:paraId="2DC741FB" w14:textId="77777777" w:rsidR="003F5418" w:rsidRDefault="002A6C25">
      <w:pPr>
        <w:spacing w:before="120" w:after="120"/>
        <w:jc w:val="both"/>
        <w:rPr>
          <w:rFonts w:eastAsia="Calibri"/>
          <w:noProof/>
        </w:rPr>
      </w:pPr>
      <w:r>
        <w:rPr>
          <w:noProof/>
        </w:rPr>
        <w:t>E beruházás célja az ágaza</w:t>
      </w:r>
      <w:r>
        <w:rPr>
          <w:noProof/>
        </w:rPr>
        <w:t xml:space="preserve">t digitális korszerűsítése, amelynek magában kell foglalnia a légiforgalmi tájékoztatás digitalizálására szolgáló új eszközök kifejlesztését, valamint a pilóta nélküli légi járművek platformjainak és szolgáltatásainak megvalósítását. </w:t>
      </w:r>
    </w:p>
    <w:p w14:paraId="503B0C01" w14:textId="77777777" w:rsidR="003F5418" w:rsidRDefault="002A6C25">
      <w:pPr>
        <w:spacing w:before="120" w:after="120"/>
        <w:jc w:val="both"/>
        <w:rPr>
          <w:rFonts w:eastAsia="Calibri"/>
          <w:noProof/>
        </w:rPr>
      </w:pPr>
      <w:r>
        <w:rPr>
          <w:noProof/>
        </w:rPr>
        <w:t>A projektek kiterjedn</w:t>
      </w:r>
      <w:r>
        <w:rPr>
          <w:noProof/>
        </w:rPr>
        <w:t>ek a pilóta nélküli forgalomirányítási rendszer (UTMS) fejlesztésére és összekapcsolására, a légiforgalmi tájékoztatás digitalizálására és az új karbantartási modell meghatározására.</w:t>
      </w:r>
    </w:p>
    <w:p w14:paraId="044869B2" w14:textId="16214399" w:rsidR="003F5418" w:rsidRDefault="006769D3">
      <w:pPr>
        <w:pStyle w:val="paragraph"/>
        <w:spacing w:before="0" w:beforeAutospacing="0" w:after="0" w:afterAutospacing="0"/>
        <w:jc w:val="both"/>
        <w:textAlignment w:val="baseline"/>
        <w:rPr>
          <w:rFonts w:ascii="Segoe UI" w:hAnsi="Segoe UI" w:cs="Segoe UI"/>
          <w:noProof/>
          <w:sz w:val="18"/>
        </w:rPr>
      </w:pPr>
      <w:r w:rsidRPr="006769D3">
        <w:rPr>
          <w:b/>
          <w:bCs/>
          <w:noProof/>
        </w:rPr>
        <w:t xml:space="preserve">2.3. </w:t>
      </w:r>
      <w:r>
        <w:rPr>
          <w:rStyle w:val="normaltextrun"/>
          <w:b/>
          <w:noProof/>
        </w:rPr>
        <w:t>Beruházás: Hideg vasalás</w:t>
      </w:r>
      <w:r>
        <w:rPr>
          <w:rStyle w:val="eop"/>
          <w:noProof/>
        </w:rPr>
        <w:t xml:space="preserve"> </w:t>
      </w:r>
    </w:p>
    <w:p w14:paraId="690B7148" w14:textId="77777777" w:rsidR="003F5418" w:rsidRDefault="002A6C25">
      <w:pPr>
        <w:pStyle w:val="paragraph"/>
        <w:spacing w:before="0" w:beforeAutospacing="0" w:after="0" w:afterAutospacing="0"/>
        <w:jc w:val="both"/>
        <w:textAlignment w:val="baseline"/>
        <w:rPr>
          <w:rStyle w:val="eop"/>
          <w:noProof/>
        </w:rPr>
      </w:pPr>
      <w:r>
        <w:rPr>
          <w:rStyle w:val="normaltextrun"/>
          <w:noProof/>
        </w:rPr>
        <w:t>Ez a beruházás a kikötői területen villamo</w:t>
      </w:r>
      <w:r>
        <w:rPr>
          <w:rStyle w:val="normaltextrun"/>
          <w:noProof/>
        </w:rPr>
        <w:t>senergia-ellátó hálózat (kokkok) és a nemzeti átviteli hálózathoz való kapcsolódó csatlakozási infrastruktúra megvalósításából áll. Az alternatív üzemanyagok infrastruktúrájáról szóló rendelettel összhangban a szárazföldi áramellátásnak lehetővé kell tenni</w:t>
      </w:r>
      <w:r>
        <w:rPr>
          <w:rStyle w:val="normaltextrun"/>
          <w:noProof/>
        </w:rPr>
        <w:t xml:space="preserve">e az elektromos hajók feltöltését is. </w:t>
      </w:r>
    </w:p>
    <w:p w14:paraId="7705CA05" w14:textId="77777777" w:rsidR="003F5418" w:rsidRDefault="003F5418">
      <w:pPr>
        <w:pStyle w:val="paragraph"/>
        <w:spacing w:before="0" w:beforeAutospacing="0" w:after="0" w:afterAutospacing="0"/>
        <w:jc w:val="both"/>
        <w:textAlignment w:val="baseline"/>
        <w:rPr>
          <w:rFonts w:ascii="Segoe UI" w:hAnsi="Segoe UI" w:cs="Segoe UI"/>
          <w:noProof/>
          <w:sz w:val="18"/>
        </w:rPr>
      </w:pPr>
    </w:p>
    <w:p w14:paraId="34240D1D" w14:textId="77777777" w:rsidR="003F5418" w:rsidRDefault="002A6C25">
      <w:pPr>
        <w:pStyle w:val="Heading3"/>
        <w:numPr>
          <w:ilvl w:val="0"/>
          <w:numId w:val="0"/>
        </w:numPr>
        <w:ind w:left="850" w:hanging="850"/>
        <w:rPr>
          <w:b/>
          <w:i w:val="0"/>
          <w:noProof/>
          <w:u w:val="single"/>
        </w:rPr>
      </w:pPr>
      <w:r>
        <w:rPr>
          <w:b/>
          <w:i w:val="0"/>
          <w:noProof/>
          <w:u w:val="single"/>
        </w:rPr>
        <w:t xml:space="preserve">I.2. </w:t>
      </w:r>
      <w:r>
        <w:rPr>
          <w:noProof/>
        </w:rPr>
        <w:t xml:space="preserve"> </w:t>
      </w:r>
      <w:r>
        <w:rPr>
          <w:b/>
          <w:i w:val="0"/>
          <w:noProof/>
          <w:u w:val="single"/>
        </w:rPr>
        <w:t>Vissza nem térítendő pénzügyi támogatás – a végrehajtáshoz és a nyomon követéshez kapcsolódó mérföldkövek, célok, mutatók és ütemterv</w:t>
      </w:r>
    </w:p>
    <w:p w14:paraId="6617EF91" w14:textId="77777777" w:rsidR="003F5418" w:rsidRDefault="003F5418">
      <w:pPr>
        <w:spacing w:before="120" w:after="120"/>
        <w:ind w:left="709"/>
        <w:jc w:val="both"/>
        <w:rPr>
          <w:noProof/>
        </w:rPr>
        <w:sectPr w:rsidR="003F5418">
          <w:headerReference w:type="even" r:id="rId230"/>
          <w:headerReference w:type="default" r:id="rId231"/>
          <w:footerReference w:type="even" r:id="rId232"/>
          <w:footerReference w:type="default" r:id="rId233"/>
          <w:headerReference w:type="first" r:id="rId234"/>
          <w:footerReference w:type="first" r:id="rId235"/>
          <w:pgSz w:w="11907" w:h="16839"/>
          <w:pgMar w:top="1134" w:right="1134" w:bottom="1134" w:left="1134" w:header="567" w:footer="567" w:gutter="0"/>
          <w:cols w:space="720"/>
          <w:docGrid w:linePitch="360"/>
        </w:sectPr>
      </w:pPr>
    </w:p>
    <w:tbl>
      <w:tblPr>
        <w:tblW w:w="5451" w:type="pct"/>
        <w:jc w:val="center"/>
        <w:tblLook w:val="04A0" w:firstRow="1" w:lastRow="0" w:firstColumn="1" w:lastColumn="0" w:noHBand="0" w:noVBand="1"/>
      </w:tblPr>
      <w:tblGrid>
        <w:gridCol w:w="1130"/>
        <w:gridCol w:w="1560"/>
        <w:gridCol w:w="1274"/>
        <w:gridCol w:w="1666"/>
        <w:gridCol w:w="1777"/>
        <w:gridCol w:w="1310"/>
        <w:gridCol w:w="1096"/>
        <w:gridCol w:w="878"/>
        <w:gridCol w:w="991"/>
        <w:gridCol w:w="666"/>
        <w:gridCol w:w="4231"/>
      </w:tblGrid>
      <w:tr w:rsidR="003F5418" w14:paraId="18C1FD2D" w14:textId="77777777">
        <w:trPr>
          <w:trHeight w:val="927"/>
          <w:tblHeader/>
          <w:jc w:val="center"/>
        </w:trPr>
        <w:tc>
          <w:tcPr>
            <w:tcW w:w="113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4E8C4E" w14:textId="77777777" w:rsidR="003F5418" w:rsidRDefault="002A6C25">
            <w:pPr>
              <w:pStyle w:val="P68B1DB1-Normal3"/>
              <w:jc w:val="center"/>
              <w:rPr>
                <w:noProof/>
              </w:rPr>
            </w:pPr>
            <w:r>
              <w:rPr>
                <w:noProof/>
              </w:rPr>
              <w:t>Sorszám</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696520" w14:textId="77777777" w:rsidR="003F5418" w:rsidRDefault="002A6C25">
            <w:pPr>
              <w:pStyle w:val="P68B1DB1-Normal3"/>
              <w:jc w:val="center"/>
              <w:rPr>
                <w:noProof/>
              </w:rPr>
            </w:pPr>
            <w:r>
              <w:rPr>
                <w:noProof/>
              </w:rPr>
              <w:t xml:space="preserve">Kapcsolódó </w:t>
            </w:r>
            <w:r>
              <w:rPr>
                <w:noProof/>
              </w:rPr>
              <w:t>intézkedés (reform vagy beruházás)</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595FD5" w14:textId="77777777" w:rsidR="003F5418" w:rsidRDefault="002A6C25">
            <w:pPr>
              <w:pStyle w:val="P68B1DB1-Normal3"/>
              <w:jc w:val="center"/>
              <w:rPr>
                <w:noProof/>
              </w:rPr>
            </w:pPr>
            <w:r>
              <w:rPr>
                <w:noProof/>
              </w:rPr>
              <w:t>Mérföldkő/cél</w:t>
            </w:r>
          </w:p>
        </w:tc>
        <w:tc>
          <w:tcPr>
            <w:tcW w:w="1627" w:type="dxa"/>
            <w:vMerge w:val="restart"/>
            <w:tcBorders>
              <w:top w:val="single" w:sz="4" w:space="0" w:color="auto"/>
              <w:left w:val="nil"/>
              <w:bottom w:val="single" w:sz="4" w:space="0" w:color="auto"/>
              <w:right w:val="single" w:sz="4" w:space="0" w:color="auto"/>
            </w:tcBorders>
            <w:shd w:val="clear" w:color="auto" w:fill="BDD7EE"/>
            <w:vAlign w:val="center"/>
            <w:hideMark/>
          </w:tcPr>
          <w:p w14:paraId="28BE34BD" w14:textId="77777777" w:rsidR="003F5418" w:rsidRDefault="002A6C25">
            <w:pPr>
              <w:pStyle w:val="P68B1DB1-Normal3"/>
              <w:jc w:val="center"/>
              <w:rPr>
                <w:noProof/>
              </w:rPr>
            </w:pPr>
            <w:r>
              <w:rPr>
                <w:noProof/>
              </w:rPr>
              <w:t>Név</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9FFA4"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2900" w:type="dxa"/>
            <w:gridSpan w:val="3"/>
            <w:tcBorders>
              <w:top w:val="single" w:sz="4" w:space="0" w:color="auto"/>
              <w:left w:val="nil"/>
              <w:bottom w:val="single" w:sz="4" w:space="0" w:color="auto"/>
              <w:right w:val="single" w:sz="4" w:space="0" w:color="auto"/>
            </w:tcBorders>
            <w:shd w:val="clear" w:color="auto" w:fill="BDD7EE"/>
            <w:vAlign w:val="center"/>
            <w:hideMark/>
          </w:tcPr>
          <w:p w14:paraId="48D10D45"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82" w:type="dxa"/>
            <w:gridSpan w:val="2"/>
            <w:tcBorders>
              <w:top w:val="single" w:sz="4" w:space="0" w:color="auto"/>
              <w:left w:val="nil"/>
              <w:bottom w:val="single" w:sz="4" w:space="0" w:color="auto"/>
              <w:right w:val="single" w:sz="4" w:space="0" w:color="auto"/>
            </w:tcBorders>
            <w:shd w:val="clear" w:color="auto" w:fill="BDD7EE"/>
            <w:vAlign w:val="center"/>
            <w:hideMark/>
          </w:tcPr>
          <w:p w14:paraId="16F6EFFA" w14:textId="77777777" w:rsidR="003F5418" w:rsidRDefault="002A6C25">
            <w:pPr>
              <w:pStyle w:val="P68B1DB1-Normal3"/>
              <w:jc w:val="center"/>
              <w:rPr>
                <w:noProof/>
              </w:rPr>
            </w:pPr>
            <w:r>
              <w:rPr>
                <w:noProof/>
              </w:rPr>
              <w:t>A végrehajtás indikatív ütemterve</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A61107B" w14:textId="77777777" w:rsidR="003F5418" w:rsidRDefault="002A6C25">
            <w:pPr>
              <w:pStyle w:val="P68B1DB1-Normal3"/>
              <w:jc w:val="center"/>
              <w:rPr>
                <w:noProof/>
              </w:rPr>
            </w:pPr>
            <w:r>
              <w:rPr>
                <w:noProof/>
              </w:rPr>
              <w:t>Az egyes mérföldkövek és célértékek leírása</w:t>
            </w:r>
          </w:p>
        </w:tc>
      </w:tr>
      <w:tr w:rsidR="003F5418" w14:paraId="5B08F691" w14:textId="77777777">
        <w:trPr>
          <w:trHeight w:val="1013"/>
          <w:jc w:val="center"/>
        </w:trPr>
        <w:tc>
          <w:tcPr>
            <w:tcW w:w="1130" w:type="dxa"/>
            <w:vMerge/>
            <w:tcBorders>
              <w:top w:val="single" w:sz="4" w:space="0" w:color="auto"/>
              <w:left w:val="single" w:sz="4" w:space="0" w:color="auto"/>
              <w:bottom w:val="single" w:sz="4" w:space="0" w:color="auto"/>
              <w:right w:val="single" w:sz="4" w:space="0" w:color="auto"/>
            </w:tcBorders>
            <w:vAlign w:val="center"/>
            <w:hideMark/>
          </w:tcPr>
          <w:p w14:paraId="651A6D8E" w14:textId="77777777" w:rsidR="003F5418" w:rsidRDefault="003F5418">
            <w:pPr>
              <w:jc w:val="center"/>
              <w:rPr>
                <w:rFonts w:ascii="Arial Narrow" w:hAnsi="Arial Narrow"/>
                <w:b/>
                <w:noProof/>
                <w:sz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1E9C1FE" w14:textId="77777777" w:rsidR="003F5418" w:rsidRDefault="003F5418">
            <w:pPr>
              <w:jc w:val="center"/>
              <w:rPr>
                <w:rFonts w:ascii="Arial Narrow" w:hAnsi="Arial Narrow"/>
                <w:b/>
                <w:noProof/>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3FC40C35" w14:textId="77777777" w:rsidR="003F5418" w:rsidRDefault="003F5418">
            <w:pPr>
              <w:jc w:val="center"/>
              <w:rPr>
                <w:rFonts w:ascii="Arial Narrow" w:hAnsi="Arial Narrow"/>
                <w:b/>
                <w:noProof/>
                <w:sz w:val="20"/>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5F152C69" w14:textId="77777777" w:rsidR="003F5418" w:rsidRDefault="003F5418">
            <w:pPr>
              <w:jc w:val="center"/>
              <w:rPr>
                <w:rFonts w:ascii="Arial Narrow" w:hAnsi="Arial Narrow"/>
                <w:b/>
                <w:noProof/>
                <w:sz w:val="20"/>
              </w:rPr>
            </w:pPr>
          </w:p>
        </w:tc>
        <w:tc>
          <w:tcPr>
            <w:tcW w:w="1777" w:type="dxa"/>
            <w:vMerge/>
            <w:tcBorders>
              <w:top w:val="single" w:sz="4" w:space="0" w:color="auto"/>
              <w:left w:val="single" w:sz="4" w:space="0" w:color="auto"/>
              <w:bottom w:val="single" w:sz="4" w:space="0" w:color="auto"/>
              <w:right w:val="single" w:sz="4" w:space="0" w:color="auto"/>
            </w:tcBorders>
            <w:vAlign w:val="center"/>
            <w:hideMark/>
          </w:tcPr>
          <w:p w14:paraId="4A55AC35" w14:textId="77777777" w:rsidR="003F5418" w:rsidRDefault="003F5418">
            <w:pPr>
              <w:jc w:val="center"/>
              <w:rPr>
                <w:rFonts w:ascii="Arial Narrow" w:hAnsi="Arial Narrow"/>
                <w:b/>
                <w:noProof/>
                <w:sz w:val="20"/>
              </w:rPr>
            </w:pPr>
          </w:p>
        </w:tc>
        <w:tc>
          <w:tcPr>
            <w:tcW w:w="926"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BC54F4" w14:textId="77777777" w:rsidR="003F5418" w:rsidRDefault="002A6C25">
            <w:pPr>
              <w:pStyle w:val="P68B1DB1-Normal3"/>
              <w:jc w:val="center"/>
              <w:rPr>
                <w:noProof/>
              </w:rPr>
            </w:pPr>
            <w:r>
              <w:rPr>
                <w:noProof/>
              </w:rPr>
              <w:t>Mértékegység</w:t>
            </w:r>
          </w:p>
        </w:tc>
        <w:tc>
          <w:tcPr>
            <w:tcW w:w="1096" w:type="dxa"/>
            <w:tcBorders>
              <w:top w:val="single" w:sz="4" w:space="0" w:color="auto"/>
              <w:left w:val="nil"/>
              <w:bottom w:val="single" w:sz="4" w:space="0" w:color="auto"/>
              <w:right w:val="single" w:sz="4" w:space="0" w:color="auto"/>
            </w:tcBorders>
            <w:shd w:val="clear" w:color="auto" w:fill="BDD7EE"/>
            <w:vAlign w:val="center"/>
            <w:hideMark/>
          </w:tcPr>
          <w:p w14:paraId="7B13FD76" w14:textId="77777777" w:rsidR="003F5418" w:rsidRDefault="002A6C25">
            <w:pPr>
              <w:pStyle w:val="P68B1DB1-Normal3"/>
              <w:jc w:val="center"/>
              <w:rPr>
                <w:noProof/>
              </w:rPr>
            </w:pPr>
            <w:r>
              <w:rPr>
                <w:noProof/>
              </w:rPr>
              <w:t>Kiindulási</w:t>
            </w:r>
          </w:p>
        </w:tc>
        <w:tc>
          <w:tcPr>
            <w:tcW w:w="878" w:type="dxa"/>
            <w:tcBorders>
              <w:top w:val="single" w:sz="4" w:space="0" w:color="auto"/>
              <w:left w:val="nil"/>
              <w:bottom w:val="single" w:sz="4" w:space="0" w:color="auto"/>
              <w:right w:val="single" w:sz="4" w:space="0" w:color="auto"/>
            </w:tcBorders>
            <w:shd w:val="clear" w:color="auto" w:fill="BDD7EE"/>
            <w:vAlign w:val="center"/>
            <w:hideMark/>
          </w:tcPr>
          <w:p w14:paraId="48EF9C7D" w14:textId="77777777" w:rsidR="003F5418" w:rsidRDefault="002A6C25">
            <w:pPr>
              <w:pStyle w:val="P68B1DB1-Normal3"/>
              <w:jc w:val="center"/>
              <w:rPr>
                <w:noProof/>
              </w:rPr>
            </w:pPr>
            <w:r>
              <w:rPr>
                <w:noProof/>
              </w:rPr>
              <w:t>Cél</w:t>
            </w:r>
          </w:p>
        </w:tc>
        <w:tc>
          <w:tcPr>
            <w:tcW w:w="916" w:type="dxa"/>
            <w:tcBorders>
              <w:top w:val="single" w:sz="4" w:space="0" w:color="auto"/>
              <w:left w:val="nil"/>
              <w:bottom w:val="single" w:sz="4" w:space="0" w:color="auto"/>
              <w:right w:val="single" w:sz="4" w:space="0" w:color="auto"/>
            </w:tcBorders>
            <w:shd w:val="clear" w:color="auto" w:fill="BDD7EE"/>
            <w:vAlign w:val="center"/>
            <w:hideMark/>
          </w:tcPr>
          <w:p w14:paraId="2B5354BB" w14:textId="77777777" w:rsidR="003F5418" w:rsidRDefault="002A6C25">
            <w:pPr>
              <w:pStyle w:val="P68B1DB1-Normal3"/>
              <w:jc w:val="center"/>
              <w:rPr>
                <w:noProof/>
              </w:rPr>
            </w:pPr>
            <w:r>
              <w:rPr>
                <w:noProof/>
              </w:rPr>
              <w:t>Negyedév</w:t>
            </w:r>
          </w:p>
        </w:tc>
        <w:tc>
          <w:tcPr>
            <w:tcW w:w="666" w:type="dxa"/>
            <w:tcBorders>
              <w:top w:val="single" w:sz="4" w:space="0" w:color="auto"/>
              <w:left w:val="nil"/>
              <w:bottom w:val="single" w:sz="4" w:space="0" w:color="auto"/>
              <w:right w:val="single" w:sz="4" w:space="0" w:color="auto"/>
            </w:tcBorders>
            <w:shd w:val="clear" w:color="auto" w:fill="BDD7EE"/>
            <w:vAlign w:val="center"/>
            <w:hideMark/>
          </w:tcPr>
          <w:p w14:paraId="36E6644C" w14:textId="77777777" w:rsidR="003F5418" w:rsidRDefault="002A6C25">
            <w:pPr>
              <w:pStyle w:val="P68B1DB1-Normal3"/>
              <w:jc w:val="center"/>
              <w:rPr>
                <w:noProof/>
              </w:rPr>
            </w:pPr>
            <w:r>
              <w:rPr>
                <w:noProof/>
              </w:rPr>
              <w:t>Éve</w:t>
            </w:r>
          </w:p>
        </w:tc>
        <w:tc>
          <w:tcPr>
            <w:tcW w:w="4231" w:type="dxa"/>
            <w:vMerge/>
            <w:tcBorders>
              <w:top w:val="single" w:sz="4" w:space="0" w:color="auto"/>
              <w:bottom w:val="single" w:sz="4" w:space="0" w:color="auto"/>
              <w:right w:val="single" w:sz="4" w:space="0" w:color="auto"/>
            </w:tcBorders>
            <w:vAlign w:val="center"/>
            <w:hideMark/>
          </w:tcPr>
          <w:p w14:paraId="3FA293B2" w14:textId="77777777" w:rsidR="003F5418" w:rsidRDefault="003F5418">
            <w:pPr>
              <w:rPr>
                <w:rFonts w:ascii="Arial Narrow" w:hAnsi="Arial Narrow"/>
                <w:b/>
                <w:noProof/>
                <w:sz w:val="20"/>
              </w:rPr>
            </w:pPr>
          </w:p>
        </w:tc>
      </w:tr>
      <w:tr w:rsidR="003F5418" w14:paraId="2D4020B7"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01E80FE4" w14:textId="77777777" w:rsidR="003F5418" w:rsidRDefault="002A6C25">
            <w:pPr>
              <w:pStyle w:val="P68B1DB1-Normal4"/>
              <w:jc w:val="center"/>
              <w:rPr>
                <w:noProof/>
              </w:rPr>
            </w:pPr>
            <w:r>
              <w:rPr>
                <w:noProof/>
              </w:rPr>
              <w:t>M3C2–1</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3EB650EE" w14:textId="77777777" w:rsidR="003F5418" w:rsidRDefault="002A6C25">
            <w:pPr>
              <w:pStyle w:val="P68B1DB1-Normal4"/>
              <w:spacing w:line="257" w:lineRule="auto"/>
              <w:jc w:val="center"/>
              <w:rPr>
                <w:noProof/>
              </w:rPr>
            </w:pPr>
            <w:r>
              <w:rPr>
                <w:noProof/>
              </w:rPr>
              <w:t>Reform – A stratégiai tervezési folyamat eljárásainak egyszerűsítése</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734B8FA7" w14:textId="77777777" w:rsidR="003F5418" w:rsidRDefault="002A6C25">
            <w:pPr>
              <w:pStyle w:val="P68B1DB1-Normal4"/>
              <w:jc w:val="center"/>
              <w:rPr>
                <w:noProof/>
              </w:rPr>
            </w:pPr>
            <w:r>
              <w:rPr>
                <w:noProof/>
              </w:rPr>
              <w:t>Mérföldkő</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34D2FEAB" w14:textId="77777777" w:rsidR="003F5418" w:rsidRDefault="002A6C25">
            <w:pPr>
              <w:pStyle w:val="P68B1DB1-Normal4"/>
              <w:jc w:val="center"/>
              <w:rPr>
                <w:noProof/>
              </w:rPr>
            </w:pPr>
            <w:r>
              <w:rPr>
                <w:noProof/>
              </w:rPr>
              <w:t>A stratégiai tervezési folyamat eljárásainak egyszerűsítésével kapcsolatos jogszabály-módosítások hatálybalépése</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1D80A97C" w14:textId="77777777" w:rsidR="003F5418" w:rsidRDefault="002A6C25">
            <w:pPr>
              <w:pStyle w:val="P68B1DB1-Normal4"/>
              <w:jc w:val="center"/>
              <w:rPr>
                <w:noProof/>
              </w:rPr>
            </w:pPr>
            <w:r>
              <w:rPr>
                <w:noProof/>
              </w:rPr>
              <w:t xml:space="preserve">A jogi aktus(ok) azon rendelkezése, amely </w:t>
            </w:r>
            <w:r>
              <w:rPr>
                <w:noProof/>
              </w:rPr>
              <w:t>a stratégiai tervezési folyamat eljárásainak egyszerűsítéséhez kapcsolódó jogszabály-módosítások hatálybalépését jelzi</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6BF2B8D6" w14:textId="77777777" w:rsidR="003F5418" w:rsidRDefault="002A6C25">
            <w:pPr>
              <w:pStyle w:val="P68B1DB1-Normal4"/>
              <w:jc w:val="center"/>
              <w:rPr>
                <w:noProof/>
              </w:rPr>
            </w:pPr>
            <w:r>
              <w:rPr>
                <w:noProof/>
              </w:rPr>
              <w:t>NINCS</w:t>
            </w:r>
          </w:p>
        </w:tc>
        <w:tc>
          <w:tcPr>
            <w:tcW w:w="1096" w:type="dxa"/>
            <w:tcBorders>
              <w:top w:val="nil"/>
              <w:left w:val="nil"/>
              <w:bottom w:val="single" w:sz="4" w:space="0" w:color="auto"/>
              <w:right w:val="single" w:sz="4" w:space="0" w:color="auto"/>
            </w:tcBorders>
            <w:shd w:val="clear" w:color="auto" w:fill="C6EFCE"/>
            <w:noWrap/>
            <w:vAlign w:val="center"/>
          </w:tcPr>
          <w:p w14:paraId="59A9CBD2" w14:textId="77777777" w:rsidR="003F5418" w:rsidRDefault="002A6C25">
            <w:pPr>
              <w:pStyle w:val="P68B1DB1-Normal4"/>
              <w:jc w:val="center"/>
              <w:rPr>
                <w:noProof/>
              </w:rPr>
            </w:pPr>
            <w:r>
              <w:rPr>
                <w:noProof/>
              </w:rPr>
              <w:t>NINCS</w:t>
            </w:r>
          </w:p>
        </w:tc>
        <w:tc>
          <w:tcPr>
            <w:tcW w:w="878" w:type="dxa"/>
            <w:tcBorders>
              <w:top w:val="nil"/>
              <w:left w:val="nil"/>
              <w:bottom w:val="single" w:sz="4" w:space="0" w:color="auto"/>
              <w:right w:val="single" w:sz="4" w:space="0" w:color="auto"/>
            </w:tcBorders>
            <w:shd w:val="clear" w:color="auto" w:fill="C6EFCE"/>
            <w:noWrap/>
            <w:vAlign w:val="center"/>
          </w:tcPr>
          <w:p w14:paraId="61FD2EA6" w14:textId="77777777" w:rsidR="003F5418" w:rsidRDefault="002A6C25">
            <w:pPr>
              <w:pStyle w:val="P68B1DB1-Normal4"/>
              <w:jc w:val="center"/>
              <w:rPr>
                <w:noProof/>
              </w:rPr>
            </w:pPr>
            <w:r>
              <w:rPr>
                <w:noProof/>
              </w:rPr>
              <w:t>NINCS</w:t>
            </w:r>
          </w:p>
        </w:tc>
        <w:tc>
          <w:tcPr>
            <w:tcW w:w="916" w:type="dxa"/>
            <w:tcBorders>
              <w:top w:val="nil"/>
              <w:left w:val="nil"/>
              <w:bottom w:val="single" w:sz="4" w:space="0" w:color="auto"/>
              <w:right w:val="single" w:sz="4" w:space="0" w:color="auto"/>
            </w:tcBorders>
            <w:shd w:val="clear" w:color="auto" w:fill="C6EFCE"/>
            <w:noWrap/>
            <w:vAlign w:val="center"/>
          </w:tcPr>
          <w:p w14:paraId="48F37DB5" w14:textId="77777777" w:rsidR="003F5418" w:rsidRDefault="002A6C25">
            <w:pPr>
              <w:pStyle w:val="P68B1DB1-Normal4"/>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402A55B5" w14:textId="77777777" w:rsidR="003F5418" w:rsidRDefault="002A6C25">
            <w:pPr>
              <w:pStyle w:val="P68B1DB1-Normal4"/>
              <w:jc w:val="center"/>
              <w:rPr>
                <w:noProof/>
              </w:rPr>
            </w:pPr>
            <w:r>
              <w:rPr>
                <w:noProof/>
              </w:rPr>
              <w:t>2022</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3326C923" w14:textId="77777777" w:rsidR="003F5418" w:rsidRDefault="002A6C25">
            <w:pPr>
              <w:pStyle w:val="P68B1DB1-Normal4"/>
              <w:rPr>
                <w:noProof/>
              </w:rPr>
            </w:pPr>
            <w:r>
              <w:rPr>
                <w:noProof/>
              </w:rPr>
              <w:t>A felülvizsgált jogszabályi keret meghatározza, hogy:</w:t>
            </w:r>
          </w:p>
          <w:p w14:paraId="71FF0905" w14:textId="77777777" w:rsidR="003F5418" w:rsidRDefault="003F5418">
            <w:pPr>
              <w:rPr>
                <w:rFonts w:ascii="Arial Narrow" w:hAnsi="Arial Narrow"/>
                <w:noProof/>
                <w:color w:val="006100"/>
                <w:sz w:val="20"/>
              </w:rPr>
            </w:pPr>
          </w:p>
          <w:p w14:paraId="600A05B1" w14:textId="77777777" w:rsidR="003F5418" w:rsidRDefault="002A6C25">
            <w:pPr>
              <w:pStyle w:val="P68B1DB1-Normal4"/>
              <w:rPr>
                <w:noProof/>
              </w:rPr>
            </w:pPr>
            <w:r>
              <w:rPr>
                <w:noProof/>
              </w:rPr>
              <w:t xml:space="preserve">– Valamennyi kikötői hatóság elfogadja </w:t>
            </w:r>
            <w:r>
              <w:rPr>
                <w:noProof/>
              </w:rPr>
              <w:t>rendszerstratégiai dokumentumát és kikötőszabályozási tervét, teljes mértékben figyelembe véve az olasz kikötői rendszereknek a 2016. augusztus 4-i 169. sz. törvényerejű rendelettel jóváhagyott 2016. évi reformját.</w:t>
            </w:r>
          </w:p>
          <w:p w14:paraId="7B894152" w14:textId="77777777" w:rsidR="003F5418" w:rsidRDefault="003F5418">
            <w:pPr>
              <w:rPr>
                <w:rFonts w:ascii="Arial Narrow" w:hAnsi="Arial Narrow"/>
                <w:noProof/>
                <w:color w:val="006100"/>
                <w:sz w:val="20"/>
              </w:rPr>
            </w:pPr>
          </w:p>
          <w:p w14:paraId="5B9BE7D0" w14:textId="1E634E50" w:rsidR="003F5418" w:rsidRDefault="002A6C25">
            <w:pPr>
              <w:pStyle w:val="P68B1DB1-Normal4"/>
              <w:rPr>
                <w:noProof/>
              </w:rPr>
            </w:pPr>
            <w:r>
              <w:rPr>
                <w:noProof/>
              </w:rPr>
              <w:t>A DPSS-nek legalább a következő elemeket</w:t>
            </w:r>
            <w:r>
              <w:rPr>
                <w:noProof/>
              </w:rPr>
              <w:t xml:space="preserve"> kell szabályoznia:</w:t>
            </w:r>
          </w:p>
          <w:p w14:paraId="07190EAD" w14:textId="77777777" w:rsidR="003F5418" w:rsidRDefault="003F5418">
            <w:pPr>
              <w:rPr>
                <w:rFonts w:ascii="Arial Narrow" w:hAnsi="Arial Narrow"/>
                <w:noProof/>
                <w:color w:val="006100"/>
                <w:sz w:val="20"/>
              </w:rPr>
            </w:pPr>
          </w:p>
          <w:p w14:paraId="6754BCD7" w14:textId="77777777" w:rsidR="003F5418" w:rsidRDefault="002A6C25">
            <w:pPr>
              <w:pStyle w:val="P68B1DB1-Normal4"/>
              <w:rPr>
                <w:noProof/>
              </w:rPr>
            </w:pPr>
            <w:r>
              <w:rPr>
                <w:noProof/>
              </w:rPr>
              <w:t>A kikötői rendszerekért felelős hatóságok célkitűzéseinek kidolgozása;</w:t>
            </w:r>
          </w:p>
          <w:p w14:paraId="22CDF788" w14:textId="77777777" w:rsidR="003F5418" w:rsidRDefault="002A6C25">
            <w:pPr>
              <w:pStyle w:val="P68B1DB1-Normal4"/>
              <w:rPr>
                <w:noProof/>
              </w:rPr>
            </w:pPr>
            <w:r>
              <w:rPr>
                <w:noProof/>
              </w:rPr>
              <w:t>–Az azonosított és körvonalazott, szigorúan kikötői és hátsó kikötő funkciókra szánt területek,</w:t>
            </w:r>
          </w:p>
          <w:p w14:paraId="0E61BE91" w14:textId="77777777" w:rsidR="003F5418" w:rsidRDefault="002A6C25">
            <w:pPr>
              <w:pStyle w:val="P68B1DB1-Normal4"/>
              <w:rPr>
                <w:noProof/>
              </w:rPr>
            </w:pPr>
            <w:r>
              <w:rPr>
                <w:noProof/>
              </w:rPr>
              <w:t xml:space="preserve">–A közúti és vasúti infrastruktúra utolsó mérföldes összeköttetései </w:t>
            </w:r>
            <w:r>
              <w:rPr>
                <w:noProof/>
              </w:rPr>
              <w:t>a kikötőkkel,</w:t>
            </w:r>
          </w:p>
          <w:p w14:paraId="486893CA" w14:textId="77777777" w:rsidR="003F5418" w:rsidRDefault="002A6C25">
            <w:pPr>
              <w:pStyle w:val="P68B1DB1-Normal4"/>
              <w:rPr>
                <w:noProof/>
              </w:rPr>
            </w:pPr>
            <w:r>
              <w:rPr>
                <w:noProof/>
              </w:rPr>
              <w:t>A terv tartalmának meghatározása során követett kritériumok,</w:t>
            </w:r>
          </w:p>
          <w:p w14:paraId="1B948F0A" w14:textId="77777777" w:rsidR="003F5418" w:rsidRDefault="002A6C25">
            <w:pPr>
              <w:pStyle w:val="P68B1DB1-Normal4"/>
              <w:rPr>
                <w:noProof/>
              </w:rPr>
            </w:pPr>
            <w:r>
              <w:rPr>
                <w:noProof/>
              </w:rPr>
              <w:t>A kikötői szabályozási tervek elkészítésére vonatkozó iránymutatások, szabályok és eljárások egyértelmű meghatározása.</w:t>
            </w:r>
          </w:p>
        </w:tc>
      </w:tr>
      <w:tr w:rsidR="003F5418" w14:paraId="13B63F62"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1033DB29" w14:textId="77777777" w:rsidR="003F5418" w:rsidRDefault="002A6C25">
            <w:pPr>
              <w:pStyle w:val="P68B1DB1-Normal4"/>
              <w:jc w:val="center"/>
              <w:rPr>
                <w:noProof/>
              </w:rPr>
            </w:pPr>
            <w:r>
              <w:rPr>
                <w:noProof/>
              </w:rPr>
              <w:t>M3C2–2</w:t>
            </w:r>
          </w:p>
        </w:tc>
        <w:tc>
          <w:tcPr>
            <w:tcW w:w="1560" w:type="dxa"/>
            <w:tcBorders>
              <w:top w:val="nil"/>
              <w:left w:val="nil"/>
              <w:bottom w:val="single" w:sz="4" w:space="0" w:color="auto"/>
              <w:right w:val="single" w:sz="4" w:space="0" w:color="auto"/>
            </w:tcBorders>
            <w:shd w:val="clear" w:color="auto" w:fill="C6EFCE"/>
            <w:noWrap/>
            <w:vAlign w:val="center"/>
          </w:tcPr>
          <w:p w14:paraId="306B5CBB" w14:textId="77777777" w:rsidR="003F5418" w:rsidRDefault="002A6C25">
            <w:pPr>
              <w:pStyle w:val="P68B1DB1-Normal4"/>
              <w:jc w:val="center"/>
              <w:rPr>
                <w:noProof/>
              </w:rPr>
            </w:pPr>
            <w:r>
              <w:rPr>
                <w:noProof/>
              </w:rPr>
              <w:t xml:space="preserve">Reform – Versenyképes koncessziók odaítélése az olasz </w:t>
            </w:r>
            <w:r>
              <w:rPr>
                <w:noProof/>
              </w:rPr>
              <w:t>kikötőkben</w:t>
            </w:r>
          </w:p>
        </w:tc>
        <w:tc>
          <w:tcPr>
            <w:tcW w:w="1066" w:type="dxa"/>
            <w:tcBorders>
              <w:top w:val="nil"/>
              <w:left w:val="nil"/>
              <w:bottom w:val="single" w:sz="4" w:space="0" w:color="auto"/>
              <w:right w:val="single" w:sz="4" w:space="0" w:color="auto"/>
            </w:tcBorders>
            <w:shd w:val="clear" w:color="auto" w:fill="C6EFCE"/>
            <w:noWrap/>
            <w:vAlign w:val="center"/>
          </w:tcPr>
          <w:p w14:paraId="21D14B8D" w14:textId="77777777" w:rsidR="003F5418" w:rsidRDefault="002A6C25">
            <w:pPr>
              <w:pStyle w:val="P68B1DB1-Normal4"/>
              <w:jc w:val="center"/>
              <w:rPr>
                <w:noProof/>
              </w:rPr>
            </w:pPr>
            <w:r>
              <w:rPr>
                <w:noProof/>
              </w:rPr>
              <w:t>Mérföldkő</w:t>
            </w:r>
          </w:p>
        </w:tc>
        <w:tc>
          <w:tcPr>
            <w:tcW w:w="1627" w:type="dxa"/>
            <w:tcBorders>
              <w:top w:val="nil"/>
              <w:left w:val="nil"/>
              <w:bottom w:val="single" w:sz="4" w:space="0" w:color="auto"/>
              <w:right w:val="single" w:sz="4" w:space="0" w:color="auto"/>
            </w:tcBorders>
            <w:shd w:val="clear" w:color="auto" w:fill="C6EFCE"/>
            <w:noWrap/>
            <w:vAlign w:val="center"/>
          </w:tcPr>
          <w:p w14:paraId="754C1CFD" w14:textId="77777777" w:rsidR="003F5418" w:rsidRDefault="002A6C25">
            <w:pPr>
              <w:pStyle w:val="P68B1DB1-Normal4"/>
              <w:jc w:val="center"/>
              <w:rPr>
                <w:noProof/>
              </w:rPr>
            </w:pPr>
            <w:r>
              <w:rPr>
                <w:noProof/>
              </w:rPr>
              <w:t>A kikötői koncessziókról szóló rendelet hatálybalépése</w:t>
            </w:r>
          </w:p>
        </w:tc>
        <w:tc>
          <w:tcPr>
            <w:tcW w:w="1777" w:type="dxa"/>
            <w:tcBorders>
              <w:top w:val="nil"/>
              <w:left w:val="nil"/>
              <w:bottom w:val="single" w:sz="4" w:space="0" w:color="auto"/>
              <w:right w:val="single" w:sz="4" w:space="0" w:color="auto"/>
            </w:tcBorders>
            <w:shd w:val="clear" w:color="auto" w:fill="C6EFCE"/>
            <w:noWrap/>
            <w:vAlign w:val="center"/>
          </w:tcPr>
          <w:p w14:paraId="0400FBAB" w14:textId="77777777" w:rsidR="003F5418" w:rsidRDefault="002A6C25">
            <w:pPr>
              <w:pStyle w:val="P68B1DB1-Normal4"/>
              <w:jc w:val="center"/>
              <w:rPr>
                <w:noProof/>
              </w:rPr>
            </w:pPr>
            <w:r>
              <w:rPr>
                <w:noProof/>
              </w:rPr>
              <w:t>A rendeletnek a kikötői koncessziókról szóló rendelet hatálybalépését jelző rendelkezése</w:t>
            </w:r>
          </w:p>
        </w:tc>
        <w:tc>
          <w:tcPr>
            <w:tcW w:w="926" w:type="dxa"/>
            <w:tcBorders>
              <w:top w:val="nil"/>
              <w:left w:val="nil"/>
              <w:bottom w:val="single" w:sz="4" w:space="0" w:color="auto"/>
              <w:right w:val="single" w:sz="4" w:space="0" w:color="auto"/>
            </w:tcBorders>
            <w:shd w:val="clear" w:color="auto" w:fill="C6EFCE"/>
            <w:noWrap/>
            <w:vAlign w:val="center"/>
          </w:tcPr>
          <w:p w14:paraId="34C37603" w14:textId="77777777" w:rsidR="003F5418" w:rsidRDefault="002A6C25">
            <w:pPr>
              <w:pStyle w:val="P68B1DB1-Normal4"/>
              <w:jc w:val="center"/>
              <w:rPr>
                <w:noProof/>
              </w:rPr>
            </w:pPr>
            <w:r>
              <w:rPr>
                <w:noProof/>
              </w:rPr>
              <w:t>NINCS</w:t>
            </w:r>
          </w:p>
        </w:tc>
        <w:tc>
          <w:tcPr>
            <w:tcW w:w="1096" w:type="dxa"/>
            <w:tcBorders>
              <w:top w:val="nil"/>
              <w:left w:val="nil"/>
              <w:bottom w:val="single" w:sz="4" w:space="0" w:color="auto"/>
              <w:right w:val="single" w:sz="4" w:space="0" w:color="auto"/>
            </w:tcBorders>
            <w:shd w:val="clear" w:color="auto" w:fill="C6EFCE"/>
            <w:noWrap/>
            <w:vAlign w:val="center"/>
          </w:tcPr>
          <w:p w14:paraId="49930EFB" w14:textId="77777777" w:rsidR="003F5418" w:rsidRDefault="002A6C25">
            <w:pPr>
              <w:pStyle w:val="P68B1DB1-Normal4"/>
              <w:jc w:val="center"/>
              <w:rPr>
                <w:noProof/>
              </w:rPr>
            </w:pPr>
            <w:r>
              <w:rPr>
                <w:noProof/>
              </w:rPr>
              <w:t>NINCS</w:t>
            </w:r>
          </w:p>
        </w:tc>
        <w:tc>
          <w:tcPr>
            <w:tcW w:w="878" w:type="dxa"/>
            <w:tcBorders>
              <w:top w:val="nil"/>
              <w:left w:val="nil"/>
              <w:bottom w:val="single" w:sz="4" w:space="0" w:color="auto"/>
              <w:right w:val="single" w:sz="4" w:space="0" w:color="auto"/>
            </w:tcBorders>
            <w:shd w:val="clear" w:color="auto" w:fill="C6EFCE"/>
            <w:noWrap/>
            <w:vAlign w:val="center"/>
          </w:tcPr>
          <w:p w14:paraId="29B28E5F" w14:textId="77777777" w:rsidR="003F5418" w:rsidRDefault="002A6C25">
            <w:pPr>
              <w:pStyle w:val="P68B1DB1-Normal4"/>
              <w:jc w:val="center"/>
              <w:rPr>
                <w:noProof/>
              </w:rPr>
            </w:pPr>
            <w:r>
              <w:rPr>
                <w:noProof/>
              </w:rPr>
              <w:t>NINCS</w:t>
            </w:r>
          </w:p>
        </w:tc>
        <w:tc>
          <w:tcPr>
            <w:tcW w:w="916" w:type="dxa"/>
            <w:tcBorders>
              <w:top w:val="nil"/>
              <w:left w:val="nil"/>
              <w:bottom w:val="single" w:sz="4" w:space="0" w:color="auto"/>
              <w:right w:val="single" w:sz="4" w:space="0" w:color="auto"/>
            </w:tcBorders>
            <w:shd w:val="clear" w:color="auto" w:fill="C6EFCE"/>
            <w:noWrap/>
            <w:vAlign w:val="center"/>
          </w:tcPr>
          <w:p w14:paraId="420CAE86" w14:textId="77777777" w:rsidR="003F5418" w:rsidRDefault="002A6C25">
            <w:pPr>
              <w:pStyle w:val="P68B1DB1-Normal4"/>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7B90269D" w14:textId="77777777" w:rsidR="003F5418" w:rsidRDefault="002A6C25">
            <w:pPr>
              <w:pStyle w:val="P68B1DB1-Normal4"/>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6426505E" w14:textId="0050F990" w:rsidR="003F5418" w:rsidRDefault="002A6C25">
            <w:pPr>
              <w:pStyle w:val="P68B1DB1-Normal4"/>
              <w:rPr>
                <w:noProof/>
              </w:rPr>
            </w:pPr>
            <w:r>
              <w:rPr>
                <w:noProof/>
              </w:rPr>
              <w:t>Az új rendelet meghatározza a kikötői koncessziók odaítélésének k</w:t>
            </w:r>
            <w:r>
              <w:rPr>
                <w:noProof/>
              </w:rPr>
              <w:t>eretfeltételeit. A rendelet meghatározza legalább a következőket:</w:t>
            </w:r>
          </w:p>
          <w:p w14:paraId="2CE5FF64" w14:textId="77777777" w:rsidR="003F5418" w:rsidRDefault="003F5418">
            <w:pPr>
              <w:rPr>
                <w:rFonts w:ascii="Arial Narrow" w:hAnsi="Arial Narrow"/>
                <w:noProof/>
                <w:color w:val="006100"/>
                <w:sz w:val="20"/>
              </w:rPr>
            </w:pPr>
          </w:p>
          <w:p w14:paraId="60F80464" w14:textId="77777777" w:rsidR="003F5418" w:rsidRDefault="002A6C25">
            <w:pPr>
              <w:pStyle w:val="P68B1DB1-Normal4"/>
              <w:rPr>
                <w:noProof/>
              </w:rPr>
            </w:pPr>
            <w:r>
              <w:rPr>
                <w:noProof/>
              </w:rPr>
              <w:t>A koncesszió időtartamára vonatkozó feltételek;</w:t>
            </w:r>
          </w:p>
          <w:p w14:paraId="53325C4C" w14:textId="77777777" w:rsidR="003F5418" w:rsidRDefault="002A6C25">
            <w:pPr>
              <w:pStyle w:val="P68B1DB1-Normal4"/>
              <w:rPr>
                <w:noProof/>
              </w:rPr>
            </w:pPr>
            <w:r>
              <w:rPr>
                <w:noProof/>
              </w:rPr>
              <w:t>A támogatást nyújtó hatóságok felügyeleti és ellenőrzési hatáskörei;</w:t>
            </w:r>
          </w:p>
          <w:p w14:paraId="301196B8" w14:textId="77777777" w:rsidR="003F5418" w:rsidRDefault="002A6C25">
            <w:pPr>
              <w:pStyle w:val="P68B1DB1-Normal4"/>
              <w:rPr>
                <w:noProof/>
              </w:rPr>
            </w:pPr>
            <w:r>
              <w:rPr>
                <w:noProof/>
              </w:rPr>
              <w:t>A megújítás módszerei;</w:t>
            </w:r>
          </w:p>
          <w:p w14:paraId="19BC0C28" w14:textId="77777777" w:rsidR="003F5418" w:rsidRDefault="002A6C25">
            <w:pPr>
              <w:pStyle w:val="P68B1DB1-Normal4"/>
              <w:rPr>
                <w:noProof/>
              </w:rPr>
            </w:pPr>
            <w:r>
              <w:rPr>
                <w:noProof/>
              </w:rPr>
              <w:t>A létesítmények átruházása az új koncessziójogosu</w:t>
            </w:r>
            <w:r>
              <w:rPr>
                <w:noProof/>
              </w:rPr>
              <w:t>ltra a koncesszió lejártakor;</w:t>
            </w:r>
          </w:p>
          <w:p w14:paraId="3893A88F" w14:textId="77777777" w:rsidR="003F5418" w:rsidRDefault="002A6C25">
            <w:pPr>
              <w:pStyle w:val="P68B1DB1-Normal4"/>
              <w:rPr>
                <w:noProof/>
              </w:rPr>
            </w:pPr>
            <w:r>
              <w:rPr>
                <w:noProof/>
              </w:rPr>
              <w:t>Az engedélyesek által fizetendő minimális díjak felső határa.</w:t>
            </w:r>
          </w:p>
        </w:tc>
      </w:tr>
      <w:tr w:rsidR="003F5418" w14:paraId="1BE4EBAE"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51AA4660"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M3C2–3 </w:t>
            </w:r>
          </w:p>
        </w:tc>
        <w:tc>
          <w:tcPr>
            <w:tcW w:w="1560" w:type="dxa"/>
            <w:tcBorders>
              <w:top w:val="nil"/>
              <w:left w:val="nil"/>
              <w:bottom w:val="single" w:sz="4" w:space="0" w:color="auto"/>
              <w:right w:val="single" w:sz="4" w:space="0" w:color="auto"/>
            </w:tcBorders>
            <w:shd w:val="clear" w:color="auto" w:fill="C6EFCE"/>
            <w:noWrap/>
            <w:vAlign w:val="center"/>
          </w:tcPr>
          <w:p w14:paraId="0C5ABE6C" w14:textId="77777777" w:rsidR="003F5418" w:rsidRDefault="002A6C25">
            <w:pPr>
              <w:pStyle w:val="P68B1DB1-Normal4"/>
              <w:jc w:val="center"/>
              <w:rPr>
                <w:noProof/>
              </w:rPr>
            </w:pPr>
            <w:r>
              <w:rPr>
                <w:noProof/>
              </w:rPr>
              <w:t>Reform – Az egyablakos vámügyintézés („Sportello Unico Doganale”) megvalósítása </w:t>
            </w:r>
          </w:p>
        </w:tc>
        <w:tc>
          <w:tcPr>
            <w:tcW w:w="1066" w:type="dxa"/>
            <w:tcBorders>
              <w:top w:val="nil"/>
              <w:left w:val="nil"/>
              <w:bottom w:val="single" w:sz="4" w:space="0" w:color="auto"/>
              <w:right w:val="single" w:sz="4" w:space="0" w:color="auto"/>
            </w:tcBorders>
            <w:shd w:val="clear" w:color="auto" w:fill="C6EFCE"/>
            <w:noWrap/>
            <w:vAlign w:val="center"/>
          </w:tcPr>
          <w:p w14:paraId="1047FE25" w14:textId="77777777" w:rsidR="003F5418" w:rsidRDefault="002A6C25">
            <w:pPr>
              <w:pStyle w:val="P68B1DB1-Normal4"/>
              <w:jc w:val="center"/>
              <w:rPr>
                <w:noProof/>
              </w:rPr>
            </w:pPr>
            <w:r>
              <w:rPr>
                <w:noProof/>
              </w:rPr>
              <w:t>Mérföldkő </w:t>
            </w:r>
          </w:p>
        </w:tc>
        <w:tc>
          <w:tcPr>
            <w:tcW w:w="1627" w:type="dxa"/>
            <w:tcBorders>
              <w:top w:val="nil"/>
              <w:left w:val="nil"/>
              <w:bottom w:val="single" w:sz="4" w:space="0" w:color="auto"/>
              <w:right w:val="single" w:sz="4" w:space="0" w:color="auto"/>
            </w:tcBorders>
            <w:shd w:val="clear" w:color="auto" w:fill="C6EFCE"/>
            <w:noWrap/>
            <w:vAlign w:val="center"/>
          </w:tcPr>
          <w:p w14:paraId="34ED7ACE" w14:textId="77777777" w:rsidR="003F5418" w:rsidRDefault="002A6C25">
            <w:pPr>
              <w:pStyle w:val="P68B1DB1-paragraph18"/>
              <w:spacing w:before="0" w:beforeAutospacing="0" w:after="0" w:afterAutospacing="0"/>
              <w:jc w:val="center"/>
              <w:textAlignment w:val="baseline"/>
              <w:rPr>
                <w:noProof/>
              </w:rPr>
            </w:pPr>
            <w:r>
              <w:rPr>
                <w:noProof/>
              </w:rPr>
              <w:t xml:space="preserve">Az egységes vámrendelet hatálybalépése </w:t>
            </w:r>
          </w:p>
          <w:p w14:paraId="158CEE81" w14:textId="77777777" w:rsidR="003F5418" w:rsidRDefault="002A6C25">
            <w:pPr>
              <w:pStyle w:val="P68B1DB1-Normal4"/>
              <w:jc w:val="center"/>
              <w:rPr>
                <w:noProof/>
              </w:rPr>
            </w:pPr>
            <w:r>
              <w:rPr>
                <w:noProof/>
              </w:rPr>
              <w:t xml:space="preserve">Íróasztal (Sportello </w:t>
            </w:r>
            <w:r>
              <w:rPr>
                <w:noProof/>
              </w:rPr>
              <w:t>Unico Doganale) </w:t>
            </w:r>
          </w:p>
        </w:tc>
        <w:tc>
          <w:tcPr>
            <w:tcW w:w="1777" w:type="dxa"/>
            <w:tcBorders>
              <w:top w:val="nil"/>
              <w:left w:val="nil"/>
              <w:bottom w:val="single" w:sz="4" w:space="0" w:color="auto"/>
              <w:right w:val="single" w:sz="4" w:space="0" w:color="auto"/>
            </w:tcBorders>
            <w:shd w:val="clear" w:color="auto" w:fill="C6EFCE"/>
            <w:noWrap/>
            <w:vAlign w:val="center"/>
          </w:tcPr>
          <w:p w14:paraId="5AA69125" w14:textId="77777777" w:rsidR="003F5418" w:rsidRDefault="002A6C25">
            <w:pPr>
              <w:pStyle w:val="P68B1DB1-Normal4"/>
              <w:jc w:val="center"/>
              <w:rPr>
                <w:noProof/>
              </w:rPr>
            </w:pPr>
            <w:r>
              <w:rPr>
                <w:noProof/>
              </w:rPr>
              <w:t>Az egységes vámügynökről szóló rendelet (Sportello Unico Doganale) hatálybalépésére vonatkozó rendelkezés </w:t>
            </w:r>
          </w:p>
        </w:tc>
        <w:tc>
          <w:tcPr>
            <w:tcW w:w="926" w:type="dxa"/>
            <w:tcBorders>
              <w:top w:val="nil"/>
              <w:left w:val="nil"/>
              <w:bottom w:val="single" w:sz="4" w:space="0" w:color="auto"/>
              <w:right w:val="single" w:sz="4" w:space="0" w:color="auto"/>
            </w:tcBorders>
            <w:shd w:val="clear" w:color="auto" w:fill="C6EFCE"/>
            <w:noWrap/>
            <w:vAlign w:val="center"/>
          </w:tcPr>
          <w:p w14:paraId="431B20D1" w14:textId="77777777" w:rsidR="003F5418" w:rsidRDefault="002A6C25">
            <w:pPr>
              <w:pStyle w:val="P68B1DB1-Normal4"/>
              <w:jc w:val="center"/>
              <w:rPr>
                <w:noProof/>
              </w:rPr>
            </w:pPr>
            <w:r>
              <w:rPr>
                <w:noProof/>
              </w:rPr>
              <w:t>NINCS </w:t>
            </w:r>
          </w:p>
        </w:tc>
        <w:tc>
          <w:tcPr>
            <w:tcW w:w="1096" w:type="dxa"/>
            <w:tcBorders>
              <w:top w:val="nil"/>
              <w:left w:val="nil"/>
              <w:bottom w:val="single" w:sz="4" w:space="0" w:color="auto"/>
              <w:right w:val="single" w:sz="4" w:space="0" w:color="auto"/>
            </w:tcBorders>
            <w:shd w:val="clear" w:color="auto" w:fill="C6EFCE"/>
            <w:noWrap/>
            <w:vAlign w:val="center"/>
          </w:tcPr>
          <w:p w14:paraId="02C6CCBE" w14:textId="77777777" w:rsidR="003F5418" w:rsidRDefault="002A6C25">
            <w:pPr>
              <w:pStyle w:val="P68B1DB1-Normal4"/>
              <w:jc w:val="center"/>
              <w:rPr>
                <w:noProof/>
              </w:rPr>
            </w:pPr>
            <w:r>
              <w:rPr>
                <w:noProof/>
              </w:rPr>
              <w:t>NINCS </w:t>
            </w:r>
          </w:p>
        </w:tc>
        <w:tc>
          <w:tcPr>
            <w:tcW w:w="878" w:type="dxa"/>
            <w:tcBorders>
              <w:top w:val="nil"/>
              <w:left w:val="nil"/>
              <w:bottom w:val="single" w:sz="4" w:space="0" w:color="auto"/>
              <w:right w:val="single" w:sz="4" w:space="0" w:color="auto"/>
            </w:tcBorders>
            <w:shd w:val="clear" w:color="auto" w:fill="C6EFCE"/>
            <w:noWrap/>
            <w:vAlign w:val="center"/>
          </w:tcPr>
          <w:p w14:paraId="1FA94E32" w14:textId="77777777" w:rsidR="003F5418" w:rsidRDefault="002A6C25">
            <w:pPr>
              <w:pStyle w:val="P68B1DB1-Normal4"/>
              <w:jc w:val="center"/>
              <w:rPr>
                <w:noProof/>
              </w:rPr>
            </w:pPr>
            <w:r>
              <w:rPr>
                <w:noProof/>
              </w:rPr>
              <w:t>NINCS </w:t>
            </w:r>
          </w:p>
        </w:tc>
        <w:tc>
          <w:tcPr>
            <w:tcW w:w="916" w:type="dxa"/>
            <w:tcBorders>
              <w:top w:val="nil"/>
              <w:left w:val="nil"/>
              <w:bottom w:val="single" w:sz="4" w:space="0" w:color="auto"/>
              <w:right w:val="single" w:sz="4" w:space="0" w:color="auto"/>
            </w:tcBorders>
            <w:shd w:val="clear" w:color="auto" w:fill="C6EFCE"/>
            <w:noWrap/>
            <w:vAlign w:val="center"/>
          </w:tcPr>
          <w:p w14:paraId="3D299E59" w14:textId="77777777" w:rsidR="003F5418" w:rsidRDefault="002A6C25">
            <w:pPr>
              <w:pStyle w:val="P68B1DB1-Normal4"/>
              <w:jc w:val="center"/>
              <w:rPr>
                <w:noProof/>
              </w:rPr>
            </w:pPr>
            <w:r>
              <w:rPr>
                <w:noProof/>
              </w:rPr>
              <w:t>Q4 </w:t>
            </w:r>
          </w:p>
        </w:tc>
        <w:tc>
          <w:tcPr>
            <w:tcW w:w="666" w:type="dxa"/>
            <w:tcBorders>
              <w:top w:val="nil"/>
              <w:left w:val="nil"/>
              <w:bottom w:val="single" w:sz="4" w:space="0" w:color="auto"/>
              <w:right w:val="single" w:sz="4" w:space="0" w:color="auto"/>
            </w:tcBorders>
            <w:shd w:val="clear" w:color="auto" w:fill="C6EFCE"/>
            <w:noWrap/>
            <w:vAlign w:val="center"/>
          </w:tcPr>
          <w:p w14:paraId="00AC8012" w14:textId="77777777" w:rsidR="003F5418" w:rsidRDefault="002A6C25">
            <w:pPr>
              <w:pStyle w:val="P68B1DB1-Normal4"/>
              <w:jc w:val="center"/>
              <w:rPr>
                <w:noProof/>
              </w:rPr>
            </w:pPr>
            <w:r>
              <w:rPr>
                <w:noProof/>
              </w:rPr>
              <w:t>2021 </w:t>
            </w:r>
          </w:p>
        </w:tc>
        <w:tc>
          <w:tcPr>
            <w:tcW w:w="4231" w:type="dxa"/>
            <w:tcBorders>
              <w:top w:val="nil"/>
              <w:left w:val="nil"/>
              <w:bottom w:val="single" w:sz="4" w:space="0" w:color="auto"/>
              <w:right w:val="single" w:sz="4" w:space="0" w:color="auto"/>
            </w:tcBorders>
            <w:shd w:val="clear" w:color="auto" w:fill="C6EFCE"/>
            <w:noWrap/>
            <w:vAlign w:val="center"/>
          </w:tcPr>
          <w:p w14:paraId="74B9EDCE" w14:textId="77777777" w:rsidR="003F5418" w:rsidRDefault="002A6C25">
            <w:pPr>
              <w:pStyle w:val="P68B1DB1-Normal4"/>
              <w:rPr>
                <w:noProof/>
              </w:rPr>
            </w:pPr>
            <w:r>
              <w:rPr>
                <w:noProof/>
              </w:rPr>
              <w:t>A rendelet az európai egyablakos tengerügyi ügyintézési rendszer végrehajtásáról szóló (EU) 1239/2019</w:t>
            </w:r>
            <w:r>
              <w:rPr>
                <w:noProof/>
              </w:rPr>
              <w:t xml:space="preserve"> rendelettel és az elektronikus áruszállítási információkról szóló, 2020. július 15-i (EU) 2020/1056 európai parlamenti és tanácsi rendelettel (eFTI) összhangban meghatározza az egységes vámügynökség módszereit és előírásait. </w:t>
            </w:r>
          </w:p>
        </w:tc>
      </w:tr>
      <w:tr w:rsidR="003F5418" w14:paraId="731AD93A"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38322A2F" w14:textId="77777777" w:rsidR="003F5418" w:rsidRDefault="002A6C25">
            <w:pPr>
              <w:pStyle w:val="P68B1DB1-Normal4"/>
              <w:jc w:val="center"/>
              <w:rPr>
                <w:noProof/>
              </w:rPr>
            </w:pPr>
            <w:r>
              <w:rPr>
                <w:noProof/>
              </w:rPr>
              <w:t>M3C2–4</w:t>
            </w:r>
          </w:p>
        </w:tc>
        <w:tc>
          <w:tcPr>
            <w:tcW w:w="1560" w:type="dxa"/>
            <w:tcBorders>
              <w:top w:val="nil"/>
              <w:left w:val="nil"/>
              <w:bottom w:val="single" w:sz="4" w:space="0" w:color="auto"/>
              <w:right w:val="single" w:sz="4" w:space="0" w:color="auto"/>
            </w:tcBorders>
            <w:shd w:val="clear" w:color="auto" w:fill="C6EFCE"/>
            <w:noWrap/>
            <w:vAlign w:val="center"/>
          </w:tcPr>
          <w:p w14:paraId="77891AD9" w14:textId="77777777" w:rsidR="003F5418" w:rsidRDefault="002A6C25">
            <w:pPr>
              <w:pStyle w:val="P68B1DB1-Normal4"/>
              <w:jc w:val="center"/>
              <w:rPr>
                <w:noProof/>
              </w:rPr>
            </w:pPr>
            <w:r>
              <w:rPr>
                <w:noProof/>
              </w:rPr>
              <w:t>Reform – A hideg vasalódeszművek engedélyezési eljárásainak egyszerűsítése</w:t>
            </w:r>
          </w:p>
        </w:tc>
        <w:tc>
          <w:tcPr>
            <w:tcW w:w="1066" w:type="dxa"/>
            <w:tcBorders>
              <w:top w:val="nil"/>
              <w:left w:val="nil"/>
              <w:bottom w:val="single" w:sz="4" w:space="0" w:color="auto"/>
              <w:right w:val="single" w:sz="4" w:space="0" w:color="auto"/>
            </w:tcBorders>
            <w:shd w:val="clear" w:color="auto" w:fill="C6EFCE"/>
            <w:noWrap/>
            <w:vAlign w:val="center"/>
          </w:tcPr>
          <w:p w14:paraId="61D7E580" w14:textId="77777777" w:rsidR="003F5418" w:rsidRDefault="002A6C25">
            <w:pPr>
              <w:pStyle w:val="P68B1DB1-Normal4"/>
              <w:jc w:val="center"/>
              <w:rPr>
                <w:noProof/>
              </w:rPr>
            </w:pPr>
            <w:r>
              <w:rPr>
                <w:noProof/>
              </w:rPr>
              <w:t>Mérföldkő</w:t>
            </w:r>
          </w:p>
        </w:tc>
        <w:tc>
          <w:tcPr>
            <w:tcW w:w="1627" w:type="dxa"/>
            <w:tcBorders>
              <w:top w:val="nil"/>
              <w:left w:val="nil"/>
              <w:bottom w:val="single" w:sz="4" w:space="0" w:color="auto"/>
              <w:right w:val="single" w:sz="4" w:space="0" w:color="auto"/>
            </w:tcBorders>
            <w:shd w:val="clear" w:color="auto" w:fill="C6EFCE"/>
            <w:noWrap/>
            <w:vAlign w:val="center"/>
          </w:tcPr>
          <w:p w14:paraId="328C4448" w14:textId="77777777" w:rsidR="003F5418" w:rsidRDefault="002A6C25">
            <w:pPr>
              <w:pStyle w:val="P68B1DB1-Normal4"/>
              <w:spacing w:line="257" w:lineRule="auto"/>
              <w:jc w:val="center"/>
              <w:rPr>
                <w:noProof/>
              </w:rPr>
            </w:pPr>
            <w:r>
              <w:rPr>
                <w:noProof/>
              </w:rPr>
              <w:t>A hideg vasalódeszművekre vonatkozó engedélyezési eljárások egyszerűsítésének hatálybalépése</w:t>
            </w:r>
          </w:p>
        </w:tc>
        <w:tc>
          <w:tcPr>
            <w:tcW w:w="1777" w:type="dxa"/>
            <w:tcBorders>
              <w:top w:val="nil"/>
              <w:left w:val="nil"/>
              <w:bottom w:val="single" w:sz="4" w:space="0" w:color="auto"/>
              <w:right w:val="single" w:sz="4" w:space="0" w:color="auto"/>
            </w:tcBorders>
            <w:shd w:val="clear" w:color="auto" w:fill="C6EFCE"/>
            <w:noWrap/>
            <w:vAlign w:val="center"/>
          </w:tcPr>
          <w:p w14:paraId="4A243D65" w14:textId="77777777" w:rsidR="003F5418" w:rsidRDefault="002A6C25">
            <w:pPr>
              <w:pStyle w:val="P68B1DB1-Normal4"/>
              <w:jc w:val="center"/>
              <w:rPr>
                <w:noProof/>
              </w:rPr>
            </w:pPr>
            <w:r>
              <w:rPr>
                <w:noProof/>
              </w:rPr>
              <w:t xml:space="preserve">A hideg vasalódeszművekre vonatkozó engedélyezési eljárások egyszerűsítésének </w:t>
            </w:r>
            <w:r>
              <w:rPr>
                <w:noProof/>
              </w:rPr>
              <w:t>hatálybalépését jelző jogi rendelkezés</w:t>
            </w:r>
          </w:p>
        </w:tc>
        <w:tc>
          <w:tcPr>
            <w:tcW w:w="926" w:type="dxa"/>
            <w:tcBorders>
              <w:top w:val="nil"/>
              <w:left w:val="nil"/>
              <w:bottom w:val="single" w:sz="4" w:space="0" w:color="auto"/>
              <w:right w:val="single" w:sz="4" w:space="0" w:color="auto"/>
            </w:tcBorders>
            <w:shd w:val="clear" w:color="auto" w:fill="C6EFCE"/>
            <w:noWrap/>
            <w:vAlign w:val="center"/>
          </w:tcPr>
          <w:p w14:paraId="6B543138" w14:textId="77777777" w:rsidR="003F5418" w:rsidRDefault="002A6C25">
            <w:pPr>
              <w:pStyle w:val="P68B1DB1-Normal4"/>
              <w:jc w:val="center"/>
              <w:rPr>
                <w:noProof/>
              </w:rPr>
            </w:pPr>
            <w:r>
              <w:rPr>
                <w:noProof/>
              </w:rPr>
              <w:t>NINCS</w:t>
            </w:r>
          </w:p>
        </w:tc>
        <w:tc>
          <w:tcPr>
            <w:tcW w:w="1096" w:type="dxa"/>
            <w:tcBorders>
              <w:top w:val="nil"/>
              <w:left w:val="nil"/>
              <w:bottom w:val="single" w:sz="4" w:space="0" w:color="auto"/>
              <w:right w:val="single" w:sz="4" w:space="0" w:color="auto"/>
            </w:tcBorders>
            <w:shd w:val="clear" w:color="auto" w:fill="C6EFCE"/>
            <w:noWrap/>
            <w:vAlign w:val="center"/>
          </w:tcPr>
          <w:p w14:paraId="17F10FE8" w14:textId="77777777" w:rsidR="003F5418" w:rsidRDefault="002A6C25">
            <w:pPr>
              <w:pStyle w:val="P68B1DB1-Normal4"/>
              <w:jc w:val="center"/>
              <w:rPr>
                <w:noProof/>
              </w:rPr>
            </w:pPr>
            <w:r>
              <w:rPr>
                <w:noProof/>
              </w:rPr>
              <w:t>NINCS</w:t>
            </w:r>
          </w:p>
        </w:tc>
        <w:tc>
          <w:tcPr>
            <w:tcW w:w="878" w:type="dxa"/>
            <w:tcBorders>
              <w:top w:val="nil"/>
              <w:left w:val="nil"/>
              <w:bottom w:val="single" w:sz="4" w:space="0" w:color="auto"/>
              <w:right w:val="single" w:sz="4" w:space="0" w:color="auto"/>
            </w:tcBorders>
            <w:shd w:val="clear" w:color="auto" w:fill="C6EFCE"/>
            <w:noWrap/>
            <w:vAlign w:val="center"/>
          </w:tcPr>
          <w:p w14:paraId="15FBF3C0" w14:textId="77777777" w:rsidR="003F5418" w:rsidRDefault="002A6C25">
            <w:pPr>
              <w:pStyle w:val="P68B1DB1-Normal4"/>
              <w:jc w:val="center"/>
              <w:rPr>
                <w:noProof/>
              </w:rPr>
            </w:pPr>
            <w:r>
              <w:rPr>
                <w:noProof/>
              </w:rPr>
              <w:t>NINCS</w:t>
            </w:r>
          </w:p>
        </w:tc>
        <w:tc>
          <w:tcPr>
            <w:tcW w:w="916" w:type="dxa"/>
            <w:tcBorders>
              <w:top w:val="nil"/>
              <w:left w:val="nil"/>
              <w:bottom w:val="single" w:sz="4" w:space="0" w:color="auto"/>
              <w:right w:val="single" w:sz="4" w:space="0" w:color="auto"/>
            </w:tcBorders>
            <w:shd w:val="clear" w:color="auto" w:fill="C6EFCE"/>
            <w:noWrap/>
            <w:vAlign w:val="center"/>
          </w:tcPr>
          <w:p w14:paraId="7DC2D6A0" w14:textId="77777777" w:rsidR="003F5418" w:rsidRDefault="002A6C25">
            <w:pPr>
              <w:pStyle w:val="P68B1DB1-Normal4"/>
              <w:jc w:val="center"/>
              <w:rPr>
                <w:noProof/>
              </w:rPr>
            </w:pPr>
            <w:r>
              <w:rPr>
                <w:noProof/>
              </w:rPr>
              <w:t>Q4</w:t>
            </w:r>
          </w:p>
        </w:tc>
        <w:tc>
          <w:tcPr>
            <w:tcW w:w="666" w:type="dxa"/>
            <w:tcBorders>
              <w:top w:val="nil"/>
              <w:left w:val="nil"/>
              <w:bottom w:val="single" w:sz="4" w:space="0" w:color="auto"/>
              <w:right w:val="single" w:sz="4" w:space="0" w:color="auto"/>
            </w:tcBorders>
            <w:shd w:val="clear" w:color="auto" w:fill="C6EFCE"/>
            <w:noWrap/>
            <w:vAlign w:val="center"/>
          </w:tcPr>
          <w:p w14:paraId="36B0BC13" w14:textId="77777777" w:rsidR="003F5418" w:rsidRDefault="002A6C25">
            <w:pPr>
              <w:pStyle w:val="P68B1DB1-Normal4"/>
              <w:jc w:val="center"/>
              <w:rPr>
                <w:noProof/>
              </w:rPr>
            </w:pPr>
            <w:r>
              <w:rPr>
                <w:noProof/>
              </w:rPr>
              <w:t>2022</w:t>
            </w:r>
          </w:p>
        </w:tc>
        <w:tc>
          <w:tcPr>
            <w:tcW w:w="4231" w:type="dxa"/>
            <w:tcBorders>
              <w:top w:val="nil"/>
              <w:left w:val="nil"/>
              <w:bottom w:val="single" w:sz="4" w:space="0" w:color="auto"/>
              <w:right w:val="single" w:sz="4" w:space="0" w:color="auto"/>
            </w:tcBorders>
            <w:shd w:val="clear" w:color="auto" w:fill="C6EFCE"/>
            <w:noWrap/>
            <w:vAlign w:val="center"/>
          </w:tcPr>
          <w:p w14:paraId="352BF9CC" w14:textId="77777777" w:rsidR="003F5418" w:rsidRDefault="002A6C25">
            <w:pPr>
              <w:pStyle w:val="P68B1DB1-Normal4"/>
              <w:rPr>
                <w:noProof/>
              </w:rPr>
            </w:pPr>
            <w:r>
              <w:rPr>
                <w:noProof/>
              </w:rPr>
              <w:t>Az engedélyezési eljárás egyszerűsítése annak érdekében, hogy az engedélyezési idő legfeljebb 12 hónapra csökkenjen azon energiaszállítási infrastruktúrák építése esetében, amelyek célja, hog</w:t>
            </w:r>
            <w:r>
              <w:rPr>
                <w:noProof/>
              </w:rPr>
              <w:t>y a kikötési szakaszban szárazföldi villamos energiával lássák el a hajókat (környezeti vizsgálat tárgyát nem képező beavatkozások esetén)</w:t>
            </w:r>
          </w:p>
        </w:tc>
      </w:tr>
      <w:tr w:rsidR="003F5418" w14:paraId="195B1B2B"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680C8945" w14:textId="77777777" w:rsidR="003F5418" w:rsidRDefault="002A6C25">
            <w:pPr>
              <w:pStyle w:val="P68B1DB1-Normal4"/>
              <w:jc w:val="center"/>
              <w:rPr>
                <w:noProof/>
              </w:rPr>
            </w:pPr>
            <w:r>
              <w:rPr>
                <w:noProof/>
              </w:rPr>
              <w:t>M3C2–5</w:t>
            </w:r>
          </w:p>
        </w:tc>
        <w:tc>
          <w:tcPr>
            <w:tcW w:w="1560" w:type="dxa"/>
            <w:tcBorders>
              <w:top w:val="nil"/>
              <w:left w:val="nil"/>
              <w:bottom w:val="single" w:sz="4" w:space="0" w:color="auto"/>
              <w:right w:val="single" w:sz="4" w:space="0" w:color="auto"/>
            </w:tcBorders>
            <w:shd w:val="clear" w:color="auto" w:fill="C6EFCE"/>
            <w:noWrap/>
            <w:vAlign w:val="center"/>
          </w:tcPr>
          <w:p w14:paraId="43FAF801" w14:textId="77777777" w:rsidR="003F5418" w:rsidRDefault="002A6C25">
            <w:pPr>
              <w:pStyle w:val="P68B1DB1-Normal4"/>
              <w:jc w:val="center"/>
              <w:rPr>
                <w:noProof/>
              </w:rPr>
            </w:pPr>
            <w:r>
              <w:rPr>
                <w:noProof/>
              </w:rPr>
              <w:t>Beruházás – A logisztikai lánc digitalizálása</w:t>
            </w:r>
          </w:p>
        </w:tc>
        <w:tc>
          <w:tcPr>
            <w:tcW w:w="1066" w:type="dxa"/>
            <w:tcBorders>
              <w:top w:val="nil"/>
              <w:left w:val="nil"/>
              <w:bottom w:val="single" w:sz="4" w:space="0" w:color="auto"/>
              <w:right w:val="single" w:sz="4" w:space="0" w:color="auto"/>
            </w:tcBorders>
            <w:shd w:val="clear" w:color="auto" w:fill="C6EFCE"/>
            <w:noWrap/>
            <w:vAlign w:val="center"/>
          </w:tcPr>
          <w:p w14:paraId="0E091356" w14:textId="77777777" w:rsidR="003F5418" w:rsidRDefault="002A6C25">
            <w:pPr>
              <w:pStyle w:val="P68B1DB1-Normal4"/>
              <w:jc w:val="center"/>
              <w:rPr>
                <w:noProof/>
              </w:rPr>
            </w:pPr>
            <w:r>
              <w:rPr>
                <w:noProof/>
              </w:rPr>
              <w:t>Cél</w:t>
            </w:r>
          </w:p>
        </w:tc>
        <w:tc>
          <w:tcPr>
            <w:tcW w:w="1627" w:type="dxa"/>
            <w:tcBorders>
              <w:top w:val="nil"/>
              <w:left w:val="nil"/>
              <w:bottom w:val="single" w:sz="4" w:space="0" w:color="auto"/>
              <w:right w:val="single" w:sz="4" w:space="0" w:color="auto"/>
            </w:tcBorders>
            <w:shd w:val="clear" w:color="auto" w:fill="C6EFCE"/>
            <w:noWrap/>
            <w:vAlign w:val="center"/>
          </w:tcPr>
          <w:p w14:paraId="0D377CF9" w14:textId="77777777" w:rsidR="003F5418" w:rsidRDefault="002A6C25">
            <w:pPr>
              <w:pStyle w:val="P68B1DB1-Normal4"/>
              <w:spacing w:line="257" w:lineRule="auto"/>
              <w:jc w:val="center"/>
              <w:rPr>
                <w:noProof/>
              </w:rPr>
            </w:pPr>
            <w:r>
              <w:rPr>
                <w:noProof/>
              </w:rPr>
              <w:t>A logisztikai lánc digitalizálása</w:t>
            </w:r>
          </w:p>
        </w:tc>
        <w:tc>
          <w:tcPr>
            <w:tcW w:w="1777" w:type="dxa"/>
            <w:tcBorders>
              <w:top w:val="nil"/>
              <w:left w:val="nil"/>
              <w:bottom w:val="single" w:sz="4" w:space="0" w:color="auto"/>
              <w:right w:val="single" w:sz="4" w:space="0" w:color="auto"/>
            </w:tcBorders>
            <w:shd w:val="clear" w:color="auto" w:fill="C6EFCE"/>
            <w:noWrap/>
            <w:vAlign w:val="center"/>
          </w:tcPr>
          <w:p w14:paraId="24C20ED0" w14:textId="77777777" w:rsidR="003F5418" w:rsidRDefault="002A6C25">
            <w:pPr>
              <w:pStyle w:val="P68B1DB1-Normal4"/>
              <w:jc w:val="center"/>
              <w:rPr>
                <w:noProof/>
              </w:rPr>
            </w:pPr>
            <w:r>
              <w:rPr>
                <w:noProof/>
              </w:rPr>
              <w:t>NINCS</w:t>
            </w:r>
          </w:p>
        </w:tc>
        <w:tc>
          <w:tcPr>
            <w:tcW w:w="926" w:type="dxa"/>
            <w:tcBorders>
              <w:top w:val="nil"/>
              <w:left w:val="nil"/>
              <w:bottom w:val="single" w:sz="4" w:space="0" w:color="auto"/>
              <w:right w:val="single" w:sz="4" w:space="0" w:color="auto"/>
            </w:tcBorders>
            <w:shd w:val="clear" w:color="auto" w:fill="C6EFCE"/>
            <w:noWrap/>
            <w:vAlign w:val="center"/>
          </w:tcPr>
          <w:p w14:paraId="43BEF770" w14:textId="77777777" w:rsidR="003F5418" w:rsidRDefault="002A6C25">
            <w:pPr>
              <w:pStyle w:val="P68B1DB1-Normal4"/>
              <w:jc w:val="center"/>
              <w:rPr>
                <w:noProof/>
              </w:rPr>
            </w:pPr>
            <w:r>
              <w:rPr>
                <w:noProof/>
              </w:rPr>
              <w:t>Százalék</w:t>
            </w:r>
          </w:p>
        </w:tc>
        <w:tc>
          <w:tcPr>
            <w:tcW w:w="1096" w:type="dxa"/>
            <w:tcBorders>
              <w:top w:val="nil"/>
              <w:left w:val="nil"/>
              <w:bottom w:val="single" w:sz="4" w:space="0" w:color="auto"/>
              <w:right w:val="single" w:sz="4" w:space="0" w:color="auto"/>
            </w:tcBorders>
            <w:shd w:val="clear" w:color="auto" w:fill="C6EFCE"/>
            <w:noWrap/>
            <w:vAlign w:val="center"/>
          </w:tcPr>
          <w:p w14:paraId="10274E2B" w14:textId="77777777" w:rsidR="003F5418" w:rsidRDefault="002A6C25">
            <w:pPr>
              <w:pStyle w:val="P68B1DB1-Normal4"/>
              <w:jc w:val="center"/>
              <w:rPr>
                <w:noProof/>
              </w:rPr>
            </w:pPr>
            <w:r>
              <w:rPr>
                <w:noProof/>
              </w:rPr>
              <w:t>0</w:t>
            </w:r>
          </w:p>
        </w:tc>
        <w:tc>
          <w:tcPr>
            <w:tcW w:w="878" w:type="dxa"/>
            <w:tcBorders>
              <w:top w:val="nil"/>
              <w:left w:val="nil"/>
              <w:bottom w:val="single" w:sz="4" w:space="0" w:color="auto"/>
              <w:right w:val="single" w:sz="4" w:space="0" w:color="auto"/>
            </w:tcBorders>
            <w:shd w:val="clear" w:color="auto" w:fill="C6EFCE"/>
            <w:noWrap/>
            <w:vAlign w:val="center"/>
          </w:tcPr>
          <w:p w14:paraId="4EEE903A" w14:textId="77777777" w:rsidR="003F5418" w:rsidRDefault="002A6C25">
            <w:pPr>
              <w:pStyle w:val="P68B1DB1-Normal4"/>
              <w:jc w:val="center"/>
              <w:rPr>
                <w:noProof/>
              </w:rPr>
            </w:pPr>
            <w:r>
              <w:rPr>
                <w:noProof/>
              </w:rPr>
              <w:t>70</w:t>
            </w:r>
          </w:p>
        </w:tc>
        <w:tc>
          <w:tcPr>
            <w:tcW w:w="916" w:type="dxa"/>
            <w:tcBorders>
              <w:top w:val="nil"/>
              <w:left w:val="nil"/>
              <w:bottom w:val="single" w:sz="4" w:space="0" w:color="auto"/>
              <w:right w:val="single" w:sz="4" w:space="0" w:color="auto"/>
            </w:tcBorders>
            <w:shd w:val="clear" w:color="auto" w:fill="C6EFCE"/>
            <w:noWrap/>
            <w:vAlign w:val="center"/>
          </w:tcPr>
          <w:p w14:paraId="311FDB49" w14:textId="77777777" w:rsidR="003F5418" w:rsidRDefault="002A6C25">
            <w:pPr>
              <w:pStyle w:val="P68B1DB1-Normal4"/>
              <w:jc w:val="center"/>
              <w:rPr>
                <w:noProof/>
              </w:rPr>
            </w:pPr>
            <w:r>
              <w:rPr>
                <w:noProof/>
              </w:rPr>
              <w:t>Q2</w:t>
            </w:r>
          </w:p>
        </w:tc>
        <w:tc>
          <w:tcPr>
            <w:tcW w:w="666" w:type="dxa"/>
            <w:tcBorders>
              <w:top w:val="nil"/>
              <w:left w:val="nil"/>
              <w:bottom w:val="single" w:sz="4" w:space="0" w:color="auto"/>
              <w:right w:val="single" w:sz="4" w:space="0" w:color="auto"/>
            </w:tcBorders>
            <w:shd w:val="clear" w:color="auto" w:fill="C6EFCE"/>
            <w:noWrap/>
            <w:vAlign w:val="center"/>
          </w:tcPr>
          <w:p w14:paraId="2E2C4DAC" w14:textId="77777777" w:rsidR="003F5418" w:rsidRDefault="002A6C25">
            <w:pPr>
              <w:pStyle w:val="P68B1DB1-Normal4"/>
              <w:jc w:val="center"/>
              <w:rPr>
                <w:noProof/>
              </w:rPr>
            </w:pPr>
            <w:r>
              <w:rPr>
                <w:noProof/>
              </w:rPr>
              <w:t>2024</w:t>
            </w:r>
          </w:p>
        </w:tc>
        <w:tc>
          <w:tcPr>
            <w:tcW w:w="4231" w:type="dxa"/>
            <w:tcBorders>
              <w:top w:val="nil"/>
              <w:left w:val="nil"/>
              <w:bottom w:val="single" w:sz="4" w:space="0" w:color="auto"/>
              <w:right w:val="single" w:sz="4" w:space="0" w:color="auto"/>
            </w:tcBorders>
            <w:shd w:val="clear" w:color="auto" w:fill="C6EFCE"/>
            <w:noWrap/>
            <w:vAlign w:val="center"/>
          </w:tcPr>
          <w:p w14:paraId="74AC8444" w14:textId="77777777" w:rsidR="003F5418" w:rsidRDefault="002A6C25">
            <w:pPr>
              <w:pStyle w:val="P68B1DB1-Normal4"/>
              <w:rPr>
                <w:noProof/>
              </w:rPr>
            </w:pPr>
            <w:r>
              <w:rPr>
                <w:noProof/>
              </w:rPr>
              <w:t>A kikötői rendszerhatóságok legalább 70%-át az érintett közigazgatási szervekkel interoperábilis, az 1056/2020.EU rendelettel és az új PLN-nel (nemzeti digitális logisztikai platform) kompatibilis PCS-szolgáltatásokkal (kikötői közösségi rendszer) kel</w:t>
            </w:r>
            <w:r>
              <w:rPr>
                <w:noProof/>
              </w:rPr>
              <w:t xml:space="preserve">l felszerelni. </w:t>
            </w:r>
          </w:p>
        </w:tc>
      </w:tr>
      <w:tr w:rsidR="003F5418" w14:paraId="4AA48236" w14:textId="77777777">
        <w:trPr>
          <w:trHeight w:val="309"/>
          <w:jc w:val="center"/>
        </w:trPr>
        <w:tc>
          <w:tcPr>
            <w:tcW w:w="1130" w:type="dxa"/>
            <w:tcBorders>
              <w:top w:val="nil"/>
              <w:left w:val="single" w:sz="4" w:space="0" w:color="auto"/>
              <w:bottom w:val="single" w:sz="4" w:space="0" w:color="auto"/>
              <w:right w:val="single" w:sz="4" w:space="0" w:color="auto"/>
            </w:tcBorders>
            <w:shd w:val="clear" w:color="auto" w:fill="C6EFCE"/>
            <w:noWrap/>
            <w:vAlign w:val="center"/>
          </w:tcPr>
          <w:p w14:paraId="572DFAD7" w14:textId="77777777" w:rsidR="003F5418" w:rsidRDefault="002A6C25">
            <w:pPr>
              <w:pStyle w:val="P68B1DB1-Normal4"/>
              <w:jc w:val="center"/>
              <w:rPr>
                <w:noProof/>
              </w:rPr>
            </w:pPr>
            <w:r>
              <w:rPr>
                <w:noProof/>
              </w:rPr>
              <w:t>M3C2–6</w:t>
            </w:r>
          </w:p>
        </w:tc>
        <w:tc>
          <w:tcPr>
            <w:tcW w:w="1560" w:type="dxa"/>
            <w:tcBorders>
              <w:top w:val="nil"/>
              <w:left w:val="nil"/>
              <w:bottom w:val="single" w:sz="4" w:space="0" w:color="auto"/>
              <w:right w:val="single" w:sz="4" w:space="0" w:color="auto"/>
            </w:tcBorders>
            <w:shd w:val="clear" w:color="auto" w:fill="C6EFCE"/>
            <w:noWrap/>
            <w:vAlign w:val="center"/>
          </w:tcPr>
          <w:p w14:paraId="19FCE91E" w14:textId="77777777" w:rsidR="003F5418" w:rsidRDefault="002A6C25">
            <w:pPr>
              <w:pStyle w:val="P68B1DB1-Normal4"/>
              <w:jc w:val="center"/>
              <w:rPr>
                <w:noProof/>
              </w:rPr>
            </w:pPr>
            <w:r>
              <w:rPr>
                <w:noProof/>
              </w:rPr>
              <w:t>Beruházás: A légiforgalmi szolgáltatás digitalizálása</w:t>
            </w:r>
          </w:p>
        </w:tc>
        <w:tc>
          <w:tcPr>
            <w:tcW w:w="1066" w:type="dxa"/>
            <w:tcBorders>
              <w:top w:val="nil"/>
              <w:left w:val="nil"/>
              <w:bottom w:val="single" w:sz="4" w:space="0" w:color="auto"/>
              <w:right w:val="single" w:sz="4" w:space="0" w:color="auto"/>
            </w:tcBorders>
            <w:shd w:val="clear" w:color="auto" w:fill="C6EFCE"/>
            <w:noWrap/>
            <w:vAlign w:val="center"/>
          </w:tcPr>
          <w:p w14:paraId="1687E3AA" w14:textId="38ED376A" w:rsidR="003F5418" w:rsidRDefault="002A6C25">
            <w:pPr>
              <w:pStyle w:val="P68B1DB1-Normal4"/>
              <w:jc w:val="center"/>
              <w:rPr>
                <w:noProof/>
              </w:rPr>
            </w:pPr>
            <w:r>
              <w:rPr>
                <w:noProof/>
              </w:rPr>
              <w:t>Mérföldkő</w:t>
            </w:r>
          </w:p>
        </w:tc>
        <w:tc>
          <w:tcPr>
            <w:tcW w:w="1627" w:type="dxa"/>
            <w:tcBorders>
              <w:top w:val="nil"/>
              <w:left w:val="nil"/>
              <w:bottom w:val="single" w:sz="4" w:space="0" w:color="auto"/>
              <w:right w:val="single" w:sz="4" w:space="0" w:color="auto"/>
            </w:tcBorders>
            <w:shd w:val="clear" w:color="auto" w:fill="C6EFCE"/>
            <w:noWrap/>
            <w:vAlign w:val="center"/>
          </w:tcPr>
          <w:p w14:paraId="7635BA56" w14:textId="77777777" w:rsidR="003F5418" w:rsidRDefault="002A6C25">
            <w:pPr>
              <w:pStyle w:val="P68B1DB1-Normal4"/>
              <w:jc w:val="center"/>
              <w:rPr>
                <w:noProof/>
              </w:rPr>
            </w:pPr>
            <w:r>
              <w:rPr>
                <w:noProof/>
              </w:rPr>
              <w:t>A légiforgalmi szolgáltatás digitalizálása: új eszközök üzembe helyezése</w:t>
            </w:r>
          </w:p>
        </w:tc>
        <w:tc>
          <w:tcPr>
            <w:tcW w:w="1777" w:type="dxa"/>
            <w:tcBorders>
              <w:top w:val="nil"/>
              <w:left w:val="nil"/>
              <w:bottom w:val="single" w:sz="4" w:space="0" w:color="auto"/>
              <w:right w:val="single" w:sz="4" w:space="0" w:color="auto"/>
            </w:tcBorders>
            <w:shd w:val="clear" w:color="auto" w:fill="C6EFCE"/>
            <w:noWrap/>
            <w:vAlign w:val="center"/>
          </w:tcPr>
          <w:p w14:paraId="063A5D52" w14:textId="77777777" w:rsidR="003F5418" w:rsidRDefault="002A6C25">
            <w:pPr>
              <w:pStyle w:val="P68B1DB1-Normal4"/>
              <w:jc w:val="center"/>
              <w:rPr>
                <w:noProof/>
              </w:rPr>
            </w:pPr>
            <w:r>
              <w:rPr>
                <w:noProof/>
              </w:rPr>
              <w:t>A TOC, a digitalizált légiforgalmi tájékoztatás és az UTMS tanúsítása</w:t>
            </w:r>
          </w:p>
        </w:tc>
        <w:tc>
          <w:tcPr>
            <w:tcW w:w="926" w:type="dxa"/>
            <w:tcBorders>
              <w:top w:val="nil"/>
              <w:left w:val="nil"/>
              <w:bottom w:val="single" w:sz="4" w:space="0" w:color="auto"/>
              <w:right w:val="single" w:sz="4" w:space="0" w:color="auto"/>
            </w:tcBorders>
            <w:shd w:val="clear" w:color="auto" w:fill="C6EFCE"/>
            <w:noWrap/>
            <w:vAlign w:val="center"/>
          </w:tcPr>
          <w:p w14:paraId="081AD1CF" w14:textId="77777777" w:rsidR="003F5418" w:rsidRDefault="002A6C25">
            <w:pPr>
              <w:pStyle w:val="P68B1DB1-Normal4"/>
              <w:jc w:val="center"/>
              <w:rPr>
                <w:noProof/>
              </w:rPr>
            </w:pPr>
            <w:r>
              <w:rPr>
                <w:noProof/>
              </w:rPr>
              <w:t>NINCS</w:t>
            </w:r>
          </w:p>
        </w:tc>
        <w:tc>
          <w:tcPr>
            <w:tcW w:w="1096" w:type="dxa"/>
            <w:tcBorders>
              <w:top w:val="nil"/>
              <w:left w:val="nil"/>
              <w:bottom w:val="single" w:sz="4" w:space="0" w:color="auto"/>
              <w:right w:val="single" w:sz="4" w:space="0" w:color="auto"/>
            </w:tcBorders>
            <w:shd w:val="clear" w:color="auto" w:fill="C6EFCE"/>
            <w:noWrap/>
            <w:vAlign w:val="center"/>
          </w:tcPr>
          <w:p w14:paraId="07EF9C76" w14:textId="77777777" w:rsidR="003F5418" w:rsidRDefault="002A6C25">
            <w:pPr>
              <w:pStyle w:val="P68B1DB1-Normal4"/>
              <w:jc w:val="center"/>
              <w:rPr>
                <w:noProof/>
              </w:rPr>
            </w:pPr>
            <w:r>
              <w:rPr>
                <w:noProof/>
              </w:rPr>
              <w:t xml:space="preserve">NINCS </w:t>
            </w:r>
          </w:p>
        </w:tc>
        <w:tc>
          <w:tcPr>
            <w:tcW w:w="878" w:type="dxa"/>
            <w:tcBorders>
              <w:top w:val="nil"/>
              <w:left w:val="nil"/>
              <w:bottom w:val="single" w:sz="4" w:space="0" w:color="auto"/>
              <w:right w:val="single" w:sz="4" w:space="0" w:color="auto"/>
            </w:tcBorders>
            <w:shd w:val="clear" w:color="auto" w:fill="C6EFCE"/>
            <w:noWrap/>
            <w:vAlign w:val="center"/>
          </w:tcPr>
          <w:p w14:paraId="0E521F6E" w14:textId="77777777" w:rsidR="003F5418" w:rsidRDefault="003F5418">
            <w:pPr>
              <w:jc w:val="center"/>
              <w:rPr>
                <w:rFonts w:ascii="Arial Narrow" w:hAnsi="Arial Narrow"/>
                <w:noProof/>
                <w:color w:val="006100"/>
                <w:sz w:val="20"/>
              </w:rPr>
            </w:pPr>
          </w:p>
          <w:p w14:paraId="7F8C7A27" w14:textId="7F73B492" w:rsidR="003F5418" w:rsidRDefault="002A6C25">
            <w:pPr>
              <w:pStyle w:val="P68B1DB1-Normal4"/>
              <w:jc w:val="center"/>
              <w:rPr>
                <w:noProof/>
              </w:rPr>
            </w:pPr>
            <w:r>
              <w:rPr>
                <w:noProof/>
              </w:rPr>
              <w:t>NINCS</w:t>
            </w:r>
          </w:p>
          <w:p w14:paraId="4B37170A" w14:textId="77777777" w:rsidR="003F5418" w:rsidRDefault="003F5418">
            <w:pPr>
              <w:jc w:val="center"/>
              <w:rPr>
                <w:rFonts w:ascii="Arial Narrow" w:hAnsi="Arial Narrow"/>
                <w:noProof/>
                <w:color w:val="006100"/>
                <w:sz w:val="20"/>
              </w:rPr>
            </w:pPr>
          </w:p>
        </w:tc>
        <w:tc>
          <w:tcPr>
            <w:tcW w:w="916" w:type="dxa"/>
            <w:tcBorders>
              <w:top w:val="nil"/>
              <w:left w:val="nil"/>
              <w:bottom w:val="single" w:sz="4" w:space="0" w:color="auto"/>
              <w:right w:val="single" w:sz="4" w:space="0" w:color="auto"/>
            </w:tcBorders>
            <w:shd w:val="clear" w:color="auto" w:fill="C6EFCE"/>
            <w:noWrap/>
            <w:vAlign w:val="center"/>
          </w:tcPr>
          <w:p w14:paraId="1B7BB1A1" w14:textId="77777777" w:rsidR="003F5418" w:rsidRDefault="002A6C25">
            <w:pPr>
              <w:pStyle w:val="P68B1DB1-Normal4"/>
              <w:jc w:val="center"/>
              <w:rPr>
                <w:noProof/>
              </w:rPr>
            </w:pPr>
            <w:r>
              <w:rPr>
                <w:noProof/>
              </w:rPr>
              <w:t>Q1</w:t>
            </w:r>
          </w:p>
        </w:tc>
        <w:tc>
          <w:tcPr>
            <w:tcW w:w="666" w:type="dxa"/>
            <w:tcBorders>
              <w:top w:val="nil"/>
              <w:left w:val="nil"/>
              <w:bottom w:val="single" w:sz="4" w:space="0" w:color="auto"/>
              <w:right w:val="single" w:sz="4" w:space="0" w:color="auto"/>
            </w:tcBorders>
            <w:shd w:val="clear" w:color="auto" w:fill="C6EFCE"/>
            <w:noWrap/>
            <w:vAlign w:val="center"/>
          </w:tcPr>
          <w:p w14:paraId="735A1C8A" w14:textId="77777777" w:rsidR="003F5418" w:rsidRDefault="002A6C25">
            <w:pPr>
              <w:pStyle w:val="P68B1DB1-Normal4"/>
              <w:jc w:val="center"/>
              <w:rPr>
                <w:noProof/>
              </w:rPr>
            </w:pPr>
            <w:r>
              <w:rPr>
                <w:noProof/>
              </w:rPr>
              <w:t>2026</w:t>
            </w:r>
          </w:p>
        </w:tc>
        <w:tc>
          <w:tcPr>
            <w:tcW w:w="4231" w:type="dxa"/>
            <w:tcBorders>
              <w:top w:val="nil"/>
              <w:left w:val="nil"/>
              <w:bottom w:val="single" w:sz="4" w:space="0" w:color="auto"/>
              <w:right w:val="single" w:sz="4" w:space="0" w:color="auto"/>
            </w:tcBorders>
            <w:shd w:val="clear" w:color="auto" w:fill="C6EFCE"/>
            <w:noWrap/>
            <w:vAlign w:val="center"/>
          </w:tcPr>
          <w:p w14:paraId="6305DD08" w14:textId="77777777" w:rsidR="003F5418" w:rsidRDefault="002A6C25">
            <w:pPr>
              <w:pStyle w:val="P68B1DB1-Normal4"/>
              <w:jc w:val="both"/>
              <w:rPr>
                <w:noProof/>
              </w:rPr>
            </w:pPr>
            <w:r>
              <w:rPr>
                <w:noProof/>
              </w:rPr>
              <w:t xml:space="preserve">A következő 3 projekt üzembe helyezése: </w:t>
            </w:r>
          </w:p>
          <w:p w14:paraId="72FD6255" w14:textId="77777777" w:rsidR="003F5418" w:rsidRDefault="002A6C25">
            <w:pPr>
              <w:pStyle w:val="P68B1DB1-Normal4"/>
              <w:jc w:val="both"/>
              <w:rPr>
                <w:noProof/>
              </w:rPr>
            </w:pPr>
            <w:r>
              <w:rPr>
                <w:noProof/>
              </w:rPr>
              <w:t xml:space="preserve">a) Műszaki Üzemeltetési Központ (TOC) és legalább két légiforgalmi szolgáltatási rendszer </w:t>
            </w:r>
          </w:p>
          <w:p w14:paraId="7DB23C54" w14:textId="77777777" w:rsidR="003F5418" w:rsidRDefault="002A6C25">
            <w:pPr>
              <w:pStyle w:val="P68B1DB1-Normal4"/>
              <w:jc w:val="both"/>
              <w:rPr>
                <w:noProof/>
              </w:rPr>
            </w:pPr>
            <w:r>
              <w:rPr>
                <w:noProof/>
              </w:rPr>
              <w:t xml:space="preserve">digitális légiforgalmi tájékoztatás </w:t>
            </w:r>
          </w:p>
          <w:p w14:paraId="39C1609F" w14:textId="77777777" w:rsidR="003F5418" w:rsidRDefault="002A6C25">
            <w:pPr>
              <w:pStyle w:val="P68B1DB1-Normal4"/>
              <w:rPr>
                <w:noProof/>
              </w:rPr>
            </w:pPr>
            <w:r>
              <w:rPr>
                <w:noProof/>
              </w:rPr>
              <w:t>pilóta nélküli forgalomirányítási rendszer és összeköttetés (UTMS).</w:t>
            </w:r>
          </w:p>
        </w:tc>
      </w:tr>
      <w:tr w:rsidR="003F5418" w14:paraId="7D542221"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43247"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M3C2–7 </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1BA98D69"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Beruházás: Hideg vasalás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52A2B0C9"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Mérföldkő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4664FF56"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Az összes közbeszerzési szerződés odaítélése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2BA46ACC"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Értesítés a legalább 15 hidegvasodó üzem építésére irányuló valamennyi közbeszerzési szerződés odaítéléséről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5DA1E4CE"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NINCS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26D3A4BB"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NINCS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20635102"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NINCS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1D27809C"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Q3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0F7DB412"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2024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6471D062" w14:textId="77777777" w:rsidR="003F5418" w:rsidRDefault="002A6C25">
            <w:pPr>
              <w:jc w:val="both"/>
              <w:rPr>
                <w:rFonts w:ascii="Arial Narrow" w:hAnsi="Arial Narrow"/>
                <w:noProof/>
                <w:color w:val="006100"/>
                <w:sz w:val="20"/>
              </w:rPr>
            </w:pPr>
            <w:r>
              <w:rPr>
                <w:rStyle w:val="normaltextrun"/>
                <w:rFonts w:ascii="Arial Narrow" w:hAnsi="Arial Narrow"/>
                <w:noProof/>
                <w:color w:val="006100"/>
                <w:sz w:val="20"/>
              </w:rPr>
              <w:t xml:space="preserve">Az ajánlati felhívás közzététele és a legalább 10 kikötőben villamos energiát szolgáltató, legalább 15 hidegvasút építésére vonatkozó valamennyi szerződés odaítélése. </w:t>
            </w:r>
          </w:p>
        </w:tc>
      </w:tr>
      <w:tr w:rsidR="003F5418" w14:paraId="296E9618" w14:textId="77777777">
        <w:trPr>
          <w:trHeight w:val="309"/>
          <w:jc w:val="center"/>
        </w:trPr>
        <w:tc>
          <w:tcPr>
            <w:tcW w:w="113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FAE46B9"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M3C2–12</w:t>
            </w:r>
          </w:p>
        </w:tc>
        <w:tc>
          <w:tcPr>
            <w:tcW w:w="1560" w:type="dxa"/>
            <w:tcBorders>
              <w:top w:val="single" w:sz="4" w:space="0" w:color="auto"/>
              <w:left w:val="nil"/>
              <w:bottom w:val="single" w:sz="4" w:space="0" w:color="auto"/>
              <w:right w:val="single" w:sz="4" w:space="0" w:color="auto"/>
            </w:tcBorders>
            <w:shd w:val="clear" w:color="auto" w:fill="C6EFCE"/>
            <w:noWrap/>
            <w:vAlign w:val="center"/>
          </w:tcPr>
          <w:p w14:paraId="7BDBEF0F" w14:textId="6E45E8DF"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Beruházás: Hideg vasalás </w:t>
            </w:r>
          </w:p>
        </w:tc>
        <w:tc>
          <w:tcPr>
            <w:tcW w:w="1066" w:type="dxa"/>
            <w:tcBorders>
              <w:top w:val="single" w:sz="4" w:space="0" w:color="auto"/>
              <w:left w:val="nil"/>
              <w:bottom w:val="single" w:sz="4" w:space="0" w:color="auto"/>
              <w:right w:val="single" w:sz="4" w:space="0" w:color="auto"/>
            </w:tcBorders>
            <w:shd w:val="clear" w:color="auto" w:fill="C6EFCE"/>
            <w:noWrap/>
            <w:vAlign w:val="center"/>
          </w:tcPr>
          <w:p w14:paraId="3F6F1A12"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Cél </w:t>
            </w:r>
          </w:p>
        </w:tc>
        <w:tc>
          <w:tcPr>
            <w:tcW w:w="1627" w:type="dxa"/>
            <w:tcBorders>
              <w:top w:val="single" w:sz="4" w:space="0" w:color="auto"/>
              <w:left w:val="nil"/>
              <w:bottom w:val="single" w:sz="4" w:space="0" w:color="auto"/>
              <w:right w:val="single" w:sz="4" w:space="0" w:color="auto"/>
            </w:tcBorders>
            <w:shd w:val="clear" w:color="auto" w:fill="C6EFCE"/>
            <w:noWrap/>
            <w:vAlign w:val="center"/>
          </w:tcPr>
          <w:p w14:paraId="2447F5B0"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A hideg vasaló-infrastruktúrák üzembe helyezése. </w:t>
            </w:r>
          </w:p>
        </w:tc>
        <w:tc>
          <w:tcPr>
            <w:tcW w:w="1777" w:type="dxa"/>
            <w:tcBorders>
              <w:top w:val="single" w:sz="4" w:space="0" w:color="auto"/>
              <w:left w:val="nil"/>
              <w:bottom w:val="single" w:sz="4" w:space="0" w:color="auto"/>
              <w:right w:val="single" w:sz="4" w:space="0" w:color="auto"/>
            </w:tcBorders>
            <w:shd w:val="clear" w:color="auto" w:fill="C6EFCE"/>
            <w:noWrap/>
            <w:vAlign w:val="center"/>
          </w:tcPr>
          <w:p w14:paraId="77A92FE9" w14:textId="77777777" w:rsidR="003F5418" w:rsidRDefault="002A6C25">
            <w:pPr>
              <w:jc w:val="center"/>
              <w:rPr>
                <w:rFonts w:ascii="Arial Narrow" w:hAnsi="Arial Narrow"/>
                <w:noProof/>
                <w:color w:val="006100"/>
                <w:sz w:val="20"/>
              </w:rPr>
            </w:pPr>
            <w:r>
              <w:rPr>
                <w:rStyle w:val="eop"/>
                <w:rFonts w:ascii="Arial Narrow" w:hAnsi="Arial Narrow"/>
                <w:noProof/>
                <w:color w:val="006100"/>
                <w:sz w:val="20"/>
              </w:rPr>
              <w:t xml:space="preserve"> </w:t>
            </w:r>
          </w:p>
        </w:tc>
        <w:tc>
          <w:tcPr>
            <w:tcW w:w="926" w:type="dxa"/>
            <w:tcBorders>
              <w:top w:val="single" w:sz="4" w:space="0" w:color="auto"/>
              <w:left w:val="nil"/>
              <w:bottom w:val="single" w:sz="4" w:space="0" w:color="auto"/>
              <w:right w:val="single" w:sz="4" w:space="0" w:color="auto"/>
            </w:tcBorders>
            <w:shd w:val="clear" w:color="auto" w:fill="C6EFCE"/>
            <w:noWrap/>
            <w:vAlign w:val="center"/>
          </w:tcPr>
          <w:p w14:paraId="309FE8B8"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Szám </w:t>
            </w:r>
          </w:p>
        </w:tc>
        <w:tc>
          <w:tcPr>
            <w:tcW w:w="1096" w:type="dxa"/>
            <w:tcBorders>
              <w:top w:val="single" w:sz="4" w:space="0" w:color="auto"/>
              <w:left w:val="nil"/>
              <w:bottom w:val="single" w:sz="4" w:space="0" w:color="auto"/>
              <w:right w:val="single" w:sz="4" w:space="0" w:color="auto"/>
            </w:tcBorders>
            <w:shd w:val="clear" w:color="auto" w:fill="C6EFCE"/>
            <w:noWrap/>
            <w:vAlign w:val="center"/>
          </w:tcPr>
          <w:p w14:paraId="01AFA40E"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0 </w:t>
            </w:r>
          </w:p>
        </w:tc>
        <w:tc>
          <w:tcPr>
            <w:tcW w:w="878" w:type="dxa"/>
            <w:tcBorders>
              <w:top w:val="single" w:sz="4" w:space="0" w:color="auto"/>
              <w:left w:val="nil"/>
              <w:bottom w:val="single" w:sz="4" w:space="0" w:color="auto"/>
              <w:right w:val="single" w:sz="4" w:space="0" w:color="auto"/>
            </w:tcBorders>
            <w:shd w:val="clear" w:color="auto" w:fill="C6EFCE"/>
            <w:noWrap/>
            <w:vAlign w:val="center"/>
          </w:tcPr>
          <w:p w14:paraId="4A354BF5"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15 </w:t>
            </w:r>
          </w:p>
        </w:tc>
        <w:tc>
          <w:tcPr>
            <w:tcW w:w="916" w:type="dxa"/>
            <w:tcBorders>
              <w:top w:val="single" w:sz="4" w:space="0" w:color="auto"/>
              <w:left w:val="nil"/>
              <w:bottom w:val="single" w:sz="4" w:space="0" w:color="auto"/>
              <w:right w:val="single" w:sz="4" w:space="0" w:color="auto"/>
            </w:tcBorders>
            <w:shd w:val="clear" w:color="auto" w:fill="C6EFCE"/>
            <w:noWrap/>
            <w:vAlign w:val="center"/>
          </w:tcPr>
          <w:p w14:paraId="79AFC98C"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Q1 </w:t>
            </w:r>
          </w:p>
        </w:tc>
        <w:tc>
          <w:tcPr>
            <w:tcW w:w="666" w:type="dxa"/>
            <w:tcBorders>
              <w:top w:val="single" w:sz="4" w:space="0" w:color="auto"/>
              <w:left w:val="nil"/>
              <w:bottom w:val="single" w:sz="4" w:space="0" w:color="auto"/>
              <w:right w:val="single" w:sz="4" w:space="0" w:color="auto"/>
            </w:tcBorders>
            <w:shd w:val="clear" w:color="auto" w:fill="C6EFCE"/>
            <w:noWrap/>
            <w:vAlign w:val="center"/>
          </w:tcPr>
          <w:p w14:paraId="67D40501" w14:textId="77777777" w:rsidR="003F5418" w:rsidRDefault="002A6C25">
            <w:pPr>
              <w:jc w:val="center"/>
              <w:rPr>
                <w:rFonts w:ascii="Arial Narrow" w:hAnsi="Arial Narrow"/>
                <w:noProof/>
                <w:color w:val="006100"/>
                <w:sz w:val="20"/>
              </w:rPr>
            </w:pPr>
            <w:r>
              <w:rPr>
                <w:rStyle w:val="normaltextrun"/>
                <w:rFonts w:ascii="Arial Narrow" w:hAnsi="Arial Narrow"/>
                <w:noProof/>
                <w:color w:val="006100"/>
                <w:sz w:val="20"/>
              </w:rPr>
              <w:t xml:space="preserve">2026 </w:t>
            </w:r>
          </w:p>
        </w:tc>
        <w:tc>
          <w:tcPr>
            <w:tcW w:w="4231" w:type="dxa"/>
            <w:tcBorders>
              <w:top w:val="single" w:sz="4" w:space="0" w:color="auto"/>
              <w:left w:val="nil"/>
              <w:bottom w:val="single" w:sz="4" w:space="0" w:color="auto"/>
              <w:right w:val="single" w:sz="4" w:space="0" w:color="auto"/>
            </w:tcBorders>
            <w:shd w:val="clear" w:color="auto" w:fill="C6EFCE"/>
            <w:noWrap/>
            <w:vAlign w:val="center"/>
          </w:tcPr>
          <w:p w14:paraId="4BD0EF06" w14:textId="77777777" w:rsidR="003F5418" w:rsidRDefault="002A6C25">
            <w:pPr>
              <w:jc w:val="both"/>
              <w:rPr>
                <w:rFonts w:ascii="Arial Narrow" w:hAnsi="Arial Narrow"/>
                <w:noProof/>
                <w:color w:val="006100"/>
                <w:sz w:val="20"/>
              </w:rPr>
            </w:pPr>
            <w:r>
              <w:rPr>
                <w:rStyle w:val="normaltextrun"/>
                <w:rFonts w:ascii="Arial Narrow" w:hAnsi="Arial Narrow"/>
                <w:noProof/>
                <w:color w:val="006100"/>
                <w:sz w:val="20"/>
              </w:rPr>
              <w:t xml:space="preserve">Legalább 15, villamos energiát biztosító hidegvasúti infrastruktúra üzembe helyezése legalább 10 kikötőben. </w:t>
            </w:r>
          </w:p>
        </w:tc>
      </w:tr>
    </w:tbl>
    <w:p w14:paraId="1280D330" w14:textId="77777777" w:rsidR="003F5418" w:rsidRDefault="003F5418">
      <w:pPr>
        <w:spacing w:before="120" w:after="120"/>
        <w:jc w:val="both"/>
        <w:rPr>
          <w:noProof/>
        </w:rPr>
      </w:pPr>
    </w:p>
    <w:p w14:paraId="7332A250" w14:textId="77777777" w:rsidR="003F5418" w:rsidRDefault="003F5418">
      <w:pPr>
        <w:spacing w:before="120" w:after="120"/>
        <w:ind w:left="709"/>
        <w:jc w:val="both"/>
        <w:rPr>
          <w:noProof/>
        </w:rPr>
      </w:pPr>
    </w:p>
    <w:p w14:paraId="7889DB02" w14:textId="77777777" w:rsidR="003F5418" w:rsidRDefault="003F5418">
      <w:pPr>
        <w:spacing w:before="120" w:after="120"/>
        <w:ind w:left="709"/>
        <w:jc w:val="both"/>
        <w:rPr>
          <w:noProof/>
        </w:rPr>
        <w:sectPr w:rsidR="003F5418">
          <w:headerReference w:type="even" r:id="rId236"/>
          <w:headerReference w:type="default" r:id="rId237"/>
          <w:footerReference w:type="even" r:id="rId238"/>
          <w:footerReference w:type="default" r:id="rId239"/>
          <w:headerReference w:type="first" r:id="rId240"/>
          <w:footerReference w:type="first" r:id="rId241"/>
          <w:pgSz w:w="16839" w:h="11907" w:orient="landscape"/>
          <w:pgMar w:top="1134" w:right="1134" w:bottom="1134" w:left="1134" w:header="567" w:footer="567" w:gutter="0"/>
          <w:cols w:space="720"/>
          <w:docGrid w:linePitch="360"/>
        </w:sectPr>
      </w:pPr>
    </w:p>
    <w:p w14:paraId="5BA3D6FB"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I.3. </w:t>
      </w:r>
      <w:r>
        <w:rPr>
          <w:noProof/>
        </w:rPr>
        <w:t xml:space="preserve"> </w:t>
      </w:r>
      <w:r>
        <w:rPr>
          <w:b/>
          <w:i w:val="0"/>
          <w:noProof/>
          <w:u w:val="single"/>
        </w:rPr>
        <w:t xml:space="preserve">A hitelhez kapcsolódó reformok és beruházások ismertetése </w:t>
      </w:r>
    </w:p>
    <w:p w14:paraId="377B53BE" w14:textId="56C5C6A5" w:rsidR="003F5418" w:rsidRDefault="008A70CD">
      <w:pPr>
        <w:pStyle w:val="P68B1DB1-Normal2"/>
        <w:spacing w:before="120" w:after="120"/>
        <w:jc w:val="both"/>
        <w:rPr>
          <w:rFonts w:eastAsia="Calibri"/>
          <w:noProof/>
        </w:rPr>
      </w:pPr>
      <w:r>
        <w:rPr>
          <w:noProof/>
        </w:rPr>
        <w:t>1</w:t>
      </w:r>
      <w:r w:rsidRPr="00B07E42">
        <w:rPr>
          <w:noProof/>
        </w:rPr>
        <w:t>.1.</w:t>
      </w:r>
      <w:r>
        <w:rPr>
          <w:noProof/>
        </w:rPr>
        <w:t xml:space="preserve"> Beruházás: Zöld kikötők: megújuló energiával és energiahatékonysággal kapcsolatos beavatkozások a kikötőkben</w:t>
      </w:r>
    </w:p>
    <w:p w14:paraId="114883D5" w14:textId="77777777" w:rsidR="003F5418" w:rsidRDefault="002A6C25">
      <w:pPr>
        <w:spacing w:before="120" w:after="120"/>
        <w:jc w:val="both"/>
        <w:rPr>
          <w:rFonts w:eastAsia="Calibri"/>
          <w:noProof/>
        </w:rPr>
      </w:pPr>
      <w:r>
        <w:rPr>
          <w:noProof/>
        </w:rPr>
        <w:t>Ezen intézkedés fő célja a szén-dioxid-kibocsátás csökkentése és a kikötővárosok le</w:t>
      </w:r>
      <w:r>
        <w:rPr>
          <w:noProof/>
        </w:rPr>
        <w:t>vegőminőségének javítása az energiahatékonyságot és a megújuló energia kikötői használatának előmozdítását célzó beavatkozások révén. A cél az érintett kikötői terület teljes éves szén-dioxid-kibocsátásának csökkentéséhez való hozzájárulás. A projekteket a</w:t>
      </w:r>
      <w:r>
        <w:rPr>
          <w:noProof/>
        </w:rPr>
        <w:t>zok közül kell kiválasztani, amelyeket az egyes kikötőirendszer-hatóságok a kikötői rendszerek környezetienergia-tervezési dokumentumaiban (DEASP) megjelöltek. A „Zöld kikötők” program várhatóan jelentősen csökkenti az egyéb égésszennyező anyagok számát is</w:t>
      </w:r>
      <w:r>
        <w:rPr>
          <w:noProof/>
        </w:rPr>
        <w:t xml:space="preserve">, amelyek a kikötővárosokban a levegőminőség romlásának fő okai. Ez a beruházás magában foglalja a kibocsátásmentes járművek és kiszolgáló hajók vásárlását, illetve a fosszilis tüzelőanyaggal működő járművek és kiszolgáló hajók kibocsátásmentes járművekké </w:t>
      </w:r>
      <w:r>
        <w:rPr>
          <w:noProof/>
        </w:rPr>
        <w:t>történő átalakítását.</w:t>
      </w:r>
    </w:p>
    <w:p w14:paraId="25F633C2" w14:textId="0E38CC34" w:rsidR="003F5418" w:rsidRDefault="008A70CD">
      <w:pPr>
        <w:pStyle w:val="P68B1DB1-Normal2"/>
        <w:spacing w:before="120" w:after="120"/>
        <w:jc w:val="both"/>
        <w:rPr>
          <w:noProof/>
        </w:rPr>
      </w:pPr>
      <w:r>
        <w:rPr>
          <w:noProof/>
        </w:rPr>
        <w:t>2</w:t>
      </w:r>
      <w:r w:rsidRPr="00B07E42">
        <w:rPr>
          <w:noProof/>
        </w:rPr>
        <w:t>.</w:t>
      </w:r>
      <w:r>
        <w:rPr>
          <w:noProof/>
        </w:rPr>
        <w:t>2</w:t>
      </w:r>
      <w:r w:rsidRPr="00B07E42">
        <w:rPr>
          <w:noProof/>
        </w:rPr>
        <w:t>.</w:t>
      </w:r>
      <w:r>
        <w:rPr>
          <w:noProof/>
        </w:rPr>
        <w:t xml:space="preserve"> Reform: Nemzeti digitális logisztikai platform létrehozása az árufuvarozási és/vagy személyszállítási szolgáltatások digitalizálásának bevezetése érdekében</w:t>
      </w:r>
    </w:p>
    <w:p w14:paraId="712C67D9" w14:textId="77777777" w:rsidR="003F5418" w:rsidRDefault="002A6C25">
      <w:pPr>
        <w:spacing w:before="120" w:after="120"/>
        <w:jc w:val="both"/>
        <w:rPr>
          <w:noProof/>
        </w:rPr>
      </w:pPr>
      <w:r>
        <w:rPr>
          <w:noProof/>
        </w:rPr>
        <w:t>A reform célja, hogy az egyes kikötői rendszerek hatóságainak kikötői köz</w:t>
      </w:r>
      <w:r>
        <w:rPr>
          <w:noProof/>
        </w:rPr>
        <w:t xml:space="preserve">össégi rendszerei interoperábilissá váljanak a nemzeti digitális logisztikai platformmal. </w:t>
      </w:r>
    </w:p>
    <w:p w14:paraId="4F98EFE2" w14:textId="77777777" w:rsidR="003F5418" w:rsidRDefault="002A6C25">
      <w:pPr>
        <w:pStyle w:val="Heading3"/>
        <w:numPr>
          <w:ilvl w:val="0"/>
          <w:numId w:val="0"/>
        </w:numPr>
        <w:ind w:left="850" w:hanging="850"/>
        <w:rPr>
          <w:b/>
          <w:i w:val="0"/>
          <w:noProof/>
          <w:u w:val="single"/>
        </w:rPr>
      </w:pPr>
      <w:r>
        <w:rPr>
          <w:b/>
          <w:i w:val="0"/>
          <w:noProof/>
          <w:u w:val="single"/>
        </w:rPr>
        <w:t xml:space="preserve">I.4. </w:t>
      </w:r>
      <w:r>
        <w:rPr>
          <w:noProof/>
        </w:rPr>
        <w:t xml:space="preserve"> </w:t>
      </w:r>
      <w:r>
        <w:rPr>
          <w:b/>
          <w:i w:val="0"/>
          <w:noProof/>
          <w:u w:val="single"/>
        </w:rPr>
        <w:t xml:space="preserve">Hitel – a végrehajtáshoz és a nyomon követéshez kapcsolódó mérföldkövek, célok, mutatók és ütemterv </w:t>
      </w:r>
    </w:p>
    <w:p w14:paraId="39379B47" w14:textId="77777777" w:rsidR="003F5418" w:rsidRDefault="003F5418">
      <w:pPr>
        <w:spacing w:before="120" w:after="120"/>
        <w:ind w:left="709"/>
        <w:contextualSpacing/>
        <w:jc w:val="both"/>
        <w:rPr>
          <w:noProof/>
        </w:rPr>
        <w:sectPr w:rsidR="003F5418">
          <w:headerReference w:type="even" r:id="rId242"/>
          <w:headerReference w:type="default" r:id="rId243"/>
          <w:footerReference w:type="even" r:id="rId244"/>
          <w:footerReference w:type="default" r:id="rId245"/>
          <w:headerReference w:type="first" r:id="rId246"/>
          <w:footerReference w:type="first" r:id="rId247"/>
          <w:pgSz w:w="11907" w:h="16839"/>
          <w:pgMar w:top="1134" w:right="1134" w:bottom="1134" w:left="1134" w:header="567" w:footer="567" w:gutter="0"/>
          <w:cols w:space="720"/>
          <w:docGrid w:linePitch="360"/>
        </w:sectPr>
      </w:pPr>
    </w:p>
    <w:tbl>
      <w:tblPr>
        <w:tblW w:w="53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1572"/>
        <w:gridCol w:w="1275"/>
        <w:gridCol w:w="1418"/>
        <w:gridCol w:w="1559"/>
        <w:gridCol w:w="1276"/>
        <w:gridCol w:w="1276"/>
        <w:gridCol w:w="710"/>
        <w:gridCol w:w="708"/>
        <w:gridCol w:w="710"/>
        <w:gridCol w:w="3401"/>
      </w:tblGrid>
      <w:tr w:rsidR="003F5418" w14:paraId="7EA71B3A" w14:textId="77777777">
        <w:trPr>
          <w:trHeight w:val="939"/>
          <w:tblHeader/>
          <w:jc w:val="center"/>
        </w:trPr>
        <w:tc>
          <w:tcPr>
            <w:tcW w:w="1115" w:type="dxa"/>
            <w:vMerge w:val="restart"/>
            <w:shd w:val="clear" w:color="auto" w:fill="BDD7EE"/>
            <w:vAlign w:val="center"/>
            <w:hideMark/>
          </w:tcPr>
          <w:p w14:paraId="254CB508" w14:textId="77777777" w:rsidR="003F5418" w:rsidRDefault="002A6C25">
            <w:pPr>
              <w:pStyle w:val="P68B1DB1-Normal3"/>
              <w:jc w:val="center"/>
              <w:rPr>
                <w:noProof/>
              </w:rPr>
            </w:pPr>
            <w:r>
              <w:rPr>
                <w:noProof/>
              </w:rPr>
              <w:t>Sorszám</w:t>
            </w:r>
          </w:p>
        </w:tc>
        <w:tc>
          <w:tcPr>
            <w:tcW w:w="1572" w:type="dxa"/>
            <w:vMerge w:val="restart"/>
            <w:shd w:val="clear" w:color="auto" w:fill="BDD7EE"/>
            <w:vAlign w:val="center"/>
            <w:hideMark/>
          </w:tcPr>
          <w:p w14:paraId="0AC9BD44" w14:textId="77777777" w:rsidR="003F5418" w:rsidRDefault="002A6C25">
            <w:pPr>
              <w:pStyle w:val="P68B1DB1-Normal3"/>
              <w:jc w:val="center"/>
              <w:rPr>
                <w:noProof/>
              </w:rPr>
            </w:pPr>
            <w:r>
              <w:rPr>
                <w:noProof/>
              </w:rPr>
              <w:t>Kapcsolódó intézkedés (reform vagy beruházás)</w:t>
            </w:r>
          </w:p>
        </w:tc>
        <w:tc>
          <w:tcPr>
            <w:tcW w:w="1275" w:type="dxa"/>
            <w:vMerge w:val="restart"/>
            <w:shd w:val="clear" w:color="auto" w:fill="BDD7EE"/>
            <w:vAlign w:val="center"/>
            <w:hideMark/>
          </w:tcPr>
          <w:p w14:paraId="786E8682" w14:textId="77777777" w:rsidR="003F5418" w:rsidRDefault="002A6C25">
            <w:pPr>
              <w:pStyle w:val="P68B1DB1-Normal3"/>
              <w:jc w:val="center"/>
              <w:rPr>
                <w:noProof/>
              </w:rPr>
            </w:pPr>
            <w:r>
              <w:rPr>
                <w:noProof/>
              </w:rPr>
              <w:t>Mérföldkő/cél</w:t>
            </w:r>
          </w:p>
        </w:tc>
        <w:tc>
          <w:tcPr>
            <w:tcW w:w="1418" w:type="dxa"/>
            <w:vMerge w:val="restart"/>
            <w:shd w:val="clear" w:color="auto" w:fill="BDD7EE"/>
            <w:vAlign w:val="center"/>
            <w:hideMark/>
          </w:tcPr>
          <w:p w14:paraId="432B1AE5" w14:textId="77777777" w:rsidR="003F5418" w:rsidRDefault="002A6C25">
            <w:pPr>
              <w:pStyle w:val="P68B1DB1-Normal3"/>
              <w:jc w:val="center"/>
              <w:rPr>
                <w:noProof/>
              </w:rPr>
            </w:pPr>
            <w:r>
              <w:rPr>
                <w:noProof/>
              </w:rPr>
              <w:t>Név</w:t>
            </w:r>
          </w:p>
        </w:tc>
        <w:tc>
          <w:tcPr>
            <w:tcW w:w="1559" w:type="dxa"/>
            <w:vMerge w:val="restart"/>
            <w:shd w:val="clear" w:color="auto" w:fill="BDD7EE"/>
            <w:vAlign w:val="center"/>
            <w:hideMark/>
          </w:tcPr>
          <w:p w14:paraId="67B38BCB"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262" w:type="dxa"/>
            <w:gridSpan w:val="3"/>
            <w:shd w:val="clear" w:color="auto" w:fill="BDD7EE"/>
            <w:vAlign w:val="center"/>
            <w:hideMark/>
          </w:tcPr>
          <w:p w14:paraId="6E06EB52"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418" w:type="dxa"/>
            <w:gridSpan w:val="2"/>
            <w:shd w:val="clear" w:color="auto" w:fill="BDD7EE"/>
            <w:vAlign w:val="center"/>
            <w:hideMark/>
          </w:tcPr>
          <w:p w14:paraId="1A7E9D4E" w14:textId="77777777" w:rsidR="003F5418" w:rsidRDefault="002A6C25">
            <w:pPr>
              <w:pStyle w:val="P68B1DB1-Normal3"/>
              <w:jc w:val="center"/>
              <w:rPr>
                <w:noProof/>
              </w:rPr>
            </w:pPr>
            <w:r>
              <w:rPr>
                <w:noProof/>
              </w:rPr>
              <w:t xml:space="preserve">A végrehajtás indikatív ütemterve </w:t>
            </w:r>
          </w:p>
        </w:tc>
        <w:tc>
          <w:tcPr>
            <w:tcW w:w="3401" w:type="dxa"/>
            <w:vMerge w:val="restart"/>
            <w:shd w:val="clear" w:color="auto" w:fill="BDD7EE"/>
            <w:vAlign w:val="center"/>
            <w:hideMark/>
          </w:tcPr>
          <w:p w14:paraId="06657E33" w14:textId="77777777" w:rsidR="003F5418" w:rsidRDefault="002A6C25">
            <w:pPr>
              <w:pStyle w:val="P68B1DB1-Normal3"/>
              <w:jc w:val="center"/>
              <w:rPr>
                <w:noProof/>
              </w:rPr>
            </w:pPr>
            <w:r>
              <w:rPr>
                <w:noProof/>
              </w:rPr>
              <w:t>Az egyes mérföldkövek és célértékek leírása</w:t>
            </w:r>
          </w:p>
        </w:tc>
      </w:tr>
      <w:tr w:rsidR="003F5418" w14:paraId="496C4F1F" w14:textId="77777777">
        <w:trPr>
          <w:trHeight w:val="1027"/>
          <w:jc w:val="center"/>
        </w:trPr>
        <w:tc>
          <w:tcPr>
            <w:tcW w:w="1115" w:type="dxa"/>
            <w:vMerge/>
            <w:vAlign w:val="center"/>
            <w:hideMark/>
          </w:tcPr>
          <w:p w14:paraId="6BCC82D1" w14:textId="77777777" w:rsidR="003F5418" w:rsidRDefault="003F5418">
            <w:pPr>
              <w:rPr>
                <w:rFonts w:ascii="Arial Narrow" w:hAnsi="Arial Narrow"/>
                <w:b/>
                <w:noProof/>
                <w:sz w:val="20"/>
              </w:rPr>
            </w:pPr>
          </w:p>
        </w:tc>
        <w:tc>
          <w:tcPr>
            <w:tcW w:w="1572" w:type="dxa"/>
            <w:vMerge/>
            <w:vAlign w:val="center"/>
            <w:hideMark/>
          </w:tcPr>
          <w:p w14:paraId="1FC38AC8" w14:textId="77777777" w:rsidR="003F5418" w:rsidRDefault="003F5418">
            <w:pPr>
              <w:rPr>
                <w:rFonts w:ascii="Arial Narrow" w:hAnsi="Arial Narrow"/>
                <w:b/>
                <w:noProof/>
                <w:sz w:val="20"/>
              </w:rPr>
            </w:pPr>
          </w:p>
        </w:tc>
        <w:tc>
          <w:tcPr>
            <w:tcW w:w="1275" w:type="dxa"/>
            <w:vMerge/>
            <w:vAlign w:val="center"/>
            <w:hideMark/>
          </w:tcPr>
          <w:p w14:paraId="2BAFE211" w14:textId="77777777" w:rsidR="003F5418" w:rsidRDefault="003F5418">
            <w:pPr>
              <w:rPr>
                <w:rFonts w:ascii="Arial Narrow" w:hAnsi="Arial Narrow"/>
                <w:b/>
                <w:noProof/>
                <w:sz w:val="20"/>
              </w:rPr>
            </w:pPr>
          </w:p>
        </w:tc>
        <w:tc>
          <w:tcPr>
            <w:tcW w:w="1418" w:type="dxa"/>
            <w:vMerge/>
            <w:vAlign w:val="center"/>
            <w:hideMark/>
          </w:tcPr>
          <w:p w14:paraId="15805DA0" w14:textId="77777777" w:rsidR="003F5418" w:rsidRDefault="003F5418">
            <w:pPr>
              <w:rPr>
                <w:rFonts w:ascii="Arial Narrow" w:hAnsi="Arial Narrow"/>
                <w:b/>
                <w:noProof/>
                <w:sz w:val="20"/>
              </w:rPr>
            </w:pPr>
          </w:p>
        </w:tc>
        <w:tc>
          <w:tcPr>
            <w:tcW w:w="1559" w:type="dxa"/>
            <w:vMerge/>
            <w:vAlign w:val="center"/>
            <w:hideMark/>
          </w:tcPr>
          <w:p w14:paraId="7894867B" w14:textId="77777777" w:rsidR="003F5418" w:rsidRDefault="003F5418">
            <w:pPr>
              <w:rPr>
                <w:rFonts w:ascii="Arial Narrow" w:hAnsi="Arial Narrow"/>
                <w:b/>
                <w:noProof/>
                <w:sz w:val="20"/>
              </w:rPr>
            </w:pPr>
          </w:p>
        </w:tc>
        <w:tc>
          <w:tcPr>
            <w:tcW w:w="1276" w:type="dxa"/>
            <w:shd w:val="clear" w:color="auto" w:fill="BDD7EE"/>
            <w:vAlign w:val="center"/>
            <w:hideMark/>
          </w:tcPr>
          <w:p w14:paraId="74F82832" w14:textId="77777777" w:rsidR="003F5418" w:rsidRDefault="002A6C25">
            <w:pPr>
              <w:pStyle w:val="P68B1DB1-Normal3"/>
              <w:jc w:val="center"/>
              <w:rPr>
                <w:noProof/>
              </w:rPr>
            </w:pPr>
            <w:r>
              <w:rPr>
                <w:noProof/>
              </w:rPr>
              <w:t>Mértékegység</w:t>
            </w:r>
          </w:p>
        </w:tc>
        <w:tc>
          <w:tcPr>
            <w:tcW w:w="1276" w:type="dxa"/>
            <w:shd w:val="clear" w:color="auto" w:fill="BDD7EE"/>
            <w:vAlign w:val="center"/>
            <w:hideMark/>
          </w:tcPr>
          <w:p w14:paraId="6F2B0EC1" w14:textId="77777777" w:rsidR="003F5418" w:rsidRDefault="002A6C25">
            <w:pPr>
              <w:pStyle w:val="P68B1DB1-Normal3"/>
              <w:jc w:val="center"/>
              <w:rPr>
                <w:noProof/>
              </w:rPr>
            </w:pPr>
            <w:r>
              <w:rPr>
                <w:noProof/>
              </w:rPr>
              <w:t xml:space="preserve">Kiindulási </w:t>
            </w:r>
          </w:p>
        </w:tc>
        <w:tc>
          <w:tcPr>
            <w:tcW w:w="710" w:type="dxa"/>
            <w:shd w:val="clear" w:color="auto" w:fill="BDD7EE"/>
            <w:vAlign w:val="center"/>
            <w:hideMark/>
          </w:tcPr>
          <w:p w14:paraId="61E20769" w14:textId="77777777" w:rsidR="003F5418" w:rsidRDefault="002A6C25">
            <w:pPr>
              <w:pStyle w:val="P68B1DB1-Normal3"/>
              <w:jc w:val="center"/>
              <w:rPr>
                <w:noProof/>
              </w:rPr>
            </w:pPr>
            <w:r>
              <w:rPr>
                <w:noProof/>
              </w:rPr>
              <w:t xml:space="preserve">Cél </w:t>
            </w:r>
          </w:p>
        </w:tc>
        <w:tc>
          <w:tcPr>
            <w:tcW w:w="708" w:type="dxa"/>
            <w:shd w:val="clear" w:color="auto" w:fill="BDD7EE"/>
            <w:vAlign w:val="center"/>
            <w:hideMark/>
          </w:tcPr>
          <w:p w14:paraId="37432661" w14:textId="77777777" w:rsidR="003F5418" w:rsidRDefault="002A6C25">
            <w:pPr>
              <w:pStyle w:val="P68B1DB1-Normal3"/>
              <w:jc w:val="center"/>
              <w:rPr>
                <w:noProof/>
              </w:rPr>
            </w:pPr>
            <w:r>
              <w:rPr>
                <w:noProof/>
              </w:rPr>
              <w:t>Negyedév</w:t>
            </w:r>
          </w:p>
        </w:tc>
        <w:tc>
          <w:tcPr>
            <w:tcW w:w="710" w:type="dxa"/>
            <w:shd w:val="clear" w:color="auto" w:fill="BDD7EE"/>
            <w:vAlign w:val="center"/>
            <w:hideMark/>
          </w:tcPr>
          <w:p w14:paraId="26242BE9" w14:textId="77777777" w:rsidR="003F5418" w:rsidRDefault="002A6C25">
            <w:pPr>
              <w:pStyle w:val="P68B1DB1-Normal3"/>
              <w:jc w:val="center"/>
              <w:rPr>
                <w:noProof/>
              </w:rPr>
            </w:pPr>
            <w:r>
              <w:rPr>
                <w:noProof/>
              </w:rPr>
              <w:t>Éve</w:t>
            </w:r>
          </w:p>
        </w:tc>
        <w:tc>
          <w:tcPr>
            <w:tcW w:w="3401" w:type="dxa"/>
            <w:vMerge/>
            <w:vAlign w:val="center"/>
            <w:hideMark/>
          </w:tcPr>
          <w:p w14:paraId="54B546DC" w14:textId="77777777" w:rsidR="003F5418" w:rsidRDefault="003F5418">
            <w:pPr>
              <w:rPr>
                <w:rFonts w:ascii="Arial Narrow" w:hAnsi="Arial Narrow"/>
                <w:b/>
                <w:noProof/>
                <w:sz w:val="20"/>
              </w:rPr>
            </w:pPr>
          </w:p>
        </w:tc>
      </w:tr>
      <w:tr w:rsidR="003F5418" w14:paraId="69E926DE" w14:textId="77777777">
        <w:trPr>
          <w:trHeight w:val="313"/>
          <w:jc w:val="center"/>
        </w:trPr>
        <w:tc>
          <w:tcPr>
            <w:tcW w:w="1115" w:type="dxa"/>
            <w:shd w:val="clear" w:color="auto" w:fill="C6EFCE"/>
            <w:noWrap/>
            <w:vAlign w:val="center"/>
          </w:tcPr>
          <w:p w14:paraId="5B243300" w14:textId="77777777" w:rsidR="003F5418" w:rsidRDefault="002A6C25">
            <w:pPr>
              <w:pStyle w:val="P68B1DB1-Normal4"/>
              <w:jc w:val="center"/>
              <w:rPr>
                <w:noProof/>
              </w:rPr>
            </w:pPr>
            <w:r>
              <w:rPr>
                <w:noProof/>
              </w:rPr>
              <w:t>M3C2–8</w:t>
            </w:r>
          </w:p>
        </w:tc>
        <w:tc>
          <w:tcPr>
            <w:tcW w:w="1572" w:type="dxa"/>
            <w:shd w:val="clear" w:color="auto" w:fill="C6EFCE"/>
            <w:noWrap/>
            <w:vAlign w:val="center"/>
          </w:tcPr>
          <w:p w14:paraId="16C55F91" w14:textId="77777777" w:rsidR="003F5418" w:rsidRDefault="002A6C25">
            <w:pPr>
              <w:pStyle w:val="P68B1DB1-Normal4"/>
              <w:jc w:val="center"/>
              <w:rPr>
                <w:noProof/>
              </w:rPr>
            </w:pPr>
            <w:r>
              <w:rPr>
                <w:noProof/>
              </w:rPr>
              <w:t>Beruházás: Zöld kikötők: megújuló energiával és energiahatékonysággal kapcsolatos beavatkozások a kikötőkben</w:t>
            </w:r>
          </w:p>
        </w:tc>
        <w:tc>
          <w:tcPr>
            <w:tcW w:w="1275" w:type="dxa"/>
            <w:shd w:val="clear" w:color="auto" w:fill="C6EFCE"/>
            <w:noWrap/>
            <w:vAlign w:val="center"/>
          </w:tcPr>
          <w:p w14:paraId="2CF00BFA" w14:textId="77777777" w:rsidR="003F5418" w:rsidRDefault="002A6C25">
            <w:pPr>
              <w:pStyle w:val="P68B1DB1-Normal4"/>
              <w:jc w:val="center"/>
              <w:rPr>
                <w:noProof/>
              </w:rPr>
            </w:pPr>
            <w:r>
              <w:rPr>
                <w:noProof/>
              </w:rPr>
              <w:t>Cél</w:t>
            </w:r>
          </w:p>
        </w:tc>
        <w:tc>
          <w:tcPr>
            <w:tcW w:w="1418" w:type="dxa"/>
            <w:shd w:val="clear" w:color="auto" w:fill="C6EFCE"/>
            <w:noWrap/>
            <w:vAlign w:val="center"/>
          </w:tcPr>
          <w:p w14:paraId="1008488B" w14:textId="77777777" w:rsidR="003F5418" w:rsidRDefault="002A6C25">
            <w:pPr>
              <w:pStyle w:val="P68B1DB1-Normal4"/>
              <w:jc w:val="center"/>
              <w:rPr>
                <w:noProof/>
              </w:rPr>
            </w:pPr>
            <w:r>
              <w:rPr>
                <w:noProof/>
              </w:rPr>
              <w:t>Zöld kikötők: a munkák kiosztása</w:t>
            </w:r>
          </w:p>
        </w:tc>
        <w:tc>
          <w:tcPr>
            <w:tcW w:w="1559" w:type="dxa"/>
            <w:shd w:val="clear" w:color="auto" w:fill="C6EFCE"/>
            <w:noWrap/>
            <w:vAlign w:val="center"/>
          </w:tcPr>
          <w:p w14:paraId="28D3C45B" w14:textId="77777777" w:rsidR="003F5418" w:rsidRDefault="002A6C25">
            <w:pPr>
              <w:pStyle w:val="P68B1DB1-Normal4"/>
              <w:jc w:val="center"/>
              <w:rPr>
                <w:noProof/>
              </w:rPr>
            </w:pPr>
            <w:r>
              <w:rPr>
                <w:noProof/>
              </w:rPr>
              <w:t>NINCS</w:t>
            </w:r>
          </w:p>
        </w:tc>
        <w:tc>
          <w:tcPr>
            <w:tcW w:w="1276" w:type="dxa"/>
            <w:shd w:val="clear" w:color="auto" w:fill="C6EFCE"/>
            <w:noWrap/>
            <w:vAlign w:val="center"/>
          </w:tcPr>
          <w:p w14:paraId="5F2091F3"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7F8C0EA2" w14:textId="77777777" w:rsidR="003F5418" w:rsidRDefault="002A6C25">
            <w:pPr>
              <w:pStyle w:val="P68B1DB1-Normal4"/>
              <w:jc w:val="center"/>
              <w:rPr>
                <w:noProof/>
              </w:rPr>
            </w:pPr>
            <w:r>
              <w:rPr>
                <w:noProof/>
              </w:rPr>
              <w:t>0</w:t>
            </w:r>
          </w:p>
        </w:tc>
        <w:tc>
          <w:tcPr>
            <w:tcW w:w="710" w:type="dxa"/>
            <w:shd w:val="clear" w:color="auto" w:fill="C6EFCE"/>
            <w:noWrap/>
            <w:vAlign w:val="center"/>
          </w:tcPr>
          <w:p w14:paraId="3B1A6A9E" w14:textId="77777777" w:rsidR="003F5418" w:rsidRDefault="002A6C25">
            <w:pPr>
              <w:pStyle w:val="P68B1DB1-Normal4"/>
              <w:jc w:val="center"/>
              <w:rPr>
                <w:noProof/>
              </w:rPr>
            </w:pPr>
            <w:r>
              <w:rPr>
                <w:noProof/>
              </w:rPr>
              <w:t>7</w:t>
            </w:r>
          </w:p>
        </w:tc>
        <w:tc>
          <w:tcPr>
            <w:tcW w:w="708" w:type="dxa"/>
            <w:shd w:val="clear" w:color="auto" w:fill="C6EFCE"/>
            <w:noWrap/>
            <w:vAlign w:val="center"/>
          </w:tcPr>
          <w:p w14:paraId="7F78FC59" w14:textId="77777777" w:rsidR="003F5418" w:rsidRDefault="002A6C25">
            <w:pPr>
              <w:pStyle w:val="P68B1DB1-Normal4"/>
              <w:jc w:val="center"/>
              <w:rPr>
                <w:noProof/>
              </w:rPr>
            </w:pPr>
            <w:r>
              <w:rPr>
                <w:noProof/>
              </w:rPr>
              <w:t>Q4</w:t>
            </w:r>
          </w:p>
        </w:tc>
        <w:tc>
          <w:tcPr>
            <w:tcW w:w="710" w:type="dxa"/>
            <w:shd w:val="clear" w:color="auto" w:fill="C6EFCE"/>
            <w:noWrap/>
            <w:vAlign w:val="center"/>
          </w:tcPr>
          <w:p w14:paraId="5F75D113" w14:textId="77777777" w:rsidR="003F5418" w:rsidRDefault="002A6C25">
            <w:pPr>
              <w:pStyle w:val="P68B1DB1-Normal4"/>
              <w:jc w:val="center"/>
              <w:rPr>
                <w:noProof/>
              </w:rPr>
            </w:pPr>
            <w:r>
              <w:rPr>
                <w:noProof/>
              </w:rPr>
              <w:t>2022</w:t>
            </w:r>
          </w:p>
        </w:tc>
        <w:tc>
          <w:tcPr>
            <w:tcW w:w="3401" w:type="dxa"/>
            <w:shd w:val="clear" w:color="auto" w:fill="C6EFCE"/>
            <w:noWrap/>
            <w:vAlign w:val="center"/>
          </w:tcPr>
          <w:p w14:paraId="45E2B1B9" w14:textId="77777777" w:rsidR="003F5418" w:rsidRDefault="002A6C25">
            <w:pPr>
              <w:pStyle w:val="P68B1DB1-Normal4"/>
              <w:jc w:val="both"/>
              <w:rPr>
                <w:noProof/>
              </w:rPr>
            </w:pPr>
            <w:r>
              <w:rPr>
                <w:noProof/>
              </w:rPr>
              <w:t xml:space="preserve">A munkálatokat legalább hét kikötői rendszerhatóságra bízzák. A munkák kiosztására vonatkozó kiválasztási eljárás a következőket foglalja magában: </w:t>
            </w:r>
          </w:p>
          <w:p w14:paraId="24C8EEA9" w14:textId="77777777" w:rsidR="003F5418" w:rsidRDefault="003F5418">
            <w:pPr>
              <w:jc w:val="both"/>
              <w:rPr>
                <w:rFonts w:ascii="Arial Narrow" w:hAnsi="Arial Narrow"/>
                <w:noProof/>
                <w:color w:val="006100"/>
                <w:sz w:val="20"/>
              </w:rPr>
            </w:pPr>
          </w:p>
          <w:p w14:paraId="4B7884D0" w14:textId="77777777" w:rsidR="003F5418" w:rsidRDefault="002A6C25">
            <w:pPr>
              <w:pStyle w:val="P68B1DB1-Normal4"/>
              <w:jc w:val="both"/>
              <w:rPr>
                <w:noProof/>
              </w:rPr>
            </w:pPr>
            <w:r>
              <w:rPr>
                <w:noProof/>
              </w:rPr>
              <w:t>támogathatósági kritériumok, amelyek biztosítják, hogy a munkálatok megfeleljenek a jelentős károkozás elke</w:t>
            </w:r>
            <w:r>
              <w:rPr>
                <w:noProof/>
              </w:rPr>
              <w:t>rülését célzó technikai iránymutatásnak (2021/C58/01), valamint a vonatkozó uniós és nemzeti környezetvédelmi jogszabályoknak.</w:t>
            </w:r>
          </w:p>
          <w:p w14:paraId="3A281360" w14:textId="77777777" w:rsidR="003F5418" w:rsidRDefault="002A6C25">
            <w:pPr>
              <w:pStyle w:val="P68B1DB1-Normal4"/>
              <w:jc w:val="both"/>
              <w:rPr>
                <w:noProof/>
              </w:rPr>
            </w:pPr>
            <w:r>
              <w:rPr>
                <w:noProof/>
              </w:rPr>
              <w:t>b) Kötelezettségvállalás arra, hogy a beruházás éghajlat-politikai hozzájárulása az (EU) 2021/241 rendelet VI. mellékletében szer</w:t>
            </w:r>
            <w:r>
              <w:rPr>
                <w:noProof/>
              </w:rPr>
              <w:t>eplő módszertan szerint a Helyreállítási és Rezilienciaépítési Eszközből támogatott beruházás összköltségének legalább 79%-át teszi ki.</w:t>
            </w:r>
          </w:p>
          <w:p w14:paraId="2E7C1973" w14:textId="77777777" w:rsidR="003F5418" w:rsidRDefault="002A6C25">
            <w:pPr>
              <w:pStyle w:val="P68B1DB1-Normal4"/>
              <w:jc w:val="both"/>
              <w:rPr>
                <w:noProof/>
              </w:rPr>
            </w:pPr>
            <w:r>
              <w:rPr>
                <w:noProof/>
              </w:rPr>
              <w:t xml:space="preserve">C) Kötelezettségvállalás arra, hogy jelentést tesznek az intézkedés végrehajtásáról a program időtartamának félidejében </w:t>
            </w:r>
            <w:r>
              <w:rPr>
                <w:noProof/>
              </w:rPr>
              <w:t>és a program végén.</w:t>
            </w:r>
          </w:p>
        </w:tc>
      </w:tr>
      <w:tr w:rsidR="003F5418" w14:paraId="3E9BDC8C" w14:textId="77777777">
        <w:trPr>
          <w:trHeight w:val="313"/>
          <w:jc w:val="center"/>
        </w:trPr>
        <w:tc>
          <w:tcPr>
            <w:tcW w:w="1115" w:type="dxa"/>
            <w:shd w:val="clear" w:color="auto" w:fill="C6EFCE"/>
            <w:noWrap/>
            <w:vAlign w:val="center"/>
          </w:tcPr>
          <w:p w14:paraId="3085078A" w14:textId="77777777" w:rsidR="003F5418" w:rsidRDefault="002A6C25">
            <w:pPr>
              <w:pStyle w:val="P68B1DB1-Normal4"/>
              <w:jc w:val="center"/>
              <w:rPr>
                <w:noProof/>
              </w:rPr>
            </w:pPr>
            <w:r>
              <w:rPr>
                <w:noProof/>
              </w:rPr>
              <w:t>M3C2–9 </w:t>
            </w:r>
          </w:p>
        </w:tc>
        <w:tc>
          <w:tcPr>
            <w:tcW w:w="1572" w:type="dxa"/>
            <w:shd w:val="clear" w:color="auto" w:fill="C6EFCE"/>
            <w:noWrap/>
            <w:vAlign w:val="center"/>
          </w:tcPr>
          <w:p w14:paraId="7A7EFA64" w14:textId="77777777" w:rsidR="003F5418" w:rsidRDefault="002A6C25">
            <w:pPr>
              <w:pStyle w:val="P68B1DB1-Normal4"/>
              <w:jc w:val="center"/>
              <w:rPr>
                <w:noProof/>
              </w:rPr>
            </w:pPr>
            <w:r>
              <w:rPr>
                <w:noProof/>
              </w:rPr>
              <w:t>Beruházás: Zöld kikötők: megújuló energiával és energiahatékonysággal kapcsolatos beavatkozások a kikötőkben </w:t>
            </w:r>
          </w:p>
        </w:tc>
        <w:tc>
          <w:tcPr>
            <w:tcW w:w="1275" w:type="dxa"/>
            <w:shd w:val="clear" w:color="auto" w:fill="C6EFCE"/>
            <w:noWrap/>
            <w:vAlign w:val="center"/>
          </w:tcPr>
          <w:p w14:paraId="7458D68B" w14:textId="77777777" w:rsidR="003F5418" w:rsidRDefault="002A6C25">
            <w:pPr>
              <w:pStyle w:val="P68B1DB1-Normal4"/>
              <w:jc w:val="center"/>
              <w:rPr>
                <w:noProof/>
              </w:rPr>
            </w:pPr>
            <w:r>
              <w:rPr>
                <w:noProof/>
              </w:rPr>
              <w:t>Cél </w:t>
            </w:r>
          </w:p>
        </w:tc>
        <w:tc>
          <w:tcPr>
            <w:tcW w:w="1418" w:type="dxa"/>
            <w:shd w:val="clear" w:color="auto" w:fill="C6EFCE"/>
            <w:noWrap/>
            <w:vAlign w:val="center"/>
          </w:tcPr>
          <w:p w14:paraId="0F2B9B65" w14:textId="0B03A0B6" w:rsidR="003F5418" w:rsidRDefault="002A6C25">
            <w:pPr>
              <w:pStyle w:val="P68B1DB1-Normal4"/>
              <w:jc w:val="center"/>
              <w:rPr>
                <w:noProof/>
              </w:rPr>
            </w:pPr>
            <w:r>
              <w:rPr>
                <w:noProof/>
              </w:rPr>
              <w:t xml:space="preserve">Zöld kikötők: a munkálatok befejezése </w:t>
            </w:r>
          </w:p>
        </w:tc>
        <w:tc>
          <w:tcPr>
            <w:tcW w:w="1559" w:type="dxa"/>
            <w:shd w:val="clear" w:color="auto" w:fill="C6EFCE"/>
            <w:noWrap/>
            <w:vAlign w:val="center"/>
          </w:tcPr>
          <w:p w14:paraId="16F51FC6" w14:textId="25391699" w:rsidR="003F5418" w:rsidRDefault="002A6C25">
            <w:pPr>
              <w:pStyle w:val="P68B1DB1-Normal4"/>
              <w:jc w:val="center"/>
              <w:rPr>
                <w:noProof/>
              </w:rPr>
            </w:pPr>
            <w:r>
              <w:rPr>
                <w:noProof/>
              </w:rPr>
              <w:t>NINCS</w:t>
            </w:r>
          </w:p>
        </w:tc>
        <w:tc>
          <w:tcPr>
            <w:tcW w:w="1276" w:type="dxa"/>
            <w:shd w:val="clear" w:color="auto" w:fill="C6EFCE"/>
            <w:noWrap/>
            <w:vAlign w:val="center"/>
          </w:tcPr>
          <w:p w14:paraId="54D0BD9A" w14:textId="77777777" w:rsidR="003F5418" w:rsidRDefault="002A6C25">
            <w:pPr>
              <w:pStyle w:val="P68B1DB1-Normal4"/>
              <w:jc w:val="center"/>
              <w:rPr>
                <w:noProof/>
              </w:rPr>
            </w:pPr>
            <w:r>
              <w:rPr>
                <w:noProof/>
              </w:rPr>
              <w:t>Szám</w:t>
            </w:r>
          </w:p>
        </w:tc>
        <w:tc>
          <w:tcPr>
            <w:tcW w:w="1276" w:type="dxa"/>
            <w:shd w:val="clear" w:color="auto" w:fill="C6EFCE"/>
            <w:noWrap/>
            <w:vAlign w:val="center"/>
          </w:tcPr>
          <w:p w14:paraId="6706B281" w14:textId="77777777" w:rsidR="003F5418" w:rsidRDefault="002A6C25">
            <w:pPr>
              <w:pStyle w:val="P68B1DB1-Normal4"/>
              <w:jc w:val="center"/>
              <w:rPr>
                <w:noProof/>
              </w:rPr>
            </w:pPr>
            <w:r>
              <w:rPr>
                <w:noProof/>
              </w:rPr>
              <w:t>0</w:t>
            </w:r>
          </w:p>
        </w:tc>
        <w:tc>
          <w:tcPr>
            <w:tcW w:w="710" w:type="dxa"/>
            <w:shd w:val="clear" w:color="auto" w:fill="C6EFCE"/>
            <w:noWrap/>
            <w:vAlign w:val="center"/>
          </w:tcPr>
          <w:p w14:paraId="06FAFED8" w14:textId="77777777" w:rsidR="003F5418" w:rsidRDefault="002A6C25">
            <w:pPr>
              <w:pStyle w:val="P68B1DB1-Normal4"/>
              <w:jc w:val="center"/>
              <w:rPr>
                <w:noProof/>
              </w:rPr>
            </w:pPr>
            <w:r>
              <w:rPr>
                <w:noProof/>
              </w:rPr>
              <w:t>75</w:t>
            </w:r>
          </w:p>
        </w:tc>
        <w:tc>
          <w:tcPr>
            <w:tcW w:w="708" w:type="dxa"/>
            <w:shd w:val="clear" w:color="auto" w:fill="C6EFCE"/>
            <w:noWrap/>
            <w:vAlign w:val="center"/>
          </w:tcPr>
          <w:p w14:paraId="660F613C" w14:textId="77777777" w:rsidR="003F5418" w:rsidRDefault="002A6C25">
            <w:pPr>
              <w:pStyle w:val="P68B1DB1-Normal4"/>
              <w:jc w:val="center"/>
              <w:rPr>
                <w:noProof/>
              </w:rPr>
            </w:pPr>
            <w:r>
              <w:rPr>
                <w:noProof/>
              </w:rPr>
              <w:t>Q2 </w:t>
            </w:r>
          </w:p>
        </w:tc>
        <w:tc>
          <w:tcPr>
            <w:tcW w:w="710" w:type="dxa"/>
            <w:shd w:val="clear" w:color="auto" w:fill="C6EFCE"/>
            <w:noWrap/>
            <w:vAlign w:val="center"/>
          </w:tcPr>
          <w:p w14:paraId="7712208C" w14:textId="77777777" w:rsidR="003F5418" w:rsidRDefault="002A6C25">
            <w:pPr>
              <w:pStyle w:val="P68B1DB1-Normal4"/>
              <w:jc w:val="center"/>
              <w:rPr>
                <w:noProof/>
              </w:rPr>
            </w:pPr>
            <w:r>
              <w:rPr>
                <w:noProof/>
              </w:rPr>
              <w:t>2026 </w:t>
            </w:r>
          </w:p>
        </w:tc>
        <w:tc>
          <w:tcPr>
            <w:tcW w:w="3401" w:type="dxa"/>
            <w:shd w:val="clear" w:color="auto" w:fill="C6EFCE"/>
            <w:noWrap/>
            <w:vAlign w:val="center"/>
          </w:tcPr>
          <w:p w14:paraId="0D778E54" w14:textId="77777777" w:rsidR="003F5418" w:rsidRDefault="002A6C25">
            <w:pPr>
              <w:pStyle w:val="P68B1DB1-Normal4"/>
              <w:jc w:val="both"/>
              <w:rPr>
                <w:noProof/>
              </w:rPr>
            </w:pPr>
            <w:r>
              <w:rPr>
                <w:noProof/>
              </w:rPr>
              <w:t xml:space="preserve">Legalább 75 projekt lezárása a kikötői </w:t>
            </w:r>
            <w:r>
              <w:rPr>
                <w:noProof/>
              </w:rPr>
              <w:t>hatóságok számára. A Helyreállítási és Rezilienciaépítési Eszköz kapcsán felmerült összes beruházási költség legalább 79%-át az (EU) 2021/241 rendelet VI. mellékletében foglalt módszertan szerint az éghajlat-politikai célkitűzést támogató tevékenységekre k</w:t>
            </w:r>
            <w:r>
              <w:rPr>
                <w:noProof/>
              </w:rPr>
              <w:t>ell fordítani. </w:t>
            </w:r>
          </w:p>
        </w:tc>
      </w:tr>
      <w:tr w:rsidR="003F5418" w14:paraId="3006B2FD" w14:textId="77777777">
        <w:trPr>
          <w:trHeight w:val="313"/>
          <w:jc w:val="center"/>
        </w:trPr>
        <w:tc>
          <w:tcPr>
            <w:tcW w:w="1115" w:type="dxa"/>
            <w:shd w:val="clear" w:color="auto" w:fill="C6EFCE"/>
            <w:noWrap/>
            <w:vAlign w:val="center"/>
          </w:tcPr>
          <w:p w14:paraId="7C68AAE4" w14:textId="77777777" w:rsidR="003F5418" w:rsidRDefault="002A6C25">
            <w:pPr>
              <w:pStyle w:val="P68B1DB1-Normal4"/>
              <w:jc w:val="center"/>
              <w:rPr>
                <w:noProof/>
              </w:rPr>
            </w:pPr>
            <w:r>
              <w:rPr>
                <w:noProof/>
              </w:rPr>
              <w:t>M3C2–10</w:t>
            </w:r>
          </w:p>
        </w:tc>
        <w:tc>
          <w:tcPr>
            <w:tcW w:w="1572" w:type="dxa"/>
            <w:shd w:val="clear" w:color="auto" w:fill="C6EFCE"/>
            <w:noWrap/>
            <w:vAlign w:val="center"/>
          </w:tcPr>
          <w:p w14:paraId="5670EA55" w14:textId="77777777" w:rsidR="003F5418" w:rsidRDefault="002A6C25">
            <w:pPr>
              <w:pStyle w:val="P68B1DB1-Normal4"/>
              <w:jc w:val="center"/>
              <w:rPr>
                <w:noProof/>
              </w:rPr>
            </w:pPr>
            <w:r>
              <w:rPr>
                <w:noProof/>
              </w:rPr>
              <w:t>Reform: Nemzeti digitális logisztikai platform létrehozása az árufuvarozási és/vagy személyszállítási szolgáltatások digitalizálásának bevezetése érdekében</w:t>
            </w:r>
          </w:p>
        </w:tc>
        <w:tc>
          <w:tcPr>
            <w:tcW w:w="1275" w:type="dxa"/>
            <w:shd w:val="clear" w:color="auto" w:fill="C6EFCE"/>
            <w:noWrap/>
            <w:vAlign w:val="center"/>
          </w:tcPr>
          <w:p w14:paraId="44DAA24F" w14:textId="77777777" w:rsidR="003F5418" w:rsidRDefault="002A6C25">
            <w:pPr>
              <w:pStyle w:val="P68B1DB1-Normal4"/>
              <w:jc w:val="center"/>
              <w:rPr>
                <w:noProof/>
              </w:rPr>
            </w:pPr>
            <w:r>
              <w:rPr>
                <w:noProof/>
              </w:rPr>
              <w:t>Mérföldkő</w:t>
            </w:r>
          </w:p>
        </w:tc>
        <w:tc>
          <w:tcPr>
            <w:tcW w:w="1418" w:type="dxa"/>
            <w:shd w:val="clear" w:color="auto" w:fill="C6EFCE"/>
            <w:noWrap/>
            <w:vAlign w:val="center"/>
          </w:tcPr>
          <w:p w14:paraId="12918BF7" w14:textId="77777777" w:rsidR="003F5418" w:rsidRDefault="002A6C25">
            <w:pPr>
              <w:pStyle w:val="P68B1DB1-Normal4"/>
              <w:jc w:val="center"/>
              <w:rPr>
                <w:noProof/>
              </w:rPr>
            </w:pPr>
            <w:r>
              <w:rPr>
                <w:noProof/>
              </w:rPr>
              <w:t xml:space="preserve">Nemzeti digitális logisztikai platform </w:t>
            </w:r>
          </w:p>
        </w:tc>
        <w:tc>
          <w:tcPr>
            <w:tcW w:w="1559" w:type="dxa"/>
            <w:shd w:val="clear" w:color="auto" w:fill="C6EFCE"/>
            <w:noWrap/>
            <w:vAlign w:val="center"/>
          </w:tcPr>
          <w:p w14:paraId="74B33F58" w14:textId="77777777" w:rsidR="003F5418" w:rsidRDefault="002A6C25">
            <w:pPr>
              <w:pStyle w:val="P68B1DB1-Normal4"/>
              <w:jc w:val="center"/>
              <w:rPr>
                <w:noProof/>
              </w:rPr>
            </w:pPr>
            <w:r>
              <w:rPr>
                <w:noProof/>
              </w:rPr>
              <w:t xml:space="preserve">A jogi aktusban szereplő, a jogi aktus hatálybalépését feltüntető rendelkezés   </w:t>
            </w:r>
          </w:p>
        </w:tc>
        <w:tc>
          <w:tcPr>
            <w:tcW w:w="1276" w:type="dxa"/>
            <w:shd w:val="clear" w:color="auto" w:fill="C6EFCE"/>
            <w:noWrap/>
            <w:vAlign w:val="center"/>
          </w:tcPr>
          <w:p w14:paraId="1B921127" w14:textId="77777777" w:rsidR="003F5418" w:rsidRDefault="002A6C25">
            <w:pPr>
              <w:pStyle w:val="P68B1DB1-Normal4"/>
              <w:jc w:val="center"/>
              <w:rPr>
                <w:noProof/>
              </w:rPr>
            </w:pPr>
            <w:r>
              <w:rPr>
                <w:noProof/>
              </w:rPr>
              <w:t>NINCS</w:t>
            </w:r>
          </w:p>
        </w:tc>
        <w:tc>
          <w:tcPr>
            <w:tcW w:w="1276" w:type="dxa"/>
            <w:shd w:val="clear" w:color="auto" w:fill="C6EFCE"/>
            <w:noWrap/>
            <w:vAlign w:val="center"/>
          </w:tcPr>
          <w:p w14:paraId="4DA8B426" w14:textId="77777777" w:rsidR="003F5418" w:rsidRDefault="002A6C25">
            <w:pPr>
              <w:pStyle w:val="P68B1DB1-Normal4"/>
              <w:jc w:val="center"/>
              <w:rPr>
                <w:noProof/>
              </w:rPr>
            </w:pPr>
            <w:r>
              <w:rPr>
                <w:noProof/>
              </w:rPr>
              <w:t>NINCS</w:t>
            </w:r>
          </w:p>
        </w:tc>
        <w:tc>
          <w:tcPr>
            <w:tcW w:w="710" w:type="dxa"/>
            <w:shd w:val="clear" w:color="auto" w:fill="C6EFCE"/>
            <w:noWrap/>
            <w:vAlign w:val="center"/>
          </w:tcPr>
          <w:p w14:paraId="5C13EB5F" w14:textId="77777777" w:rsidR="003F5418" w:rsidRDefault="002A6C25">
            <w:pPr>
              <w:pStyle w:val="P68B1DB1-Normal4"/>
              <w:jc w:val="center"/>
              <w:rPr>
                <w:noProof/>
              </w:rPr>
            </w:pPr>
            <w:r>
              <w:rPr>
                <w:noProof/>
              </w:rPr>
              <w:t>NINCS</w:t>
            </w:r>
          </w:p>
        </w:tc>
        <w:tc>
          <w:tcPr>
            <w:tcW w:w="708" w:type="dxa"/>
            <w:shd w:val="clear" w:color="auto" w:fill="C6EFCE"/>
            <w:noWrap/>
            <w:vAlign w:val="center"/>
          </w:tcPr>
          <w:p w14:paraId="033985FD" w14:textId="77777777" w:rsidR="003F5418" w:rsidRDefault="002A6C25">
            <w:pPr>
              <w:pStyle w:val="P68B1DB1-Normal4"/>
              <w:jc w:val="center"/>
              <w:rPr>
                <w:noProof/>
              </w:rPr>
            </w:pPr>
            <w:r>
              <w:rPr>
                <w:noProof/>
              </w:rPr>
              <w:t>Q2</w:t>
            </w:r>
          </w:p>
        </w:tc>
        <w:tc>
          <w:tcPr>
            <w:tcW w:w="710" w:type="dxa"/>
            <w:shd w:val="clear" w:color="auto" w:fill="C6EFCE"/>
            <w:noWrap/>
            <w:vAlign w:val="center"/>
          </w:tcPr>
          <w:p w14:paraId="50D5F2A8" w14:textId="77777777" w:rsidR="003F5418" w:rsidRDefault="002A6C25">
            <w:pPr>
              <w:pStyle w:val="P68B1DB1-Normal4"/>
              <w:jc w:val="center"/>
              <w:rPr>
                <w:noProof/>
              </w:rPr>
            </w:pPr>
            <w:r>
              <w:rPr>
                <w:noProof/>
              </w:rPr>
              <w:t>2024</w:t>
            </w:r>
          </w:p>
        </w:tc>
        <w:tc>
          <w:tcPr>
            <w:tcW w:w="3401" w:type="dxa"/>
            <w:shd w:val="clear" w:color="auto" w:fill="C6EFCE"/>
            <w:noWrap/>
            <w:vAlign w:val="center"/>
          </w:tcPr>
          <w:p w14:paraId="3ACAF645" w14:textId="77777777" w:rsidR="003F5418" w:rsidRDefault="002A6C25">
            <w:pPr>
              <w:pStyle w:val="P68B1DB1-Normal4"/>
              <w:jc w:val="both"/>
              <w:rPr>
                <w:noProof/>
              </w:rPr>
            </w:pPr>
            <w:r>
              <w:rPr>
                <w:noProof/>
              </w:rPr>
              <w:t>A kikötői közösségi rendszereknek a nemzeti digitális logisztikai platformmal való interoperabilitását biztosító jogi aktus hatálybalépése.</w:t>
            </w:r>
          </w:p>
          <w:p w14:paraId="17567A61" w14:textId="77777777" w:rsidR="003F5418" w:rsidRDefault="003F5418">
            <w:pPr>
              <w:jc w:val="both"/>
              <w:rPr>
                <w:rFonts w:ascii="Arial Narrow" w:hAnsi="Arial Narrow"/>
                <w:noProof/>
                <w:color w:val="006100"/>
                <w:sz w:val="20"/>
              </w:rPr>
            </w:pPr>
          </w:p>
          <w:p w14:paraId="6BA18F63" w14:textId="77777777" w:rsidR="003F5418" w:rsidRDefault="002A6C25">
            <w:pPr>
              <w:pStyle w:val="P68B1DB1-Normal4"/>
              <w:jc w:val="both"/>
              <w:rPr>
                <w:noProof/>
              </w:rPr>
            </w:pPr>
            <w:r>
              <w:rPr>
                <w:noProof/>
              </w:rPr>
              <w:t>Emellett</w:t>
            </w:r>
            <w:r>
              <w:rPr>
                <w:noProof/>
              </w:rPr>
              <w:t xml:space="preserve"> a jogi aktusnak elő kell írnia, hogy a kikötőirendszer-hatóságok rendelkezzenek az érintett közigazgatási szervekkel interoperábilis, az 1056/2020.EU rendelettel és a nemzeti digitális logisztikai platformmal kompatibilis PCS-szolgáltatásokkal (kikötői kö</w:t>
            </w:r>
            <w:r>
              <w:rPr>
                <w:noProof/>
              </w:rPr>
              <w:t>zösségi rendszerrel).</w:t>
            </w:r>
          </w:p>
        </w:tc>
      </w:tr>
    </w:tbl>
    <w:p w14:paraId="0C0D6EA7" w14:textId="77777777" w:rsidR="003F5418" w:rsidRDefault="003F5418">
      <w:pPr>
        <w:tabs>
          <w:tab w:val="left" w:pos="4252"/>
        </w:tabs>
        <w:rPr>
          <w:i/>
          <w:noProof/>
        </w:rPr>
        <w:sectPr w:rsidR="003F5418">
          <w:headerReference w:type="even" r:id="rId248"/>
          <w:headerReference w:type="default" r:id="rId249"/>
          <w:footerReference w:type="even" r:id="rId250"/>
          <w:footerReference w:type="default" r:id="rId251"/>
          <w:headerReference w:type="first" r:id="rId252"/>
          <w:footerReference w:type="first" r:id="rId253"/>
          <w:pgSz w:w="16839" w:h="11907" w:orient="landscape"/>
          <w:pgMar w:top="1440" w:right="1440" w:bottom="1440" w:left="1440" w:header="567" w:footer="567" w:gutter="0"/>
          <w:cols w:space="720"/>
          <w:docGrid w:linePitch="360"/>
        </w:sectPr>
      </w:pPr>
    </w:p>
    <w:p w14:paraId="7A5AAEDE" w14:textId="77777777" w:rsidR="003F5418" w:rsidRDefault="002A6C25">
      <w:pPr>
        <w:pStyle w:val="Heading2"/>
        <w:numPr>
          <w:ilvl w:val="1"/>
          <w:numId w:val="0"/>
        </w:numPr>
        <w:ind w:left="850" w:hanging="850"/>
        <w:rPr>
          <w:noProof/>
        </w:rPr>
      </w:pPr>
      <w:r>
        <w:rPr>
          <w:noProof/>
        </w:rPr>
        <w:t xml:space="preserve">KÜLDETÉS: 1. KOMPONENS: Az oktatási szolgáltatások nyújtásának megerősítése: a bölcsődéktől az egyetemekig </w:t>
      </w:r>
    </w:p>
    <w:p w14:paraId="03F36F51" w14:textId="77777777" w:rsidR="003F5418" w:rsidRDefault="002A6C25">
      <w:pPr>
        <w:spacing w:before="120" w:after="120"/>
        <w:jc w:val="both"/>
        <w:rPr>
          <w:noProof/>
        </w:rPr>
      </w:pPr>
      <w:r>
        <w:rPr>
          <w:noProof/>
        </w:rPr>
        <w:t xml:space="preserve">Az olasz helyreállítási és rezilienciaépítési terv e komponense négy </w:t>
      </w:r>
      <w:r>
        <w:rPr>
          <w:noProof/>
        </w:rPr>
        <w:t>beavatkozási területet foglal magában: az oktatási és képzési szolgáltatások minőségének javítása és mennyiségi bővítése – az óvodáktól az egyetemig; a tanári szakma reformja, különös tekintettel a munkaerő-felvételi és képzési folyamatokra, a tanárok kész</w:t>
      </w:r>
      <w:r>
        <w:rPr>
          <w:noProof/>
        </w:rPr>
        <w:t>ségeinek növelésére és a területi eltérések kezelésére; az infrastruktúra továbbképzése és korszerűsítése a digitális, természettudományi, technológiai, mérnöki és matematikai (STEM) és a többnyelvűség oktatásának fejlesztése érdekében, az iskolai épületek</w:t>
      </w:r>
      <w:r>
        <w:rPr>
          <w:noProof/>
        </w:rPr>
        <w:t xml:space="preserve"> biztonságának és energiahatékonyságának javítása mellett; a diplomacsoportok reformja, támogató diplomák és doktori programok az alkalmazott kutatás fellendítése és a doktori ösztöndíjak számának növelése érdekében. </w:t>
      </w:r>
    </w:p>
    <w:p w14:paraId="2D0222DC" w14:textId="77777777" w:rsidR="003F5418" w:rsidRDefault="002A6C25">
      <w:pPr>
        <w:spacing w:before="120" w:after="120"/>
        <w:jc w:val="both"/>
        <w:rPr>
          <w:noProof/>
        </w:rPr>
      </w:pPr>
      <w:r>
        <w:rPr>
          <w:noProof/>
        </w:rPr>
        <w:t>Az ezen alkotóelemhez tartozó intézked</w:t>
      </w:r>
      <w:r>
        <w:rPr>
          <w:noProof/>
        </w:rPr>
        <w:t xml:space="preserve">ések célja az olasz oktatási, képzési és kutatási rendszer gyengeségeinek kezelése az olasz diákok oktatási eredményeinek és foglalkoztathatóságának javítása érdekében. </w:t>
      </w:r>
    </w:p>
    <w:p w14:paraId="460020BF" w14:textId="77777777" w:rsidR="003F5418" w:rsidRDefault="002A6C25">
      <w:pPr>
        <w:spacing w:before="120" w:after="120"/>
        <w:jc w:val="both"/>
        <w:rPr>
          <w:noProof/>
        </w:rPr>
      </w:pPr>
      <w:r>
        <w:rPr>
          <w:noProof/>
        </w:rPr>
        <w:t>Az e komponens alá tartozó beruházásoknak és reformoknak hozzá kell járulniuk a 2020-b</w:t>
      </w:r>
      <w:r>
        <w:rPr>
          <w:noProof/>
        </w:rPr>
        <w:t>an és 2019-ben Olaszországnak címzett országspecifikus ajánlások megvalósításához, amelyek a következők: „a nők munkaerőpiaci részvételének átfogó stratégia révén történő támogatása” (2. országspecifikus ajánlás, 2019. évi 2. országspecifikus ajánlás), „az</w:t>
      </w:r>
      <w:r>
        <w:rPr>
          <w:noProof/>
        </w:rPr>
        <w:t xml:space="preserve"> oktatási eredmények javítása – többek között megfelelő és célzott beruházások révén – és a továbbképzés előmozdítása, többek között a digitális készségek megerősítése révén” (2. országspecifikus ajánlás), a „kutatás és az innováció előmozdítása” (3. orszá</w:t>
      </w:r>
      <w:r>
        <w:rPr>
          <w:noProof/>
        </w:rPr>
        <w:t>gspecifikus ajánlás, 2019. évi 3. ajánlás), „a távoktatás és a készségek, köztük a digitális készségek” (2. országspecifikus ajánlás, 2020.) és „a kutatásra és innovációra való összpontosítása” (2020. évi 3. országspecifikus ajánlás).</w:t>
      </w:r>
    </w:p>
    <w:p w14:paraId="0DF51C87" w14:textId="77777777" w:rsidR="003F5418" w:rsidRDefault="002A6C25">
      <w:pPr>
        <w:pStyle w:val="Heading3"/>
        <w:numPr>
          <w:ilvl w:val="0"/>
          <w:numId w:val="0"/>
        </w:numPr>
        <w:ind w:left="850" w:hanging="850"/>
        <w:rPr>
          <w:b/>
          <w:i w:val="0"/>
          <w:noProof/>
          <w:u w:val="single"/>
        </w:rPr>
      </w:pPr>
      <w:r>
        <w:rPr>
          <w:b/>
          <w:i w:val="0"/>
          <w:noProof/>
          <w:u w:val="single"/>
        </w:rPr>
        <w:t xml:space="preserve">J.1. </w:t>
      </w:r>
      <w:r>
        <w:rPr>
          <w:noProof/>
        </w:rPr>
        <w:t xml:space="preserve"> </w:t>
      </w:r>
      <w:r>
        <w:rPr>
          <w:b/>
          <w:i w:val="0"/>
          <w:noProof/>
          <w:u w:val="single"/>
        </w:rPr>
        <w:t>Vissza nem térí</w:t>
      </w:r>
      <w:r>
        <w:rPr>
          <w:b/>
          <w:i w:val="0"/>
          <w:noProof/>
          <w:u w:val="single"/>
        </w:rPr>
        <w:t>tendő pénzügyi támogatás – a reformok és beruházások ismertetése</w:t>
      </w:r>
    </w:p>
    <w:p w14:paraId="0F54120E" w14:textId="74709567" w:rsidR="003F5418" w:rsidRDefault="00632269">
      <w:pPr>
        <w:pStyle w:val="P68B1DB1-Normal2"/>
        <w:spacing w:before="120" w:after="120"/>
        <w:jc w:val="both"/>
        <w:rPr>
          <w:noProof/>
        </w:rPr>
      </w:pPr>
      <w:r>
        <w:rPr>
          <w:noProof/>
        </w:rPr>
        <w:t>1</w:t>
      </w:r>
      <w:r w:rsidRPr="00B07E42">
        <w:rPr>
          <w:noProof/>
        </w:rPr>
        <w:t>.1.</w:t>
      </w:r>
      <w:r>
        <w:rPr>
          <w:noProof/>
        </w:rPr>
        <w:t xml:space="preserve"> Beruházás: A bölcsődékre és az óvodákra, valamint a kora gyermekkori nevelésre és gondozásra vonatkozó terv </w:t>
      </w:r>
    </w:p>
    <w:p w14:paraId="2745609B" w14:textId="77777777" w:rsidR="003F5418" w:rsidRDefault="002A6C25">
      <w:pPr>
        <w:spacing w:before="120" w:after="120"/>
        <w:jc w:val="both"/>
        <w:rPr>
          <w:noProof/>
        </w:rPr>
      </w:pPr>
      <w:r>
        <w:rPr>
          <w:noProof/>
        </w:rPr>
        <w:t>A 0–6 éves korosztállyal kapcsolatos beruházási terv célja a gyermekgondozási</w:t>
      </w:r>
      <w:r>
        <w:rPr>
          <w:noProof/>
        </w:rPr>
        <w:t xml:space="preserve"> intézmények kínálatának növelése bölcsődék és óvodák építésével, felújításával és biztonságosabbá tételével, ezen keresztül az oktatási kínálat bővítése és a 0–6 éves korosztály számára rendelkezésre álló férőhelyek számának növelése, végső soron pedig az</w:t>
      </w:r>
      <w:r>
        <w:rPr>
          <w:noProof/>
        </w:rPr>
        <w:t xml:space="preserve"> oktatás minőségének javítása. Az intézkedés várhatóan ösztönzi a nők munkaerőpiaci részvételét, és támogatja a gondozókat a családi és a szakmai élet összeegyeztetésében</w:t>
      </w:r>
      <w:r>
        <w:rPr>
          <w:noProof/>
          <w:color w:val="006100"/>
        </w:rPr>
        <w:t>.</w:t>
      </w:r>
    </w:p>
    <w:p w14:paraId="2B97D2A8" w14:textId="77777777" w:rsidR="003F5418" w:rsidRDefault="002A6C25">
      <w:pPr>
        <w:spacing w:before="120" w:after="120"/>
        <w:jc w:val="both"/>
        <w:rPr>
          <w:noProof/>
          <w:color w:val="006100"/>
        </w:rPr>
      </w:pPr>
      <w:r>
        <w:rPr>
          <w:noProof/>
        </w:rPr>
        <w:t>Annak biztosítása érdekében, hogy az intézkedés megfeleljen a jelentős károkozás elk</w:t>
      </w:r>
      <w:r>
        <w:rPr>
          <w:noProof/>
        </w:rPr>
        <w:t>erülését célzó elvről szóló technikai iránymutatásnak (2021/C58/01), a soron következő pályázati felhívásokra vonatkozó feladatmeghatározásban szereplő támogathatósági kritériumok nem tartalmazzák a tevékenységek alábbi listáját: a fosszilis tüzelőanyagokk</w:t>
      </w:r>
      <w:r>
        <w:rPr>
          <w:noProof/>
        </w:rPr>
        <w:t>al kapcsolatos tevékenységek, beleértve a továbbfelhasználást is</w:t>
      </w:r>
      <w:r>
        <w:rPr>
          <w:rStyle w:val="FootnoteReference"/>
          <w:noProof/>
        </w:rPr>
        <w:footnoteReference w:id="63"/>
      </w:r>
      <w:r>
        <w:rPr>
          <w:noProof/>
        </w:rPr>
        <w:t>; ii. az uniós kibocsátáskereskedelmi rendszer (ETS) keretében végzett tevékenységek, amelyek elérik a vonatkozó referenciaértékeket meg nem haladó, előre jelzett üvegházhatásúgáz-kibocsátást</w:t>
      </w:r>
      <w:r>
        <w:rPr>
          <w:rStyle w:val="FootnoteReference"/>
          <w:noProof/>
        </w:rPr>
        <w:footnoteReference w:id="64"/>
      </w:r>
      <w:r>
        <w:rPr>
          <w:noProof/>
        </w:rPr>
        <w:t>; hulladéklerakókkal, hulladékégetőkkel</w:t>
      </w:r>
      <w:r>
        <w:rPr>
          <w:rStyle w:val="FootnoteReference"/>
          <w:noProof/>
        </w:rPr>
        <w:footnoteReference w:id="65"/>
      </w:r>
      <w:r>
        <w:rPr>
          <w:noProof/>
        </w:rPr>
        <w:t xml:space="preserve"> és mechanikai-biológiai hulladékkezelő létesítményekkel kapcsolatos tevékenységek</w:t>
      </w:r>
      <w:r>
        <w:rPr>
          <w:rStyle w:val="FootnoteReference"/>
          <w:noProof/>
        </w:rPr>
        <w:footnoteReference w:id="66"/>
      </w:r>
      <w:r>
        <w:rPr>
          <w:noProof/>
        </w:rPr>
        <w:t>; valamint iv. azok a tevékenységek, amelyek esetében a hulladék hosszú távú ártalmatlanítása károsíthatja a környezetet. A pályázat</w:t>
      </w:r>
      <w:r>
        <w:rPr>
          <w:noProof/>
        </w:rPr>
        <w:t>i felhívásokban meghatározott szabályoknak emellett ki kell mondaniuk, hogy kizárólag a vonatkozó uniós és nemzeti környezetvédelmi jogszabályokkal összhangban lévő tevékenységek választhatók ki.</w:t>
      </w:r>
    </w:p>
    <w:p w14:paraId="7A794148" w14:textId="31708820" w:rsidR="003F5418" w:rsidRDefault="00632269">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Beruházás: A teljes munkaidő meghosszabbítására vonatkozó terv</w:t>
      </w:r>
    </w:p>
    <w:p w14:paraId="18CA6796" w14:textId="476FFC5C" w:rsidR="003F5418" w:rsidRDefault="002A6C25">
      <w:pPr>
        <w:spacing w:before="120" w:after="120"/>
        <w:jc w:val="both"/>
        <w:rPr>
          <w:noProof/>
        </w:rPr>
      </w:pPr>
      <w:r>
        <w:rPr>
          <w:noProof/>
        </w:rPr>
        <w:t>Az intézkedés célja az iskolai idő meghosszabbításának finanszírozása annak érdekében, hogy növeljék az iskolák oktatási kínálatát, és a tanórákon túl is nyitva álljanak a terület számára. Az intézkedés legalább 1000 építmény számára étkezdehelyisé</w:t>
      </w:r>
      <w:r>
        <w:rPr>
          <w:noProof/>
        </w:rPr>
        <w:t>gek építését vagy felújítását irányozza elő az iskolai idő meghosszabbításának lehetővé tétele érdekében. A hosszabb iskoláztatási idő várhatóan pozitív hatással lesz a korai iskolaelhagyás elleni küzdelemre.</w:t>
      </w:r>
    </w:p>
    <w:p w14:paraId="27F4A5DB" w14:textId="0A1B9FA4" w:rsidR="003F5418" w:rsidRDefault="00632269">
      <w:pPr>
        <w:pStyle w:val="P68B1DB1-Normal2"/>
        <w:spacing w:before="120" w:after="120"/>
        <w:jc w:val="both"/>
        <w:rPr>
          <w:noProof/>
        </w:rPr>
      </w:pPr>
      <w:r>
        <w:rPr>
          <w:noProof/>
        </w:rPr>
        <w:t>1</w:t>
      </w:r>
      <w:r w:rsidRPr="00B07E42">
        <w:rPr>
          <w:noProof/>
        </w:rPr>
        <w:t>.</w:t>
      </w:r>
      <w:r>
        <w:rPr>
          <w:noProof/>
        </w:rPr>
        <w:t>3</w:t>
      </w:r>
      <w:r w:rsidRPr="00B07E42">
        <w:rPr>
          <w:noProof/>
        </w:rPr>
        <w:t>.</w:t>
      </w:r>
      <w:r>
        <w:rPr>
          <w:noProof/>
        </w:rPr>
        <w:t xml:space="preserve"> Beruházás: Iskolai sportinfrastruktúra-fejlesztési terv</w:t>
      </w:r>
    </w:p>
    <w:p w14:paraId="6F8B9D85" w14:textId="77777777" w:rsidR="003F5418" w:rsidRDefault="002A6C25">
      <w:pPr>
        <w:spacing w:before="120" w:after="120"/>
        <w:jc w:val="both"/>
        <w:rPr>
          <w:noProof/>
        </w:rPr>
      </w:pPr>
      <w:r>
        <w:rPr>
          <w:noProof/>
        </w:rPr>
        <w:t>Az intézkedés célja a sportinfrastruktúra megerősítése és a sporttevékenységek ösztönzése. A sporttevékenység megerősítése várhatóan küzdeni fog a korai iskolaelhagyás ellen, fokozza a társadalmi befogadást és erősíti a személyes képességeket</w:t>
      </w:r>
      <w:r>
        <w:rPr>
          <w:noProof/>
        </w:rPr>
        <w:t>.</w:t>
      </w:r>
    </w:p>
    <w:p w14:paraId="5A26E4C9" w14:textId="77777777" w:rsidR="003F5418" w:rsidRDefault="002A6C25">
      <w:pPr>
        <w:spacing w:before="120" w:after="120"/>
        <w:jc w:val="both"/>
        <w:rPr>
          <w:noProof/>
          <w:color w:val="006100"/>
        </w:rPr>
      </w:pPr>
      <w:r>
        <w:rPr>
          <w:noProof/>
        </w:rPr>
        <w:t>A beruházásnak korszerűsítenie kell az iskolákhoz kapcsolódó sportlétesítményeket és tornatermeket az oktatási kínálat növelése és az iskolai idő növelése érdekében. Annak biztosítása érdekében, hogy az intézkedés megfeleljen a jelentős károkozás elkerül</w:t>
      </w:r>
      <w:r>
        <w:rPr>
          <w:noProof/>
        </w:rPr>
        <w:t>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w:t>
      </w:r>
      <w:r>
        <w:rPr>
          <w:noProof/>
        </w:rPr>
        <w:t>apcsolatos tevékenységek, beleértve a továbbfelhasználást is</w:t>
      </w:r>
      <w:r>
        <w:rPr>
          <w:rStyle w:val="FootnoteReference"/>
          <w:noProof/>
        </w:rPr>
        <w:footnoteReference w:id="67"/>
      </w:r>
      <w:r>
        <w:rPr>
          <w:noProof/>
        </w:rPr>
        <w:t>; ii. az uniós kibocsátáskereskedelmi rendszer (ETS) keretében végzett tevékenységek, amelyek elérik a vonatkozó referenciaértékeket meg nem haladó, előre jelzett üvegházhatásúgáz-kibocsátást</w:t>
      </w:r>
      <w:r>
        <w:rPr>
          <w:rStyle w:val="FootnoteReference"/>
          <w:noProof/>
        </w:rPr>
        <w:footnoteReference w:id="68"/>
      </w:r>
      <w:r>
        <w:rPr>
          <w:noProof/>
        </w:rPr>
        <w:t>; h</w:t>
      </w:r>
      <w:r>
        <w:rPr>
          <w:noProof/>
        </w:rPr>
        <w:t>ulladéklerakókkal, hulladékégetőkkel</w:t>
      </w:r>
      <w:r>
        <w:rPr>
          <w:rStyle w:val="FootnoteReference"/>
          <w:noProof/>
        </w:rPr>
        <w:footnoteReference w:id="69"/>
      </w:r>
      <w:r>
        <w:rPr>
          <w:noProof/>
        </w:rPr>
        <w:t xml:space="preserve"> és mechanikai-biológiai hulladékkezelő létesítményekkel kapcsolatos tevékenységek</w:t>
      </w:r>
      <w:r>
        <w:rPr>
          <w:rStyle w:val="FootnoteReference"/>
          <w:noProof/>
        </w:rPr>
        <w:footnoteReference w:id="70"/>
      </w:r>
      <w:r>
        <w:rPr>
          <w:noProof/>
        </w:rPr>
        <w:t>; valamint iv. azok a tevékenységek, amelyek esetében a hulladék hosszú távú ártalmatlanítása károsíthatja a környezetet. A pályázati fe</w:t>
      </w:r>
      <w:r>
        <w:rPr>
          <w:noProof/>
        </w:rPr>
        <w:t>lhívásokban meghatározott szabályoknak emellett ki kell mondaniuk, hogy kizárólag a vonatkozó uniós és nemzeti környezetvédelmi jogszabályokkal összhangban lévő tevékenységek választhatók ki.</w:t>
      </w:r>
    </w:p>
    <w:p w14:paraId="2123DB66" w14:textId="1396058B" w:rsidR="003F5418" w:rsidRDefault="00632269">
      <w:pPr>
        <w:pStyle w:val="P68B1DB1-Normal2"/>
        <w:spacing w:before="120" w:after="120"/>
        <w:jc w:val="both"/>
        <w:rPr>
          <w:noProof/>
        </w:rPr>
      </w:pPr>
      <w:r>
        <w:rPr>
          <w:noProof/>
        </w:rPr>
        <w:t>1</w:t>
      </w:r>
      <w:r w:rsidRPr="00B07E42">
        <w:rPr>
          <w:noProof/>
        </w:rPr>
        <w:t>.</w:t>
      </w:r>
      <w:r>
        <w:rPr>
          <w:noProof/>
        </w:rPr>
        <w:t>4</w:t>
      </w:r>
      <w:r w:rsidRPr="00B07E42">
        <w:rPr>
          <w:noProof/>
        </w:rPr>
        <w:t>.</w:t>
      </w:r>
      <w:r>
        <w:rPr>
          <w:noProof/>
        </w:rPr>
        <w:t xml:space="preserve"> Beruházás: Rendkívüli beavatkozás, amelynek célja a területi különbségek csökkentése a középiskola I. és II. ciklusaiban, valamint az iskolai lemorzsolódás kezelése</w:t>
      </w:r>
    </w:p>
    <w:p w14:paraId="77A48C80" w14:textId="77777777" w:rsidR="003F5418" w:rsidRDefault="002A6C25">
      <w:pPr>
        <w:spacing w:before="120" w:after="120"/>
        <w:jc w:val="both"/>
        <w:rPr>
          <w:noProof/>
        </w:rPr>
      </w:pPr>
      <w:r>
        <w:rPr>
          <w:noProof/>
        </w:rPr>
        <w:t>Az intézkedés célja, hogy megfelelő alapkészségeket biztosítson a diákok számára, többek között az online képzés egységes nemzeti portáljának kidolgoz</w:t>
      </w:r>
      <w:r>
        <w:rPr>
          <w:noProof/>
        </w:rPr>
        <w:t>ása révén. Különös figyelmet kell fordítani azokra az iskolákra, amelyek teljesítményük tekintetében nagyobb nehézségekkel küzdenek azáltal, hogy a beavatkozásokat a diákok igényeihez igazítják – ahol az iskolavezetőnek külső oktatókkal kell támogatnia, va</w:t>
      </w:r>
      <w:r>
        <w:rPr>
          <w:noProof/>
        </w:rPr>
        <w:t>lamint a legkritikusabb esetekben tantárgyanként legalább egy további (olasz, matematikai és angol) személyzeti egységet kell rendelkezésre bocsátania legalább két évig. A beruházásnak elő kell mozdítania a mentorálási tevékenységek végrehajtását</w:t>
      </w:r>
      <w:r>
        <w:rPr>
          <w:rFonts w:ascii="Arial Narrow" w:hAnsi="Arial Narrow"/>
          <w:noProof/>
          <w:color w:val="006100"/>
          <w:sz w:val="20"/>
        </w:rPr>
        <w:t xml:space="preserve"> </w:t>
      </w:r>
      <w:r>
        <w:rPr>
          <w:noProof/>
        </w:rPr>
        <w:t xml:space="preserve">legalább </w:t>
      </w:r>
      <w:r>
        <w:rPr>
          <w:noProof/>
        </w:rPr>
        <w:t>820000, a korai iskolaelhagyás kockázatának kitett és már lemorzsolódott fiatal számára. Előirányozza egy online platform használatát a mentorálási és képzési tevékenységekhez.</w:t>
      </w:r>
    </w:p>
    <w:p w14:paraId="7EAF1065" w14:textId="77777777" w:rsidR="003F5418" w:rsidRDefault="002A6C25">
      <w:pPr>
        <w:spacing w:before="120" w:after="120"/>
        <w:jc w:val="both"/>
        <w:rPr>
          <w:noProof/>
        </w:rPr>
      </w:pPr>
      <w:r>
        <w:rPr>
          <w:noProof/>
        </w:rPr>
        <w:t>A beavatkozás várhatóan előmozdítja a nemek közötti egyenlőséget, és hozzájárul</w:t>
      </w:r>
      <w:r>
        <w:rPr>
          <w:noProof/>
        </w:rPr>
        <w:t xml:space="preserve"> az oktatáshoz való hozzáférés terén fennálló egyenlőtlenségek, köztük a területi különbségek felszámolásához. </w:t>
      </w:r>
    </w:p>
    <w:p w14:paraId="1D14E350" w14:textId="7D5F4E7A" w:rsidR="003F5418" w:rsidRDefault="00632269">
      <w:pPr>
        <w:pStyle w:val="P68B1DB1-Normal2"/>
        <w:spacing w:before="120" w:after="120"/>
        <w:jc w:val="both"/>
        <w:rPr>
          <w:noProof/>
        </w:rPr>
      </w:pPr>
      <w:r>
        <w:rPr>
          <w:noProof/>
        </w:rPr>
        <w:t>1</w:t>
      </w:r>
      <w:r w:rsidRPr="00B07E42">
        <w:rPr>
          <w:noProof/>
        </w:rPr>
        <w:t>.1.</w:t>
      </w:r>
      <w:r>
        <w:rPr>
          <w:noProof/>
        </w:rPr>
        <w:t xml:space="preserve"> Reform: A műszaki és szakmai intézetek reformja</w:t>
      </w:r>
    </w:p>
    <w:p w14:paraId="456127D7" w14:textId="77777777" w:rsidR="003F5418" w:rsidRDefault="002A6C25">
      <w:pPr>
        <w:spacing w:before="120" w:after="120"/>
        <w:jc w:val="both"/>
        <w:rPr>
          <w:noProof/>
        </w:rPr>
      </w:pPr>
      <w:r>
        <w:rPr>
          <w:noProof/>
        </w:rPr>
        <w:t>A reform célja, hogy a műszaki és szakmai intézetek tanterveit összehangolja az olasz terme</w:t>
      </w:r>
      <w:r>
        <w:rPr>
          <w:noProof/>
        </w:rPr>
        <w:t>lési rendszer számára szükséges kompetenciákkal, helyi szinten is. A reformnak különösen a műszaki és szakképzést összhangba kell hoznia az Ipar 4.0-val, és magában kell foglalnia a digitális innovációt.</w:t>
      </w:r>
    </w:p>
    <w:p w14:paraId="3B422A4A" w14:textId="7A1163D0" w:rsidR="003F5418" w:rsidRDefault="00632269">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Reform: A felsőfokú szakképzés (ITS) reformja</w:t>
      </w:r>
    </w:p>
    <w:p w14:paraId="745D21C9" w14:textId="77777777" w:rsidR="003F5418" w:rsidRDefault="002A6C25">
      <w:pPr>
        <w:spacing w:before="120" w:after="120"/>
        <w:jc w:val="both"/>
        <w:rPr>
          <w:noProof/>
        </w:rPr>
      </w:pPr>
      <w:r>
        <w:rPr>
          <w:noProof/>
        </w:rPr>
        <w:t>A</w:t>
      </w:r>
      <w:r>
        <w:rPr>
          <w:noProof/>
        </w:rPr>
        <w:t xml:space="preserve"> reform célja a felsőfokú szakképzési rendszer megerősítése az ITS irányításának egyszerűsítése révén annak érdekében, hogy a helyi területre tekintettel növeljék az intézetek és a beiratkozások számát. </w:t>
      </w:r>
    </w:p>
    <w:p w14:paraId="33E6121C" w14:textId="77777777" w:rsidR="003F5418" w:rsidRDefault="002A6C25">
      <w:pPr>
        <w:spacing w:before="120" w:after="120"/>
        <w:jc w:val="both"/>
        <w:rPr>
          <w:noProof/>
        </w:rPr>
      </w:pPr>
      <w:r>
        <w:rPr>
          <w:noProof/>
        </w:rPr>
        <w:t xml:space="preserve">A reform várhatóan áthidalja a munkaerő-kínálat és -kereslet közötti eltéréseket. </w:t>
      </w:r>
    </w:p>
    <w:p w14:paraId="1C5179D7" w14:textId="45B5818C" w:rsidR="003F5418" w:rsidRDefault="00632269">
      <w:pPr>
        <w:pStyle w:val="P68B1DB1-Normal2"/>
        <w:spacing w:before="120" w:after="120"/>
        <w:jc w:val="both"/>
        <w:rPr>
          <w:noProof/>
        </w:rPr>
      </w:pPr>
      <w:r>
        <w:rPr>
          <w:noProof/>
        </w:rPr>
        <w:t>1</w:t>
      </w:r>
      <w:r w:rsidRPr="00B07E42">
        <w:rPr>
          <w:noProof/>
        </w:rPr>
        <w:t>.</w:t>
      </w:r>
      <w:r>
        <w:rPr>
          <w:noProof/>
        </w:rPr>
        <w:t>5</w:t>
      </w:r>
      <w:r w:rsidRPr="00B07E42">
        <w:rPr>
          <w:noProof/>
        </w:rPr>
        <w:t>.</w:t>
      </w:r>
      <w:r>
        <w:rPr>
          <w:noProof/>
        </w:rPr>
        <w:t xml:space="preserve"> Beruházás: A felsőfokú szakképzési rendszer (ITS) fejlesztése</w:t>
      </w:r>
    </w:p>
    <w:p w14:paraId="7CBBF363" w14:textId="77777777" w:rsidR="003F5418" w:rsidRDefault="002A6C25">
      <w:pPr>
        <w:spacing w:before="120" w:after="120"/>
        <w:jc w:val="both"/>
        <w:rPr>
          <w:noProof/>
        </w:rPr>
      </w:pPr>
      <w:r>
        <w:rPr>
          <w:noProof/>
        </w:rPr>
        <w:t>Az intézkedés kiegészíti az 1.2. reformot (A felsőfokú szakképzés reformja) a szakképzési intézetek oktatá</w:t>
      </w:r>
      <w:r>
        <w:rPr>
          <w:noProof/>
        </w:rPr>
        <w:t>si kínálatának megerősítése érdekében. Hozzájárul a szakképzési intézmények oktatási kínálatának növeléséhez, valamint a vállalkozások oktatási folyamatokban való részvételének növeléséhez a vállalkozói hálózattal való jobb kapcsolat érdekében. Az intézked</w:t>
      </w:r>
      <w:r>
        <w:rPr>
          <w:noProof/>
        </w:rPr>
        <w:t xml:space="preserve">és várhatóan csökkenteni fogja az ifjúsági munkanélküliséget is azáltal, hogy kezeli a munkaerő-kereslet és -kínálat közötti strukturális munkaerőhiányt. </w:t>
      </w:r>
    </w:p>
    <w:p w14:paraId="51750557" w14:textId="77777777" w:rsidR="003F5418" w:rsidRDefault="002A6C25">
      <w:pPr>
        <w:spacing w:before="120" w:after="120"/>
        <w:jc w:val="both"/>
        <w:rPr>
          <w:noProof/>
        </w:rPr>
      </w:pPr>
      <w:r>
        <w:rPr>
          <w:noProof/>
        </w:rPr>
        <w:t xml:space="preserve">A beruházásnak növelnie kell az ITS-tanfolyamokba beiratkozott diákok számát, és meg kell erősítenie </w:t>
      </w:r>
      <w:r>
        <w:rPr>
          <w:noProof/>
        </w:rPr>
        <w:t>a laboratóriumi struktúrákat (innovatív technológiák bevezetése 4.0), miközben be kell ruháznia a tanárok készségeibe. Tervezik egy olyan nemzeti digitális platform aktiválását, amely lehetővé teszi a diákok számára, hogy megismerjék a szakmai képesítést s</w:t>
      </w:r>
      <w:r>
        <w:rPr>
          <w:noProof/>
        </w:rPr>
        <w:t xml:space="preserve">zerzők állásajánlatait. </w:t>
      </w:r>
    </w:p>
    <w:p w14:paraId="115AB57F" w14:textId="017FFCEB" w:rsidR="003F5418" w:rsidRDefault="00632269">
      <w:pPr>
        <w:pStyle w:val="P68B1DB1-Normal2"/>
        <w:spacing w:before="120" w:after="120"/>
        <w:jc w:val="both"/>
        <w:rPr>
          <w:noProof/>
        </w:rPr>
      </w:pPr>
      <w:r>
        <w:rPr>
          <w:noProof/>
        </w:rPr>
        <w:t>1</w:t>
      </w:r>
      <w:r w:rsidRPr="00B07E42">
        <w:rPr>
          <w:noProof/>
        </w:rPr>
        <w:t>.</w:t>
      </w:r>
      <w:r>
        <w:rPr>
          <w:noProof/>
        </w:rPr>
        <w:t>3</w:t>
      </w:r>
      <w:r w:rsidRPr="00B07E42">
        <w:rPr>
          <w:noProof/>
        </w:rPr>
        <w:t>.</w:t>
      </w:r>
      <w:r>
        <w:rPr>
          <w:noProof/>
        </w:rPr>
        <w:t xml:space="preserve"> Reform: Az iskolarendszer átszervezése</w:t>
      </w:r>
    </w:p>
    <w:p w14:paraId="5FF18946" w14:textId="77777777" w:rsidR="003F5418" w:rsidRDefault="002A6C25">
      <w:pPr>
        <w:spacing w:before="120" w:after="120"/>
        <w:jc w:val="both"/>
        <w:rPr>
          <w:noProof/>
        </w:rPr>
      </w:pPr>
      <w:r>
        <w:rPr>
          <w:noProof/>
        </w:rPr>
        <w:t xml:space="preserve">A reform célja kettős: </w:t>
      </w:r>
    </w:p>
    <w:p w14:paraId="502C2EDA" w14:textId="77777777" w:rsidR="003F5418" w:rsidRDefault="002A6C25">
      <w:pPr>
        <w:pStyle w:val="ListParagraph"/>
        <w:numPr>
          <w:ilvl w:val="0"/>
          <w:numId w:val="57"/>
        </w:numPr>
        <w:ind w:left="360"/>
        <w:rPr>
          <w:noProof/>
        </w:rPr>
      </w:pPr>
      <w:r>
        <w:rPr>
          <w:noProof/>
        </w:rPr>
        <w:t xml:space="preserve">Az osztályonkénti tanulók számának kiigazítása. </w:t>
      </w:r>
    </w:p>
    <w:p w14:paraId="4A0E34AA" w14:textId="77777777" w:rsidR="003F5418" w:rsidRDefault="002A6C25">
      <w:pPr>
        <w:spacing w:before="120" w:after="120"/>
        <w:jc w:val="both"/>
        <w:rPr>
          <w:noProof/>
        </w:rPr>
      </w:pPr>
      <w:r>
        <w:rPr>
          <w:noProof/>
        </w:rPr>
        <w:t>A tanári személyzet létszámát a 2020/2021-es tanévtel azonos szinten kell meghatározni, tekintettel a népesség csö</w:t>
      </w:r>
      <w:r>
        <w:rPr>
          <w:noProof/>
        </w:rPr>
        <w:t xml:space="preserve">kkenésére, valamint az osztályonkénti tanulók számának csökkentése, valamint a tanulók és a közös pozíciókat betöltő tanárok száma közötti arány fokozatos javítása érdekében. A beavatkozás végrehajtása nem növelheti a rendelkezésre álló épületek számát. A </w:t>
      </w:r>
      <w:r>
        <w:rPr>
          <w:noProof/>
        </w:rPr>
        <w:t>kezdeményezésnek személyre szabott figyelmet kell fordítania az egyes tanulókra, különösen a legkiszolgáltatottabb és minden bizonnyal fogyatékossággal élő tanulókra.  A tanuló/tanár arány javulása várhatóan kedvező hatással lesz a tanítás minőségére és az</w:t>
      </w:r>
      <w:r>
        <w:rPr>
          <w:noProof/>
        </w:rPr>
        <w:t xml:space="preserve"> iskolai épületekhez szükséges erőforrások rendelkezésre állására.</w:t>
      </w:r>
    </w:p>
    <w:p w14:paraId="1E0744F0" w14:textId="77777777" w:rsidR="003F5418" w:rsidRDefault="002A6C25">
      <w:pPr>
        <w:pStyle w:val="ListParagraph"/>
        <w:numPr>
          <w:ilvl w:val="0"/>
          <w:numId w:val="57"/>
        </w:numPr>
        <w:ind w:left="360"/>
        <w:rPr>
          <w:noProof/>
        </w:rPr>
      </w:pPr>
      <w:r>
        <w:rPr>
          <w:noProof/>
        </w:rPr>
        <w:t xml:space="preserve">Az iskolaépületek méretére vonatkozó szabályok felülvizsgálata. </w:t>
      </w:r>
    </w:p>
    <w:p w14:paraId="17EC633D" w14:textId="77777777" w:rsidR="003F5418" w:rsidRDefault="002A6C25">
      <w:pPr>
        <w:spacing w:before="120" w:after="120"/>
        <w:jc w:val="both"/>
        <w:rPr>
          <w:noProof/>
        </w:rPr>
      </w:pPr>
      <w:r>
        <w:rPr>
          <w:noProof/>
        </w:rPr>
        <w:t xml:space="preserve">A regionális iskolai népességet kell „tényleges paraméterként” meghatározni a fejvezetővel és fejléctel rendelkező oktatási </w:t>
      </w:r>
      <w:r>
        <w:rPr>
          <w:noProof/>
        </w:rPr>
        <w:t>intézmények azonosítására, nem pedig az egyes iskola népességére, ahogyan azt a hatályos jogszabályok előírják.</w:t>
      </w:r>
    </w:p>
    <w:p w14:paraId="62A7C98A" w14:textId="0693041C" w:rsidR="003F5418" w:rsidRDefault="00632269">
      <w:pPr>
        <w:pStyle w:val="P68B1DB1-Normal2"/>
        <w:spacing w:before="120" w:after="120"/>
        <w:jc w:val="both"/>
        <w:rPr>
          <w:noProof/>
        </w:rPr>
      </w:pPr>
      <w:r>
        <w:rPr>
          <w:noProof/>
        </w:rPr>
        <w:t>1</w:t>
      </w:r>
      <w:r w:rsidRPr="00B07E42">
        <w:rPr>
          <w:noProof/>
        </w:rPr>
        <w:t>.</w:t>
      </w:r>
      <w:r>
        <w:rPr>
          <w:noProof/>
        </w:rPr>
        <w:t>4</w:t>
      </w:r>
      <w:r w:rsidRPr="00B07E42">
        <w:rPr>
          <w:noProof/>
        </w:rPr>
        <w:t>.</w:t>
      </w:r>
      <w:r>
        <w:rPr>
          <w:noProof/>
        </w:rPr>
        <w:t xml:space="preserve"> Reform: Az orientációs rendszer reformja  </w:t>
      </w:r>
    </w:p>
    <w:p w14:paraId="59EB9DAE" w14:textId="77777777" w:rsidR="003F5418" w:rsidRDefault="002A6C25">
      <w:pPr>
        <w:spacing w:before="120" w:after="120"/>
        <w:jc w:val="both"/>
        <w:rPr>
          <w:noProof/>
        </w:rPr>
      </w:pPr>
      <w:r>
        <w:rPr>
          <w:noProof/>
        </w:rPr>
        <w:t>A reform célja, hogy pályaorientációs modulokat vezessen be (évente legalább 30 órát) a középisk</w:t>
      </w:r>
      <w:r>
        <w:rPr>
          <w:noProof/>
        </w:rPr>
        <w:t>ola negyedik és ötödik osztálya számára. A fő cél annak támogatása, hogy a diákok megalapozott döntést hozhassanak tanulmányaik folytatása vagy továbbképzése (ITS) között, mielőtt beilleszkednének a munkaerőpiacra. A reform előirányozza egy digitális orien</w:t>
      </w:r>
      <w:r>
        <w:rPr>
          <w:noProof/>
        </w:rPr>
        <w:t>tációs platform létrehozását is, amely az egyetemek és a szakképzési intézetek (ITS) felsőoktatási kínálatához kapcsolódik.</w:t>
      </w:r>
    </w:p>
    <w:p w14:paraId="3F0D014A" w14:textId="706A6371" w:rsidR="003F5418" w:rsidRDefault="00632269">
      <w:pPr>
        <w:pStyle w:val="P68B1DB1-Normal2"/>
        <w:spacing w:before="120" w:after="120"/>
        <w:jc w:val="both"/>
        <w:rPr>
          <w:noProof/>
        </w:rPr>
      </w:pPr>
      <w:r>
        <w:rPr>
          <w:noProof/>
        </w:rPr>
        <w:t>1</w:t>
      </w:r>
      <w:r w:rsidRPr="00B07E42">
        <w:rPr>
          <w:noProof/>
        </w:rPr>
        <w:t>.</w:t>
      </w:r>
      <w:r>
        <w:rPr>
          <w:noProof/>
        </w:rPr>
        <w:t>6</w:t>
      </w:r>
      <w:r w:rsidRPr="00B07E42">
        <w:rPr>
          <w:noProof/>
        </w:rPr>
        <w:t>.</w:t>
      </w:r>
      <w:r>
        <w:rPr>
          <w:noProof/>
        </w:rPr>
        <w:t xml:space="preserve"> Beruházás: Aktív orientáció az iskola és az egyetem közötti átmenet terén</w:t>
      </w:r>
    </w:p>
    <w:p w14:paraId="70F74EFE" w14:textId="77777777" w:rsidR="003F5418" w:rsidRDefault="002A6C25">
      <w:pPr>
        <w:spacing w:before="120" w:after="120"/>
        <w:jc w:val="both"/>
        <w:rPr>
          <w:noProof/>
        </w:rPr>
      </w:pPr>
      <w:r>
        <w:rPr>
          <w:noProof/>
        </w:rPr>
        <w:t xml:space="preserve">Az intézkedés célja, hogy megkönnyítse és ösztönözze </w:t>
      </w:r>
      <w:r>
        <w:rPr>
          <w:noProof/>
        </w:rPr>
        <w:t xml:space="preserve">a felső középfokú oktatásból az egyetemre való átmenetet, és csökkentse az egyetemi lemorzsolódások számát, hozzájárulva ezzel a diplomások számának növeléséhez. A beruházás várhatóan növeli a sikermutatókat (iskolai jelenlét, a tanulási szintek javítása, </w:t>
      </w:r>
      <w:r>
        <w:rPr>
          <w:noProof/>
        </w:rPr>
        <w:t>a következő tanévre felvett diákok száma stb.), és csökkenti a nemek közötti különbségeket mind a foglalkoztatás, mind a felsőoktatásban való részvétel tekintetében valamennyi területen.</w:t>
      </w:r>
    </w:p>
    <w:p w14:paraId="5A9E61AE" w14:textId="77777777" w:rsidR="003F5418" w:rsidRDefault="002A6C25">
      <w:pPr>
        <w:spacing w:before="120" w:after="120"/>
        <w:jc w:val="both"/>
        <w:rPr>
          <w:noProof/>
        </w:rPr>
      </w:pPr>
      <w:r>
        <w:rPr>
          <w:noProof/>
        </w:rPr>
        <w:t>Ez a kezdeményezés azt irányozza elő, hogy a felső középfokú oktatásb</w:t>
      </w:r>
      <w:r>
        <w:rPr>
          <w:noProof/>
        </w:rPr>
        <w:t>an részt vevő valamennyi diák számára tanfolyamokat biztosítsanak a felsőoktatás megválasztásában, megkönnyítve a felkészítés és a szakképzés közötti jobb megfelelést, és segítve a diákokat abban, hogy az iskola és az egyetem közötti átmenetben vegyenek ré</w:t>
      </w:r>
      <w:r>
        <w:rPr>
          <w:noProof/>
        </w:rPr>
        <w:t xml:space="preserve">szt. Az előadásokat felsőoktatási tanárok tartják, és a felső középfokú oktatásban részt vevő diákok számára tartják. A fenntarthatóságot a középiskolai tanárok képzésének oly módon történő kiterjesztésével kell elérni, hogy e hároméves programot követően </w:t>
      </w:r>
      <w:r>
        <w:rPr>
          <w:noProof/>
        </w:rPr>
        <w:t>a középiskolák belső munkatársai számára legyen elérhető az orientáció.</w:t>
      </w:r>
    </w:p>
    <w:p w14:paraId="09163059" w14:textId="37E48FE7" w:rsidR="003F5418" w:rsidRDefault="00632269">
      <w:pPr>
        <w:pStyle w:val="P68B1DB1-Normal2"/>
        <w:spacing w:before="120" w:after="120"/>
        <w:jc w:val="both"/>
        <w:rPr>
          <w:noProof/>
        </w:rPr>
      </w:pPr>
      <w:r>
        <w:rPr>
          <w:noProof/>
        </w:rPr>
        <w:t>1</w:t>
      </w:r>
      <w:r w:rsidRPr="00B07E42">
        <w:rPr>
          <w:noProof/>
        </w:rPr>
        <w:t>.</w:t>
      </w:r>
      <w:r>
        <w:rPr>
          <w:noProof/>
        </w:rPr>
        <w:t>7</w:t>
      </w:r>
      <w:r w:rsidRPr="00B07E42">
        <w:rPr>
          <w:noProof/>
        </w:rPr>
        <w:t>.</w:t>
      </w:r>
      <w:r>
        <w:rPr>
          <w:noProof/>
        </w:rPr>
        <w:t xml:space="preserve"> Beruházás: Egyetemi ösztöndíjak</w:t>
      </w:r>
    </w:p>
    <w:p w14:paraId="33497B88" w14:textId="77777777" w:rsidR="003F5418" w:rsidRDefault="002A6C25">
      <w:pPr>
        <w:spacing w:before="120" w:after="120"/>
        <w:jc w:val="both"/>
        <w:rPr>
          <w:noProof/>
        </w:rPr>
      </w:pPr>
      <w:r>
        <w:rPr>
          <w:noProof/>
        </w:rPr>
        <w:t>Az intézkedés célja az oktatáshoz való egyenlő hozzáférés biztosítása azáltal, hogy megkönnyíti a társadalmi-gazdasági nehézségekkel küzdő diákok f</w:t>
      </w:r>
      <w:r>
        <w:rPr>
          <w:noProof/>
        </w:rPr>
        <w:t>elsőoktatáshoz való hozzáférését, és viszonylag magas alternatív költségekkel jár a korai munkaerőpiaci átmenettel szemben. Ezt különösen az egyetemi hallgatóknak a Helyreállítási és Rezilienciaépítési Eszközből nyújtott támogatás keretében nyújtott ösztön</w:t>
      </w:r>
      <w:r>
        <w:rPr>
          <w:noProof/>
        </w:rPr>
        <w:t>díjak számának növelésével kell elérni.</w:t>
      </w:r>
    </w:p>
    <w:p w14:paraId="2514E8E6" w14:textId="30538A7D" w:rsidR="003F5418" w:rsidRDefault="002A6C25">
      <w:pPr>
        <w:jc w:val="both"/>
        <w:rPr>
          <w:rFonts w:ascii="Segoe UI" w:eastAsia="Segoe UI" w:hAnsi="Segoe UI" w:cs="Segoe UI"/>
          <w:noProof/>
          <w:color w:val="000000" w:themeColor="text1"/>
          <w:sz w:val="20"/>
        </w:rPr>
      </w:pPr>
      <w:r>
        <w:rPr>
          <w:noProof/>
        </w:rPr>
        <w:t>Ezt az intézkedést a React-EU egészíti ki, amely 2023-ban várhatóan 13000 ösztöndíjat finanszíroz a déli régiókban az egyetemekre való bejutáshoz.</w:t>
      </w:r>
    </w:p>
    <w:p w14:paraId="2E3786E3" w14:textId="037955C8" w:rsidR="003F5418" w:rsidRDefault="00632269">
      <w:pPr>
        <w:pStyle w:val="P68B1DB1-Normal2"/>
        <w:spacing w:before="120" w:after="120"/>
        <w:jc w:val="both"/>
        <w:rPr>
          <w:noProof/>
        </w:rPr>
      </w:pPr>
      <w:r>
        <w:rPr>
          <w:noProof/>
        </w:rPr>
        <w:t>1</w:t>
      </w:r>
      <w:r w:rsidRPr="00B07E42">
        <w:rPr>
          <w:noProof/>
        </w:rPr>
        <w:t>.</w:t>
      </w:r>
      <w:r>
        <w:rPr>
          <w:noProof/>
        </w:rPr>
        <w:t>5</w:t>
      </w:r>
      <w:r w:rsidRPr="00B07E42">
        <w:rPr>
          <w:noProof/>
        </w:rPr>
        <w:t>.</w:t>
      </w:r>
      <w:r>
        <w:rPr>
          <w:noProof/>
        </w:rPr>
        <w:t xml:space="preserve"> Reform: Egyetemi csoportok reformja</w:t>
      </w:r>
    </w:p>
    <w:p w14:paraId="233E894F" w14:textId="77777777" w:rsidR="003F5418" w:rsidRDefault="002A6C25">
      <w:pPr>
        <w:spacing w:before="120" w:after="120"/>
        <w:jc w:val="both"/>
        <w:rPr>
          <w:noProof/>
          <w:color w:val="006100"/>
        </w:rPr>
      </w:pPr>
      <w:r>
        <w:rPr>
          <w:noProof/>
        </w:rPr>
        <w:t>A reform előirányozza az egy</w:t>
      </w:r>
      <w:r>
        <w:rPr>
          <w:noProof/>
        </w:rPr>
        <w:t>etemi tantervek aktualizálását, csökkentve a meglévő merev határokat, ami súlyosan korlátozza a tudományágak közötti pályák létrehozásának lehetőségét. A reform várhatóan kibővíti a szakképzési programok végrehajtásának lehetőségét is azáltal, hogy innovat</w:t>
      </w:r>
      <w:r>
        <w:rPr>
          <w:noProof/>
        </w:rPr>
        <w:t>ív munkaorientált diplomákat vezet be</w:t>
      </w:r>
      <w:r>
        <w:rPr>
          <w:noProof/>
          <w:color w:val="006100"/>
        </w:rPr>
        <w:t>.</w:t>
      </w:r>
    </w:p>
    <w:p w14:paraId="3126632F" w14:textId="3994607D" w:rsidR="003F5418" w:rsidRDefault="00632269">
      <w:pPr>
        <w:pStyle w:val="P68B1DB1-Normal2"/>
        <w:spacing w:before="120" w:after="120"/>
        <w:jc w:val="both"/>
        <w:rPr>
          <w:noProof/>
        </w:rPr>
      </w:pPr>
      <w:r>
        <w:rPr>
          <w:noProof/>
        </w:rPr>
        <w:t>1</w:t>
      </w:r>
      <w:r w:rsidRPr="00B07E42">
        <w:rPr>
          <w:noProof/>
        </w:rPr>
        <w:t>.</w:t>
      </w:r>
      <w:r>
        <w:rPr>
          <w:noProof/>
        </w:rPr>
        <w:t>6</w:t>
      </w:r>
      <w:r w:rsidRPr="00B07E42">
        <w:rPr>
          <w:noProof/>
        </w:rPr>
        <w:t>.</w:t>
      </w:r>
      <w:r>
        <w:rPr>
          <w:noProof/>
        </w:rPr>
        <w:t xml:space="preserve"> Reform: Az egyetemi diplomák reformjának lehetővé tétele </w:t>
      </w:r>
    </w:p>
    <w:p w14:paraId="28B7C07E" w14:textId="77777777" w:rsidR="003F5418" w:rsidRDefault="002A6C25">
      <w:pPr>
        <w:spacing w:before="120" w:after="120"/>
        <w:jc w:val="both"/>
        <w:rPr>
          <w:noProof/>
        </w:rPr>
      </w:pPr>
      <w:r>
        <w:rPr>
          <w:noProof/>
        </w:rPr>
        <w:t>A reform előirányozza az olyan szakmákhoz való hozzáférés eljárásának egyszerűsítését, amelyek szakmai utasításra való beiratkozást tesznek szükségessé eg</w:t>
      </w:r>
      <w:r>
        <w:rPr>
          <w:noProof/>
        </w:rPr>
        <w:t xml:space="preserve">y erre a célra szolgáló szakmai vizsgán. Az intézkedésnek hozzá kell járulnia az egyes oklevelek nemzeti záróvizsga és a megfelelő szakmai rendvizsga összehangolásához, ezáltal általános és egyértelmű szabályokat és helyettesítést biztosítva. </w:t>
      </w:r>
    </w:p>
    <w:p w14:paraId="2C606104" w14:textId="3CC118AE" w:rsidR="003F5418" w:rsidRDefault="00632269">
      <w:pPr>
        <w:pStyle w:val="P68B1DB1-Normal2"/>
        <w:spacing w:before="120" w:after="120"/>
        <w:jc w:val="both"/>
        <w:rPr>
          <w:noProof/>
        </w:rPr>
      </w:pPr>
      <w:r>
        <w:rPr>
          <w:noProof/>
        </w:rPr>
        <w:t>2</w:t>
      </w:r>
      <w:r w:rsidRPr="00B07E42">
        <w:rPr>
          <w:noProof/>
        </w:rPr>
        <w:t>.1.</w:t>
      </w:r>
      <w:r>
        <w:rPr>
          <w:noProof/>
        </w:rPr>
        <w:t xml:space="preserve"> Reform: Tanárok felvétele</w:t>
      </w:r>
    </w:p>
    <w:p w14:paraId="0876959F" w14:textId="77777777" w:rsidR="003F5418" w:rsidRDefault="002A6C25">
      <w:pPr>
        <w:spacing w:before="120" w:after="120"/>
        <w:jc w:val="both"/>
        <w:rPr>
          <w:noProof/>
        </w:rPr>
      </w:pPr>
      <w:r>
        <w:rPr>
          <w:noProof/>
        </w:rPr>
        <w:t>A reform célja, hogy új modellt hozzon létre a tanárok felvételére, amely az alapképzésük újragondolásához és egész pályafutásukhoz kapcsolódik. Ennek az intézkedésnek a stratégiai célja az olasz oktatási rendszer minőségének jel</w:t>
      </w:r>
      <w:r>
        <w:rPr>
          <w:noProof/>
        </w:rPr>
        <w:t>entős javítása. A reformnak egyszerűsítenie kell különösen a jelenlegi nyilvános versenyeljárásokat. Az intézkedéseknek szigorúbb követelményeket kell bevezetniük a tanári szakma gyakorlására vonatkozóan, hatékonyabb mobilitási keretet kell biztosítaniuk a</w:t>
      </w:r>
      <w:r>
        <w:rPr>
          <w:noProof/>
        </w:rPr>
        <w:t xml:space="preserve"> tanárok számára, korlátozniuk kell a túlzott mobilitást, valamint egyértelmű kapcsolatot kell teremteniük a szakmai előmenetel és a teljesítményértékelés, valamint a folyamatos szakmai fejlődés között.  </w:t>
      </w:r>
    </w:p>
    <w:p w14:paraId="4856ACF5" w14:textId="5A638E1C" w:rsidR="003F5418" w:rsidRDefault="00632269">
      <w:pPr>
        <w:pStyle w:val="P68B1DB1-Normal2"/>
        <w:spacing w:before="120" w:after="120"/>
        <w:jc w:val="both"/>
        <w:rPr>
          <w:noProof/>
        </w:rPr>
      </w:pPr>
      <w:r>
        <w:rPr>
          <w:noProof/>
        </w:rPr>
        <w:t>2</w:t>
      </w:r>
      <w:r w:rsidRPr="00B07E42">
        <w:rPr>
          <w:noProof/>
        </w:rPr>
        <w:t>.</w:t>
      </w:r>
      <w:r>
        <w:rPr>
          <w:noProof/>
        </w:rPr>
        <w:t>2</w:t>
      </w:r>
      <w:r w:rsidRPr="00B07E42">
        <w:rPr>
          <w:noProof/>
        </w:rPr>
        <w:t>.</w:t>
      </w:r>
      <w:r>
        <w:rPr>
          <w:noProof/>
        </w:rPr>
        <w:t xml:space="preserve"> Reform: Felsőfokú és kötelező képzés az iskolavezetők, tanárok, adminisztratív és műszaki személyzet számára</w:t>
      </w:r>
    </w:p>
    <w:p w14:paraId="403615AF" w14:textId="77777777" w:rsidR="003F5418" w:rsidRDefault="002A6C25">
      <w:pPr>
        <w:spacing w:before="120" w:after="120"/>
        <w:jc w:val="both"/>
        <w:rPr>
          <w:noProof/>
        </w:rPr>
      </w:pPr>
      <w:r>
        <w:rPr>
          <w:noProof/>
        </w:rPr>
        <w:t>A reform célja, hogy minőségi képzési rendszert alakítson ki az iskolai személyzet számára a folyamatos szakmai és szakmai előmenetel érdekében. Előirányozza egy képesített testület létrehozásá</w:t>
      </w:r>
      <w:r>
        <w:rPr>
          <w:noProof/>
        </w:rPr>
        <w:t>t, amelynek feladata az európai normáknak megfelelő iránymutatások kiadása, valamint a képzési kezdeményezések kiválasztása és koordinálása, lehetőség szerint összekapcsolva azokat a szakmai előmenetellel, amint azt a munkaerő-felvételi reform – a 2.1. ref</w:t>
      </w:r>
      <w:r>
        <w:rPr>
          <w:noProof/>
        </w:rPr>
        <w:t>orm – előírja: A tervben szereplő tanárok felvétele.</w:t>
      </w:r>
    </w:p>
    <w:p w14:paraId="75EABCE1" w14:textId="6E33EE44" w:rsidR="003F5418" w:rsidRDefault="00632269">
      <w:pPr>
        <w:pStyle w:val="P68B1DB1-Normal2"/>
        <w:spacing w:before="120" w:after="120"/>
        <w:jc w:val="both"/>
        <w:rPr>
          <w:noProof/>
        </w:rPr>
      </w:pPr>
      <w:r>
        <w:rPr>
          <w:noProof/>
        </w:rPr>
        <w:t>2</w:t>
      </w:r>
      <w:r w:rsidRPr="00B07E42">
        <w:rPr>
          <w:noProof/>
        </w:rPr>
        <w:t>.1.</w:t>
      </w:r>
      <w:r>
        <w:rPr>
          <w:noProof/>
        </w:rPr>
        <w:t xml:space="preserve"> Beruházás: Az iskolai személyzet digitális átalakulással kapcsolatos integrált digitális oktatása és képzése </w:t>
      </w:r>
    </w:p>
    <w:p w14:paraId="495CE991" w14:textId="77777777" w:rsidR="003F5418" w:rsidRDefault="002A6C25">
      <w:pPr>
        <w:spacing w:before="120" w:after="120"/>
        <w:jc w:val="both"/>
        <w:rPr>
          <w:noProof/>
        </w:rPr>
      </w:pPr>
      <w:r>
        <w:rPr>
          <w:noProof/>
        </w:rPr>
        <w:t xml:space="preserve">Az intézkedés célja egy állandó rendszer létrehozása a digitális didaktika, valamint az iskolai személyzet digitális és oktatási készségeinek fejlesztésére.  A beavatkozás a következőket irányozza elő:  </w:t>
      </w:r>
    </w:p>
    <w:p w14:paraId="0C7933D3" w14:textId="77777777" w:rsidR="003F5418" w:rsidRDefault="002A6C25">
      <w:pPr>
        <w:pStyle w:val="ListParagraph"/>
        <w:numPr>
          <w:ilvl w:val="0"/>
          <w:numId w:val="48"/>
        </w:numPr>
        <w:ind w:left="360"/>
        <w:rPr>
          <w:noProof/>
        </w:rPr>
      </w:pPr>
      <w:r>
        <w:rPr>
          <w:noProof/>
        </w:rPr>
        <w:t>a tanárok és az iskolai személyzet digitális átállás</w:t>
      </w:r>
      <w:r>
        <w:rPr>
          <w:noProof/>
        </w:rPr>
        <w:t>sal kapcsolatos folyamatos képzésére szolgáló rendszer létrehozása;</w:t>
      </w:r>
    </w:p>
    <w:p w14:paraId="20C5D875" w14:textId="77777777" w:rsidR="003F5418" w:rsidRDefault="002A6C25">
      <w:pPr>
        <w:pStyle w:val="ListParagraph"/>
        <w:numPr>
          <w:ilvl w:val="0"/>
          <w:numId w:val="48"/>
        </w:numPr>
        <w:ind w:left="360"/>
        <w:rPr>
          <w:rStyle w:val="normaltextrun"/>
          <w:noProof/>
        </w:rPr>
      </w:pPr>
      <w:r>
        <w:rPr>
          <w:rStyle w:val="normaltextrun"/>
          <w:noProof/>
          <w:shd w:val="clear" w:color="auto" w:fill="FFFFFF"/>
        </w:rPr>
        <w:t>Az integrált digitális oktatásra vonatkozó nemzeti referenciakeret elfogadása annak érdekében, hogy valamennyi iskolában elő lehessen mozdítani a digitális kompetenciatantervek elfogadását</w:t>
      </w:r>
      <w:r>
        <w:rPr>
          <w:rStyle w:val="normaltextrun"/>
          <w:noProof/>
          <w:shd w:val="clear" w:color="auto" w:fill="FFFFFF"/>
        </w:rPr>
        <w:t>.</w:t>
      </w:r>
    </w:p>
    <w:p w14:paraId="610DB9D3" w14:textId="3BDF354C" w:rsidR="003F5418" w:rsidRDefault="002A6C25">
      <w:pPr>
        <w:spacing w:before="120" w:after="120"/>
        <w:jc w:val="both"/>
        <w:rPr>
          <w:noProof/>
        </w:rPr>
      </w:pPr>
      <w:r>
        <w:rPr>
          <w:noProof/>
        </w:rPr>
        <w:t>A cselekvési irányvonal mintegy 650000 tanár és iskolai alkalmazott képzését, az ötéves időszak alatt mintegy 20000 képzés létrehozását, valamint helyi képzési központok létrehozását irányozza elő. A több mint 8000 olaszországi oktatási intézmény részt v</w:t>
      </w:r>
      <w:r>
        <w:rPr>
          <w:noProof/>
        </w:rPr>
        <w:t>esz a képzési projektekben.</w:t>
      </w:r>
    </w:p>
    <w:p w14:paraId="669EABC4" w14:textId="12802BF7" w:rsidR="003F5418" w:rsidRDefault="00632269">
      <w:pPr>
        <w:pStyle w:val="P68B1DB1-Normal2"/>
        <w:spacing w:before="120" w:after="120"/>
        <w:jc w:val="both"/>
        <w:rPr>
          <w:noProof/>
        </w:rPr>
      </w:pPr>
      <w:r>
        <w:rPr>
          <w:noProof/>
        </w:rPr>
        <w:t>3</w:t>
      </w:r>
      <w:r w:rsidRPr="00B07E42">
        <w:rPr>
          <w:noProof/>
        </w:rPr>
        <w:t>.1.</w:t>
      </w:r>
      <w:r>
        <w:rPr>
          <w:noProof/>
        </w:rPr>
        <w:t xml:space="preserve"> Beruházás: Új készségek és új nyelvek</w:t>
      </w:r>
    </w:p>
    <w:p w14:paraId="70306F6B" w14:textId="77777777" w:rsidR="003F5418" w:rsidRDefault="002A6C25">
      <w:pPr>
        <w:spacing w:before="120" w:after="120"/>
        <w:jc w:val="both"/>
        <w:rPr>
          <w:noProof/>
        </w:rPr>
      </w:pPr>
      <w:r>
        <w:rPr>
          <w:noProof/>
        </w:rPr>
        <w:t>A beavatkozás célja, hogy a természettudományok, a technológia, a műszaki tudományok és a matematika, a digitális és az innovációs készségek megerősítését célzó tantervi tevékenységeket</w:t>
      </w:r>
      <w:r>
        <w:rPr>
          <w:noProof/>
        </w:rPr>
        <w:t xml:space="preserve">, módszereket és tartalmakat integrálja az iskolák valamennyi szintjébe. Az intézkedés a női diákokra összpontosít, és teljes interdiszciplináris megközelítést irányoz elő. A beavatkozás célja az esélyegyenlőség és a nemek közötti egyenlőség biztosítása a </w:t>
      </w:r>
      <w:r>
        <w:rPr>
          <w:noProof/>
        </w:rPr>
        <w:t>módszertani megközelítés és a természettudományok, a technológia, a műszaki tudományok és a matematika (STEM) orientációs tevékenységei tekintetében.</w:t>
      </w:r>
    </w:p>
    <w:p w14:paraId="0D2F4752" w14:textId="77777777" w:rsidR="003F5418" w:rsidRDefault="002A6C25">
      <w:pPr>
        <w:spacing w:before="120" w:after="120"/>
        <w:jc w:val="both"/>
        <w:rPr>
          <w:noProof/>
        </w:rPr>
      </w:pPr>
      <w:r>
        <w:rPr>
          <w:noProof/>
        </w:rPr>
        <w:t xml:space="preserve"> Az intézkedés várhatóan megerősíti a diákok és tanárok többnyelvű készségeit az Erasmus+ programmal kapcs</w:t>
      </w:r>
      <w:r>
        <w:rPr>
          <w:noProof/>
        </w:rPr>
        <w:t xml:space="preserve">olatos konzultációs és tájékoztatási programok kiszélesítése révén, az Erasmus+ Nemzeti Dokumentációs, Innovációs és Oktatási Kutatóintézet (INDIRE) és nagykövetei hálózatának támogatásával. </w:t>
      </w:r>
    </w:p>
    <w:p w14:paraId="69CFDA8C" w14:textId="77777777" w:rsidR="003F5418" w:rsidRDefault="002A6C25">
      <w:pPr>
        <w:spacing w:before="120" w:after="120"/>
        <w:jc w:val="both"/>
        <w:rPr>
          <w:noProof/>
        </w:rPr>
      </w:pPr>
      <w:r>
        <w:rPr>
          <w:noProof/>
        </w:rPr>
        <w:t>Digitális rendszert kell kifejleszteni a nyelvi készségek nemzet</w:t>
      </w:r>
      <w:r>
        <w:rPr>
          <w:noProof/>
        </w:rPr>
        <w:t xml:space="preserve">i szintű nyomon követésére is, az érintett tanúsító szervezetek támogatásával. </w:t>
      </w:r>
    </w:p>
    <w:p w14:paraId="66000AD1" w14:textId="79C54CBE" w:rsidR="003F5418" w:rsidRDefault="00632269">
      <w:pPr>
        <w:pStyle w:val="P68B1DB1-Normal2"/>
        <w:spacing w:before="120" w:after="120"/>
        <w:jc w:val="both"/>
        <w:rPr>
          <w:noProof/>
        </w:rPr>
      </w:pPr>
      <w:r>
        <w:rPr>
          <w:noProof/>
        </w:rPr>
        <w:t>3</w:t>
      </w:r>
      <w:r w:rsidRPr="00B07E42">
        <w:rPr>
          <w:noProof/>
        </w:rPr>
        <w:t>.</w:t>
      </w:r>
      <w:r>
        <w:rPr>
          <w:noProof/>
        </w:rPr>
        <w:t>2</w:t>
      </w:r>
      <w:r w:rsidRPr="00B07E42">
        <w:rPr>
          <w:noProof/>
        </w:rPr>
        <w:t>.</w:t>
      </w:r>
      <w:r>
        <w:rPr>
          <w:noProof/>
        </w:rPr>
        <w:t xml:space="preserve"> Beruházás: Iskola 4.0: innovatív iskolák, vezetékek, új osztálytermek és műhelyek</w:t>
      </w:r>
    </w:p>
    <w:p w14:paraId="2AABEB96" w14:textId="77777777" w:rsidR="003F5418" w:rsidRDefault="002A6C25">
      <w:pPr>
        <w:spacing w:before="120" w:after="120"/>
        <w:jc w:val="both"/>
        <w:rPr>
          <w:noProof/>
        </w:rPr>
      </w:pPr>
      <w:r>
        <w:rPr>
          <w:noProof/>
        </w:rPr>
        <w:t>Az intézkedés célja az iskolai létesítmények átalakítása adaptálható, rugalmas és digitál</w:t>
      </w:r>
      <w:r>
        <w:rPr>
          <w:noProof/>
        </w:rPr>
        <w:t>is tanulási környezetekké, technológiailag fejlett műhelytalálkozók és munkaalapú tanulási folyamat révén. Ez az intézkedés négy kezdeményezéssel fogja felgyorsítani az olasz iskolarendszer digitális átállását:</w:t>
      </w:r>
    </w:p>
    <w:p w14:paraId="2079B668" w14:textId="64FF8091" w:rsidR="003F5418" w:rsidRDefault="002A6C25">
      <w:pPr>
        <w:pStyle w:val="ListParagraph"/>
        <w:numPr>
          <w:ilvl w:val="0"/>
          <w:numId w:val="48"/>
        </w:numPr>
        <w:ind w:left="360"/>
        <w:rPr>
          <w:noProof/>
        </w:rPr>
      </w:pPr>
      <w:r>
        <w:rPr>
          <w:noProof/>
        </w:rPr>
        <w:t>Mintegy 100000 hagyományos osztály átalakítás</w:t>
      </w:r>
      <w:r>
        <w:rPr>
          <w:noProof/>
        </w:rPr>
        <w:t>a összekapcsolt tanulási környezetté, a kapcsolódó oktatási eszközök bevezetésével</w:t>
      </w:r>
    </w:p>
    <w:p w14:paraId="7857703F" w14:textId="77777777" w:rsidR="003F5418" w:rsidRDefault="002A6C25">
      <w:pPr>
        <w:pStyle w:val="ListParagraph"/>
        <w:numPr>
          <w:ilvl w:val="0"/>
          <w:numId w:val="48"/>
        </w:numPr>
        <w:ind w:left="360"/>
        <w:rPr>
          <w:noProof/>
        </w:rPr>
      </w:pPr>
      <w:r>
        <w:rPr>
          <w:noProof/>
        </w:rPr>
        <w:t>A digitális szakmákkal foglalkozó műhelyek létrehozása a második ciklusban</w:t>
      </w:r>
    </w:p>
    <w:p w14:paraId="4D7A1121" w14:textId="77777777" w:rsidR="003F5418" w:rsidRDefault="002A6C25">
      <w:pPr>
        <w:pStyle w:val="ListParagraph"/>
        <w:numPr>
          <w:ilvl w:val="0"/>
          <w:numId w:val="48"/>
        </w:numPr>
        <w:ind w:left="360"/>
        <w:rPr>
          <w:noProof/>
        </w:rPr>
      </w:pPr>
      <w:r>
        <w:rPr>
          <w:noProof/>
        </w:rPr>
        <w:t>Az iskolai közigazgatás digitalizálása</w:t>
      </w:r>
    </w:p>
    <w:p w14:paraId="5EEFFCB9" w14:textId="08844974" w:rsidR="003F5418" w:rsidRDefault="002A6C25">
      <w:pPr>
        <w:pStyle w:val="ListParagraph"/>
        <w:numPr>
          <w:ilvl w:val="0"/>
          <w:numId w:val="48"/>
        </w:numPr>
        <w:ind w:left="360"/>
        <w:rPr>
          <w:noProof/>
        </w:rPr>
      </w:pPr>
      <w:r>
        <w:rPr>
          <w:noProof/>
        </w:rPr>
        <w:t>Körülbelül 40000 iskolaépület és kapcsolódó eszköz belső ká</w:t>
      </w:r>
      <w:r>
        <w:rPr>
          <w:noProof/>
        </w:rPr>
        <w:t>belezése</w:t>
      </w:r>
    </w:p>
    <w:p w14:paraId="37BF27F7" w14:textId="06AD4993" w:rsidR="003F5418" w:rsidRDefault="00632269">
      <w:pPr>
        <w:pStyle w:val="P68B1DB1-Normal2"/>
        <w:spacing w:before="120" w:after="120"/>
        <w:jc w:val="both"/>
        <w:rPr>
          <w:noProof/>
        </w:rPr>
      </w:pPr>
      <w:r>
        <w:rPr>
          <w:noProof/>
        </w:rPr>
        <w:t>3</w:t>
      </w:r>
      <w:r w:rsidRPr="00B07E42">
        <w:rPr>
          <w:noProof/>
        </w:rPr>
        <w:t>.</w:t>
      </w:r>
      <w:r>
        <w:rPr>
          <w:noProof/>
        </w:rPr>
        <w:t>3</w:t>
      </w:r>
      <w:r w:rsidRPr="00B07E42">
        <w:rPr>
          <w:noProof/>
        </w:rPr>
        <w:t>.</w:t>
      </w:r>
      <w:r>
        <w:rPr>
          <w:noProof/>
        </w:rPr>
        <w:t xml:space="preserve"> Beruházás: Iskolaépület-biztonsági és strukturális rehabilitációs terv</w:t>
      </w:r>
    </w:p>
    <w:p w14:paraId="3B6CF1A4" w14:textId="77777777" w:rsidR="003F5418" w:rsidRDefault="002A6C25">
      <w:pPr>
        <w:spacing w:before="120" w:after="120"/>
        <w:jc w:val="both"/>
        <w:rPr>
          <w:noProof/>
        </w:rPr>
      </w:pPr>
      <w:r>
        <w:rPr>
          <w:noProof/>
        </w:rPr>
        <w:t>Az intézkedés fő célkitűzése, hogy az iskolai épületek biztonságának és energiafogyasztásának fokozása révén hozzájáruljon az éghajlatváltozás helyreállításához. Az intézk</w:t>
      </w:r>
      <w:r>
        <w:rPr>
          <w:noProof/>
        </w:rPr>
        <w:t>edésnek különösen hozzá kell járulnia az energiaosztályok javításához, alacsonyabb fogyasztáshoz és szén-dioxid-kibocsátáshoz, valamint az épületek szerkezeti biztonságának növeléséhez. A gazdasági és társadalmi egyenlőtlenségek kezelése és megszüntetése é</w:t>
      </w:r>
      <w:r>
        <w:rPr>
          <w:noProof/>
        </w:rPr>
        <w:t>rdekében különös figyelmet kell fordítani a leghátrányosabb helyzetű térségekre. A beruházás keretében nem szerezhetők be földgázüzemű kazánok.</w:t>
      </w:r>
    </w:p>
    <w:p w14:paraId="5D7F0248" w14:textId="34699332" w:rsidR="003F5418" w:rsidRDefault="00632269">
      <w:pPr>
        <w:pStyle w:val="P68B1DB1-Normal2"/>
        <w:spacing w:before="120" w:after="120"/>
        <w:jc w:val="both"/>
        <w:rPr>
          <w:noProof/>
        </w:rPr>
      </w:pPr>
      <w:r>
        <w:rPr>
          <w:noProof/>
        </w:rPr>
        <w:t>3</w:t>
      </w:r>
      <w:r w:rsidRPr="00B07E42">
        <w:rPr>
          <w:noProof/>
        </w:rPr>
        <w:t>.</w:t>
      </w:r>
      <w:r>
        <w:rPr>
          <w:noProof/>
        </w:rPr>
        <w:t>4</w:t>
      </w:r>
      <w:r w:rsidRPr="00B07E42">
        <w:rPr>
          <w:noProof/>
        </w:rPr>
        <w:t>.</w:t>
      </w:r>
      <w:r>
        <w:rPr>
          <w:noProof/>
        </w:rPr>
        <w:t xml:space="preserve"> Beruházás: Oktatás és magas szintű egyetemi készségek</w:t>
      </w:r>
    </w:p>
    <w:p w14:paraId="6C877EF6" w14:textId="77777777" w:rsidR="003F5418" w:rsidRDefault="002A6C25">
      <w:pPr>
        <w:spacing w:before="120" w:after="120"/>
        <w:jc w:val="both"/>
        <w:rPr>
          <w:noProof/>
        </w:rPr>
      </w:pPr>
      <w:r>
        <w:rPr>
          <w:noProof/>
        </w:rPr>
        <w:t>Az intézkedés célja az egyetemi programok (köztük a P</w:t>
      </w:r>
      <w:r>
        <w:rPr>
          <w:noProof/>
        </w:rPr>
        <w:t xml:space="preserve">hD-programok) minősítése és innovációja három stratégiai célkitűzés révén: digitalizálás; „innovációs kultúra”; nemzetközivé válás. </w:t>
      </w:r>
    </w:p>
    <w:p w14:paraId="251E9868" w14:textId="77777777" w:rsidR="003F5418" w:rsidRDefault="002A6C25">
      <w:pPr>
        <w:spacing w:before="120" w:after="120"/>
        <w:jc w:val="both"/>
        <w:rPr>
          <w:noProof/>
        </w:rPr>
      </w:pPr>
      <w:r>
        <w:rPr>
          <w:noProof/>
        </w:rPr>
        <w:t xml:space="preserve">Részletesen a következő alintézkedéseket kell végrehajtani: </w:t>
      </w:r>
    </w:p>
    <w:p w14:paraId="21C99D22" w14:textId="77777777" w:rsidR="003F5418" w:rsidRDefault="002A6C25">
      <w:pPr>
        <w:pStyle w:val="ListParagraph"/>
        <w:numPr>
          <w:ilvl w:val="0"/>
          <w:numId w:val="48"/>
        </w:numPr>
        <w:ind w:left="360"/>
        <w:rPr>
          <w:noProof/>
        </w:rPr>
      </w:pPr>
      <w:r>
        <w:rPr>
          <w:noProof/>
        </w:rPr>
        <w:t xml:space="preserve">Legfeljebb 500 doktori fokozatú diák vehet részt 3 éven belül </w:t>
      </w:r>
      <w:r>
        <w:rPr>
          <w:noProof/>
        </w:rPr>
        <w:t>(100+ 200+ 200+ 200) a digitális és környezeti átállással foglalkozó programokban.</w:t>
      </w:r>
    </w:p>
    <w:p w14:paraId="4E9DE28A" w14:textId="77777777" w:rsidR="003F5418" w:rsidRDefault="002A6C25">
      <w:pPr>
        <w:pStyle w:val="ListParagraph"/>
        <w:numPr>
          <w:ilvl w:val="0"/>
          <w:numId w:val="48"/>
        </w:numPr>
        <w:ind w:left="360"/>
        <w:rPr>
          <w:noProof/>
        </w:rPr>
      </w:pPr>
      <w:r>
        <w:rPr>
          <w:noProof/>
        </w:rPr>
        <w:t>Három digitális oktatási központ (DEH) létrehozása a felsőoktatási rendszer azon képességének javítása érdekében, hogy digitális oktatást kínáljon a hallgatók és az egyetemi</w:t>
      </w:r>
      <w:r>
        <w:rPr>
          <w:noProof/>
        </w:rPr>
        <w:t xml:space="preserve"> munkavállalók számára;</w:t>
      </w:r>
    </w:p>
    <w:p w14:paraId="1A08A306" w14:textId="77777777" w:rsidR="003F5418" w:rsidRDefault="002A6C25">
      <w:pPr>
        <w:pStyle w:val="ListParagraph"/>
        <w:numPr>
          <w:ilvl w:val="0"/>
          <w:numId w:val="48"/>
        </w:numPr>
        <w:ind w:left="360"/>
        <w:rPr>
          <w:noProof/>
        </w:rPr>
      </w:pPr>
      <w:r>
        <w:rPr>
          <w:noProof/>
        </w:rPr>
        <w:t>A felsőoktatási iskolák megerősítése</w:t>
      </w:r>
    </w:p>
    <w:p w14:paraId="5862DD51" w14:textId="77777777" w:rsidR="003F5418" w:rsidRDefault="002A6C25">
      <w:pPr>
        <w:pStyle w:val="ListParagraph"/>
        <w:numPr>
          <w:ilvl w:val="0"/>
          <w:numId w:val="48"/>
        </w:numPr>
        <w:ind w:left="360"/>
        <w:rPr>
          <w:noProof/>
        </w:rPr>
      </w:pPr>
      <w:r>
        <w:rPr>
          <w:noProof/>
        </w:rPr>
        <w:t>Tíz transznacionális oktatási kezdeményezés – TNE – végrehajtása a külügyminisztériummal és a nemzetközi együttműködésért felelős minisztériummal együttműködésben</w:t>
      </w:r>
    </w:p>
    <w:p w14:paraId="63D158D8" w14:textId="77777777" w:rsidR="003F5418" w:rsidRDefault="002A6C25">
      <w:pPr>
        <w:pStyle w:val="ListParagraph"/>
        <w:numPr>
          <w:ilvl w:val="0"/>
          <w:numId w:val="48"/>
        </w:numPr>
        <w:ind w:left="360"/>
        <w:rPr>
          <w:noProof/>
        </w:rPr>
      </w:pPr>
      <w:r>
        <w:rPr>
          <w:noProof/>
        </w:rPr>
        <w:t>A művészeti és zenei felsőoktatá</w:t>
      </w:r>
      <w:r>
        <w:rPr>
          <w:noProof/>
        </w:rPr>
        <w:t>si intézmények (AFAM) nemzetköziesítési tevékenységei az AFAM-intézmények 15 nemzetköziesítési projektjének támogatásával, amelyek célja az olasz kultúra megőrzésében és előmozdításában betöltött külföldi szerepük előmozdítása</w:t>
      </w:r>
    </w:p>
    <w:p w14:paraId="714A504D" w14:textId="11A234F2" w:rsidR="003F5418" w:rsidRDefault="00632269">
      <w:pPr>
        <w:pStyle w:val="P68B1DB1-Normal2"/>
        <w:spacing w:before="120" w:after="120"/>
        <w:jc w:val="both"/>
        <w:rPr>
          <w:noProof/>
        </w:rPr>
      </w:pPr>
      <w:r>
        <w:rPr>
          <w:noProof/>
        </w:rPr>
        <w:t>4</w:t>
      </w:r>
      <w:r w:rsidRPr="00B07E42">
        <w:rPr>
          <w:noProof/>
        </w:rPr>
        <w:t>.1.</w:t>
      </w:r>
      <w:r>
        <w:rPr>
          <w:noProof/>
        </w:rPr>
        <w:t xml:space="preserve"> Reform: PhD-programok reformja  </w:t>
      </w:r>
    </w:p>
    <w:p w14:paraId="4AF78126" w14:textId="77777777" w:rsidR="003F5418" w:rsidRDefault="002A6C25">
      <w:pPr>
        <w:spacing w:before="120" w:after="120"/>
        <w:jc w:val="both"/>
        <w:rPr>
          <w:noProof/>
        </w:rPr>
      </w:pPr>
      <w:r>
        <w:rPr>
          <w:noProof/>
        </w:rPr>
        <w:t>A reform célja a PhD-programokról szóló rendelet aktualizálása, a vállalatok és kutatóközpontok PhD-programokba való bevonására vonatkozó eljárások egyszerűsítése és az alkalmazott kutatás megerősítése. A javasolt reform integrálódik az „Oktatás és kutatás</w:t>
      </w:r>
      <w:r>
        <w:rPr>
          <w:noProof/>
        </w:rPr>
        <w:t>” célterületen megvalósuló PhD-programokhoz kapcsolódó valamennyi beruházással.</w:t>
      </w:r>
    </w:p>
    <w:p w14:paraId="14226D4B" w14:textId="460865D6" w:rsidR="003F5418" w:rsidRDefault="00632269">
      <w:pPr>
        <w:pStyle w:val="P68B1DB1-Normal2"/>
        <w:spacing w:before="120" w:after="120"/>
        <w:jc w:val="both"/>
        <w:rPr>
          <w:noProof/>
        </w:rPr>
      </w:pPr>
      <w:r>
        <w:rPr>
          <w:noProof/>
        </w:rPr>
        <w:t>4</w:t>
      </w:r>
      <w:r w:rsidRPr="00B07E42">
        <w:rPr>
          <w:noProof/>
        </w:rPr>
        <w:t>.1.</w:t>
      </w:r>
      <w:r>
        <w:rPr>
          <w:noProof/>
        </w:rPr>
        <w:t xml:space="preserve"> Beruházás: A PhD-k számának és karrierlehetőségeinek bővítése (kutatásorientált, közigazgatás és kulturális örökség)  </w:t>
      </w:r>
    </w:p>
    <w:p w14:paraId="07C78B99" w14:textId="6A6CA89C" w:rsidR="003F5418" w:rsidRDefault="002A6C25">
      <w:pPr>
        <w:spacing w:before="120" w:after="120"/>
        <w:jc w:val="both"/>
        <w:rPr>
          <w:noProof/>
        </w:rPr>
      </w:pPr>
      <w:r>
        <w:rPr>
          <w:noProof/>
        </w:rPr>
        <w:t>Az intézkedés célja a kutatásorientált tevékenységek</w:t>
      </w:r>
      <w:r>
        <w:rPr>
          <w:noProof/>
        </w:rPr>
        <w:t>re, a közigazgatásra és a kulturális örökségre szánt humántőke-állomány növelése. A beruházás évente (három éven túl) 1200 további általános PhD ösztöndíjprogram létrehozását irányozza elő, évente (három éven át) 1000 további PhD ösztöndíjprogramot, és éve</w:t>
      </w:r>
      <w:r>
        <w:rPr>
          <w:noProof/>
        </w:rPr>
        <w:t xml:space="preserve">nte legalább 200 új PhD ösztöndíjprogramot ítélnek oda a kulturális örökséggel kapcsolatban (három éven át). </w:t>
      </w:r>
    </w:p>
    <w:p w14:paraId="0D432CA6" w14:textId="77777777" w:rsidR="003F5418" w:rsidRDefault="002A6C25">
      <w:pPr>
        <w:pStyle w:val="Heading3"/>
        <w:numPr>
          <w:ilvl w:val="0"/>
          <w:numId w:val="0"/>
        </w:numPr>
        <w:ind w:left="850" w:hanging="850"/>
        <w:rPr>
          <w:b/>
          <w:i w:val="0"/>
          <w:noProof/>
          <w:u w:val="single"/>
        </w:rPr>
      </w:pPr>
      <w:r>
        <w:rPr>
          <w:b/>
          <w:i w:val="0"/>
          <w:noProof/>
          <w:u w:val="single"/>
        </w:rPr>
        <w:t xml:space="preserve">J.2. </w:t>
      </w:r>
      <w:r>
        <w:rPr>
          <w:noProof/>
        </w:rPr>
        <w:t xml:space="preserve"> </w:t>
      </w:r>
      <w:r>
        <w:rPr>
          <w:b/>
          <w:i w:val="0"/>
          <w:noProof/>
          <w:u w:val="single"/>
        </w:rPr>
        <w:t>Vissza nem térítendő pénzügyi támogatás – a végrehajtáshoz és a nyomon követéshez kapcsolódó mérföldkövek, célok, mutatók és ütemterv</w:t>
      </w:r>
    </w:p>
    <w:p w14:paraId="65149B64" w14:textId="77777777" w:rsidR="003F5418" w:rsidRDefault="003F5418">
      <w:pPr>
        <w:spacing w:before="120" w:after="120"/>
        <w:ind w:left="709"/>
        <w:jc w:val="both"/>
        <w:rPr>
          <w:noProof/>
        </w:rPr>
        <w:sectPr w:rsidR="003F5418">
          <w:headerReference w:type="even" r:id="rId254"/>
          <w:headerReference w:type="default" r:id="rId255"/>
          <w:footerReference w:type="even" r:id="rId256"/>
          <w:footerReference w:type="default" r:id="rId257"/>
          <w:headerReference w:type="first" r:id="rId258"/>
          <w:footerReference w:type="first" r:id="rId259"/>
          <w:pgSz w:w="11907" w:h="16839"/>
          <w:pgMar w:top="1440" w:right="1440" w:bottom="1440" w:left="1440" w:header="567" w:footer="567" w:gutter="0"/>
          <w:cols w:space="720"/>
          <w:docGrid w:linePitch="360"/>
        </w:sect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88"/>
        <w:gridCol w:w="1065"/>
        <w:gridCol w:w="1702"/>
        <w:gridCol w:w="1428"/>
        <w:gridCol w:w="1256"/>
        <w:gridCol w:w="1116"/>
        <w:gridCol w:w="1021"/>
        <w:gridCol w:w="851"/>
        <w:gridCol w:w="708"/>
        <w:gridCol w:w="3112"/>
      </w:tblGrid>
      <w:tr w:rsidR="003F5418" w14:paraId="00341706" w14:textId="77777777">
        <w:trPr>
          <w:trHeight w:val="927"/>
          <w:tblHeader/>
        </w:trPr>
        <w:tc>
          <w:tcPr>
            <w:tcW w:w="380" w:type="pct"/>
            <w:vMerge w:val="restart"/>
            <w:shd w:val="clear" w:color="auto" w:fill="BDD7EE"/>
            <w:vAlign w:val="center"/>
            <w:hideMark/>
          </w:tcPr>
          <w:p w14:paraId="629A4948" w14:textId="77777777" w:rsidR="003F5418" w:rsidRDefault="002A6C25">
            <w:pPr>
              <w:pStyle w:val="P68B1DB1-Normal3"/>
              <w:jc w:val="center"/>
              <w:rPr>
                <w:noProof/>
              </w:rPr>
            </w:pPr>
            <w:r>
              <w:rPr>
                <w:noProof/>
              </w:rPr>
              <w:t>Sorszám</w:t>
            </w:r>
          </w:p>
        </w:tc>
        <w:tc>
          <w:tcPr>
            <w:tcW w:w="500" w:type="pct"/>
            <w:vMerge w:val="restart"/>
            <w:shd w:val="clear" w:color="auto" w:fill="BDD7EE"/>
            <w:vAlign w:val="center"/>
            <w:hideMark/>
          </w:tcPr>
          <w:p w14:paraId="53FA35F5" w14:textId="77777777" w:rsidR="003F5418" w:rsidRDefault="002A6C25">
            <w:pPr>
              <w:pStyle w:val="P68B1DB1-Normal3"/>
              <w:jc w:val="center"/>
              <w:rPr>
                <w:noProof/>
              </w:rPr>
            </w:pPr>
            <w:r>
              <w:rPr>
                <w:noProof/>
              </w:rPr>
              <w:t>Kapcsolódó intézkedés (reform vagy beruházás)</w:t>
            </w:r>
          </w:p>
        </w:tc>
        <w:tc>
          <w:tcPr>
            <w:tcW w:w="358" w:type="pct"/>
            <w:vMerge w:val="restart"/>
            <w:shd w:val="clear" w:color="auto" w:fill="BDD7EE"/>
            <w:vAlign w:val="center"/>
            <w:hideMark/>
          </w:tcPr>
          <w:p w14:paraId="40F4D9EF" w14:textId="77777777" w:rsidR="003F5418" w:rsidRDefault="002A6C25">
            <w:pPr>
              <w:pStyle w:val="P68B1DB1-Normal3"/>
              <w:jc w:val="center"/>
              <w:rPr>
                <w:noProof/>
              </w:rPr>
            </w:pPr>
            <w:r>
              <w:rPr>
                <w:noProof/>
              </w:rPr>
              <w:t>Mérföldkő/cél</w:t>
            </w:r>
          </w:p>
        </w:tc>
        <w:tc>
          <w:tcPr>
            <w:tcW w:w="572" w:type="pct"/>
            <w:vMerge w:val="restart"/>
            <w:shd w:val="clear" w:color="auto" w:fill="BDD7EE"/>
            <w:vAlign w:val="center"/>
            <w:hideMark/>
          </w:tcPr>
          <w:p w14:paraId="0C598F2D" w14:textId="77777777" w:rsidR="003F5418" w:rsidRDefault="002A6C25">
            <w:pPr>
              <w:pStyle w:val="P68B1DB1-Normal3"/>
              <w:jc w:val="center"/>
              <w:rPr>
                <w:noProof/>
              </w:rPr>
            </w:pPr>
            <w:r>
              <w:rPr>
                <w:noProof/>
              </w:rPr>
              <w:t>Név</w:t>
            </w:r>
          </w:p>
        </w:tc>
        <w:tc>
          <w:tcPr>
            <w:tcW w:w="480" w:type="pct"/>
            <w:vMerge w:val="restart"/>
            <w:shd w:val="clear" w:color="auto" w:fill="BDD7EE"/>
            <w:vAlign w:val="center"/>
            <w:hideMark/>
          </w:tcPr>
          <w:p w14:paraId="62D673A8"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1140" w:type="pct"/>
            <w:gridSpan w:val="3"/>
            <w:shd w:val="clear" w:color="auto" w:fill="BDD7EE"/>
            <w:vAlign w:val="center"/>
            <w:hideMark/>
          </w:tcPr>
          <w:p w14:paraId="581FEAB7"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524" w:type="pct"/>
            <w:gridSpan w:val="2"/>
            <w:shd w:val="clear" w:color="auto" w:fill="BDD7EE"/>
            <w:vAlign w:val="center"/>
            <w:hideMark/>
          </w:tcPr>
          <w:p w14:paraId="5B7C63E4" w14:textId="77777777" w:rsidR="003F5418" w:rsidRDefault="002A6C25">
            <w:pPr>
              <w:pStyle w:val="P68B1DB1-Normal3"/>
              <w:jc w:val="center"/>
              <w:rPr>
                <w:noProof/>
              </w:rPr>
            </w:pPr>
            <w:r>
              <w:rPr>
                <w:noProof/>
              </w:rPr>
              <w:t>A végrehajtás indikatív ütemterve</w:t>
            </w:r>
          </w:p>
        </w:tc>
        <w:tc>
          <w:tcPr>
            <w:tcW w:w="1047" w:type="pct"/>
            <w:vMerge w:val="restart"/>
            <w:shd w:val="clear" w:color="auto" w:fill="BDD7EE"/>
            <w:vAlign w:val="center"/>
            <w:hideMark/>
          </w:tcPr>
          <w:p w14:paraId="4E1113DE" w14:textId="77777777" w:rsidR="003F5418" w:rsidRDefault="002A6C25">
            <w:pPr>
              <w:pStyle w:val="P68B1DB1-Normal3"/>
              <w:jc w:val="center"/>
              <w:rPr>
                <w:noProof/>
              </w:rPr>
            </w:pPr>
            <w:r>
              <w:rPr>
                <w:noProof/>
              </w:rPr>
              <w:t>Az egyes mérföldkövek</w:t>
            </w:r>
            <w:r>
              <w:rPr>
                <w:noProof/>
              </w:rPr>
              <w:t xml:space="preserve"> és célértékek leírása</w:t>
            </w:r>
          </w:p>
        </w:tc>
      </w:tr>
      <w:tr w:rsidR="003F5418" w14:paraId="656CF70D" w14:textId="77777777">
        <w:trPr>
          <w:trHeight w:val="612"/>
        </w:trPr>
        <w:tc>
          <w:tcPr>
            <w:tcW w:w="380" w:type="pct"/>
            <w:vMerge/>
            <w:vAlign w:val="center"/>
            <w:hideMark/>
          </w:tcPr>
          <w:p w14:paraId="6963FFD1" w14:textId="77777777" w:rsidR="003F5418" w:rsidRDefault="003F5418">
            <w:pPr>
              <w:jc w:val="center"/>
              <w:rPr>
                <w:rFonts w:ascii="Arial Narrow" w:hAnsi="Arial Narrow"/>
                <w:b/>
                <w:noProof/>
                <w:sz w:val="20"/>
              </w:rPr>
            </w:pPr>
          </w:p>
        </w:tc>
        <w:tc>
          <w:tcPr>
            <w:tcW w:w="500" w:type="pct"/>
            <w:vMerge/>
            <w:vAlign w:val="center"/>
            <w:hideMark/>
          </w:tcPr>
          <w:p w14:paraId="3C59EF70" w14:textId="77777777" w:rsidR="003F5418" w:rsidRDefault="003F5418">
            <w:pPr>
              <w:jc w:val="center"/>
              <w:rPr>
                <w:rFonts w:ascii="Arial Narrow" w:hAnsi="Arial Narrow"/>
                <w:b/>
                <w:noProof/>
                <w:sz w:val="20"/>
              </w:rPr>
            </w:pPr>
          </w:p>
        </w:tc>
        <w:tc>
          <w:tcPr>
            <w:tcW w:w="358" w:type="pct"/>
            <w:vMerge/>
            <w:vAlign w:val="center"/>
            <w:hideMark/>
          </w:tcPr>
          <w:p w14:paraId="61435CE0" w14:textId="77777777" w:rsidR="003F5418" w:rsidRDefault="003F5418">
            <w:pPr>
              <w:jc w:val="center"/>
              <w:rPr>
                <w:rFonts w:ascii="Arial Narrow" w:hAnsi="Arial Narrow"/>
                <w:b/>
                <w:noProof/>
                <w:sz w:val="20"/>
              </w:rPr>
            </w:pPr>
          </w:p>
        </w:tc>
        <w:tc>
          <w:tcPr>
            <w:tcW w:w="572" w:type="pct"/>
            <w:vMerge/>
            <w:vAlign w:val="center"/>
            <w:hideMark/>
          </w:tcPr>
          <w:p w14:paraId="704ED843" w14:textId="77777777" w:rsidR="003F5418" w:rsidRDefault="003F5418">
            <w:pPr>
              <w:jc w:val="center"/>
              <w:rPr>
                <w:rFonts w:ascii="Arial Narrow" w:hAnsi="Arial Narrow"/>
                <w:b/>
                <w:noProof/>
                <w:sz w:val="20"/>
              </w:rPr>
            </w:pPr>
          </w:p>
        </w:tc>
        <w:tc>
          <w:tcPr>
            <w:tcW w:w="480" w:type="pct"/>
            <w:vMerge/>
            <w:vAlign w:val="center"/>
            <w:hideMark/>
          </w:tcPr>
          <w:p w14:paraId="1BCB68D8" w14:textId="77777777" w:rsidR="003F5418" w:rsidRDefault="003F5418">
            <w:pPr>
              <w:jc w:val="center"/>
              <w:rPr>
                <w:rFonts w:ascii="Arial Narrow" w:hAnsi="Arial Narrow"/>
                <w:b/>
                <w:noProof/>
                <w:sz w:val="20"/>
              </w:rPr>
            </w:pPr>
          </w:p>
        </w:tc>
        <w:tc>
          <w:tcPr>
            <w:tcW w:w="422" w:type="pct"/>
            <w:shd w:val="clear" w:color="auto" w:fill="BDD7EE"/>
            <w:vAlign w:val="center"/>
            <w:hideMark/>
          </w:tcPr>
          <w:p w14:paraId="6581EC86" w14:textId="77777777" w:rsidR="003F5418" w:rsidRDefault="002A6C25">
            <w:pPr>
              <w:pStyle w:val="P68B1DB1-Normal3"/>
              <w:jc w:val="center"/>
              <w:rPr>
                <w:noProof/>
              </w:rPr>
            </w:pPr>
            <w:r>
              <w:rPr>
                <w:noProof/>
              </w:rPr>
              <w:t>Mértékegység</w:t>
            </w:r>
          </w:p>
        </w:tc>
        <w:tc>
          <w:tcPr>
            <w:tcW w:w="375" w:type="pct"/>
            <w:shd w:val="clear" w:color="auto" w:fill="BDD7EE"/>
            <w:vAlign w:val="center"/>
            <w:hideMark/>
          </w:tcPr>
          <w:p w14:paraId="445BCA83" w14:textId="77777777" w:rsidR="003F5418" w:rsidRDefault="002A6C25">
            <w:pPr>
              <w:pStyle w:val="P68B1DB1-Normal3"/>
              <w:jc w:val="center"/>
              <w:rPr>
                <w:noProof/>
              </w:rPr>
            </w:pPr>
            <w:r>
              <w:rPr>
                <w:noProof/>
              </w:rPr>
              <w:t>Kiindulási</w:t>
            </w:r>
          </w:p>
        </w:tc>
        <w:tc>
          <w:tcPr>
            <w:tcW w:w="343" w:type="pct"/>
            <w:shd w:val="clear" w:color="auto" w:fill="BDD7EE"/>
            <w:vAlign w:val="center"/>
            <w:hideMark/>
          </w:tcPr>
          <w:p w14:paraId="1074EAC5" w14:textId="77777777" w:rsidR="003F5418" w:rsidRDefault="002A6C25">
            <w:pPr>
              <w:pStyle w:val="P68B1DB1-Normal3"/>
              <w:jc w:val="center"/>
              <w:rPr>
                <w:noProof/>
              </w:rPr>
            </w:pPr>
            <w:r>
              <w:rPr>
                <w:noProof/>
              </w:rPr>
              <w:t>Cél</w:t>
            </w:r>
          </w:p>
        </w:tc>
        <w:tc>
          <w:tcPr>
            <w:tcW w:w="286" w:type="pct"/>
            <w:shd w:val="clear" w:color="auto" w:fill="BDD7EE"/>
            <w:vAlign w:val="center"/>
            <w:hideMark/>
          </w:tcPr>
          <w:p w14:paraId="705F3F9C" w14:textId="77777777" w:rsidR="003F5418" w:rsidRDefault="002A6C25">
            <w:pPr>
              <w:pStyle w:val="P68B1DB1-Normal3"/>
              <w:jc w:val="center"/>
              <w:rPr>
                <w:noProof/>
              </w:rPr>
            </w:pPr>
            <w:r>
              <w:rPr>
                <w:noProof/>
              </w:rPr>
              <w:t>Negyedév</w:t>
            </w:r>
          </w:p>
        </w:tc>
        <w:tc>
          <w:tcPr>
            <w:tcW w:w="238" w:type="pct"/>
            <w:shd w:val="clear" w:color="auto" w:fill="BDD7EE"/>
            <w:vAlign w:val="center"/>
            <w:hideMark/>
          </w:tcPr>
          <w:p w14:paraId="11183EC8" w14:textId="77777777" w:rsidR="003F5418" w:rsidRDefault="002A6C25">
            <w:pPr>
              <w:pStyle w:val="P68B1DB1-Normal3"/>
              <w:jc w:val="center"/>
              <w:rPr>
                <w:noProof/>
              </w:rPr>
            </w:pPr>
            <w:r>
              <w:rPr>
                <w:noProof/>
              </w:rPr>
              <w:t>Éve</w:t>
            </w:r>
          </w:p>
        </w:tc>
        <w:tc>
          <w:tcPr>
            <w:tcW w:w="1047" w:type="pct"/>
            <w:vMerge/>
            <w:vAlign w:val="center"/>
            <w:hideMark/>
          </w:tcPr>
          <w:p w14:paraId="6A2D42EA" w14:textId="77777777" w:rsidR="003F5418" w:rsidRDefault="003F5418">
            <w:pPr>
              <w:rPr>
                <w:rFonts w:ascii="Arial Narrow" w:hAnsi="Arial Narrow"/>
                <w:b/>
                <w:noProof/>
                <w:sz w:val="20"/>
              </w:rPr>
            </w:pPr>
          </w:p>
        </w:tc>
      </w:tr>
      <w:tr w:rsidR="003F5418" w14:paraId="28F58289" w14:textId="77777777">
        <w:trPr>
          <w:trHeight w:val="309"/>
        </w:trPr>
        <w:tc>
          <w:tcPr>
            <w:tcW w:w="380" w:type="pct"/>
            <w:shd w:val="clear" w:color="auto" w:fill="C6EFCE"/>
            <w:noWrap/>
            <w:vAlign w:val="center"/>
            <w:hideMark/>
          </w:tcPr>
          <w:p w14:paraId="204EAB14" w14:textId="77777777" w:rsidR="003F5418" w:rsidRDefault="002A6C25">
            <w:pPr>
              <w:pStyle w:val="P68B1DB1-Normal4"/>
              <w:jc w:val="center"/>
              <w:rPr>
                <w:noProof/>
              </w:rPr>
            </w:pPr>
            <w:r>
              <w:rPr>
                <w:noProof/>
              </w:rPr>
              <w:t>M4C1–1</w:t>
            </w:r>
          </w:p>
        </w:tc>
        <w:tc>
          <w:tcPr>
            <w:tcW w:w="500" w:type="pct"/>
            <w:shd w:val="clear" w:color="auto" w:fill="C6EFCE"/>
            <w:noWrap/>
            <w:vAlign w:val="center"/>
            <w:hideMark/>
          </w:tcPr>
          <w:p w14:paraId="0505F3B0" w14:textId="77777777" w:rsidR="003F5418" w:rsidRDefault="002A6C25">
            <w:pPr>
              <w:pStyle w:val="P68B1DB1-Normal4"/>
              <w:jc w:val="center"/>
              <w:rPr>
                <w:noProof/>
              </w:rPr>
            </w:pPr>
            <w:r>
              <w:rPr>
                <w:noProof/>
              </w:rPr>
              <w:t>Reform: Egyetemi diplomacsoportok reformja; Reform: Az egyetemi diplomák reformjának lehetővé tétele; Reform: PhD-programok reformja</w:t>
            </w:r>
          </w:p>
        </w:tc>
        <w:tc>
          <w:tcPr>
            <w:tcW w:w="358" w:type="pct"/>
            <w:shd w:val="clear" w:color="auto" w:fill="C6EFCE"/>
            <w:noWrap/>
            <w:vAlign w:val="center"/>
            <w:hideMark/>
          </w:tcPr>
          <w:p w14:paraId="50625D1C" w14:textId="77777777" w:rsidR="003F5418" w:rsidRDefault="002A6C25">
            <w:pPr>
              <w:pStyle w:val="P68B1DB1-Normal4"/>
              <w:jc w:val="center"/>
              <w:rPr>
                <w:noProof/>
              </w:rPr>
            </w:pPr>
            <w:r>
              <w:rPr>
                <w:noProof/>
              </w:rPr>
              <w:t>Mérföldkő</w:t>
            </w:r>
          </w:p>
        </w:tc>
        <w:tc>
          <w:tcPr>
            <w:tcW w:w="572" w:type="pct"/>
            <w:shd w:val="clear" w:color="auto" w:fill="C6EFCE"/>
            <w:noWrap/>
            <w:vAlign w:val="center"/>
            <w:hideMark/>
          </w:tcPr>
          <w:p w14:paraId="689AE186" w14:textId="77777777" w:rsidR="003F5418" w:rsidRDefault="002A6C25">
            <w:pPr>
              <w:pStyle w:val="P68B1DB1-Normal4"/>
              <w:jc w:val="center"/>
              <w:rPr>
                <w:noProof/>
              </w:rPr>
            </w:pPr>
            <w:r>
              <w:rPr>
                <w:noProof/>
              </w:rPr>
              <w:t>A felsőoktatási rendszer oktatási eredmények javítását célzó reformjainak (elsődleges jogszabályok) hatálybalépése az alábbiak tekintetében: egyetemi diplomák lehetővé tétele; egyetemi diplomacsoportok; a PhD-programok reformja</w:t>
            </w:r>
          </w:p>
        </w:tc>
        <w:tc>
          <w:tcPr>
            <w:tcW w:w="480" w:type="pct"/>
            <w:shd w:val="clear" w:color="auto" w:fill="C6EFCE"/>
            <w:noWrap/>
            <w:vAlign w:val="center"/>
            <w:hideMark/>
          </w:tcPr>
          <w:p w14:paraId="18CAB02B" w14:textId="77777777" w:rsidR="003F5418" w:rsidRDefault="002A6C25">
            <w:pPr>
              <w:pStyle w:val="P68B1DB1-Normal4"/>
              <w:jc w:val="center"/>
              <w:rPr>
                <w:noProof/>
              </w:rPr>
            </w:pPr>
            <w:r>
              <w:rPr>
                <w:noProof/>
              </w:rPr>
              <w:t>A törvénynek a reformok hatá</w:t>
            </w:r>
            <w:r>
              <w:rPr>
                <w:noProof/>
              </w:rPr>
              <w:t>lybalépését feltüntető rendelkezése</w:t>
            </w:r>
          </w:p>
        </w:tc>
        <w:tc>
          <w:tcPr>
            <w:tcW w:w="422" w:type="pct"/>
            <w:shd w:val="clear" w:color="auto" w:fill="C6EFCE"/>
            <w:noWrap/>
            <w:vAlign w:val="center"/>
            <w:hideMark/>
          </w:tcPr>
          <w:p w14:paraId="32D516F9"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33DF0E86" w14:textId="77777777" w:rsidR="003F5418" w:rsidRDefault="002A6C25">
            <w:pPr>
              <w:pStyle w:val="P68B1DB1-Normal4"/>
              <w:jc w:val="center"/>
              <w:rPr>
                <w:noProof/>
              </w:rPr>
            </w:pPr>
            <w:r>
              <w:rPr>
                <w:noProof/>
              </w:rPr>
              <w:t>NINCS</w:t>
            </w:r>
          </w:p>
        </w:tc>
        <w:tc>
          <w:tcPr>
            <w:tcW w:w="343" w:type="pct"/>
            <w:shd w:val="clear" w:color="auto" w:fill="C6EFCE"/>
            <w:noWrap/>
            <w:vAlign w:val="center"/>
            <w:hideMark/>
          </w:tcPr>
          <w:p w14:paraId="0F3CE9C6" w14:textId="77777777" w:rsidR="003F5418" w:rsidRDefault="002A6C25">
            <w:pPr>
              <w:pStyle w:val="P68B1DB1-Normal4"/>
              <w:jc w:val="center"/>
              <w:rPr>
                <w:noProof/>
              </w:rPr>
            </w:pPr>
            <w:r>
              <w:rPr>
                <w:noProof/>
              </w:rPr>
              <w:t>NINCS</w:t>
            </w:r>
          </w:p>
        </w:tc>
        <w:tc>
          <w:tcPr>
            <w:tcW w:w="286" w:type="pct"/>
            <w:shd w:val="clear" w:color="auto" w:fill="C6EFCE"/>
            <w:noWrap/>
            <w:vAlign w:val="center"/>
            <w:hideMark/>
          </w:tcPr>
          <w:p w14:paraId="2EE10229" w14:textId="77777777" w:rsidR="003F5418" w:rsidRDefault="002A6C25">
            <w:pPr>
              <w:pStyle w:val="P68B1DB1-Normal4"/>
              <w:jc w:val="center"/>
              <w:rPr>
                <w:noProof/>
              </w:rPr>
            </w:pPr>
            <w:r>
              <w:rPr>
                <w:noProof/>
              </w:rPr>
              <w:t>Q4</w:t>
            </w:r>
          </w:p>
        </w:tc>
        <w:tc>
          <w:tcPr>
            <w:tcW w:w="238" w:type="pct"/>
            <w:shd w:val="clear" w:color="auto" w:fill="C6EFCE"/>
            <w:noWrap/>
            <w:vAlign w:val="center"/>
            <w:hideMark/>
          </w:tcPr>
          <w:p w14:paraId="091C9F56" w14:textId="77777777" w:rsidR="003F5418" w:rsidRDefault="002A6C25">
            <w:pPr>
              <w:pStyle w:val="P68B1DB1-Normal4"/>
              <w:jc w:val="center"/>
              <w:rPr>
                <w:noProof/>
              </w:rPr>
            </w:pPr>
            <w:r>
              <w:rPr>
                <w:noProof/>
              </w:rPr>
              <w:t>2021</w:t>
            </w:r>
          </w:p>
        </w:tc>
        <w:tc>
          <w:tcPr>
            <w:tcW w:w="1047" w:type="pct"/>
            <w:shd w:val="clear" w:color="auto" w:fill="C6EFCE"/>
            <w:noWrap/>
            <w:vAlign w:val="center"/>
            <w:hideMark/>
          </w:tcPr>
          <w:p w14:paraId="2A1961D0" w14:textId="77777777" w:rsidR="003F5418" w:rsidRDefault="003F5418">
            <w:pPr>
              <w:rPr>
                <w:rFonts w:ascii="Arial Narrow" w:eastAsia="Calibri" w:hAnsi="Arial Narrow"/>
                <w:noProof/>
                <w:color w:val="006100"/>
                <w:sz w:val="20"/>
              </w:rPr>
            </w:pPr>
          </w:p>
          <w:p w14:paraId="2ACA2B8D" w14:textId="77777777" w:rsidR="003F5418" w:rsidRDefault="002A6C25">
            <w:pPr>
              <w:rPr>
                <w:rFonts w:ascii="Arial Narrow" w:hAnsi="Arial Narrow"/>
                <w:noProof/>
                <w:color w:val="006100"/>
                <w:sz w:val="20"/>
              </w:rPr>
            </w:pPr>
            <w:r>
              <w:rPr>
                <w:rFonts w:ascii="Arial Narrow" w:hAnsi="Arial Narrow"/>
                <w:noProof/>
                <w:color w:val="006100"/>
                <w:sz w:val="20"/>
              </w:rPr>
              <w:t xml:space="preserve">A reformoknak legalább a következő kulcsfontosságú elemeket kell tartalmazniuk: </w:t>
            </w:r>
            <w:r>
              <w:rPr>
                <w:rFonts w:ascii="Arial Narrow" w:hAnsi="Arial Narrow"/>
                <w:noProof/>
              </w:rPr>
              <w:t xml:space="preserve"> </w:t>
            </w:r>
            <w:r>
              <w:rPr>
                <w:noProof/>
              </w:rPr>
              <w:t xml:space="preserve"> </w:t>
            </w:r>
            <w:r>
              <w:rPr>
                <w:noProof/>
              </w:rPr>
              <w:br/>
            </w:r>
            <w:r>
              <w:rPr>
                <w:rFonts w:ascii="Arial Narrow" w:hAnsi="Arial Narrow"/>
                <w:noProof/>
                <w:color w:val="006100"/>
                <w:sz w:val="20"/>
              </w:rPr>
              <w:t>az egyetemi diplomák csoportjainak reformjára irányuló kezdeményezések, amelyek nagyobb fokú rugalmasságot vez</w:t>
            </w:r>
            <w:r>
              <w:rPr>
                <w:rFonts w:ascii="Arial Narrow" w:hAnsi="Arial Narrow"/>
                <w:noProof/>
                <w:color w:val="006100"/>
                <w:sz w:val="20"/>
              </w:rPr>
              <w:t xml:space="preserve">etnek be a munkaerőpiac változó készségigényének kielégítése érdekében; </w:t>
            </w:r>
            <w:r>
              <w:rPr>
                <w:rFonts w:ascii="Arial Narrow" w:hAnsi="Arial Narrow"/>
                <w:noProof/>
              </w:rPr>
              <w:t xml:space="preserve"> </w:t>
            </w:r>
            <w:r>
              <w:rPr>
                <w:noProof/>
              </w:rPr>
              <w:t xml:space="preserve"> </w:t>
            </w:r>
            <w:r>
              <w:rPr>
                <w:noProof/>
              </w:rPr>
              <w:br/>
            </w:r>
            <w:r>
              <w:rPr>
                <w:rFonts w:ascii="Arial Narrow" w:hAnsi="Arial Narrow"/>
                <w:noProof/>
                <w:color w:val="006100"/>
                <w:sz w:val="20"/>
              </w:rPr>
              <w:t>kezdeményezések az egyetemi diplomák átalakítására, valamint a szakmákhoz való hozzáférés egyszerűsítésére és felgyorsítására;</w:t>
            </w:r>
            <w:r>
              <w:rPr>
                <w:rFonts w:ascii="Arial Narrow" w:hAnsi="Arial Narrow"/>
                <w:noProof/>
              </w:rPr>
              <w:t xml:space="preserve"> </w:t>
            </w:r>
            <w:r>
              <w:rPr>
                <w:noProof/>
              </w:rPr>
              <w:t xml:space="preserve"> </w:t>
            </w:r>
            <w:r>
              <w:rPr>
                <w:noProof/>
              </w:rPr>
              <w:br/>
            </w:r>
            <w:r>
              <w:rPr>
                <w:rFonts w:ascii="Arial Narrow" w:hAnsi="Arial Narrow"/>
                <w:noProof/>
                <w:color w:val="006100"/>
                <w:sz w:val="20"/>
              </w:rPr>
              <w:t>kezdeményezések a PHD-programok reformjára a cégek j</w:t>
            </w:r>
            <w:r>
              <w:rPr>
                <w:rFonts w:ascii="Arial Narrow" w:hAnsi="Arial Narrow"/>
                <w:noProof/>
                <w:color w:val="006100"/>
                <w:sz w:val="20"/>
              </w:rPr>
              <w:t>obb bevonása és az alkalmazott kutatás fellendítése érdekében;</w:t>
            </w:r>
            <w:r>
              <w:rPr>
                <w:rFonts w:ascii="Arial Narrow" w:hAnsi="Arial Narrow"/>
                <w:noProof/>
              </w:rPr>
              <w:t xml:space="preserve"> </w:t>
            </w:r>
            <w:r>
              <w:rPr>
                <w:noProof/>
              </w:rPr>
              <w:t xml:space="preserve"> </w:t>
            </w:r>
            <w:r>
              <w:rPr>
                <w:noProof/>
              </w:rPr>
              <w:br/>
            </w:r>
            <w:r>
              <w:rPr>
                <w:rFonts w:ascii="Arial Narrow" w:hAnsi="Arial Narrow"/>
                <w:noProof/>
                <w:color w:val="006100"/>
                <w:sz w:val="20"/>
              </w:rPr>
              <w:t>A felsőfokú szakképzési rendszer reformjára irányuló intézkedések, beleértve a kapcsolatok megerősítését és a szakmai oklevéllel (lauree professionalizzanti) való esetleges átmenetet a techni</w:t>
            </w:r>
            <w:r>
              <w:rPr>
                <w:rFonts w:ascii="Arial Narrow" w:hAnsi="Arial Narrow"/>
                <w:noProof/>
                <w:color w:val="006100"/>
                <w:sz w:val="20"/>
              </w:rPr>
              <w:t>kai kompetenciák iránti munkaerőpiaci kereslet kielégítése érdekében</w:t>
            </w:r>
          </w:p>
        </w:tc>
      </w:tr>
      <w:tr w:rsidR="003F5418" w14:paraId="1C7DDA15" w14:textId="77777777">
        <w:trPr>
          <w:trHeight w:val="309"/>
        </w:trPr>
        <w:tc>
          <w:tcPr>
            <w:tcW w:w="380" w:type="pct"/>
            <w:shd w:val="clear" w:color="auto" w:fill="C6EFCE"/>
            <w:noWrap/>
            <w:vAlign w:val="center"/>
          </w:tcPr>
          <w:p w14:paraId="6D9D9217" w14:textId="77777777" w:rsidR="003F5418" w:rsidRDefault="002A6C25">
            <w:pPr>
              <w:pStyle w:val="P68B1DB1-Normal4"/>
              <w:jc w:val="center"/>
              <w:rPr>
                <w:noProof/>
              </w:rPr>
            </w:pPr>
            <w:r>
              <w:rPr>
                <w:noProof/>
              </w:rPr>
              <w:t>M4C1–2</w:t>
            </w:r>
          </w:p>
        </w:tc>
        <w:tc>
          <w:tcPr>
            <w:tcW w:w="500" w:type="pct"/>
            <w:shd w:val="clear" w:color="auto" w:fill="C6EFCE"/>
            <w:noWrap/>
            <w:vAlign w:val="center"/>
          </w:tcPr>
          <w:p w14:paraId="50FA71C4" w14:textId="77777777" w:rsidR="003F5418" w:rsidRDefault="002A6C25">
            <w:pPr>
              <w:pStyle w:val="P68B1DB1-Normal4"/>
              <w:jc w:val="center"/>
              <w:rPr>
                <w:noProof/>
              </w:rPr>
            </w:pPr>
            <w:r>
              <w:rPr>
                <w:noProof/>
              </w:rPr>
              <w:t>Beruházás: Egyetemi ösztöndíjak</w:t>
            </w:r>
          </w:p>
        </w:tc>
        <w:tc>
          <w:tcPr>
            <w:tcW w:w="358" w:type="pct"/>
            <w:shd w:val="clear" w:color="auto" w:fill="C6EFCE"/>
            <w:noWrap/>
            <w:vAlign w:val="center"/>
          </w:tcPr>
          <w:p w14:paraId="32EB5E52"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0A8E3BC5" w14:textId="77777777" w:rsidR="003F5418" w:rsidRDefault="002A6C25">
            <w:pPr>
              <w:pStyle w:val="P68B1DB1-Normal4"/>
              <w:jc w:val="center"/>
              <w:rPr>
                <w:noProof/>
              </w:rPr>
            </w:pPr>
            <w:r>
              <w:rPr>
                <w:noProof/>
              </w:rPr>
              <w:t>A felsőoktatáshoz való hozzáférés javítását célzó ösztöndíjak reformjáról szóló miniszteri rendeletek hatálybalépése</w:t>
            </w:r>
          </w:p>
        </w:tc>
        <w:tc>
          <w:tcPr>
            <w:tcW w:w="480" w:type="pct"/>
            <w:shd w:val="clear" w:color="auto" w:fill="C6EFCE"/>
            <w:noWrap/>
            <w:vAlign w:val="center"/>
          </w:tcPr>
          <w:p w14:paraId="0D97AF17" w14:textId="77777777" w:rsidR="003F5418" w:rsidRDefault="002A6C25">
            <w:pPr>
              <w:pStyle w:val="P68B1DB1-Normal4"/>
              <w:jc w:val="center"/>
              <w:rPr>
                <w:noProof/>
              </w:rPr>
            </w:pPr>
            <w:r>
              <w:rPr>
                <w:noProof/>
              </w:rPr>
              <w:t xml:space="preserve">A törvénynek a </w:t>
            </w:r>
            <w:r>
              <w:rPr>
                <w:noProof/>
              </w:rPr>
              <w:t>reform hatálybalépését feltüntető rendelkezése</w:t>
            </w:r>
          </w:p>
        </w:tc>
        <w:tc>
          <w:tcPr>
            <w:tcW w:w="422" w:type="pct"/>
            <w:shd w:val="clear" w:color="auto" w:fill="C6EFCE"/>
            <w:noWrap/>
            <w:vAlign w:val="center"/>
          </w:tcPr>
          <w:p w14:paraId="0F24B384"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0E077E3C"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50828EE0"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3BB0015D"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6A312C64" w14:textId="77777777" w:rsidR="003F5418" w:rsidRDefault="002A6C25">
            <w:pPr>
              <w:pStyle w:val="P68B1DB1-Normal4"/>
              <w:jc w:val="center"/>
              <w:rPr>
                <w:noProof/>
              </w:rPr>
            </w:pPr>
            <w:r>
              <w:rPr>
                <w:noProof/>
              </w:rPr>
              <w:t>2021</w:t>
            </w:r>
          </w:p>
        </w:tc>
        <w:tc>
          <w:tcPr>
            <w:tcW w:w="1047" w:type="pct"/>
            <w:shd w:val="clear" w:color="auto" w:fill="C6EFCE"/>
            <w:noWrap/>
            <w:vAlign w:val="center"/>
          </w:tcPr>
          <w:p w14:paraId="7B80EFD6" w14:textId="77777777" w:rsidR="003F5418" w:rsidRDefault="002A6C25">
            <w:pPr>
              <w:pStyle w:val="P68B1DB1-Normal4"/>
              <w:rPr>
                <w:noProof/>
              </w:rPr>
            </w:pPr>
            <w:r>
              <w:rPr>
                <w:noProof/>
              </w:rPr>
              <w:t xml:space="preserve">Az Egyetemi és Kutatási Minisztérium által az ösztöndíjak reformjáról elfogadott miniszteri rendeletek elősegítik a társadalmi-gazdasági nehézségekkel küzdő tehetséges hallgatók </w:t>
            </w:r>
            <w:r>
              <w:rPr>
                <w:noProof/>
              </w:rPr>
              <w:t>felsőoktatáshoz való hozzáférését, és 2024. december 31-ig növelik az ösztöndíjak összegét és a kedvezményezettek számát. Ezeket a diákokat az ISEE – Indicatore della Situazione Economica Equivalente (ISEE – Indicatore della Situazione Economica Equivalent</w:t>
            </w:r>
            <w:r>
              <w:rPr>
                <w:noProof/>
              </w:rPr>
              <w:t>e) alapján azonosították.</w:t>
            </w:r>
          </w:p>
        </w:tc>
      </w:tr>
      <w:tr w:rsidR="003F5418" w14:paraId="236370DD" w14:textId="77777777">
        <w:trPr>
          <w:trHeight w:val="309"/>
        </w:trPr>
        <w:tc>
          <w:tcPr>
            <w:tcW w:w="380" w:type="pct"/>
            <w:shd w:val="clear" w:color="auto" w:fill="C6EFCE"/>
            <w:noWrap/>
            <w:vAlign w:val="center"/>
            <w:hideMark/>
          </w:tcPr>
          <w:p w14:paraId="23241C7D" w14:textId="77777777" w:rsidR="003F5418" w:rsidRDefault="002A6C25">
            <w:pPr>
              <w:pStyle w:val="P68B1DB1-Normal4"/>
              <w:jc w:val="center"/>
              <w:rPr>
                <w:noProof/>
              </w:rPr>
            </w:pPr>
            <w:r>
              <w:rPr>
                <w:noProof/>
              </w:rPr>
              <w:t>M4C1–3</w:t>
            </w:r>
          </w:p>
        </w:tc>
        <w:tc>
          <w:tcPr>
            <w:tcW w:w="500" w:type="pct"/>
            <w:shd w:val="clear" w:color="auto" w:fill="C6EFCE"/>
            <w:noWrap/>
            <w:vAlign w:val="center"/>
            <w:hideMark/>
          </w:tcPr>
          <w:p w14:paraId="3B65BE7A" w14:textId="77777777" w:rsidR="003F5418" w:rsidRDefault="002A6C25">
            <w:pPr>
              <w:pStyle w:val="P68B1DB1-Normal4"/>
              <w:jc w:val="center"/>
              <w:rPr>
                <w:noProof/>
              </w:rPr>
            </w:pPr>
            <w:r>
              <w:rPr>
                <w:noProof/>
              </w:rPr>
              <w:t>Reform: Tanárok felvétele</w:t>
            </w:r>
          </w:p>
        </w:tc>
        <w:tc>
          <w:tcPr>
            <w:tcW w:w="358" w:type="pct"/>
            <w:shd w:val="clear" w:color="auto" w:fill="C6EFCE"/>
            <w:noWrap/>
            <w:vAlign w:val="center"/>
            <w:hideMark/>
          </w:tcPr>
          <w:p w14:paraId="49492AB5" w14:textId="77777777" w:rsidR="003F5418" w:rsidRDefault="002A6C25">
            <w:pPr>
              <w:pStyle w:val="P68B1DB1-Normal4"/>
              <w:jc w:val="center"/>
              <w:rPr>
                <w:noProof/>
              </w:rPr>
            </w:pPr>
            <w:r>
              <w:rPr>
                <w:noProof/>
              </w:rPr>
              <w:t>Mérföldkő</w:t>
            </w:r>
          </w:p>
        </w:tc>
        <w:tc>
          <w:tcPr>
            <w:tcW w:w="572" w:type="pct"/>
            <w:shd w:val="clear" w:color="auto" w:fill="C6EFCE"/>
            <w:noWrap/>
            <w:vAlign w:val="center"/>
            <w:hideMark/>
          </w:tcPr>
          <w:p w14:paraId="16F83A2C" w14:textId="77777777" w:rsidR="003F5418" w:rsidRDefault="002A6C25">
            <w:pPr>
              <w:pStyle w:val="P68B1DB1-Normal4"/>
              <w:jc w:val="center"/>
              <w:rPr>
                <w:noProof/>
              </w:rPr>
            </w:pPr>
            <w:r>
              <w:rPr>
                <w:noProof/>
              </w:rPr>
              <w:t>A tanári szakma reformjának hatálybalépése.</w:t>
            </w:r>
          </w:p>
        </w:tc>
        <w:tc>
          <w:tcPr>
            <w:tcW w:w="480" w:type="pct"/>
            <w:shd w:val="clear" w:color="auto" w:fill="C6EFCE"/>
            <w:noWrap/>
            <w:vAlign w:val="center"/>
            <w:hideMark/>
          </w:tcPr>
          <w:p w14:paraId="4BDC6A59" w14:textId="77777777" w:rsidR="003F5418" w:rsidRDefault="002A6C25">
            <w:pPr>
              <w:pStyle w:val="P68B1DB1-Normal4"/>
              <w:jc w:val="center"/>
              <w:rPr>
                <w:noProof/>
              </w:rPr>
            </w:pPr>
            <w:r>
              <w:rPr>
                <w:noProof/>
              </w:rPr>
              <w:t>A törvénynek a reform hatálybalépését feltüntető rendelkezése</w:t>
            </w:r>
          </w:p>
        </w:tc>
        <w:tc>
          <w:tcPr>
            <w:tcW w:w="422" w:type="pct"/>
            <w:shd w:val="clear" w:color="auto" w:fill="C6EFCE"/>
            <w:noWrap/>
            <w:vAlign w:val="center"/>
            <w:hideMark/>
          </w:tcPr>
          <w:p w14:paraId="61E8B34B"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373331B8" w14:textId="77777777" w:rsidR="003F5418" w:rsidRDefault="002A6C25">
            <w:pPr>
              <w:pStyle w:val="P68B1DB1-Normal4"/>
              <w:jc w:val="center"/>
              <w:rPr>
                <w:noProof/>
              </w:rPr>
            </w:pPr>
            <w:r>
              <w:rPr>
                <w:noProof/>
              </w:rPr>
              <w:t>NINCS</w:t>
            </w:r>
          </w:p>
        </w:tc>
        <w:tc>
          <w:tcPr>
            <w:tcW w:w="343" w:type="pct"/>
            <w:shd w:val="clear" w:color="auto" w:fill="C6EFCE"/>
            <w:noWrap/>
            <w:vAlign w:val="center"/>
            <w:hideMark/>
          </w:tcPr>
          <w:p w14:paraId="420721C8" w14:textId="77777777" w:rsidR="003F5418" w:rsidRDefault="002A6C25">
            <w:pPr>
              <w:pStyle w:val="P68B1DB1-Normal4"/>
              <w:jc w:val="center"/>
              <w:rPr>
                <w:noProof/>
              </w:rPr>
            </w:pPr>
            <w:r>
              <w:rPr>
                <w:noProof/>
              </w:rPr>
              <w:t>NINCS</w:t>
            </w:r>
          </w:p>
        </w:tc>
        <w:tc>
          <w:tcPr>
            <w:tcW w:w="286" w:type="pct"/>
            <w:shd w:val="clear" w:color="auto" w:fill="C6EFCE"/>
            <w:noWrap/>
            <w:vAlign w:val="center"/>
            <w:hideMark/>
          </w:tcPr>
          <w:p w14:paraId="26A7C981" w14:textId="77777777" w:rsidR="003F5418" w:rsidRDefault="002A6C25">
            <w:pPr>
              <w:pStyle w:val="P68B1DB1-Normal4"/>
              <w:jc w:val="center"/>
              <w:rPr>
                <w:noProof/>
              </w:rPr>
            </w:pPr>
            <w:r>
              <w:rPr>
                <w:noProof/>
              </w:rPr>
              <w:t>Q2</w:t>
            </w:r>
          </w:p>
        </w:tc>
        <w:tc>
          <w:tcPr>
            <w:tcW w:w="238" w:type="pct"/>
            <w:shd w:val="clear" w:color="auto" w:fill="C6EFCE"/>
            <w:noWrap/>
            <w:vAlign w:val="center"/>
            <w:hideMark/>
          </w:tcPr>
          <w:p w14:paraId="0DEA1728" w14:textId="77777777" w:rsidR="003F5418" w:rsidRDefault="002A6C25">
            <w:pPr>
              <w:pStyle w:val="P68B1DB1-Normal4"/>
              <w:jc w:val="center"/>
              <w:rPr>
                <w:noProof/>
              </w:rPr>
            </w:pPr>
            <w:r>
              <w:rPr>
                <w:noProof/>
              </w:rPr>
              <w:t>2022</w:t>
            </w:r>
          </w:p>
        </w:tc>
        <w:tc>
          <w:tcPr>
            <w:tcW w:w="1047" w:type="pct"/>
            <w:shd w:val="clear" w:color="auto" w:fill="C6EFCE"/>
            <w:noWrap/>
            <w:vAlign w:val="center"/>
            <w:hideMark/>
          </w:tcPr>
          <w:p w14:paraId="68872355" w14:textId="77777777" w:rsidR="003F5418" w:rsidRDefault="002A6C25">
            <w:pPr>
              <w:rPr>
                <w:rFonts w:ascii="Arial Narrow" w:hAnsi="Arial Narrow"/>
                <w:noProof/>
                <w:color w:val="006100"/>
                <w:sz w:val="20"/>
              </w:rPr>
            </w:pPr>
            <w:r>
              <w:rPr>
                <w:rFonts w:ascii="Arial Narrow" w:hAnsi="Arial Narrow"/>
                <w:noProof/>
                <w:color w:val="006100"/>
                <w:sz w:val="20"/>
              </w:rPr>
              <w:t xml:space="preserve">A felülvizsgált jogi keretnek vonzóvá kell tennie, fel kell venni és motiválnia kell a minőségi tanárokat, különösen az alábbiak révén: </w:t>
            </w:r>
            <w:r>
              <w:rPr>
                <w:rFonts w:ascii="Arial Narrow" w:hAnsi="Arial Narrow"/>
                <w:noProof/>
              </w:rPr>
              <w:t xml:space="preserve"> </w:t>
            </w:r>
            <w:r>
              <w:rPr>
                <w:noProof/>
              </w:rPr>
              <w:t xml:space="preserve"> </w:t>
            </w:r>
            <w:r>
              <w:rPr>
                <w:noProof/>
              </w:rPr>
              <w:br/>
            </w:r>
            <w:r>
              <w:rPr>
                <w:rFonts w:ascii="Arial Narrow" w:hAnsi="Arial Narrow"/>
                <w:noProof/>
                <w:color w:val="006100"/>
                <w:sz w:val="20"/>
              </w:rPr>
              <w:t xml:space="preserve">a munkaerő-felvételi rendszer javítása </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felsőfokú tanári képesítés bevezetése a középiskolai szakma megkezdéséhez;</w:t>
            </w:r>
            <w:r>
              <w:rPr>
                <w:rFonts w:ascii="Arial Narrow" w:hAnsi="Arial Narrow"/>
                <w:noProof/>
                <w:color w:val="006100"/>
                <w:sz w:val="20"/>
              </w:rPr>
              <w:t xml:space="preserve"> </w:t>
            </w:r>
            <w:r>
              <w:rPr>
                <w:rFonts w:ascii="Arial Narrow" w:hAnsi="Arial Narrow"/>
                <w:noProof/>
              </w:rPr>
              <w:t xml:space="preserve"> </w:t>
            </w:r>
            <w:r>
              <w:rPr>
                <w:noProof/>
              </w:rPr>
              <w:t xml:space="preserve"> </w:t>
            </w:r>
            <w:r>
              <w:rPr>
                <w:noProof/>
              </w:rPr>
              <w:br/>
            </w:r>
            <w:r>
              <w:rPr>
                <w:rFonts w:ascii="Arial Narrow" w:hAnsi="Arial Narrow"/>
                <w:noProof/>
                <w:color w:val="006100"/>
                <w:sz w:val="20"/>
              </w:rPr>
              <w:t>a tanárok túlzott mobilitásának korlátozása (az oktatás folytonossága érdekében);</w:t>
            </w:r>
            <w:r>
              <w:rPr>
                <w:rFonts w:ascii="Arial Narrow" w:hAnsi="Arial Narrow"/>
                <w:noProof/>
              </w:rPr>
              <w:t xml:space="preserve"> </w:t>
            </w:r>
            <w:r>
              <w:rPr>
                <w:noProof/>
              </w:rPr>
              <w:t xml:space="preserve"> </w:t>
            </w:r>
            <w:r>
              <w:rPr>
                <w:noProof/>
              </w:rPr>
              <w:br/>
            </w:r>
            <w:r>
              <w:rPr>
                <w:rFonts w:ascii="Arial Narrow" w:hAnsi="Arial Narrow"/>
                <w:noProof/>
                <w:color w:val="006100"/>
                <w:sz w:val="20"/>
              </w:rPr>
              <w:t>a teljesítményértékeléshez és a folyamatos szakmai fejlődéshez egyértelműen kapcsolódó szakmai előmenetel meghatározása.</w:t>
            </w:r>
          </w:p>
        </w:tc>
      </w:tr>
      <w:tr w:rsidR="003F5418" w14:paraId="5AD05E87" w14:textId="77777777">
        <w:trPr>
          <w:trHeight w:val="309"/>
        </w:trPr>
        <w:tc>
          <w:tcPr>
            <w:tcW w:w="380" w:type="pct"/>
            <w:shd w:val="clear" w:color="auto" w:fill="C6EFCE"/>
            <w:noWrap/>
            <w:vAlign w:val="center"/>
            <w:hideMark/>
          </w:tcPr>
          <w:p w14:paraId="38ED80DD" w14:textId="77777777" w:rsidR="003F5418" w:rsidRDefault="002A6C25">
            <w:pPr>
              <w:pStyle w:val="P68B1DB1-Normal4"/>
              <w:jc w:val="center"/>
              <w:rPr>
                <w:noProof/>
              </w:rPr>
            </w:pPr>
            <w:r>
              <w:rPr>
                <w:noProof/>
              </w:rPr>
              <w:t>M4C1–4</w:t>
            </w:r>
          </w:p>
        </w:tc>
        <w:tc>
          <w:tcPr>
            <w:tcW w:w="500" w:type="pct"/>
            <w:shd w:val="clear" w:color="auto" w:fill="C6EFCE"/>
            <w:noWrap/>
            <w:vAlign w:val="center"/>
            <w:hideMark/>
          </w:tcPr>
          <w:p w14:paraId="0A756911" w14:textId="77777777" w:rsidR="003F5418" w:rsidRDefault="002A6C25">
            <w:pPr>
              <w:pStyle w:val="P68B1DB1-Normal4"/>
              <w:jc w:val="center"/>
              <w:rPr>
                <w:noProof/>
              </w:rPr>
            </w:pPr>
            <w:r>
              <w:rPr>
                <w:noProof/>
              </w:rPr>
              <w:t xml:space="preserve">Beruházás: Iskola 4.0: innovatív </w:t>
            </w:r>
            <w:r>
              <w:rPr>
                <w:noProof/>
              </w:rPr>
              <w:t>iskolák, vezetékek, új osztálytermek és műhelyek</w:t>
            </w:r>
          </w:p>
        </w:tc>
        <w:tc>
          <w:tcPr>
            <w:tcW w:w="358" w:type="pct"/>
            <w:shd w:val="clear" w:color="auto" w:fill="C6EFCE"/>
            <w:noWrap/>
            <w:vAlign w:val="center"/>
            <w:hideMark/>
          </w:tcPr>
          <w:p w14:paraId="554C6F4A" w14:textId="77777777" w:rsidR="003F5418" w:rsidRDefault="002A6C25">
            <w:pPr>
              <w:pStyle w:val="P68B1DB1-Normal4"/>
              <w:jc w:val="center"/>
              <w:rPr>
                <w:noProof/>
              </w:rPr>
            </w:pPr>
            <w:r>
              <w:rPr>
                <w:noProof/>
              </w:rPr>
              <w:t>Mérföldkő</w:t>
            </w:r>
          </w:p>
        </w:tc>
        <w:tc>
          <w:tcPr>
            <w:tcW w:w="572" w:type="pct"/>
            <w:shd w:val="clear" w:color="auto" w:fill="C6EFCE"/>
            <w:noWrap/>
            <w:vAlign w:val="center"/>
            <w:hideMark/>
          </w:tcPr>
          <w:p w14:paraId="705659F9" w14:textId="77777777" w:rsidR="003F5418" w:rsidRDefault="002A6C25">
            <w:pPr>
              <w:pStyle w:val="P68B1DB1-Normal4"/>
              <w:jc w:val="center"/>
              <w:rPr>
                <w:noProof/>
              </w:rPr>
            </w:pPr>
            <w:r>
              <w:rPr>
                <w:noProof/>
              </w:rPr>
              <w:t>Az Iskola 4.0 Az olasz iskolarendszer digitális átállásának előmozdítására irányuló terv elfogadása</w:t>
            </w:r>
          </w:p>
        </w:tc>
        <w:tc>
          <w:tcPr>
            <w:tcW w:w="480" w:type="pct"/>
            <w:shd w:val="clear" w:color="auto" w:fill="C6EFCE"/>
            <w:noWrap/>
            <w:vAlign w:val="center"/>
            <w:hideMark/>
          </w:tcPr>
          <w:p w14:paraId="3BC69B78" w14:textId="77777777" w:rsidR="003F5418" w:rsidRDefault="002A6C25">
            <w:pPr>
              <w:pStyle w:val="P68B1DB1-Normal4"/>
              <w:jc w:val="center"/>
              <w:rPr>
                <w:noProof/>
              </w:rPr>
            </w:pPr>
            <w:r>
              <w:rPr>
                <w:noProof/>
              </w:rPr>
              <w:t>Oktatási Minisztérium – Az Iskola 4.0 terv elfogadásáról szóló rendelet</w:t>
            </w:r>
          </w:p>
        </w:tc>
        <w:tc>
          <w:tcPr>
            <w:tcW w:w="422" w:type="pct"/>
            <w:shd w:val="clear" w:color="auto" w:fill="C6EFCE"/>
            <w:noWrap/>
            <w:vAlign w:val="center"/>
            <w:hideMark/>
          </w:tcPr>
          <w:p w14:paraId="4D4727BB"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3DCC024E" w14:textId="77777777" w:rsidR="003F5418" w:rsidRDefault="002A6C25">
            <w:pPr>
              <w:pStyle w:val="P68B1DB1-Normal4"/>
              <w:jc w:val="center"/>
              <w:rPr>
                <w:noProof/>
              </w:rPr>
            </w:pPr>
            <w:r>
              <w:rPr>
                <w:noProof/>
              </w:rPr>
              <w:t>NINCS</w:t>
            </w:r>
          </w:p>
        </w:tc>
        <w:tc>
          <w:tcPr>
            <w:tcW w:w="343" w:type="pct"/>
            <w:shd w:val="clear" w:color="auto" w:fill="C6EFCE"/>
            <w:noWrap/>
            <w:vAlign w:val="center"/>
            <w:hideMark/>
          </w:tcPr>
          <w:p w14:paraId="56814E37" w14:textId="77777777" w:rsidR="003F5418" w:rsidRDefault="002A6C25">
            <w:pPr>
              <w:pStyle w:val="P68B1DB1-Normal4"/>
              <w:jc w:val="center"/>
              <w:rPr>
                <w:noProof/>
              </w:rPr>
            </w:pPr>
            <w:r>
              <w:rPr>
                <w:noProof/>
              </w:rPr>
              <w:t>NINCS</w:t>
            </w:r>
          </w:p>
        </w:tc>
        <w:tc>
          <w:tcPr>
            <w:tcW w:w="286" w:type="pct"/>
            <w:shd w:val="clear" w:color="auto" w:fill="C6EFCE"/>
            <w:noWrap/>
            <w:vAlign w:val="center"/>
            <w:hideMark/>
          </w:tcPr>
          <w:p w14:paraId="39A272B1" w14:textId="77777777" w:rsidR="003F5418" w:rsidRDefault="002A6C25">
            <w:pPr>
              <w:pStyle w:val="P68B1DB1-Normal4"/>
              <w:jc w:val="center"/>
              <w:rPr>
                <w:noProof/>
              </w:rPr>
            </w:pPr>
            <w:r>
              <w:rPr>
                <w:noProof/>
              </w:rPr>
              <w:t>Q2</w:t>
            </w:r>
          </w:p>
        </w:tc>
        <w:tc>
          <w:tcPr>
            <w:tcW w:w="238" w:type="pct"/>
            <w:shd w:val="clear" w:color="auto" w:fill="C6EFCE"/>
            <w:noWrap/>
            <w:vAlign w:val="center"/>
            <w:hideMark/>
          </w:tcPr>
          <w:p w14:paraId="2816BA8E" w14:textId="77777777" w:rsidR="003F5418" w:rsidRDefault="002A6C25">
            <w:pPr>
              <w:pStyle w:val="P68B1DB1-Normal4"/>
              <w:jc w:val="center"/>
              <w:rPr>
                <w:noProof/>
              </w:rPr>
            </w:pPr>
            <w:r>
              <w:rPr>
                <w:noProof/>
              </w:rPr>
              <w:t>2022</w:t>
            </w:r>
          </w:p>
        </w:tc>
        <w:tc>
          <w:tcPr>
            <w:tcW w:w="1047" w:type="pct"/>
            <w:shd w:val="clear" w:color="auto" w:fill="C6EFCE"/>
            <w:noWrap/>
            <w:vAlign w:val="center"/>
            <w:hideMark/>
          </w:tcPr>
          <w:p w14:paraId="0AFFB3A7" w14:textId="77777777" w:rsidR="003F5418" w:rsidRDefault="003F5418">
            <w:pPr>
              <w:rPr>
                <w:rFonts w:ascii="Arial Narrow" w:hAnsi="Arial Narrow"/>
                <w:noProof/>
                <w:color w:val="006100"/>
                <w:sz w:val="20"/>
              </w:rPr>
            </w:pPr>
          </w:p>
          <w:p w14:paraId="0E9BCDE3" w14:textId="77777777" w:rsidR="003F5418" w:rsidRDefault="002A6C25">
            <w:pPr>
              <w:pStyle w:val="P68B1DB1-Normal4"/>
              <w:rPr>
                <w:noProof/>
              </w:rPr>
            </w:pPr>
            <w:r>
              <w:rPr>
                <w:noProof/>
              </w:rPr>
              <w:t>Az oktatási minisztérium által az olasz iskolarendszer digitális átállásának előmozdítása érdekében elfogadott „School 4.0” terv a következőket tartalmazza:</w:t>
            </w:r>
          </w:p>
          <w:p w14:paraId="0A362422" w14:textId="00FA9726" w:rsidR="003F5418" w:rsidRDefault="002A6C25">
            <w:pPr>
              <w:pStyle w:val="P68B1DB1-Normal4"/>
              <w:rPr>
                <w:noProof/>
              </w:rPr>
            </w:pPr>
            <w:r>
              <w:rPr>
                <w:noProof/>
              </w:rPr>
              <w:t>100000 osztályterem átalakítása innovatív tanulási környezetté</w:t>
            </w:r>
          </w:p>
          <w:p w14:paraId="5A14D556" w14:textId="77777777" w:rsidR="003F5418" w:rsidRDefault="002A6C25">
            <w:pPr>
              <w:pStyle w:val="P68B1DB1-Normal4"/>
              <w:rPr>
                <w:noProof/>
              </w:rPr>
            </w:pPr>
            <w:r>
              <w:rPr>
                <w:noProof/>
              </w:rPr>
              <w:t>b) laboratóriumok létrehozása az ú</w:t>
            </w:r>
            <w:r>
              <w:rPr>
                <w:noProof/>
              </w:rPr>
              <w:t>j digitális szakmák számára valamennyi középiskolában.</w:t>
            </w:r>
          </w:p>
          <w:p w14:paraId="6C492BCA" w14:textId="77777777" w:rsidR="003F5418" w:rsidRDefault="003F5418">
            <w:pPr>
              <w:rPr>
                <w:rFonts w:ascii="Arial Narrow" w:hAnsi="Arial Narrow"/>
                <w:noProof/>
                <w:color w:val="006100"/>
                <w:sz w:val="20"/>
              </w:rPr>
            </w:pPr>
          </w:p>
          <w:p w14:paraId="4E21E5A2" w14:textId="1B9B14D9" w:rsidR="003F5418" w:rsidRDefault="002A6C25">
            <w:pPr>
              <w:pStyle w:val="P68B1DB1-Normal4"/>
              <w:rPr>
                <w:noProof/>
              </w:rPr>
            </w:pPr>
            <w:r>
              <w:rPr>
                <w:noProof/>
              </w:rPr>
              <w:t>Az a) intézkedés a hagyományos osztálytermeknek szánt iskolai tereket innovatív, adaptív és rugalmas tanulási környezetté alakítja át, amely összekapcsolódik a digitális, fizikai és virtuális technoló</w:t>
            </w:r>
            <w:r>
              <w:rPr>
                <w:noProof/>
              </w:rPr>
              <w:t>giákkal. Az iskolai létesítményekbe történő beruházásnak a leginnovatívabb tanítási technológiákat (kódoló és robotikai eszközök, virtuális valóság eszközei, az inkluzív oktatást szolgáló fejlett digitális eszközök stb.) legalább 100000 általános és középi</w:t>
            </w:r>
            <w:r>
              <w:rPr>
                <w:noProof/>
              </w:rPr>
              <w:t>skolai tantermbe kell vonzania.</w:t>
            </w:r>
          </w:p>
          <w:p w14:paraId="05735E6F" w14:textId="77777777" w:rsidR="003F5418" w:rsidRDefault="002A6C25">
            <w:pPr>
              <w:pStyle w:val="P68B1DB1-Normal4"/>
              <w:rPr>
                <w:noProof/>
              </w:rPr>
            </w:pPr>
            <w:r>
              <w:rPr>
                <w:noProof/>
              </w:rPr>
              <w:t>A b) fellépés keretében minden középiskolában létre kell hozni legalább egy, a digitális</w:t>
            </w:r>
            <w:r>
              <w:rPr>
                <w:noProof/>
              </w:rPr>
              <w:t xml:space="preserve"> szakmákkal foglalkozó laboratóriumot, a vállalatokkal szoros kapcsolatban álló laboratóriumot és innovatív induló innovatív vállalkozásokat az új digitális szakmák (például mesterséges intelligencia, robotika, nagy adathalmazok, kiberbiztonság, kék és zöl</w:t>
            </w:r>
            <w:r>
              <w:rPr>
                <w:noProof/>
              </w:rPr>
              <w:t>d gazdaság) ágazatában történő munkahelyteremtés érdekében.</w:t>
            </w:r>
          </w:p>
          <w:p w14:paraId="35FA6EFD" w14:textId="77777777" w:rsidR="003F5418" w:rsidRDefault="003F5418">
            <w:pPr>
              <w:rPr>
                <w:rFonts w:ascii="Arial Narrow" w:hAnsi="Arial Narrow"/>
                <w:noProof/>
                <w:color w:val="006100"/>
                <w:sz w:val="20"/>
              </w:rPr>
            </w:pPr>
          </w:p>
          <w:p w14:paraId="6380AF42" w14:textId="77777777" w:rsidR="003F5418" w:rsidRDefault="002A6C25">
            <w:pPr>
              <w:pStyle w:val="P68B1DB1-Normal4"/>
              <w:rPr>
                <w:noProof/>
              </w:rPr>
            </w:pPr>
            <w:r>
              <w:rPr>
                <w:noProof/>
              </w:rPr>
              <w:t>A kedvezményezett iskolák legalább 40%-ának Dél-Olaszországban kell lennie.</w:t>
            </w:r>
          </w:p>
        </w:tc>
      </w:tr>
      <w:tr w:rsidR="003F5418" w14:paraId="01F878B3" w14:textId="77777777">
        <w:trPr>
          <w:trHeight w:val="309"/>
        </w:trPr>
        <w:tc>
          <w:tcPr>
            <w:tcW w:w="380" w:type="pct"/>
            <w:shd w:val="clear" w:color="auto" w:fill="C6EFCE"/>
            <w:noWrap/>
            <w:vAlign w:val="center"/>
            <w:hideMark/>
          </w:tcPr>
          <w:p w14:paraId="06C73BEF" w14:textId="77777777" w:rsidR="003F5418" w:rsidRDefault="002A6C25">
            <w:pPr>
              <w:pStyle w:val="P68B1DB1-Normal4"/>
              <w:jc w:val="center"/>
              <w:rPr>
                <w:noProof/>
              </w:rPr>
            </w:pPr>
            <w:r>
              <w:rPr>
                <w:noProof/>
              </w:rPr>
              <w:t>M4C1–5</w:t>
            </w:r>
          </w:p>
        </w:tc>
        <w:tc>
          <w:tcPr>
            <w:tcW w:w="500" w:type="pct"/>
            <w:shd w:val="clear" w:color="auto" w:fill="C6EFCE"/>
            <w:noWrap/>
            <w:vAlign w:val="center"/>
            <w:hideMark/>
          </w:tcPr>
          <w:p w14:paraId="2452FFF7" w14:textId="77777777" w:rsidR="003F5418" w:rsidRDefault="002A6C25">
            <w:pPr>
              <w:pStyle w:val="P68B1DB1-Normal4"/>
              <w:jc w:val="center"/>
              <w:rPr>
                <w:noProof/>
              </w:rPr>
            </w:pPr>
            <w:r>
              <w:rPr>
                <w:noProof/>
              </w:rPr>
              <w:t xml:space="preserve">Reform: Az iskolarendszer átszervezése; Reform: A felsőfokú szakképzési rendszer (ITS) reformja; Reform: A </w:t>
            </w:r>
            <w:r>
              <w:rPr>
                <w:noProof/>
              </w:rPr>
              <w:t>műszaki és szakmai intézetek reformja; Reform: Az orientációs rendszer reformja</w:t>
            </w:r>
          </w:p>
        </w:tc>
        <w:tc>
          <w:tcPr>
            <w:tcW w:w="358" w:type="pct"/>
            <w:shd w:val="clear" w:color="auto" w:fill="C6EFCE"/>
            <w:noWrap/>
            <w:vAlign w:val="center"/>
            <w:hideMark/>
          </w:tcPr>
          <w:p w14:paraId="1F326CCA" w14:textId="77777777" w:rsidR="003F5418" w:rsidRDefault="002A6C25">
            <w:pPr>
              <w:pStyle w:val="P68B1DB1-Normal4"/>
              <w:jc w:val="center"/>
              <w:rPr>
                <w:noProof/>
              </w:rPr>
            </w:pPr>
            <w:r>
              <w:rPr>
                <w:noProof/>
              </w:rPr>
              <w:t>Mérföldkövek</w:t>
            </w:r>
          </w:p>
        </w:tc>
        <w:tc>
          <w:tcPr>
            <w:tcW w:w="572" w:type="pct"/>
            <w:shd w:val="clear" w:color="auto" w:fill="C6EFCE"/>
            <w:noWrap/>
            <w:vAlign w:val="center"/>
            <w:hideMark/>
          </w:tcPr>
          <w:p w14:paraId="6C8454DA" w14:textId="77777777" w:rsidR="003F5418" w:rsidRDefault="002A6C25">
            <w:pPr>
              <w:pStyle w:val="P68B1DB1-Normal4"/>
              <w:jc w:val="center"/>
              <w:rPr>
                <w:noProof/>
              </w:rPr>
            </w:pPr>
            <w:r>
              <w:rPr>
                <w:noProof/>
              </w:rPr>
              <w:t>Az alap- és középfokú oktatási rendszer reformjának hatálybalépése az oktatási eredmények javítása érdekében</w:t>
            </w:r>
          </w:p>
        </w:tc>
        <w:tc>
          <w:tcPr>
            <w:tcW w:w="480" w:type="pct"/>
            <w:shd w:val="clear" w:color="auto" w:fill="C6EFCE"/>
            <w:noWrap/>
            <w:vAlign w:val="center"/>
            <w:hideMark/>
          </w:tcPr>
          <w:p w14:paraId="2BB81660" w14:textId="77777777" w:rsidR="003F5418" w:rsidRDefault="002A6C25">
            <w:pPr>
              <w:pStyle w:val="P68B1DB1-Normal4"/>
              <w:jc w:val="center"/>
              <w:rPr>
                <w:noProof/>
              </w:rPr>
            </w:pPr>
            <w:r>
              <w:rPr>
                <w:noProof/>
              </w:rPr>
              <w:t xml:space="preserve">A törvénynek a reformok hatálybalépését feltüntető </w:t>
            </w:r>
            <w:r>
              <w:rPr>
                <w:noProof/>
              </w:rPr>
              <w:t>rendelkezése</w:t>
            </w:r>
          </w:p>
        </w:tc>
        <w:tc>
          <w:tcPr>
            <w:tcW w:w="422" w:type="pct"/>
            <w:shd w:val="clear" w:color="auto" w:fill="C6EFCE"/>
            <w:noWrap/>
            <w:vAlign w:val="center"/>
            <w:hideMark/>
          </w:tcPr>
          <w:p w14:paraId="503F18FF"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1FAECA5A" w14:textId="77777777" w:rsidR="003F5418" w:rsidRDefault="002A6C25">
            <w:pPr>
              <w:pStyle w:val="P68B1DB1-Normal4"/>
              <w:jc w:val="center"/>
              <w:rPr>
                <w:noProof/>
              </w:rPr>
            </w:pPr>
            <w:r>
              <w:rPr>
                <w:noProof/>
              </w:rPr>
              <w:t>NINCS</w:t>
            </w:r>
          </w:p>
        </w:tc>
        <w:tc>
          <w:tcPr>
            <w:tcW w:w="343" w:type="pct"/>
            <w:shd w:val="clear" w:color="auto" w:fill="C6EFCE"/>
            <w:noWrap/>
            <w:vAlign w:val="center"/>
            <w:hideMark/>
          </w:tcPr>
          <w:p w14:paraId="0F959EC3" w14:textId="77777777" w:rsidR="003F5418" w:rsidRDefault="002A6C25">
            <w:pPr>
              <w:pStyle w:val="P68B1DB1-Normal4"/>
              <w:jc w:val="center"/>
              <w:rPr>
                <w:noProof/>
              </w:rPr>
            </w:pPr>
            <w:r>
              <w:rPr>
                <w:noProof/>
              </w:rPr>
              <w:t>NINCS</w:t>
            </w:r>
          </w:p>
        </w:tc>
        <w:tc>
          <w:tcPr>
            <w:tcW w:w="286" w:type="pct"/>
            <w:shd w:val="clear" w:color="auto" w:fill="C6EFCE"/>
            <w:noWrap/>
            <w:vAlign w:val="center"/>
            <w:hideMark/>
          </w:tcPr>
          <w:p w14:paraId="79F85DED" w14:textId="77777777" w:rsidR="003F5418" w:rsidRDefault="002A6C25">
            <w:pPr>
              <w:pStyle w:val="P68B1DB1-Normal4"/>
              <w:jc w:val="center"/>
              <w:rPr>
                <w:noProof/>
              </w:rPr>
            </w:pPr>
            <w:r>
              <w:rPr>
                <w:noProof/>
              </w:rPr>
              <w:t>Q4</w:t>
            </w:r>
          </w:p>
        </w:tc>
        <w:tc>
          <w:tcPr>
            <w:tcW w:w="238" w:type="pct"/>
            <w:shd w:val="clear" w:color="auto" w:fill="C6EFCE"/>
            <w:noWrap/>
            <w:vAlign w:val="center"/>
            <w:hideMark/>
          </w:tcPr>
          <w:p w14:paraId="48384B0D" w14:textId="77777777" w:rsidR="003F5418" w:rsidRDefault="002A6C25">
            <w:pPr>
              <w:pStyle w:val="P68B1DB1-Normal4"/>
              <w:jc w:val="center"/>
              <w:rPr>
                <w:noProof/>
              </w:rPr>
            </w:pPr>
            <w:r>
              <w:rPr>
                <w:noProof/>
              </w:rPr>
              <w:t>2022</w:t>
            </w:r>
          </w:p>
        </w:tc>
        <w:tc>
          <w:tcPr>
            <w:tcW w:w="1047" w:type="pct"/>
            <w:shd w:val="clear" w:color="auto" w:fill="C6EFCE"/>
            <w:noWrap/>
            <w:vAlign w:val="center"/>
            <w:hideMark/>
          </w:tcPr>
          <w:p w14:paraId="32A4189A" w14:textId="77777777" w:rsidR="003F5418" w:rsidRDefault="002A6C25">
            <w:pPr>
              <w:rPr>
                <w:rFonts w:ascii="Arial Narrow" w:hAnsi="Arial Narrow"/>
                <w:noProof/>
                <w:color w:val="006100"/>
                <w:sz w:val="20"/>
              </w:rPr>
            </w:pPr>
            <w:r>
              <w:rPr>
                <w:rFonts w:ascii="Arial Narrow" w:hAnsi="Arial Narrow"/>
                <w:noProof/>
                <w:color w:val="006100"/>
                <w:sz w:val="20"/>
              </w:rPr>
              <w:t xml:space="preserve">Az alap- és középfokú oktatási rendszer alapjoggal kapcsolatos, az oktatási eredmények javítását célzó reformjai (az elsődleges jogszabályok révén) legalább a következő kulcsfontosságú elemeket foglalják magukban: </w:t>
            </w:r>
            <w:r>
              <w:rPr>
                <w:rFonts w:ascii="Arial Narrow" w:hAnsi="Arial Narrow"/>
                <w:noProof/>
              </w:rPr>
              <w:t xml:space="preserve"> </w:t>
            </w:r>
            <w:r>
              <w:rPr>
                <w:noProof/>
              </w:rPr>
              <w:t xml:space="preserve"> </w:t>
            </w:r>
            <w:r>
              <w:rPr>
                <w:noProof/>
              </w:rPr>
              <w:br/>
            </w:r>
            <w:r>
              <w:rPr>
                <w:rFonts w:ascii="Arial Narrow" w:hAnsi="Arial Narrow"/>
                <w:noProof/>
                <w:color w:val="006100"/>
                <w:sz w:val="20"/>
              </w:rPr>
              <w:t>i) Kezdeményezések az oktatási rendszer szervezeti átalakítására a demográfiai fejleményekhez való alkalmazkodás érdekében (például az iskolák és tanulók/tanárok száma)</w:t>
            </w:r>
            <w:r>
              <w:rPr>
                <w:rFonts w:ascii="Arial Narrow" w:hAnsi="Arial Narrow"/>
                <w:noProof/>
              </w:rPr>
              <w:t xml:space="preserve"> </w:t>
            </w:r>
            <w:r>
              <w:rPr>
                <w:noProof/>
              </w:rPr>
              <w:t xml:space="preserve"> </w:t>
            </w:r>
            <w:r>
              <w:rPr>
                <w:noProof/>
              </w:rPr>
              <w:br/>
              <w:t xml:space="preserve"> </w:t>
            </w:r>
            <w:r>
              <w:rPr>
                <w:rFonts w:ascii="Arial Narrow" w:hAnsi="Arial Narrow"/>
                <w:noProof/>
                <w:color w:val="006100"/>
                <w:sz w:val="20"/>
              </w:rPr>
              <w:t>az orientációs rendszer reformjára irányuló kezdeményezések a felsőoktatásból lemorz</w:t>
            </w:r>
            <w:r>
              <w:rPr>
                <w:rFonts w:ascii="Arial Narrow" w:hAnsi="Arial Narrow"/>
                <w:noProof/>
                <w:color w:val="006100"/>
                <w:sz w:val="20"/>
              </w:rPr>
              <w:t>solódók arányának minimalizálása érdekében;</w:t>
            </w:r>
            <w:r>
              <w:rPr>
                <w:rFonts w:ascii="Arial Narrow" w:hAnsi="Arial Narrow"/>
                <w:noProof/>
              </w:rPr>
              <w:t xml:space="preserve"> </w:t>
            </w:r>
            <w:r>
              <w:rPr>
                <w:noProof/>
              </w:rPr>
              <w:t xml:space="preserve"> </w:t>
            </w:r>
            <w:r>
              <w:rPr>
                <w:noProof/>
              </w:rPr>
              <w:br/>
            </w:r>
            <w:r>
              <w:rPr>
                <w:rFonts w:ascii="Arial Narrow" w:hAnsi="Arial Narrow"/>
                <w:noProof/>
                <w:color w:val="006100"/>
                <w:sz w:val="20"/>
              </w:rPr>
              <w:t>a középfokú szakképzés megerősítésére irányuló kezdeményezések (Istituti tecnico- Professionali), beleértve az új tanterv elfogadását és azoknak a National Industry 4.0 terv innovációs eredményei felé való orie</w:t>
            </w:r>
            <w:r>
              <w:rPr>
                <w:rFonts w:ascii="Arial Narrow" w:hAnsi="Arial Narrow"/>
                <w:noProof/>
                <w:color w:val="006100"/>
                <w:sz w:val="20"/>
              </w:rPr>
              <w:t>ntációját (Ministero dello Sviluppo economico, Decreto 26 Maggio 2020);</w:t>
            </w:r>
            <w:r>
              <w:rPr>
                <w:rFonts w:ascii="Arial Narrow" w:hAnsi="Arial Narrow"/>
                <w:noProof/>
              </w:rPr>
              <w:t xml:space="preserve"> </w:t>
            </w:r>
            <w:r>
              <w:rPr>
                <w:noProof/>
              </w:rPr>
              <w:t xml:space="preserve"> </w:t>
            </w:r>
            <w:r>
              <w:rPr>
                <w:noProof/>
              </w:rPr>
              <w:br/>
            </w:r>
            <w:r>
              <w:rPr>
                <w:rFonts w:ascii="Arial Narrow" w:hAnsi="Arial Narrow"/>
                <w:noProof/>
                <w:color w:val="006100"/>
                <w:sz w:val="20"/>
              </w:rPr>
              <w:t>az iskolavezetők, a tanárok és az adminisztratív/műszaki személyzet képzésére irányuló kezdeményezések, valamint az oktatás minőségének javítását célzó képzésre szolgáló felsőfokú is</w:t>
            </w:r>
            <w:r>
              <w:rPr>
                <w:rFonts w:ascii="Arial Narrow" w:hAnsi="Arial Narrow"/>
                <w:noProof/>
                <w:color w:val="006100"/>
                <w:sz w:val="20"/>
              </w:rPr>
              <w:t>kola létrehozása;</w:t>
            </w:r>
            <w:r>
              <w:rPr>
                <w:rFonts w:ascii="Arial Narrow" w:hAnsi="Arial Narrow"/>
                <w:noProof/>
              </w:rPr>
              <w:t xml:space="preserve"> </w:t>
            </w:r>
            <w:r>
              <w:rPr>
                <w:noProof/>
              </w:rPr>
              <w:t xml:space="preserve"> </w:t>
            </w:r>
            <w:r>
              <w:rPr>
                <w:noProof/>
              </w:rPr>
              <w:br/>
            </w:r>
            <w:r>
              <w:rPr>
                <w:rFonts w:ascii="Arial Narrow" w:hAnsi="Arial Narrow"/>
                <w:noProof/>
                <w:color w:val="006100"/>
                <w:sz w:val="20"/>
              </w:rPr>
              <w:t>V) kezdeményezések a természettudományos, technológiai, mérnöki és matematikai (STEM) tantervek, digitális és innovációs készségek fejlesztésére és megerősítésére irányuló tevékenységek, módszerek és tartalmak integrálására az oktatás v</w:t>
            </w:r>
            <w:r>
              <w:rPr>
                <w:rFonts w:ascii="Arial Narrow" w:hAnsi="Arial Narrow"/>
                <w:noProof/>
                <w:color w:val="006100"/>
                <w:sz w:val="20"/>
              </w:rPr>
              <w:t>alamennyi ciklusában, az óvodától a felső középfokú oktatásig, azzal a céllal, hogy fokozzák a felsőoktatási TTMM-tantervekbe való beiratkozást, különösen a nők esetében.</w:t>
            </w:r>
          </w:p>
          <w:p w14:paraId="5C508E7B" w14:textId="77777777" w:rsidR="003F5418" w:rsidRDefault="003F5418">
            <w:pPr>
              <w:rPr>
                <w:rFonts w:ascii="Arial Narrow" w:hAnsi="Arial Narrow"/>
                <w:noProof/>
                <w:color w:val="006100"/>
                <w:sz w:val="20"/>
              </w:rPr>
            </w:pPr>
          </w:p>
          <w:p w14:paraId="1976E9EA" w14:textId="77777777" w:rsidR="003F5418" w:rsidRDefault="002A6C25">
            <w:pPr>
              <w:pStyle w:val="P68B1DB1-Normal4"/>
              <w:rPr>
                <w:noProof/>
              </w:rPr>
            </w:pPr>
            <w:r>
              <w:rPr>
                <w:noProof/>
              </w:rPr>
              <w:t>A mérföldkő kielégítő teljesítése érdekében a jogszabálynak tartalmaznia kell a máso</w:t>
            </w:r>
            <w:r>
              <w:rPr>
                <w:noProof/>
              </w:rPr>
              <w:t>dlagos jogszabályok kibocsátására vonatkozó kötelező határidőket, iránymutatásokat és minden szükséges szabályozási rendelkezést (az Oktatási Minisztérium adatbázisa általi nyomon követés) a zökkenőmentes végrehajtás biztosítása érdekében.</w:t>
            </w:r>
          </w:p>
        </w:tc>
      </w:tr>
      <w:tr w:rsidR="003F5418" w14:paraId="10FBB23E" w14:textId="77777777">
        <w:trPr>
          <w:trHeight w:val="309"/>
        </w:trPr>
        <w:tc>
          <w:tcPr>
            <w:tcW w:w="380" w:type="pct"/>
            <w:shd w:val="clear" w:color="auto" w:fill="C6EFCE"/>
            <w:noWrap/>
            <w:vAlign w:val="center"/>
          </w:tcPr>
          <w:p w14:paraId="343B1177" w14:textId="77777777" w:rsidR="003F5418" w:rsidRDefault="002A6C25">
            <w:pPr>
              <w:pStyle w:val="P68B1DB1-Normal4"/>
              <w:jc w:val="center"/>
              <w:rPr>
                <w:noProof/>
              </w:rPr>
            </w:pPr>
            <w:r>
              <w:rPr>
                <w:noProof/>
              </w:rPr>
              <w:t>M4C1–6</w:t>
            </w:r>
          </w:p>
        </w:tc>
        <w:tc>
          <w:tcPr>
            <w:tcW w:w="500" w:type="pct"/>
            <w:shd w:val="clear" w:color="auto" w:fill="C6EFCE"/>
            <w:noWrap/>
            <w:vAlign w:val="center"/>
          </w:tcPr>
          <w:p w14:paraId="5919E30A" w14:textId="77777777" w:rsidR="003F5418" w:rsidRDefault="002A6C25">
            <w:pPr>
              <w:pStyle w:val="P68B1DB1-Normal4"/>
              <w:jc w:val="center"/>
              <w:rPr>
                <w:noProof/>
              </w:rPr>
            </w:pPr>
            <w:r>
              <w:rPr>
                <w:noProof/>
              </w:rPr>
              <w:t xml:space="preserve">Reform: </w:t>
            </w:r>
            <w:r>
              <w:rPr>
                <w:noProof/>
              </w:rPr>
              <w:t>Felsőfokú felsőbb szintű iskola és továbbképzés iskolavezetők, tanárok, adminisztratív és műszaki személyzet számára</w:t>
            </w:r>
          </w:p>
        </w:tc>
        <w:tc>
          <w:tcPr>
            <w:tcW w:w="358" w:type="pct"/>
            <w:shd w:val="clear" w:color="auto" w:fill="C6EFCE"/>
            <w:noWrap/>
            <w:vAlign w:val="center"/>
          </w:tcPr>
          <w:p w14:paraId="5127DB30"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01109124" w14:textId="77777777" w:rsidR="003F5418" w:rsidRDefault="002A6C25">
            <w:pPr>
              <w:pStyle w:val="P68B1DB1-Normal4"/>
              <w:jc w:val="center"/>
              <w:rPr>
                <w:noProof/>
              </w:rPr>
            </w:pPr>
            <w:r>
              <w:rPr>
                <w:noProof/>
              </w:rPr>
              <w:t>Az iskolák minőségi képzési rendszerének kiépítését célzó jogszabályok hatálybalépése.</w:t>
            </w:r>
          </w:p>
        </w:tc>
        <w:tc>
          <w:tcPr>
            <w:tcW w:w="480" w:type="pct"/>
            <w:shd w:val="clear" w:color="auto" w:fill="C6EFCE"/>
            <w:noWrap/>
            <w:vAlign w:val="center"/>
          </w:tcPr>
          <w:p w14:paraId="739CB73D" w14:textId="77777777" w:rsidR="003F5418" w:rsidRDefault="002A6C25">
            <w:pPr>
              <w:pStyle w:val="P68B1DB1-Normal4"/>
              <w:jc w:val="center"/>
              <w:rPr>
                <w:noProof/>
              </w:rPr>
            </w:pPr>
            <w:r>
              <w:rPr>
                <w:noProof/>
              </w:rPr>
              <w:t xml:space="preserve">A jogszabály hatálybalépését feltüntető </w:t>
            </w:r>
            <w:r>
              <w:rPr>
                <w:noProof/>
              </w:rPr>
              <w:t>törvényi rendelkezés.</w:t>
            </w:r>
          </w:p>
        </w:tc>
        <w:tc>
          <w:tcPr>
            <w:tcW w:w="422" w:type="pct"/>
            <w:shd w:val="clear" w:color="auto" w:fill="C6EFCE"/>
            <w:noWrap/>
            <w:vAlign w:val="center"/>
          </w:tcPr>
          <w:p w14:paraId="5E2EA2F5"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3E2E89DD"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1A6BBC9A"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322F2734"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55FFC5C3" w14:textId="77777777" w:rsidR="003F5418" w:rsidRDefault="002A6C25">
            <w:pPr>
              <w:pStyle w:val="P68B1DB1-Normal4"/>
              <w:jc w:val="center"/>
              <w:rPr>
                <w:noProof/>
              </w:rPr>
            </w:pPr>
            <w:r>
              <w:rPr>
                <w:noProof/>
              </w:rPr>
              <w:t>2022</w:t>
            </w:r>
          </w:p>
        </w:tc>
        <w:tc>
          <w:tcPr>
            <w:tcW w:w="1047" w:type="pct"/>
            <w:shd w:val="clear" w:color="auto" w:fill="C6EFCE"/>
            <w:noWrap/>
            <w:vAlign w:val="center"/>
          </w:tcPr>
          <w:p w14:paraId="5052BBCE" w14:textId="77777777" w:rsidR="003F5418" w:rsidRDefault="002A6C25">
            <w:pPr>
              <w:pStyle w:val="P68B1DB1-Normal4"/>
              <w:rPr>
                <w:noProof/>
              </w:rPr>
            </w:pPr>
            <w:r>
              <w:rPr>
                <w:noProof/>
              </w:rPr>
              <w:t>A jogszabály olyan rendelkezéseket tartalmaz, amelyek célja az iskolai személyzet folyamatos szakmai és karrierfejlesztéssel összhangban álló minőségi képzési rendszerének kiépítése, az iskolai személyzet kép</w:t>
            </w:r>
            <w:r>
              <w:rPr>
                <w:noProof/>
              </w:rPr>
              <w:t>zésére vonatkozó iránymutatásokért felelős képesített testület létrehozása, a képzési kezdeményezések kiválasztása és koordinálása, és azokat a munkaerő-felvételi reformnak megfelelően a szakmai előmenetelhez kell kapcsolni. Az alap- és továbbképzési rends</w:t>
            </w:r>
            <w:r>
              <w:rPr>
                <w:noProof/>
              </w:rPr>
              <w:t>zer bevezetésének lehetővé kell tennie a jelenleg egységes nemzeti stratégiával nem rendelkező képzési pályák jelenlegi széttöredezettségének megszüntetését.</w:t>
            </w:r>
          </w:p>
        </w:tc>
      </w:tr>
      <w:tr w:rsidR="003F5418" w14:paraId="31EFE813" w14:textId="77777777">
        <w:trPr>
          <w:trHeight w:val="309"/>
        </w:trPr>
        <w:tc>
          <w:tcPr>
            <w:tcW w:w="380" w:type="pct"/>
            <w:shd w:val="clear" w:color="auto" w:fill="C6EFCE"/>
            <w:noWrap/>
            <w:vAlign w:val="center"/>
          </w:tcPr>
          <w:p w14:paraId="22F1B749" w14:textId="77777777" w:rsidR="003F5418" w:rsidRDefault="002A6C25">
            <w:pPr>
              <w:pStyle w:val="P68B1DB1-Normal4"/>
              <w:jc w:val="center"/>
              <w:rPr>
                <w:noProof/>
              </w:rPr>
            </w:pPr>
            <w:r>
              <w:rPr>
                <w:noProof/>
              </w:rPr>
              <w:t>M4C1–7</w:t>
            </w:r>
          </w:p>
        </w:tc>
        <w:tc>
          <w:tcPr>
            <w:tcW w:w="500" w:type="pct"/>
            <w:shd w:val="clear" w:color="auto" w:fill="C6EFCE"/>
            <w:noWrap/>
            <w:vAlign w:val="center"/>
          </w:tcPr>
          <w:p w14:paraId="2E113F4A" w14:textId="77777777" w:rsidR="003F5418" w:rsidRDefault="002A6C25">
            <w:pPr>
              <w:pStyle w:val="P68B1DB1-Normal4"/>
              <w:jc w:val="center"/>
              <w:rPr>
                <w:noProof/>
              </w:rPr>
            </w:pPr>
            <w:r>
              <w:rPr>
                <w:noProof/>
              </w:rPr>
              <w:t xml:space="preserve">Beruházás: Rendkívüli beavatkozás, amelynek célja a területi különbségek csökkentése a </w:t>
            </w:r>
            <w:r>
              <w:rPr>
                <w:noProof/>
              </w:rPr>
              <w:t>középiskola I. és II. ciklusaiban, valamint az iskolai lemorzsolódás kezelése</w:t>
            </w:r>
          </w:p>
        </w:tc>
        <w:tc>
          <w:tcPr>
            <w:tcW w:w="358" w:type="pct"/>
            <w:shd w:val="clear" w:color="auto" w:fill="C6EFCE"/>
            <w:noWrap/>
            <w:vAlign w:val="center"/>
          </w:tcPr>
          <w:p w14:paraId="66B5D691"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68F56CF6" w14:textId="77777777" w:rsidR="003F5418" w:rsidRDefault="002A6C25">
            <w:pPr>
              <w:pStyle w:val="P68B1DB1-Normal4"/>
              <w:jc w:val="center"/>
              <w:rPr>
                <w:noProof/>
              </w:rPr>
            </w:pPr>
            <w:r>
              <w:rPr>
                <w:noProof/>
              </w:rPr>
              <w:t>Mentorálási tevékenységekben vagy tanfolyamokon részt vevő diákok vagy fiatalok</w:t>
            </w:r>
          </w:p>
        </w:tc>
        <w:tc>
          <w:tcPr>
            <w:tcW w:w="480" w:type="pct"/>
            <w:shd w:val="clear" w:color="auto" w:fill="C6EFCE"/>
            <w:noWrap/>
            <w:vAlign w:val="center"/>
          </w:tcPr>
          <w:p w14:paraId="2A6215F9" w14:textId="77777777" w:rsidR="003F5418" w:rsidRDefault="002A6C25">
            <w:pPr>
              <w:pStyle w:val="P68B1DB1-Normal4"/>
              <w:jc w:val="center"/>
              <w:rPr>
                <w:noProof/>
              </w:rPr>
            </w:pPr>
            <w:r>
              <w:rPr>
                <w:noProof/>
              </w:rPr>
              <w:t>Mentorálási tevékenységek</w:t>
            </w:r>
          </w:p>
        </w:tc>
        <w:tc>
          <w:tcPr>
            <w:tcW w:w="422" w:type="pct"/>
            <w:shd w:val="clear" w:color="auto" w:fill="C6EFCE"/>
            <w:noWrap/>
            <w:vAlign w:val="center"/>
          </w:tcPr>
          <w:p w14:paraId="0FF1CDEC"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4A758FC1" w14:textId="77777777" w:rsidR="003F5418" w:rsidRDefault="002A6C25">
            <w:pPr>
              <w:pStyle w:val="P68B1DB1-Normal4"/>
              <w:jc w:val="center"/>
              <w:rPr>
                <w:noProof/>
              </w:rPr>
            </w:pPr>
            <w:r>
              <w:rPr>
                <w:noProof/>
              </w:rPr>
              <w:t>0</w:t>
            </w:r>
          </w:p>
        </w:tc>
        <w:tc>
          <w:tcPr>
            <w:tcW w:w="343" w:type="pct"/>
            <w:shd w:val="clear" w:color="auto" w:fill="C6EFCE"/>
            <w:noWrap/>
            <w:vAlign w:val="center"/>
          </w:tcPr>
          <w:p w14:paraId="1B18C1B9" w14:textId="77777777" w:rsidR="003F5418" w:rsidRDefault="002A6C25">
            <w:pPr>
              <w:pStyle w:val="P68B1DB1-Normal4"/>
              <w:jc w:val="center"/>
              <w:rPr>
                <w:noProof/>
              </w:rPr>
            </w:pPr>
            <w:r>
              <w:rPr>
                <w:noProof/>
              </w:rPr>
              <w:t>820 000</w:t>
            </w:r>
          </w:p>
        </w:tc>
        <w:tc>
          <w:tcPr>
            <w:tcW w:w="286" w:type="pct"/>
            <w:shd w:val="clear" w:color="auto" w:fill="C6EFCE"/>
            <w:noWrap/>
            <w:vAlign w:val="center"/>
          </w:tcPr>
          <w:p w14:paraId="1FCC8B2F" w14:textId="77777777" w:rsidR="003F5418" w:rsidRDefault="002A6C25">
            <w:pPr>
              <w:pStyle w:val="P68B1DB1-Normal4"/>
              <w:jc w:val="center"/>
              <w:rPr>
                <w:noProof/>
              </w:rPr>
            </w:pPr>
            <w:r>
              <w:rPr>
                <w:noProof/>
              </w:rPr>
              <w:t>Q3</w:t>
            </w:r>
          </w:p>
        </w:tc>
        <w:tc>
          <w:tcPr>
            <w:tcW w:w="238" w:type="pct"/>
            <w:shd w:val="clear" w:color="auto" w:fill="C6EFCE"/>
            <w:noWrap/>
            <w:vAlign w:val="center"/>
          </w:tcPr>
          <w:p w14:paraId="05044DAA"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11242018" w14:textId="4A29E41B" w:rsidR="003F5418" w:rsidRDefault="002A6C25">
            <w:pPr>
              <w:pStyle w:val="P68B1DB1-Normal4"/>
              <w:rPr>
                <w:noProof/>
              </w:rPr>
            </w:pPr>
            <w:r>
              <w:rPr>
                <w:noProof/>
              </w:rPr>
              <w:t xml:space="preserve">Mentorálási tevékenységek végrehajtása </w:t>
            </w:r>
            <w:r>
              <w:rPr>
                <w:noProof/>
              </w:rPr>
              <w:t>legalább 820000, a korai iskolaelhagyás kockázatának kitett és már lemorzsolódott fiatal számára.</w:t>
            </w:r>
          </w:p>
        </w:tc>
      </w:tr>
      <w:tr w:rsidR="003F5418" w14:paraId="5C5B72B9" w14:textId="77777777">
        <w:trPr>
          <w:trHeight w:val="309"/>
        </w:trPr>
        <w:tc>
          <w:tcPr>
            <w:tcW w:w="380" w:type="pct"/>
            <w:shd w:val="clear" w:color="auto" w:fill="C6EFCE"/>
            <w:noWrap/>
            <w:vAlign w:val="center"/>
          </w:tcPr>
          <w:p w14:paraId="5BA6F2F3" w14:textId="77777777" w:rsidR="003F5418" w:rsidRDefault="002A6C25">
            <w:pPr>
              <w:pStyle w:val="P68B1DB1-Normal4"/>
              <w:jc w:val="center"/>
              <w:rPr>
                <w:noProof/>
              </w:rPr>
            </w:pPr>
            <w:r>
              <w:rPr>
                <w:noProof/>
              </w:rPr>
              <w:t>M4C1–8</w:t>
            </w:r>
          </w:p>
          <w:p w14:paraId="2EC32A26" w14:textId="77777777" w:rsidR="003F5418" w:rsidRDefault="003F5418">
            <w:pPr>
              <w:jc w:val="center"/>
              <w:rPr>
                <w:rFonts w:ascii="Arial Narrow" w:hAnsi="Arial Narrow"/>
                <w:noProof/>
                <w:color w:val="006100"/>
                <w:sz w:val="20"/>
              </w:rPr>
            </w:pPr>
          </w:p>
        </w:tc>
        <w:tc>
          <w:tcPr>
            <w:tcW w:w="500" w:type="pct"/>
            <w:shd w:val="clear" w:color="auto" w:fill="C6EFCE"/>
            <w:noWrap/>
            <w:vAlign w:val="center"/>
          </w:tcPr>
          <w:p w14:paraId="1034AD6E" w14:textId="77777777" w:rsidR="003F5418" w:rsidRDefault="002A6C25">
            <w:pPr>
              <w:pStyle w:val="P68B1DB1-Normal4"/>
              <w:jc w:val="center"/>
              <w:rPr>
                <w:noProof/>
              </w:rPr>
            </w:pPr>
            <w:r>
              <w:rPr>
                <w:noProof/>
              </w:rPr>
              <w:t>Beruházás: Iskolai sportinfrastruktúra-fejlesztési terv</w:t>
            </w:r>
          </w:p>
        </w:tc>
        <w:tc>
          <w:tcPr>
            <w:tcW w:w="358" w:type="pct"/>
            <w:shd w:val="clear" w:color="auto" w:fill="C6EFCE"/>
            <w:noWrap/>
            <w:vAlign w:val="center"/>
          </w:tcPr>
          <w:p w14:paraId="4FEDFC39"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77F1F770" w14:textId="77777777" w:rsidR="003F5418" w:rsidRDefault="002A6C25">
            <w:pPr>
              <w:pStyle w:val="P68B1DB1-Normal4"/>
              <w:jc w:val="center"/>
              <w:rPr>
                <w:noProof/>
              </w:rPr>
            </w:pPr>
            <w:r>
              <w:rPr>
                <w:noProof/>
              </w:rPr>
              <w:t xml:space="preserve">Az Oktatási Minisztérium rendeletében előirányzott sportlétesítmények és </w:t>
            </w:r>
            <w:r>
              <w:rPr>
                <w:noProof/>
              </w:rPr>
              <w:t>tornatermek építésére és felújítására irányuló beavatkozásokra vonatkozó szerződések odaítélése</w:t>
            </w:r>
          </w:p>
        </w:tc>
        <w:tc>
          <w:tcPr>
            <w:tcW w:w="480" w:type="pct"/>
            <w:shd w:val="clear" w:color="auto" w:fill="C6EFCE"/>
            <w:noWrap/>
            <w:vAlign w:val="center"/>
          </w:tcPr>
          <w:p w14:paraId="18AE70A3" w14:textId="77777777" w:rsidR="003F5418" w:rsidRDefault="002A6C25">
            <w:pPr>
              <w:pStyle w:val="P68B1DB1-Normal4"/>
              <w:jc w:val="center"/>
              <w:rPr>
                <w:noProof/>
              </w:rPr>
            </w:pPr>
            <w:r>
              <w:rPr>
                <w:noProof/>
              </w:rPr>
              <w:t>A helyi hatóságok értesítése a finanszírozás finanszírozásáról a támogatható beavatkozásokra vonatkozó valamennyi közbeszerzési szerződés odaítéléséről</w:t>
            </w:r>
          </w:p>
          <w:p w14:paraId="7723D4E2" w14:textId="77777777" w:rsidR="003F5418" w:rsidRDefault="003F5418">
            <w:pPr>
              <w:jc w:val="center"/>
              <w:rPr>
                <w:rFonts w:ascii="Arial Narrow" w:hAnsi="Arial Narrow"/>
                <w:b/>
                <w:noProof/>
                <w:color w:val="006100"/>
                <w:sz w:val="20"/>
              </w:rPr>
            </w:pPr>
          </w:p>
        </w:tc>
        <w:tc>
          <w:tcPr>
            <w:tcW w:w="422" w:type="pct"/>
            <w:shd w:val="clear" w:color="auto" w:fill="C6EFCE"/>
            <w:noWrap/>
            <w:vAlign w:val="center"/>
          </w:tcPr>
          <w:p w14:paraId="34AAE0BB"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1A7C3EE0" w14:textId="77777777" w:rsidR="003F5418" w:rsidRDefault="002A6C25">
            <w:pPr>
              <w:pStyle w:val="P68B1DB1-Normal4"/>
              <w:jc w:val="center"/>
              <w:rPr>
                <w:noProof/>
              </w:rPr>
            </w:pPr>
            <w:r>
              <w:rPr>
                <w:noProof/>
              </w:rPr>
              <w:t>N</w:t>
            </w:r>
            <w:r>
              <w:rPr>
                <w:noProof/>
              </w:rPr>
              <w:t>INCS</w:t>
            </w:r>
          </w:p>
        </w:tc>
        <w:tc>
          <w:tcPr>
            <w:tcW w:w="343" w:type="pct"/>
            <w:shd w:val="clear" w:color="auto" w:fill="C6EFCE"/>
            <w:noWrap/>
            <w:vAlign w:val="center"/>
          </w:tcPr>
          <w:p w14:paraId="2B84E228"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23E4D6A6" w14:textId="77777777" w:rsidR="003F5418" w:rsidRDefault="002A6C25">
            <w:pPr>
              <w:pStyle w:val="P68B1DB1-Normal4"/>
              <w:jc w:val="center"/>
              <w:rPr>
                <w:noProof/>
              </w:rPr>
            </w:pPr>
            <w:r>
              <w:rPr>
                <w:noProof/>
              </w:rPr>
              <w:t>Q1</w:t>
            </w:r>
          </w:p>
        </w:tc>
        <w:tc>
          <w:tcPr>
            <w:tcW w:w="238" w:type="pct"/>
            <w:shd w:val="clear" w:color="auto" w:fill="C6EFCE"/>
            <w:noWrap/>
            <w:vAlign w:val="center"/>
          </w:tcPr>
          <w:p w14:paraId="1D0B6809" w14:textId="77777777" w:rsidR="003F5418" w:rsidRDefault="002A6C25">
            <w:pPr>
              <w:pStyle w:val="P68B1DB1-Normal4"/>
              <w:jc w:val="center"/>
              <w:rPr>
                <w:noProof/>
              </w:rPr>
            </w:pPr>
            <w:r>
              <w:rPr>
                <w:noProof/>
              </w:rPr>
              <w:t>2024</w:t>
            </w:r>
          </w:p>
        </w:tc>
        <w:tc>
          <w:tcPr>
            <w:tcW w:w="1047" w:type="pct"/>
            <w:shd w:val="clear" w:color="auto" w:fill="C6EFCE"/>
            <w:noWrap/>
            <w:vAlign w:val="center"/>
          </w:tcPr>
          <w:p w14:paraId="59A2F0EB" w14:textId="77777777" w:rsidR="003F5418" w:rsidRDefault="002A6C25">
            <w:pPr>
              <w:pStyle w:val="P68B1DB1-Normal4"/>
              <w:rPr>
                <w:noProof/>
              </w:rPr>
            </w:pPr>
            <w:r>
              <w:rPr>
                <w:noProof/>
              </w:rPr>
              <w:t>Sportlétesítmények és tornatermek építésére és felújítására irányuló beavatkozásokra vonatkozó szerződések odaítélése az Oktatási Minisztérium rendeletében meghatározott feltételek mellett, közbeszerzési eljárást követően. Az odaítélésne</w:t>
            </w:r>
            <w:r>
              <w:rPr>
                <w:noProof/>
              </w:rPr>
              <w:t>k meg kell felelnie a jelentős károkozás elkerülését célzó technikai iránymutatásnak (2021/C58/01) a kizárási lista, valamint a vonatkozó uniós és nemzeti környezetvédelmi jogszabályoknak való megfelelés követelménye révén.</w:t>
            </w:r>
          </w:p>
          <w:p w14:paraId="5B01446E" w14:textId="77777777" w:rsidR="003F5418" w:rsidRDefault="003F5418">
            <w:pPr>
              <w:rPr>
                <w:rFonts w:ascii="Arial Narrow" w:hAnsi="Arial Narrow"/>
                <w:noProof/>
                <w:color w:val="006100"/>
                <w:sz w:val="20"/>
              </w:rPr>
            </w:pPr>
          </w:p>
          <w:p w14:paraId="5AAB20BA" w14:textId="77777777" w:rsidR="003F5418" w:rsidRDefault="003F5418">
            <w:pPr>
              <w:rPr>
                <w:rFonts w:ascii="Arial Narrow" w:hAnsi="Arial Narrow"/>
                <w:noProof/>
                <w:color w:val="006100"/>
                <w:sz w:val="20"/>
              </w:rPr>
            </w:pPr>
          </w:p>
          <w:p w14:paraId="72136791" w14:textId="77777777" w:rsidR="003F5418" w:rsidRDefault="002A6C25">
            <w:pPr>
              <w:pStyle w:val="P68B1DB1-Normal4"/>
              <w:rPr>
                <w:noProof/>
              </w:rPr>
            </w:pPr>
            <w:r>
              <w:rPr>
                <w:noProof/>
              </w:rPr>
              <w:t>A beruházási terv célja az isk</w:t>
            </w:r>
            <w:r>
              <w:rPr>
                <w:noProof/>
              </w:rPr>
              <w:t>olákhoz kapcsolódó sportlétesítmények és edzőtermek építése és felújítása az oktatási kínálat növelése és az iskolai létesítmények megerősítése érdekében, ami elősegíti az iskolai idő növelését. A kezdeményezés várhatóan elősegíti az iskola integrációját a</w:t>
            </w:r>
            <w:r>
              <w:rPr>
                <w:noProof/>
              </w:rPr>
              <w:t xml:space="preserve"> környező területekkel, és javítja a sport- és motoros tevékenységek végzését.</w:t>
            </w:r>
          </w:p>
          <w:p w14:paraId="6D792A5F" w14:textId="77777777" w:rsidR="003F5418" w:rsidRDefault="003F5418">
            <w:pPr>
              <w:rPr>
                <w:rFonts w:ascii="Arial Narrow" w:hAnsi="Arial Narrow"/>
                <w:noProof/>
                <w:color w:val="006100"/>
                <w:sz w:val="20"/>
              </w:rPr>
            </w:pPr>
          </w:p>
        </w:tc>
      </w:tr>
      <w:tr w:rsidR="003F5418" w14:paraId="00A88AC4" w14:textId="77777777">
        <w:trPr>
          <w:trHeight w:val="309"/>
        </w:trPr>
        <w:tc>
          <w:tcPr>
            <w:tcW w:w="380" w:type="pct"/>
            <w:shd w:val="clear" w:color="auto" w:fill="C6EFCE"/>
            <w:noWrap/>
            <w:vAlign w:val="center"/>
          </w:tcPr>
          <w:p w14:paraId="3B4D18EC" w14:textId="77777777" w:rsidR="003F5418" w:rsidRDefault="002A6C25">
            <w:pPr>
              <w:pStyle w:val="P68B1DB1-Normal4"/>
              <w:jc w:val="center"/>
              <w:rPr>
                <w:noProof/>
              </w:rPr>
            </w:pPr>
            <w:r>
              <w:rPr>
                <w:noProof/>
              </w:rPr>
              <w:t>M4C1–9</w:t>
            </w:r>
          </w:p>
        </w:tc>
        <w:tc>
          <w:tcPr>
            <w:tcW w:w="500" w:type="pct"/>
            <w:shd w:val="clear" w:color="auto" w:fill="C6EFCE"/>
            <w:noWrap/>
            <w:vAlign w:val="center"/>
          </w:tcPr>
          <w:p w14:paraId="17C1D6ED" w14:textId="77777777" w:rsidR="003F5418" w:rsidRDefault="002A6C25">
            <w:pPr>
              <w:pStyle w:val="P68B1DB1-Normal4"/>
              <w:jc w:val="center"/>
              <w:rPr>
                <w:noProof/>
              </w:rPr>
            </w:pPr>
            <w:r>
              <w:rPr>
                <w:noProof/>
              </w:rPr>
              <w:t>Beruházás: A bölcsődékre és az óvodákra, valamint a kora gyermekkori nevelésre és gondozásra vonatkozó terv</w:t>
            </w:r>
          </w:p>
        </w:tc>
        <w:tc>
          <w:tcPr>
            <w:tcW w:w="358" w:type="pct"/>
            <w:shd w:val="clear" w:color="auto" w:fill="C6EFCE"/>
            <w:noWrap/>
            <w:vAlign w:val="center"/>
          </w:tcPr>
          <w:p w14:paraId="025EF6A0"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10281844" w14:textId="77777777" w:rsidR="003F5418" w:rsidRDefault="002A6C25">
            <w:pPr>
              <w:pStyle w:val="P68B1DB1-Normal4"/>
              <w:jc w:val="center"/>
              <w:rPr>
                <w:noProof/>
              </w:rPr>
            </w:pPr>
            <w:r>
              <w:rPr>
                <w:noProof/>
              </w:rPr>
              <w:t xml:space="preserve">Bölcsődék és óvodák építésére, felújítására és </w:t>
            </w:r>
            <w:r>
              <w:rPr>
                <w:noProof/>
              </w:rPr>
              <w:t>biztonságosabbá tételére, valamint a kora gyermekkori nevelési és gondozási szolgáltatásokra irányuló szerződések odaítélése</w:t>
            </w:r>
          </w:p>
        </w:tc>
        <w:tc>
          <w:tcPr>
            <w:tcW w:w="480" w:type="pct"/>
            <w:shd w:val="clear" w:color="auto" w:fill="C6EFCE"/>
            <w:noWrap/>
            <w:vAlign w:val="center"/>
          </w:tcPr>
          <w:p w14:paraId="6D37AEC3" w14:textId="77777777" w:rsidR="003F5418" w:rsidRDefault="003F5418">
            <w:pPr>
              <w:jc w:val="center"/>
              <w:rPr>
                <w:rFonts w:ascii="Arial Narrow" w:hAnsi="Arial Narrow"/>
                <w:noProof/>
                <w:color w:val="006100"/>
                <w:sz w:val="20"/>
              </w:rPr>
            </w:pPr>
          </w:p>
          <w:p w14:paraId="0C385951" w14:textId="77777777" w:rsidR="003F5418" w:rsidRDefault="002A6C25">
            <w:pPr>
              <w:pStyle w:val="P68B1DB1-Normal4"/>
              <w:jc w:val="center"/>
              <w:rPr>
                <w:noProof/>
              </w:rPr>
            </w:pPr>
            <w:r>
              <w:rPr>
                <w:noProof/>
              </w:rPr>
              <w:t xml:space="preserve">A helyi hatóságok általi értesítés a támogatható beavatkozások első csoportjára vonatkozó közbeszerzési szerződések </w:t>
            </w:r>
            <w:r>
              <w:rPr>
                <w:noProof/>
              </w:rPr>
              <w:t>finanszírozásáról</w:t>
            </w:r>
          </w:p>
        </w:tc>
        <w:tc>
          <w:tcPr>
            <w:tcW w:w="422" w:type="pct"/>
            <w:shd w:val="clear" w:color="auto" w:fill="C6EFCE"/>
            <w:noWrap/>
            <w:vAlign w:val="center"/>
          </w:tcPr>
          <w:p w14:paraId="68C7303F"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3C92C717"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65EC8DE7"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3F0CBADF"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6669E2B0" w14:textId="77777777" w:rsidR="003F5418" w:rsidRDefault="002A6C25">
            <w:pPr>
              <w:pStyle w:val="P68B1DB1-Normal4"/>
              <w:jc w:val="center"/>
              <w:rPr>
                <w:noProof/>
              </w:rPr>
            </w:pPr>
            <w:r>
              <w:rPr>
                <w:noProof/>
              </w:rPr>
              <w:t>2023</w:t>
            </w:r>
          </w:p>
        </w:tc>
        <w:tc>
          <w:tcPr>
            <w:tcW w:w="1047" w:type="pct"/>
            <w:shd w:val="clear" w:color="auto" w:fill="C6EFCE"/>
            <w:noWrap/>
            <w:vAlign w:val="center"/>
          </w:tcPr>
          <w:p w14:paraId="072A6670" w14:textId="77777777" w:rsidR="003F5418" w:rsidRDefault="002A6C25">
            <w:pPr>
              <w:pStyle w:val="P68B1DB1-Normal4"/>
              <w:rPr>
                <w:noProof/>
              </w:rPr>
            </w:pPr>
            <w:r>
              <w:rPr>
                <w:noProof/>
              </w:rPr>
              <w:t>A bölcsődékre, óvodákra és kora gyermekkori nevelési és gondozási szolgáltatásokra irányuló szerződések odaítélése, valamint az érintett projektek földrajzi megoszlása. Az odaítélés során kizárási listák segítség</w:t>
            </w:r>
            <w:r>
              <w:rPr>
                <w:noProof/>
              </w:rPr>
              <w:t>ével biztosítani kell a DNSH technikai iránymutatás (2021/C58/01) követelményeinek teljesülését, továbbá biztosítani kell a vonatkozó uniós és nemzeti környezetvédelmi jogszabályoknak való megfelelést</w:t>
            </w:r>
          </w:p>
        </w:tc>
      </w:tr>
      <w:tr w:rsidR="003F5418" w14:paraId="4D3FD088" w14:textId="77777777">
        <w:trPr>
          <w:trHeight w:val="309"/>
        </w:trPr>
        <w:tc>
          <w:tcPr>
            <w:tcW w:w="380" w:type="pct"/>
            <w:shd w:val="clear" w:color="auto" w:fill="C6EFCE"/>
            <w:noWrap/>
            <w:vAlign w:val="center"/>
          </w:tcPr>
          <w:p w14:paraId="5CE03DE5" w14:textId="77777777" w:rsidR="003F5418" w:rsidRDefault="002A6C25">
            <w:pPr>
              <w:pStyle w:val="P68B1DB1-Normal4"/>
              <w:jc w:val="center"/>
              <w:rPr>
                <w:noProof/>
              </w:rPr>
            </w:pPr>
            <w:r>
              <w:rPr>
                <w:noProof/>
              </w:rPr>
              <w:t>M4C1–10</w:t>
            </w:r>
          </w:p>
        </w:tc>
        <w:tc>
          <w:tcPr>
            <w:tcW w:w="500" w:type="pct"/>
            <w:shd w:val="clear" w:color="auto" w:fill="C6EFCE"/>
            <w:noWrap/>
            <w:vAlign w:val="center"/>
          </w:tcPr>
          <w:p w14:paraId="21B358FB" w14:textId="77777777" w:rsidR="003F5418" w:rsidRDefault="002A6C25">
            <w:pPr>
              <w:pStyle w:val="P68B1DB1-Normal4"/>
              <w:jc w:val="center"/>
              <w:rPr>
                <w:noProof/>
              </w:rPr>
            </w:pPr>
            <w:r>
              <w:rPr>
                <w:noProof/>
              </w:rPr>
              <w:t xml:space="preserve">Reform: Tanárok felvétele; Reform: Az </w:t>
            </w:r>
            <w:r>
              <w:rPr>
                <w:noProof/>
              </w:rPr>
              <w:t>iskolarendszer átszervezése; Reform: A felsőfokú szakképzési rendszer (ITS) reformja; Reform: Az orientációs rendszer reformja; Reform: Egyetemi diplomacsoportok reformja; Reform: Az egyetemi diplomák reformjának lehetővé tétele</w:t>
            </w:r>
          </w:p>
        </w:tc>
        <w:tc>
          <w:tcPr>
            <w:tcW w:w="358" w:type="pct"/>
            <w:shd w:val="clear" w:color="auto" w:fill="C6EFCE"/>
            <w:noWrap/>
            <w:vAlign w:val="center"/>
          </w:tcPr>
          <w:p w14:paraId="78694B81"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7A828826" w14:textId="77777777" w:rsidR="003F5418" w:rsidRDefault="002A6C25">
            <w:pPr>
              <w:pStyle w:val="P68B1DB1-Normal4"/>
              <w:jc w:val="center"/>
              <w:rPr>
                <w:noProof/>
              </w:rPr>
            </w:pPr>
            <w:r>
              <w:rPr>
                <w:noProof/>
              </w:rPr>
              <w:t xml:space="preserve">Az alap-, közép- </w:t>
            </w:r>
            <w:r>
              <w:rPr>
                <w:noProof/>
              </w:rPr>
              <w:t>és felsőfokú oktatás reformjával kapcsolatos valamennyi intézkedés hatékony végrehajtására és alkalmazására vonatkozó rendeletek hatálybalépése, amennyiben szükséges</w:t>
            </w:r>
          </w:p>
        </w:tc>
        <w:tc>
          <w:tcPr>
            <w:tcW w:w="480" w:type="pct"/>
            <w:shd w:val="clear" w:color="auto" w:fill="C6EFCE"/>
            <w:noWrap/>
            <w:vAlign w:val="center"/>
          </w:tcPr>
          <w:p w14:paraId="7CAE1668" w14:textId="77777777" w:rsidR="003F5418" w:rsidRDefault="002A6C25">
            <w:pPr>
              <w:pStyle w:val="P68B1DB1-Normal4"/>
              <w:jc w:val="center"/>
              <w:rPr>
                <w:noProof/>
                <w:color w:val="375623"/>
              </w:rPr>
            </w:pPr>
            <w:r>
              <w:rPr>
                <w:noProof/>
              </w:rPr>
              <w:t>A jogszabály azon rendelkezése, amely a rendeletek hatálybalépését jelzi.</w:t>
            </w:r>
          </w:p>
        </w:tc>
        <w:tc>
          <w:tcPr>
            <w:tcW w:w="422" w:type="pct"/>
            <w:shd w:val="clear" w:color="auto" w:fill="C6EFCE"/>
            <w:noWrap/>
            <w:vAlign w:val="center"/>
          </w:tcPr>
          <w:p w14:paraId="3D9E96AE"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080777A4"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21858DAC"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1B98B0B7"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4BC01CEB" w14:textId="77777777" w:rsidR="003F5418" w:rsidRDefault="002A6C25">
            <w:pPr>
              <w:pStyle w:val="P68B1DB1-Normal4"/>
              <w:jc w:val="center"/>
              <w:rPr>
                <w:noProof/>
              </w:rPr>
            </w:pPr>
            <w:r>
              <w:rPr>
                <w:noProof/>
              </w:rPr>
              <w:t>2023</w:t>
            </w:r>
          </w:p>
        </w:tc>
        <w:tc>
          <w:tcPr>
            <w:tcW w:w="1047" w:type="pct"/>
            <w:shd w:val="clear" w:color="auto" w:fill="C6EFCE"/>
            <w:noWrap/>
            <w:vAlign w:val="center"/>
          </w:tcPr>
          <w:p w14:paraId="2422454E" w14:textId="77777777" w:rsidR="003F5418" w:rsidRDefault="002A6C25">
            <w:pPr>
              <w:pStyle w:val="P68B1DB1-Normal4"/>
              <w:rPr>
                <w:noProof/>
              </w:rPr>
            </w:pPr>
            <w:r>
              <w:rPr>
                <w:noProof/>
              </w:rPr>
              <w:t>A másodlagos jogszabályok tartalmazzák az alap-, közép- és felsőfokú oktatás reformjával kapcsolatos valamennyi intézkedés hatékony végrehajtásához és alkalmazásához szükséges valamennyi rendeletet:</w:t>
            </w:r>
          </w:p>
          <w:p w14:paraId="51C98452" w14:textId="77777777" w:rsidR="003F5418" w:rsidRDefault="002A6C25">
            <w:pPr>
              <w:pStyle w:val="P68B1DB1-Normal4"/>
              <w:rPr>
                <w:noProof/>
              </w:rPr>
            </w:pPr>
            <w:r>
              <w:rPr>
                <w:noProof/>
              </w:rPr>
              <w:t>A felsőoktatási rendszer reformjai az oktat</w:t>
            </w:r>
            <w:r>
              <w:rPr>
                <w:noProof/>
              </w:rPr>
              <w:t>ási eredmények javítása érdekében (elsődleges jogszabályok) a következők tekintetében: egyetemi diplomák lehetővé tétele; egyetemi diplomacsoportok; a PhD-programok reformja;</w:t>
            </w:r>
          </w:p>
          <w:p w14:paraId="3AE62677" w14:textId="77777777" w:rsidR="003F5418" w:rsidRDefault="002A6C25">
            <w:pPr>
              <w:pStyle w:val="P68B1DB1-Normal4"/>
              <w:rPr>
                <w:noProof/>
              </w:rPr>
            </w:pPr>
            <w:r>
              <w:rPr>
                <w:noProof/>
              </w:rPr>
              <w:t>– A felsőoktatáshoz való hozzáférés javítását célzó ösztöndíjak reformjáról szóló</w:t>
            </w:r>
            <w:r>
              <w:rPr>
                <w:noProof/>
              </w:rPr>
              <w:t xml:space="preserve"> miniszteri rendeletek;</w:t>
            </w:r>
          </w:p>
          <w:p w14:paraId="2A5E738E" w14:textId="77777777" w:rsidR="003F5418" w:rsidRDefault="002A6C25">
            <w:pPr>
              <w:pStyle w:val="P68B1DB1-Normal4"/>
              <w:rPr>
                <w:noProof/>
              </w:rPr>
            </w:pPr>
            <w:r>
              <w:rPr>
                <w:noProof/>
              </w:rPr>
              <w:t>A tanári szakma reformja;</w:t>
            </w:r>
          </w:p>
          <w:p w14:paraId="0483DDA4" w14:textId="77777777" w:rsidR="003F5418" w:rsidRDefault="002A6C25">
            <w:pPr>
              <w:pStyle w:val="P68B1DB1-Normal4"/>
              <w:rPr>
                <w:noProof/>
              </w:rPr>
            </w:pPr>
            <w:r>
              <w:rPr>
                <w:noProof/>
              </w:rPr>
              <w:t>– Az alap- és középfokú oktatási rendszer reformja az oktatási eredmények javítása érdekében;</w:t>
            </w:r>
          </w:p>
          <w:p w14:paraId="51DA81E4" w14:textId="77777777" w:rsidR="003F5418" w:rsidRDefault="002A6C25">
            <w:pPr>
              <w:pStyle w:val="P68B1DB1-Normal4"/>
              <w:rPr>
                <w:noProof/>
              </w:rPr>
            </w:pPr>
            <w:r>
              <w:rPr>
                <w:noProof/>
              </w:rPr>
              <w:t xml:space="preserve">– A jogszabály célja az iskolák minőségi képzési rendszerének kiépítése volt. </w:t>
            </w:r>
          </w:p>
          <w:p w14:paraId="46B5F333" w14:textId="77777777" w:rsidR="003F5418" w:rsidRDefault="003F5418">
            <w:pPr>
              <w:rPr>
                <w:rFonts w:ascii="Arial Narrow" w:hAnsi="Arial Narrow"/>
                <w:noProof/>
                <w:color w:val="006100"/>
                <w:sz w:val="20"/>
              </w:rPr>
            </w:pPr>
          </w:p>
        </w:tc>
      </w:tr>
      <w:tr w:rsidR="003F5418" w14:paraId="1212363D" w14:textId="77777777">
        <w:trPr>
          <w:trHeight w:val="309"/>
        </w:trPr>
        <w:tc>
          <w:tcPr>
            <w:tcW w:w="380" w:type="pct"/>
            <w:shd w:val="clear" w:color="auto" w:fill="C6EFCE"/>
            <w:noWrap/>
            <w:vAlign w:val="center"/>
          </w:tcPr>
          <w:p w14:paraId="242FC58E" w14:textId="77777777" w:rsidR="003F5418" w:rsidRDefault="002A6C25">
            <w:pPr>
              <w:pStyle w:val="P68B1DB1-Normal4"/>
              <w:jc w:val="center"/>
              <w:rPr>
                <w:noProof/>
              </w:rPr>
            </w:pPr>
            <w:r>
              <w:rPr>
                <w:noProof/>
              </w:rPr>
              <w:t>M4C1–10a</w:t>
            </w:r>
          </w:p>
        </w:tc>
        <w:tc>
          <w:tcPr>
            <w:tcW w:w="500" w:type="pct"/>
            <w:shd w:val="clear" w:color="auto" w:fill="C6EFCE"/>
            <w:noWrap/>
            <w:vAlign w:val="center"/>
          </w:tcPr>
          <w:p w14:paraId="57BA8B63" w14:textId="77777777" w:rsidR="003F5418" w:rsidRDefault="002A6C25">
            <w:pPr>
              <w:pStyle w:val="P68B1DB1-Normal4"/>
              <w:jc w:val="center"/>
              <w:rPr>
                <w:noProof/>
              </w:rPr>
            </w:pPr>
            <w:r>
              <w:rPr>
                <w:noProof/>
              </w:rPr>
              <w:t xml:space="preserve">Reform: A műszaki és </w:t>
            </w:r>
            <w:r>
              <w:rPr>
                <w:noProof/>
              </w:rPr>
              <w:t>szakmai intézetek reformja</w:t>
            </w:r>
          </w:p>
        </w:tc>
        <w:tc>
          <w:tcPr>
            <w:tcW w:w="358" w:type="pct"/>
            <w:shd w:val="clear" w:color="auto" w:fill="C6EFCE"/>
            <w:noWrap/>
            <w:vAlign w:val="center"/>
          </w:tcPr>
          <w:p w14:paraId="2A8234A6"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602A9C6B" w14:textId="77777777" w:rsidR="003F5418" w:rsidRDefault="002A6C25">
            <w:pPr>
              <w:pStyle w:val="P68B1DB1-Normal4"/>
              <w:jc w:val="center"/>
              <w:rPr>
                <w:noProof/>
              </w:rPr>
            </w:pPr>
            <w:r>
              <w:rPr>
                <w:noProof/>
              </w:rPr>
              <w:t>A másodlagos jog hatálybalépése.</w:t>
            </w:r>
          </w:p>
        </w:tc>
        <w:tc>
          <w:tcPr>
            <w:tcW w:w="480" w:type="pct"/>
            <w:shd w:val="clear" w:color="auto" w:fill="C6EFCE"/>
            <w:noWrap/>
            <w:vAlign w:val="center"/>
          </w:tcPr>
          <w:p w14:paraId="5DBFA616" w14:textId="77777777" w:rsidR="003F5418" w:rsidRDefault="002A6C25">
            <w:pPr>
              <w:pStyle w:val="P68B1DB1-Normal4"/>
              <w:jc w:val="center"/>
              <w:rPr>
                <w:noProof/>
              </w:rPr>
            </w:pPr>
            <w:r>
              <w:rPr>
                <w:noProof/>
              </w:rPr>
              <w:t>A másodlagos jog hatálybalépését feltüntető jogszabályi rendelkezés.</w:t>
            </w:r>
          </w:p>
        </w:tc>
        <w:tc>
          <w:tcPr>
            <w:tcW w:w="422" w:type="pct"/>
            <w:shd w:val="clear" w:color="auto" w:fill="C6EFCE"/>
            <w:noWrap/>
            <w:vAlign w:val="center"/>
          </w:tcPr>
          <w:p w14:paraId="1C538571"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4B3305A9"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7F6CF46A"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11E9866A" w14:textId="77777777" w:rsidR="003F5418" w:rsidRDefault="002A6C25">
            <w:pPr>
              <w:pStyle w:val="P68B1DB1-Normal4"/>
              <w:jc w:val="center"/>
              <w:rPr>
                <w:noProof/>
              </w:rPr>
            </w:pPr>
            <w:r>
              <w:rPr>
                <w:noProof/>
              </w:rPr>
              <w:t xml:space="preserve">Q4 </w:t>
            </w:r>
          </w:p>
        </w:tc>
        <w:tc>
          <w:tcPr>
            <w:tcW w:w="238" w:type="pct"/>
            <w:shd w:val="clear" w:color="auto" w:fill="C6EFCE"/>
            <w:noWrap/>
            <w:vAlign w:val="center"/>
          </w:tcPr>
          <w:p w14:paraId="46D64662" w14:textId="77777777" w:rsidR="003F5418" w:rsidRDefault="002A6C25">
            <w:pPr>
              <w:pStyle w:val="P68B1DB1-Normal4"/>
              <w:jc w:val="center"/>
              <w:rPr>
                <w:noProof/>
              </w:rPr>
            </w:pPr>
            <w:r>
              <w:rPr>
                <w:noProof/>
              </w:rPr>
              <w:t>2024</w:t>
            </w:r>
          </w:p>
        </w:tc>
        <w:tc>
          <w:tcPr>
            <w:tcW w:w="1047" w:type="pct"/>
            <w:shd w:val="clear" w:color="auto" w:fill="C6EFCE"/>
            <w:noWrap/>
            <w:vAlign w:val="center"/>
          </w:tcPr>
          <w:p w14:paraId="2556E815" w14:textId="77777777" w:rsidR="003F5418" w:rsidRDefault="002A6C25">
            <w:pPr>
              <w:pStyle w:val="P68B1DB1-Normal4"/>
              <w:rPr>
                <w:noProof/>
              </w:rPr>
            </w:pPr>
            <w:r>
              <w:rPr>
                <w:noProof/>
              </w:rPr>
              <w:t>Hatályba lépett a műszaki és szakmai intézetek reformjáról szóló másodlagos jogszabály.</w:t>
            </w:r>
          </w:p>
        </w:tc>
      </w:tr>
      <w:tr w:rsidR="003F5418" w14:paraId="19979284" w14:textId="77777777">
        <w:trPr>
          <w:trHeight w:val="309"/>
        </w:trPr>
        <w:tc>
          <w:tcPr>
            <w:tcW w:w="380" w:type="pct"/>
            <w:shd w:val="clear" w:color="auto" w:fill="C6EFCE"/>
            <w:noWrap/>
            <w:vAlign w:val="center"/>
          </w:tcPr>
          <w:p w14:paraId="5FB77602" w14:textId="77777777" w:rsidR="003F5418" w:rsidRDefault="002A6C25">
            <w:pPr>
              <w:pStyle w:val="P68B1DB1-Normal4"/>
              <w:jc w:val="center"/>
              <w:rPr>
                <w:noProof/>
              </w:rPr>
            </w:pPr>
            <w:r>
              <w:rPr>
                <w:noProof/>
              </w:rPr>
              <w:t>M4C1–11</w:t>
            </w:r>
          </w:p>
        </w:tc>
        <w:tc>
          <w:tcPr>
            <w:tcW w:w="500" w:type="pct"/>
            <w:shd w:val="clear" w:color="auto" w:fill="C6EFCE"/>
            <w:noWrap/>
            <w:vAlign w:val="center"/>
          </w:tcPr>
          <w:p w14:paraId="1C371F3E" w14:textId="77777777" w:rsidR="003F5418" w:rsidRDefault="002A6C25">
            <w:pPr>
              <w:pStyle w:val="P68B1DB1-Normal4"/>
              <w:jc w:val="center"/>
              <w:rPr>
                <w:noProof/>
              </w:rPr>
            </w:pPr>
            <w:r>
              <w:rPr>
                <w:noProof/>
              </w:rPr>
              <w:t>Beruházás: Egyetemi ösztöndíjak</w:t>
            </w:r>
          </w:p>
        </w:tc>
        <w:tc>
          <w:tcPr>
            <w:tcW w:w="358" w:type="pct"/>
            <w:shd w:val="clear" w:color="auto" w:fill="C6EFCE"/>
            <w:noWrap/>
            <w:vAlign w:val="center"/>
          </w:tcPr>
          <w:p w14:paraId="09B65250"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328070CC" w14:textId="77777777" w:rsidR="003F5418" w:rsidRDefault="002A6C25">
            <w:pPr>
              <w:pStyle w:val="P68B1DB1-Normal4"/>
              <w:jc w:val="center"/>
              <w:rPr>
                <w:noProof/>
              </w:rPr>
            </w:pPr>
            <w:r>
              <w:rPr>
                <w:noProof/>
              </w:rPr>
              <w:t>Egyetemi ösztöndíj</w:t>
            </w:r>
          </w:p>
        </w:tc>
        <w:tc>
          <w:tcPr>
            <w:tcW w:w="480" w:type="pct"/>
            <w:shd w:val="clear" w:color="auto" w:fill="C6EFCE"/>
            <w:noWrap/>
            <w:vAlign w:val="center"/>
          </w:tcPr>
          <w:p w14:paraId="0474229F"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7660DF70"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7D68B5EF" w14:textId="77777777" w:rsidR="003F5418" w:rsidRDefault="002A6C25">
            <w:pPr>
              <w:pStyle w:val="P68B1DB1-Normal4"/>
              <w:jc w:val="center"/>
              <w:rPr>
                <w:noProof/>
              </w:rPr>
            </w:pPr>
            <w:r>
              <w:rPr>
                <w:noProof/>
              </w:rPr>
              <w:t>0</w:t>
            </w:r>
          </w:p>
        </w:tc>
        <w:tc>
          <w:tcPr>
            <w:tcW w:w="343" w:type="pct"/>
            <w:shd w:val="clear" w:color="auto" w:fill="C6EFCE"/>
            <w:noWrap/>
            <w:vAlign w:val="center"/>
          </w:tcPr>
          <w:p w14:paraId="3518818B" w14:textId="34B18BC6" w:rsidR="003F5418" w:rsidRDefault="002A6C25">
            <w:pPr>
              <w:pStyle w:val="P68B1DB1-Normal4"/>
              <w:jc w:val="center"/>
              <w:rPr>
                <w:noProof/>
              </w:rPr>
            </w:pPr>
            <w:r>
              <w:rPr>
                <w:noProof/>
              </w:rPr>
              <w:t>55 000</w:t>
            </w:r>
          </w:p>
        </w:tc>
        <w:tc>
          <w:tcPr>
            <w:tcW w:w="286" w:type="pct"/>
            <w:shd w:val="clear" w:color="auto" w:fill="C6EFCE"/>
            <w:noWrap/>
            <w:vAlign w:val="center"/>
          </w:tcPr>
          <w:p w14:paraId="082E84BF"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7BA73F4B" w14:textId="77777777" w:rsidR="003F5418" w:rsidRDefault="002A6C25">
            <w:pPr>
              <w:pStyle w:val="P68B1DB1-Normal4"/>
              <w:jc w:val="center"/>
              <w:rPr>
                <w:noProof/>
              </w:rPr>
            </w:pPr>
            <w:r>
              <w:rPr>
                <w:noProof/>
              </w:rPr>
              <w:t>2023</w:t>
            </w:r>
          </w:p>
        </w:tc>
        <w:tc>
          <w:tcPr>
            <w:tcW w:w="1047" w:type="pct"/>
            <w:shd w:val="clear" w:color="auto" w:fill="C6EFCE"/>
            <w:noWrap/>
            <w:vAlign w:val="center"/>
          </w:tcPr>
          <w:p w14:paraId="5A340B05" w14:textId="6D77783E" w:rsidR="003F5418" w:rsidRDefault="002A6C25">
            <w:pPr>
              <w:rPr>
                <w:rStyle w:val="normaltextrun"/>
                <w:rFonts w:ascii="Arial Narrow" w:eastAsiaTheme="majorEastAsia" w:hAnsi="Arial Narrow"/>
                <w:noProof/>
                <w:sz w:val="20"/>
              </w:rPr>
            </w:pPr>
            <w:r>
              <w:rPr>
                <w:rFonts w:ascii="Arial Narrow" w:hAnsi="Arial Narrow"/>
                <w:noProof/>
                <w:color w:val="006100"/>
                <w:sz w:val="20"/>
              </w:rPr>
              <w:t>Legalább 55000 diák részesül kizárólag a Helyreállítási és Rezilienciaépítési Eszköz forrásaiból finanszírozott ösztöndíjakban</w:t>
            </w:r>
            <w:r>
              <w:rPr>
                <w:rStyle w:val="normaltextrun"/>
                <w:rFonts w:ascii="Arial Narrow" w:hAnsi="Arial Narrow"/>
                <w:noProof/>
                <w:color w:val="006100"/>
                <w:sz w:val="20"/>
                <w:shd w:val="clear" w:color="auto" w:fill="FFFFFF"/>
              </w:rPr>
              <w:t xml:space="preserve"> </w:t>
            </w:r>
          </w:p>
        </w:tc>
      </w:tr>
      <w:tr w:rsidR="003F5418" w14:paraId="1BD6157E" w14:textId="77777777">
        <w:trPr>
          <w:trHeight w:val="309"/>
        </w:trPr>
        <w:tc>
          <w:tcPr>
            <w:tcW w:w="380" w:type="pct"/>
            <w:shd w:val="clear" w:color="auto" w:fill="C6EFCE"/>
            <w:noWrap/>
            <w:vAlign w:val="center"/>
          </w:tcPr>
          <w:p w14:paraId="66DC814E" w14:textId="77777777" w:rsidR="003F5418" w:rsidRDefault="002A6C25">
            <w:pPr>
              <w:pStyle w:val="P68B1DB1-Normal4"/>
              <w:jc w:val="center"/>
              <w:rPr>
                <w:noProof/>
              </w:rPr>
            </w:pPr>
            <w:r>
              <w:rPr>
                <w:noProof/>
              </w:rPr>
              <w:t>M4C1–12</w:t>
            </w:r>
          </w:p>
        </w:tc>
        <w:tc>
          <w:tcPr>
            <w:tcW w:w="500" w:type="pct"/>
            <w:shd w:val="clear" w:color="auto" w:fill="C6EFCE"/>
            <w:noWrap/>
            <w:vAlign w:val="center"/>
          </w:tcPr>
          <w:p w14:paraId="345985BF" w14:textId="77777777" w:rsidR="003F5418" w:rsidRDefault="002A6C25">
            <w:pPr>
              <w:pStyle w:val="P68B1DB1-Normal4"/>
              <w:jc w:val="center"/>
              <w:rPr>
                <w:noProof/>
              </w:rPr>
            </w:pPr>
            <w:r>
              <w:rPr>
                <w:noProof/>
              </w:rPr>
              <w:t xml:space="preserve">Beruházás: A PhD-k számának </w:t>
            </w:r>
            <w:r>
              <w:rPr>
                <w:noProof/>
              </w:rPr>
              <w:t>és karrierlehetőségeinek bővítése (kutatásorientált, közigazgatás és kulturális örökség)</w:t>
            </w:r>
          </w:p>
        </w:tc>
        <w:tc>
          <w:tcPr>
            <w:tcW w:w="358" w:type="pct"/>
            <w:shd w:val="clear" w:color="auto" w:fill="C6EFCE"/>
            <w:noWrap/>
            <w:vAlign w:val="center"/>
          </w:tcPr>
          <w:p w14:paraId="696CC641"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0CFE8B9A" w14:textId="77777777" w:rsidR="003F5418" w:rsidRDefault="002A6C25">
            <w:pPr>
              <w:pStyle w:val="P68B1DB1-Normal4"/>
              <w:jc w:val="center"/>
              <w:rPr>
                <w:noProof/>
              </w:rPr>
            </w:pPr>
            <w:r>
              <w:rPr>
                <w:noProof/>
              </w:rPr>
              <w:t>PhD-ösztöndíjprogramok évente (három éven túl)</w:t>
            </w:r>
          </w:p>
        </w:tc>
        <w:tc>
          <w:tcPr>
            <w:tcW w:w="480" w:type="pct"/>
            <w:shd w:val="clear" w:color="auto" w:fill="C6EFCE"/>
            <w:noWrap/>
            <w:vAlign w:val="center"/>
          </w:tcPr>
          <w:p w14:paraId="1C3E3A36"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1A4BE3FD"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6C76277D" w14:textId="77777777" w:rsidR="003F5418" w:rsidRDefault="002A6C25">
            <w:pPr>
              <w:pStyle w:val="P68B1DB1-Normal4"/>
              <w:jc w:val="center"/>
              <w:rPr>
                <w:noProof/>
              </w:rPr>
            </w:pPr>
            <w:r>
              <w:rPr>
                <w:noProof/>
              </w:rPr>
              <w:t>9 000</w:t>
            </w:r>
          </w:p>
        </w:tc>
        <w:tc>
          <w:tcPr>
            <w:tcW w:w="343" w:type="pct"/>
            <w:shd w:val="clear" w:color="auto" w:fill="C6EFCE"/>
            <w:noWrap/>
            <w:vAlign w:val="center"/>
          </w:tcPr>
          <w:p w14:paraId="0BD5EAA9" w14:textId="6C0534F5" w:rsidR="003F5418" w:rsidRDefault="002A6C25">
            <w:pPr>
              <w:pStyle w:val="P68B1DB1-Normal4"/>
              <w:jc w:val="center"/>
              <w:rPr>
                <w:noProof/>
              </w:rPr>
            </w:pPr>
            <w:r>
              <w:rPr>
                <w:noProof/>
              </w:rPr>
              <w:t>16 200</w:t>
            </w:r>
          </w:p>
        </w:tc>
        <w:tc>
          <w:tcPr>
            <w:tcW w:w="286" w:type="pct"/>
            <w:shd w:val="clear" w:color="auto" w:fill="C6EFCE"/>
            <w:noWrap/>
            <w:vAlign w:val="center"/>
          </w:tcPr>
          <w:p w14:paraId="28981FCD"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6F08BD1B" w14:textId="77777777" w:rsidR="003F5418" w:rsidRDefault="002A6C25">
            <w:pPr>
              <w:pStyle w:val="P68B1DB1-Normal4"/>
              <w:jc w:val="center"/>
              <w:rPr>
                <w:noProof/>
              </w:rPr>
            </w:pPr>
            <w:r>
              <w:rPr>
                <w:noProof/>
              </w:rPr>
              <w:t>2024</w:t>
            </w:r>
          </w:p>
        </w:tc>
        <w:tc>
          <w:tcPr>
            <w:tcW w:w="1047" w:type="pct"/>
            <w:shd w:val="clear" w:color="auto" w:fill="C6EFCE"/>
            <w:noWrap/>
            <w:vAlign w:val="center"/>
          </w:tcPr>
          <w:p w14:paraId="3D4BB982" w14:textId="77777777" w:rsidR="003F5418" w:rsidRDefault="002A6C25">
            <w:pPr>
              <w:pStyle w:val="P68B1DB1-Normal4"/>
              <w:rPr>
                <w:noProof/>
              </w:rPr>
            </w:pPr>
            <w:r>
              <w:rPr>
                <w:noProof/>
              </w:rPr>
              <w:t xml:space="preserve">Legalább 1200 további PhD ösztöndíjprogram három éven keresztül évente); évente </w:t>
            </w:r>
            <w:r>
              <w:rPr>
                <w:noProof/>
              </w:rPr>
              <w:t>(három éven át) legalább 1000 további PhD-ösztöndíjra kerül sor közigazgatási területen; évente (három éven át) legalább 200 új PhD-ösztöndíjra kerül sor a kulturális örökséggel kapcsolatban.</w:t>
            </w:r>
          </w:p>
          <w:p w14:paraId="1D187E14" w14:textId="77777777" w:rsidR="003F5418" w:rsidRDefault="002A6C25">
            <w:pPr>
              <w:pStyle w:val="P68B1DB1-Normal4"/>
              <w:rPr>
                <w:noProof/>
              </w:rPr>
            </w:pPr>
            <w:r>
              <w:rPr>
                <w:noProof/>
              </w:rPr>
              <w:t>Az alapforgatókönyv a PhD-hallgatók jelenlegi (kerekített) száma</w:t>
            </w:r>
            <w:r>
              <w:rPr>
                <w:noProof/>
              </w:rPr>
              <w:t>, akik évente Olaszországban kezdik meg programjukat:</w:t>
            </w:r>
          </w:p>
          <w:p w14:paraId="4FA9948A" w14:textId="77777777" w:rsidR="003F5418" w:rsidRDefault="003F5418">
            <w:pPr>
              <w:rPr>
                <w:rFonts w:ascii="Arial Narrow" w:hAnsi="Arial Narrow"/>
                <w:noProof/>
                <w:color w:val="006100"/>
                <w:sz w:val="20"/>
              </w:rPr>
            </w:pPr>
          </w:p>
          <w:p w14:paraId="37B452B7" w14:textId="77777777" w:rsidR="003F5418" w:rsidRDefault="002A6C25">
            <w:pPr>
              <w:rPr>
                <w:rFonts w:ascii="Arial Narrow" w:hAnsi="Arial Narrow"/>
                <w:noProof/>
                <w:color w:val="006100"/>
                <w:sz w:val="20"/>
              </w:rPr>
            </w:pPr>
            <w:r>
              <w:rPr>
                <w:rFonts w:ascii="Arial Narrow" w:hAnsi="Arial Narrow"/>
                <w:noProof/>
                <w:color w:val="006100"/>
                <w:sz w:val="20"/>
              </w:rPr>
              <w:t xml:space="preserve">a PhD-t úgy kell kialakítani, hogy jobban bevonja a vállalkozásokat és fellendítse az alkalmazott kutatást; </w:t>
            </w:r>
            <w:r>
              <w:rPr>
                <w:rFonts w:ascii="Arial Narrow" w:hAnsi="Arial Narrow"/>
                <w:noProof/>
              </w:rPr>
              <w:t xml:space="preserve"> </w:t>
            </w:r>
            <w:r>
              <w:rPr>
                <w:noProof/>
              </w:rPr>
              <w:t xml:space="preserve"> </w:t>
            </w:r>
            <w:r>
              <w:rPr>
                <w:noProof/>
              </w:rPr>
              <w:br/>
            </w:r>
            <w:r>
              <w:rPr>
                <w:rFonts w:ascii="Arial Narrow" w:hAnsi="Arial Narrow"/>
                <w:noProof/>
                <w:color w:val="006100"/>
                <w:sz w:val="20"/>
              </w:rPr>
              <w:t>a közigazgatási PhD megfelel a Közigazgatási Minisztériummal együttműködésben végrehajtand</w:t>
            </w:r>
            <w:r>
              <w:rPr>
                <w:rFonts w:ascii="Arial Narrow" w:hAnsi="Arial Narrow"/>
                <w:noProof/>
                <w:color w:val="006100"/>
                <w:sz w:val="20"/>
              </w:rPr>
              <w:t>ó szabályozási keretnek. A közigazgatásban alkalmazott PhD-t a CUN, Consiglio Universitario Nazionale által azonosított különböző PhD-osztályokban lehet kínálni (például: Jog, közgazdaságtan és statisztika, politikai és társadalomtudományok), amennyiben az</w:t>
            </w:r>
            <w:r>
              <w:rPr>
                <w:rFonts w:ascii="Arial Narrow" w:hAnsi="Arial Narrow"/>
                <w:noProof/>
                <w:color w:val="006100"/>
                <w:sz w:val="20"/>
              </w:rPr>
              <w:t xml:space="preserve"> a cél, hogy a jelölt még inkább hozzá tudjon járulni a továbbfejlesztett kormányzati rendszerek fejlesztéséhez.</w:t>
            </w:r>
            <w:r>
              <w:rPr>
                <w:rFonts w:ascii="Arial Narrow" w:hAnsi="Arial Narrow"/>
                <w:noProof/>
              </w:rPr>
              <w:t xml:space="preserve"> </w:t>
            </w:r>
            <w:r>
              <w:rPr>
                <w:noProof/>
              </w:rPr>
              <w:t xml:space="preserve"> </w:t>
            </w:r>
            <w:r>
              <w:rPr>
                <w:noProof/>
              </w:rPr>
              <w:br/>
            </w:r>
            <w:r>
              <w:rPr>
                <w:rFonts w:ascii="Arial Narrow" w:hAnsi="Arial Narrow"/>
                <w:noProof/>
                <w:color w:val="006100"/>
                <w:sz w:val="20"/>
              </w:rPr>
              <w:t>a kulturális örökségért felelős PhD-knek a Kulturális Minisztériummal szoros együttműködésben meghatározandó kerethez kell igazodniuk (mint p</w:t>
            </w:r>
            <w:r>
              <w:rPr>
                <w:rFonts w:ascii="Arial Narrow" w:hAnsi="Arial Narrow"/>
                <w:noProof/>
                <w:color w:val="006100"/>
                <w:sz w:val="20"/>
              </w:rPr>
              <w:t>éldául a CUN Consiglio Universitario Nazionale által meghatározott ókori, filozófia, pedagógiai és pszichológia).</w:t>
            </w:r>
          </w:p>
        </w:tc>
      </w:tr>
      <w:tr w:rsidR="003F5418" w14:paraId="68849891" w14:textId="77777777">
        <w:trPr>
          <w:trHeight w:val="309"/>
        </w:trPr>
        <w:tc>
          <w:tcPr>
            <w:tcW w:w="380" w:type="pct"/>
            <w:shd w:val="clear" w:color="auto" w:fill="C6EFCE"/>
            <w:noWrap/>
            <w:vAlign w:val="center"/>
          </w:tcPr>
          <w:p w14:paraId="7F034289" w14:textId="77777777" w:rsidR="003F5418" w:rsidRDefault="002A6C25">
            <w:pPr>
              <w:pStyle w:val="P68B1DB1-Normal4"/>
              <w:jc w:val="center"/>
              <w:rPr>
                <w:noProof/>
              </w:rPr>
            </w:pPr>
            <w:r>
              <w:rPr>
                <w:noProof/>
              </w:rPr>
              <w:t>M4C1–13</w:t>
            </w:r>
          </w:p>
        </w:tc>
        <w:tc>
          <w:tcPr>
            <w:tcW w:w="500" w:type="pct"/>
            <w:shd w:val="clear" w:color="auto" w:fill="C6EFCE"/>
            <w:noWrap/>
            <w:vAlign w:val="center"/>
          </w:tcPr>
          <w:p w14:paraId="3B1C71B7" w14:textId="77777777" w:rsidR="003F5418" w:rsidRDefault="002A6C25">
            <w:pPr>
              <w:pStyle w:val="P68B1DB1-Normal4"/>
              <w:jc w:val="center"/>
              <w:rPr>
                <w:noProof/>
              </w:rPr>
            </w:pPr>
            <w:r>
              <w:rPr>
                <w:noProof/>
              </w:rPr>
              <w:t>Beruházás: Integrált digitális oktatás és képzés az iskolai személyzet digitális átalakulásáról;</w:t>
            </w:r>
          </w:p>
        </w:tc>
        <w:tc>
          <w:tcPr>
            <w:tcW w:w="358" w:type="pct"/>
            <w:shd w:val="clear" w:color="auto" w:fill="C6EFCE"/>
            <w:noWrap/>
            <w:vAlign w:val="center"/>
          </w:tcPr>
          <w:p w14:paraId="4D433B58"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27486BD9" w14:textId="77777777" w:rsidR="003F5418" w:rsidRDefault="002A6C25">
            <w:pPr>
              <w:pStyle w:val="P68B1DB1-Normal4"/>
              <w:jc w:val="center"/>
              <w:rPr>
                <w:noProof/>
              </w:rPr>
            </w:pPr>
            <w:r>
              <w:rPr>
                <w:noProof/>
              </w:rPr>
              <w:t xml:space="preserve">Az iskolavezetők, a tanárok és </w:t>
            </w:r>
            <w:r>
              <w:rPr>
                <w:noProof/>
              </w:rPr>
              <w:t>az adminisztratív személyzet képzése</w:t>
            </w:r>
          </w:p>
        </w:tc>
        <w:tc>
          <w:tcPr>
            <w:tcW w:w="480" w:type="pct"/>
            <w:shd w:val="clear" w:color="auto" w:fill="C6EFCE"/>
            <w:noWrap/>
            <w:vAlign w:val="center"/>
          </w:tcPr>
          <w:p w14:paraId="205E253F"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56C7AB51"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45041C91" w14:textId="77777777" w:rsidR="003F5418" w:rsidRDefault="002A6C25">
            <w:pPr>
              <w:pStyle w:val="P68B1DB1-Normal4"/>
              <w:jc w:val="center"/>
              <w:rPr>
                <w:noProof/>
              </w:rPr>
            </w:pPr>
            <w:r>
              <w:rPr>
                <w:noProof/>
              </w:rPr>
              <w:t>0</w:t>
            </w:r>
          </w:p>
        </w:tc>
        <w:tc>
          <w:tcPr>
            <w:tcW w:w="343" w:type="pct"/>
            <w:shd w:val="clear" w:color="auto" w:fill="C6EFCE"/>
            <w:noWrap/>
            <w:vAlign w:val="center"/>
          </w:tcPr>
          <w:p w14:paraId="49C8ADDB" w14:textId="647722B1" w:rsidR="003F5418" w:rsidRDefault="002A6C25">
            <w:pPr>
              <w:pStyle w:val="P68B1DB1-Normal4"/>
              <w:jc w:val="center"/>
              <w:rPr>
                <w:noProof/>
              </w:rPr>
            </w:pPr>
            <w:r>
              <w:rPr>
                <w:noProof/>
              </w:rPr>
              <w:t>650 000</w:t>
            </w:r>
          </w:p>
        </w:tc>
        <w:tc>
          <w:tcPr>
            <w:tcW w:w="286" w:type="pct"/>
            <w:shd w:val="clear" w:color="auto" w:fill="C6EFCE"/>
            <w:noWrap/>
            <w:vAlign w:val="center"/>
          </w:tcPr>
          <w:p w14:paraId="32C299D4"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6E9429BD"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45121BB0" w14:textId="4F6681D5" w:rsidR="003F5418" w:rsidRDefault="002A6C25">
            <w:pPr>
              <w:pStyle w:val="P68B1DB1-Normal4"/>
              <w:rPr>
                <w:noProof/>
              </w:rPr>
            </w:pPr>
            <w:r>
              <w:rPr>
                <w:noProof/>
              </w:rPr>
              <w:t>Legalább 650000 iskolavezető, tanár és adminisztratív alkalmazott részesült képzésben</w:t>
            </w:r>
          </w:p>
          <w:p w14:paraId="62BD1BA8" w14:textId="77777777" w:rsidR="003F5418" w:rsidRDefault="003F5418">
            <w:pPr>
              <w:rPr>
                <w:rFonts w:ascii="Arial Narrow" w:hAnsi="Arial Narrow"/>
                <w:noProof/>
                <w:color w:val="006100"/>
                <w:sz w:val="20"/>
              </w:rPr>
            </w:pPr>
          </w:p>
          <w:p w14:paraId="0BDAEB61" w14:textId="09936B95" w:rsidR="003F5418" w:rsidRDefault="002A6C25">
            <w:pPr>
              <w:pStyle w:val="P68B1DB1-Normal4"/>
              <w:rPr>
                <w:noProof/>
              </w:rPr>
            </w:pPr>
            <w:r>
              <w:rPr>
                <w:noProof/>
              </w:rPr>
              <w:t xml:space="preserve">Az iskolai személyzet integrált digitális oktatása és képzése a digitális átállásban (650000 tanár, </w:t>
            </w:r>
            <w:r>
              <w:rPr>
                <w:noProof/>
              </w:rPr>
              <w:t>vezető és adminisztratív személyzet, összességében kiképzett).</w:t>
            </w:r>
          </w:p>
        </w:tc>
      </w:tr>
      <w:tr w:rsidR="003F5418" w14:paraId="11B89C65" w14:textId="77777777">
        <w:trPr>
          <w:trHeight w:val="309"/>
        </w:trPr>
        <w:tc>
          <w:tcPr>
            <w:tcW w:w="380" w:type="pct"/>
            <w:shd w:val="clear" w:color="auto" w:fill="C6EFCE"/>
            <w:noWrap/>
            <w:vAlign w:val="center"/>
          </w:tcPr>
          <w:p w14:paraId="41DDD296" w14:textId="77777777" w:rsidR="003F5418" w:rsidRDefault="002A6C25">
            <w:pPr>
              <w:pStyle w:val="P68B1DB1-Normal4"/>
              <w:jc w:val="center"/>
              <w:rPr>
                <w:noProof/>
              </w:rPr>
            </w:pPr>
            <w:r>
              <w:rPr>
                <w:noProof/>
              </w:rPr>
              <w:t>M4C1–14</w:t>
            </w:r>
          </w:p>
          <w:p w14:paraId="75E48B26" w14:textId="77777777" w:rsidR="003F5418" w:rsidRDefault="003F5418">
            <w:pPr>
              <w:jc w:val="center"/>
              <w:rPr>
                <w:rFonts w:ascii="Arial Narrow" w:hAnsi="Arial Narrow"/>
                <w:noProof/>
                <w:color w:val="006100"/>
                <w:sz w:val="20"/>
              </w:rPr>
            </w:pPr>
          </w:p>
        </w:tc>
        <w:tc>
          <w:tcPr>
            <w:tcW w:w="500" w:type="pct"/>
            <w:shd w:val="clear" w:color="auto" w:fill="C6EFCE"/>
            <w:noWrap/>
            <w:vAlign w:val="center"/>
          </w:tcPr>
          <w:p w14:paraId="5BBB15A8" w14:textId="77777777" w:rsidR="003F5418" w:rsidRDefault="002A6C25">
            <w:pPr>
              <w:pStyle w:val="P68B1DB1-Normal4"/>
              <w:jc w:val="center"/>
              <w:rPr>
                <w:noProof/>
              </w:rPr>
            </w:pPr>
            <w:r>
              <w:rPr>
                <w:noProof/>
              </w:rPr>
              <w:t>Reform: Tanárok felvétele</w:t>
            </w:r>
          </w:p>
        </w:tc>
        <w:tc>
          <w:tcPr>
            <w:tcW w:w="358" w:type="pct"/>
            <w:shd w:val="clear" w:color="auto" w:fill="C6EFCE"/>
            <w:noWrap/>
            <w:vAlign w:val="center"/>
          </w:tcPr>
          <w:p w14:paraId="333ABAC1"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6F1B4717" w14:textId="77777777" w:rsidR="003F5418" w:rsidRDefault="002A6C25">
            <w:pPr>
              <w:pStyle w:val="P68B1DB1-Normal4"/>
              <w:jc w:val="center"/>
              <w:rPr>
                <w:noProof/>
              </w:rPr>
            </w:pPr>
            <w:r>
              <w:rPr>
                <w:noProof/>
              </w:rPr>
              <w:t>A megreformált munkaerő-felvételi rendszerrel felvett tanárok</w:t>
            </w:r>
          </w:p>
        </w:tc>
        <w:tc>
          <w:tcPr>
            <w:tcW w:w="480" w:type="pct"/>
            <w:shd w:val="clear" w:color="auto" w:fill="C6EFCE"/>
            <w:noWrap/>
            <w:vAlign w:val="center"/>
          </w:tcPr>
          <w:p w14:paraId="04833A6A"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3964AE21"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6678F59D" w14:textId="77777777" w:rsidR="003F5418" w:rsidRDefault="002A6C25">
            <w:pPr>
              <w:pStyle w:val="P68B1DB1-Normal4"/>
              <w:jc w:val="center"/>
              <w:rPr>
                <w:noProof/>
              </w:rPr>
            </w:pPr>
            <w:r>
              <w:rPr>
                <w:noProof/>
              </w:rPr>
              <w:t>0</w:t>
            </w:r>
          </w:p>
        </w:tc>
        <w:tc>
          <w:tcPr>
            <w:tcW w:w="343" w:type="pct"/>
            <w:shd w:val="clear" w:color="auto" w:fill="C6EFCE"/>
            <w:noWrap/>
            <w:vAlign w:val="center"/>
          </w:tcPr>
          <w:p w14:paraId="497368C4" w14:textId="1E19E829" w:rsidR="003F5418" w:rsidRDefault="002A6C25">
            <w:pPr>
              <w:pStyle w:val="P68B1DB1-Normal4"/>
              <w:jc w:val="center"/>
              <w:rPr>
                <w:noProof/>
              </w:rPr>
            </w:pPr>
            <w:r>
              <w:rPr>
                <w:noProof/>
              </w:rPr>
              <w:t>20 000</w:t>
            </w:r>
          </w:p>
        </w:tc>
        <w:tc>
          <w:tcPr>
            <w:tcW w:w="286" w:type="pct"/>
            <w:shd w:val="clear" w:color="auto" w:fill="C6EFCE"/>
            <w:noWrap/>
            <w:vAlign w:val="center"/>
          </w:tcPr>
          <w:p w14:paraId="6B871426"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381CD3B1" w14:textId="77777777" w:rsidR="003F5418" w:rsidRDefault="002A6C25">
            <w:pPr>
              <w:pStyle w:val="P68B1DB1-Normal4"/>
              <w:jc w:val="center"/>
              <w:rPr>
                <w:noProof/>
              </w:rPr>
            </w:pPr>
            <w:r>
              <w:rPr>
                <w:noProof/>
              </w:rPr>
              <w:t>2024</w:t>
            </w:r>
          </w:p>
        </w:tc>
        <w:tc>
          <w:tcPr>
            <w:tcW w:w="1047" w:type="pct"/>
            <w:shd w:val="clear" w:color="auto" w:fill="C6EFCE"/>
            <w:noWrap/>
            <w:vAlign w:val="center"/>
          </w:tcPr>
          <w:p w14:paraId="44F1F7B4" w14:textId="5AAB2E36" w:rsidR="003F5418" w:rsidRDefault="002A6C25">
            <w:pPr>
              <w:pStyle w:val="P68B1DB1-Normal4"/>
              <w:rPr>
                <w:noProof/>
              </w:rPr>
            </w:pPr>
            <w:r>
              <w:rPr>
                <w:noProof/>
              </w:rPr>
              <w:t xml:space="preserve">Legalább 20000 tanárt vettek fel a megreformált </w:t>
            </w:r>
            <w:r>
              <w:rPr>
                <w:noProof/>
              </w:rPr>
              <w:t>munkaerő-felvételi rendszerrel</w:t>
            </w:r>
          </w:p>
        </w:tc>
      </w:tr>
      <w:tr w:rsidR="003F5418" w14:paraId="210A3672" w14:textId="77777777">
        <w:trPr>
          <w:trHeight w:val="309"/>
        </w:trPr>
        <w:tc>
          <w:tcPr>
            <w:tcW w:w="380" w:type="pct"/>
            <w:shd w:val="clear" w:color="auto" w:fill="C6EFCE"/>
            <w:noWrap/>
            <w:vAlign w:val="center"/>
          </w:tcPr>
          <w:p w14:paraId="725486A9" w14:textId="77777777" w:rsidR="003F5418" w:rsidRDefault="002A6C25">
            <w:pPr>
              <w:pStyle w:val="P68B1DB1-Normal4"/>
              <w:jc w:val="center"/>
              <w:rPr>
                <w:noProof/>
              </w:rPr>
            </w:pPr>
            <w:r>
              <w:rPr>
                <w:noProof/>
              </w:rPr>
              <w:t>M4C1–14a</w:t>
            </w:r>
          </w:p>
        </w:tc>
        <w:tc>
          <w:tcPr>
            <w:tcW w:w="500" w:type="pct"/>
            <w:shd w:val="clear" w:color="auto" w:fill="C6EFCE"/>
            <w:noWrap/>
            <w:vAlign w:val="center"/>
          </w:tcPr>
          <w:p w14:paraId="2FBEF589" w14:textId="77777777" w:rsidR="003F5418" w:rsidRDefault="002A6C25">
            <w:pPr>
              <w:pStyle w:val="P68B1DB1-Normal4"/>
              <w:jc w:val="center"/>
              <w:rPr>
                <w:noProof/>
              </w:rPr>
            </w:pPr>
            <w:r>
              <w:rPr>
                <w:noProof/>
              </w:rPr>
              <w:t xml:space="preserve">Reform: Tanárok felvétele  </w:t>
            </w:r>
          </w:p>
        </w:tc>
        <w:tc>
          <w:tcPr>
            <w:tcW w:w="358" w:type="pct"/>
            <w:shd w:val="clear" w:color="auto" w:fill="C6EFCE"/>
            <w:noWrap/>
            <w:vAlign w:val="center"/>
          </w:tcPr>
          <w:p w14:paraId="4BDE513A" w14:textId="77777777" w:rsidR="003F5418" w:rsidRDefault="002A6C25">
            <w:pPr>
              <w:pStyle w:val="P68B1DB1-Normal4"/>
              <w:jc w:val="center"/>
              <w:rPr>
                <w:noProof/>
              </w:rPr>
            </w:pPr>
            <w:r>
              <w:rPr>
                <w:noProof/>
              </w:rPr>
              <w:t xml:space="preserve">Cél </w:t>
            </w:r>
          </w:p>
        </w:tc>
        <w:tc>
          <w:tcPr>
            <w:tcW w:w="572" w:type="pct"/>
            <w:shd w:val="clear" w:color="auto" w:fill="C6EFCE"/>
            <w:noWrap/>
            <w:vAlign w:val="center"/>
          </w:tcPr>
          <w:p w14:paraId="2ADEEA59" w14:textId="77777777" w:rsidR="003F5418" w:rsidRDefault="002A6C25">
            <w:pPr>
              <w:pStyle w:val="P68B1DB1-Normal4"/>
              <w:jc w:val="center"/>
              <w:rPr>
                <w:noProof/>
              </w:rPr>
            </w:pPr>
            <w:r>
              <w:rPr>
                <w:noProof/>
              </w:rPr>
              <w:t>A megreformált munkaerő-felvételi rendszerrel felvett tanárok</w:t>
            </w:r>
          </w:p>
        </w:tc>
        <w:tc>
          <w:tcPr>
            <w:tcW w:w="480" w:type="pct"/>
            <w:shd w:val="clear" w:color="auto" w:fill="C6EFCE"/>
            <w:noWrap/>
            <w:vAlign w:val="center"/>
          </w:tcPr>
          <w:p w14:paraId="44D12EB9" w14:textId="77777777" w:rsidR="003F5418" w:rsidRDefault="002A6C25">
            <w:pPr>
              <w:pStyle w:val="P68B1DB1-Normal4"/>
              <w:jc w:val="center"/>
              <w:rPr>
                <w:noProof/>
              </w:rPr>
            </w:pPr>
            <w:r>
              <w:rPr>
                <w:noProof/>
              </w:rPr>
              <w:t xml:space="preserve">NINCS </w:t>
            </w:r>
          </w:p>
        </w:tc>
        <w:tc>
          <w:tcPr>
            <w:tcW w:w="422" w:type="pct"/>
            <w:shd w:val="clear" w:color="auto" w:fill="C6EFCE"/>
            <w:noWrap/>
            <w:vAlign w:val="center"/>
          </w:tcPr>
          <w:p w14:paraId="27FA599B" w14:textId="77777777" w:rsidR="003F5418" w:rsidRDefault="002A6C25">
            <w:pPr>
              <w:pStyle w:val="P68B1DB1-Normal4"/>
              <w:jc w:val="center"/>
              <w:rPr>
                <w:noProof/>
              </w:rPr>
            </w:pPr>
            <w:r>
              <w:rPr>
                <w:noProof/>
              </w:rPr>
              <w:t xml:space="preserve">Szám </w:t>
            </w:r>
          </w:p>
        </w:tc>
        <w:tc>
          <w:tcPr>
            <w:tcW w:w="375" w:type="pct"/>
            <w:shd w:val="clear" w:color="auto" w:fill="C6EFCE"/>
            <w:noWrap/>
            <w:vAlign w:val="center"/>
          </w:tcPr>
          <w:p w14:paraId="4A4C6673" w14:textId="77777777" w:rsidR="003F5418" w:rsidRDefault="002A6C25">
            <w:pPr>
              <w:pStyle w:val="P68B1DB1-Normal4"/>
              <w:jc w:val="center"/>
              <w:rPr>
                <w:noProof/>
              </w:rPr>
            </w:pPr>
            <w:r>
              <w:rPr>
                <w:noProof/>
              </w:rPr>
              <w:t xml:space="preserve">0 </w:t>
            </w:r>
          </w:p>
        </w:tc>
        <w:tc>
          <w:tcPr>
            <w:tcW w:w="343" w:type="pct"/>
            <w:shd w:val="clear" w:color="auto" w:fill="C6EFCE"/>
            <w:noWrap/>
            <w:vAlign w:val="center"/>
          </w:tcPr>
          <w:p w14:paraId="70032D21" w14:textId="18DEDFF6" w:rsidR="003F5418" w:rsidRDefault="002A6C25">
            <w:pPr>
              <w:pStyle w:val="P68B1DB1-Normal4"/>
              <w:jc w:val="center"/>
              <w:rPr>
                <w:noProof/>
              </w:rPr>
            </w:pPr>
            <w:r>
              <w:rPr>
                <w:noProof/>
              </w:rPr>
              <w:t>20 000</w:t>
            </w:r>
          </w:p>
        </w:tc>
        <w:tc>
          <w:tcPr>
            <w:tcW w:w="286" w:type="pct"/>
            <w:shd w:val="clear" w:color="auto" w:fill="C6EFCE"/>
            <w:noWrap/>
            <w:vAlign w:val="center"/>
          </w:tcPr>
          <w:p w14:paraId="44E745A5" w14:textId="77777777" w:rsidR="003F5418" w:rsidRDefault="002A6C25">
            <w:pPr>
              <w:pStyle w:val="P68B1DB1-Normal4"/>
              <w:jc w:val="center"/>
              <w:rPr>
                <w:noProof/>
              </w:rPr>
            </w:pPr>
            <w:r>
              <w:rPr>
                <w:noProof/>
              </w:rPr>
              <w:t>Q3</w:t>
            </w:r>
          </w:p>
        </w:tc>
        <w:tc>
          <w:tcPr>
            <w:tcW w:w="238" w:type="pct"/>
            <w:shd w:val="clear" w:color="auto" w:fill="C6EFCE"/>
            <w:noWrap/>
            <w:vAlign w:val="center"/>
          </w:tcPr>
          <w:p w14:paraId="7767B21D" w14:textId="77777777" w:rsidR="003F5418" w:rsidRDefault="002A6C25">
            <w:pPr>
              <w:pStyle w:val="P68B1DB1-Normal4"/>
              <w:jc w:val="center"/>
              <w:rPr>
                <w:noProof/>
              </w:rPr>
            </w:pPr>
            <w:r>
              <w:rPr>
                <w:noProof/>
              </w:rPr>
              <w:t xml:space="preserve">2025 </w:t>
            </w:r>
          </w:p>
        </w:tc>
        <w:tc>
          <w:tcPr>
            <w:tcW w:w="1047" w:type="pct"/>
            <w:shd w:val="clear" w:color="auto" w:fill="C6EFCE"/>
            <w:noWrap/>
            <w:vAlign w:val="center"/>
          </w:tcPr>
          <w:p w14:paraId="6029074E" w14:textId="721936F2" w:rsidR="003F5418" w:rsidRDefault="002A6C25">
            <w:pPr>
              <w:pStyle w:val="P68B1DB1-Normal4"/>
              <w:rPr>
                <w:noProof/>
              </w:rPr>
            </w:pPr>
            <w:r>
              <w:rPr>
                <w:noProof/>
              </w:rPr>
              <w:t>Legalább 20000 tanárt vettek fel a megreformált munkaerő-felvételi rendszerrel</w:t>
            </w:r>
          </w:p>
        </w:tc>
      </w:tr>
      <w:tr w:rsidR="003F5418" w14:paraId="0009746C" w14:textId="77777777">
        <w:trPr>
          <w:trHeight w:val="309"/>
        </w:trPr>
        <w:tc>
          <w:tcPr>
            <w:tcW w:w="380" w:type="pct"/>
            <w:shd w:val="clear" w:color="auto" w:fill="C6EFCE"/>
            <w:noWrap/>
            <w:vAlign w:val="center"/>
          </w:tcPr>
          <w:p w14:paraId="1FD7779A" w14:textId="1A24B311" w:rsidR="003F5418" w:rsidRDefault="002A6C25">
            <w:pPr>
              <w:pStyle w:val="P68B1DB1-Normal4"/>
              <w:jc w:val="center"/>
              <w:rPr>
                <w:noProof/>
              </w:rPr>
            </w:pPr>
            <w:r>
              <w:rPr>
                <w:noProof/>
              </w:rPr>
              <w:t>M4C1–14ter</w:t>
            </w:r>
          </w:p>
        </w:tc>
        <w:tc>
          <w:tcPr>
            <w:tcW w:w="500" w:type="pct"/>
            <w:shd w:val="clear" w:color="auto" w:fill="C6EFCE"/>
            <w:noWrap/>
            <w:vAlign w:val="center"/>
          </w:tcPr>
          <w:p w14:paraId="28140DA9" w14:textId="77777777" w:rsidR="003F5418" w:rsidRDefault="002A6C25">
            <w:pPr>
              <w:pStyle w:val="P68B1DB1-Normal4"/>
              <w:jc w:val="center"/>
              <w:rPr>
                <w:noProof/>
              </w:rPr>
            </w:pPr>
            <w:r>
              <w:rPr>
                <w:noProof/>
              </w:rPr>
              <w:t>Reform: Tanárok felvétele</w:t>
            </w:r>
          </w:p>
        </w:tc>
        <w:tc>
          <w:tcPr>
            <w:tcW w:w="358" w:type="pct"/>
            <w:shd w:val="clear" w:color="auto" w:fill="C6EFCE"/>
            <w:noWrap/>
            <w:vAlign w:val="center"/>
          </w:tcPr>
          <w:p w14:paraId="245CE782"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B2A3B46" w14:textId="77777777" w:rsidR="003F5418" w:rsidRDefault="002A6C25">
            <w:pPr>
              <w:pStyle w:val="P68B1DB1-Normal4"/>
              <w:jc w:val="center"/>
              <w:rPr>
                <w:noProof/>
              </w:rPr>
            </w:pPr>
            <w:r>
              <w:rPr>
                <w:noProof/>
              </w:rPr>
              <w:t>Azok a pályázók, akik sikeresen sikeresen átestek a megreformált munkaerő-felvételi rendszer alapján tanárgá válásra irányuló nyilvános versenyvizsgán.</w:t>
            </w:r>
          </w:p>
        </w:tc>
        <w:tc>
          <w:tcPr>
            <w:tcW w:w="480" w:type="pct"/>
            <w:shd w:val="clear" w:color="auto" w:fill="C6EFCE"/>
            <w:noWrap/>
            <w:vAlign w:val="center"/>
          </w:tcPr>
          <w:p w14:paraId="3E30A620" w14:textId="77777777" w:rsidR="003F5418" w:rsidRDefault="002A6C25">
            <w:pPr>
              <w:pStyle w:val="P68B1DB1-Normal4"/>
              <w:jc w:val="center"/>
              <w:rPr>
                <w:noProof/>
              </w:rPr>
            </w:pPr>
            <w:r>
              <w:rPr>
                <w:noProof/>
              </w:rPr>
              <w:t xml:space="preserve">NINCS </w:t>
            </w:r>
          </w:p>
        </w:tc>
        <w:tc>
          <w:tcPr>
            <w:tcW w:w="422" w:type="pct"/>
            <w:shd w:val="clear" w:color="auto" w:fill="C6EFCE"/>
            <w:noWrap/>
            <w:vAlign w:val="center"/>
          </w:tcPr>
          <w:p w14:paraId="6B61EE37"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26FCB6F5" w14:textId="77777777" w:rsidR="003F5418" w:rsidRDefault="002A6C25">
            <w:pPr>
              <w:pStyle w:val="P68B1DB1-Normal4"/>
              <w:jc w:val="center"/>
              <w:rPr>
                <w:noProof/>
              </w:rPr>
            </w:pPr>
            <w:r>
              <w:rPr>
                <w:noProof/>
              </w:rPr>
              <w:t>0</w:t>
            </w:r>
          </w:p>
        </w:tc>
        <w:tc>
          <w:tcPr>
            <w:tcW w:w="343" w:type="pct"/>
            <w:shd w:val="clear" w:color="auto" w:fill="C6EFCE"/>
            <w:noWrap/>
            <w:vAlign w:val="center"/>
          </w:tcPr>
          <w:p w14:paraId="48039BF6" w14:textId="4B2B8BC2" w:rsidR="003F5418" w:rsidRDefault="002A6C25">
            <w:pPr>
              <w:pStyle w:val="P68B1DB1-Normal4"/>
              <w:jc w:val="center"/>
              <w:rPr>
                <w:noProof/>
              </w:rPr>
            </w:pPr>
            <w:r>
              <w:rPr>
                <w:noProof/>
              </w:rPr>
              <w:t>30 000</w:t>
            </w:r>
          </w:p>
        </w:tc>
        <w:tc>
          <w:tcPr>
            <w:tcW w:w="286" w:type="pct"/>
            <w:shd w:val="clear" w:color="auto" w:fill="C6EFCE"/>
            <w:noWrap/>
            <w:vAlign w:val="center"/>
          </w:tcPr>
          <w:p w14:paraId="4D8306BB" w14:textId="77777777" w:rsidR="003F5418" w:rsidRDefault="002A6C25">
            <w:pPr>
              <w:pStyle w:val="P68B1DB1-Normal4"/>
              <w:jc w:val="center"/>
              <w:rPr>
                <w:noProof/>
              </w:rPr>
            </w:pPr>
            <w:r>
              <w:rPr>
                <w:noProof/>
              </w:rPr>
              <w:t xml:space="preserve">Q2 </w:t>
            </w:r>
          </w:p>
        </w:tc>
        <w:tc>
          <w:tcPr>
            <w:tcW w:w="238" w:type="pct"/>
            <w:shd w:val="clear" w:color="auto" w:fill="C6EFCE"/>
            <w:noWrap/>
            <w:vAlign w:val="center"/>
          </w:tcPr>
          <w:p w14:paraId="36A61005"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1BC172B9" w14:textId="154BF46D" w:rsidR="003F5418" w:rsidRDefault="002A6C25">
            <w:pPr>
              <w:pStyle w:val="P68B1DB1-Normal4"/>
              <w:rPr>
                <w:noProof/>
              </w:rPr>
            </w:pPr>
            <w:r>
              <w:rPr>
                <w:noProof/>
              </w:rPr>
              <w:t xml:space="preserve">Legalább 30000 pályázó sikeresen teljesítette a megreformált munkaerő-felvételi rendszert követő tanári versenyvizsgát.  </w:t>
            </w:r>
          </w:p>
          <w:p w14:paraId="675AF40D" w14:textId="77777777" w:rsidR="003F5418" w:rsidRDefault="003F5418">
            <w:pPr>
              <w:rPr>
                <w:rFonts w:ascii="Arial Narrow" w:hAnsi="Arial Narrow"/>
                <w:noProof/>
                <w:color w:val="006100"/>
                <w:sz w:val="20"/>
              </w:rPr>
            </w:pPr>
          </w:p>
          <w:p w14:paraId="2751968D" w14:textId="77777777" w:rsidR="003F5418" w:rsidRDefault="002A6C25">
            <w:pPr>
              <w:pStyle w:val="P68B1DB1-Normal4"/>
              <w:rPr>
                <w:noProof/>
              </w:rPr>
            </w:pPr>
            <w:r>
              <w:rPr>
                <w:noProof/>
              </w:rPr>
              <w:t>A sikeres pályázóknak a nyilvános versenyvizsgán való részvétel előtt el kell végezniük az alapképesítési eljárás 60 ECTS-ét.</w:t>
            </w:r>
          </w:p>
        </w:tc>
      </w:tr>
      <w:tr w:rsidR="003F5418" w14:paraId="60616FAC" w14:textId="77777777">
        <w:trPr>
          <w:trHeight w:val="309"/>
        </w:trPr>
        <w:tc>
          <w:tcPr>
            <w:tcW w:w="380" w:type="pct"/>
            <w:shd w:val="clear" w:color="auto" w:fill="C6EFCE"/>
            <w:noWrap/>
            <w:vAlign w:val="center"/>
          </w:tcPr>
          <w:p w14:paraId="05C3F482" w14:textId="77777777" w:rsidR="003F5418" w:rsidRDefault="002A6C25">
            <w:pPr>
              <w:pStyle w:val="P68B1DB1-Normal4"/>
              <w:jc w:val="center"/>
              <w:rPr>
                <w:noProof/>
              </w:rPr>
            </w:pPr>
            <w:r>
              <w:rPr>
                <w:noProof/>
              </w:rPr>
              <w:t>M4C1–15</w:t>
            </w:r>
          </w:p>
        </w:tc>
        <w:tc>
          <w:tcPr>
            <w:tcW w:w="500" w:type="pct"/>
            <w:shd w:val="clear" w:color="auto" w:fill="C6EFCE"/>
            <w:noWrap/>
            <w:vAlign w:val="center"/>
          </w:tcPr>
          <w:p w14:paraId="4987C537" w14:textId="77777777" w:rsidR="003F5418" w:rsidRDefault="002A6C25">
            <w:pPr>
              <w:pStyle w:val="P68B1DB1-Normal4"/>
              <w:jc w:val="center"/>
              <w:rPr>
                <w:noProof/>
              </w:rPr>
            </w:pPr>
            <w:r>
              <w:rPr>
                <w:noProof/>
              </w:rPr>
              <w:t>Beruházás: Egyetemi ösztöndíjak</w:t>
            </w:r>
          </w:p>
        </w:tc>
        <w:tc>
          <w:tcPr>
            <w:tcW w:w="358" w:type="pct"/>
            <w:shd w:val="clear" w:color="auto" w:fill="C6EFCE"/>
            <w:noWrap/>
            <w:vAlign w:val="center"/>
          </w:tcPr>
          <w:p w14:paraId="78A5B9FE" w14:textId="77777777" w:rsidR="003F5418" w:rsidRDefault="002A6C25">
            <w:pPr>
              <w:pStyle w:val="P68B1DB1-Normal4"/>
              <w:rPr>
                <w:noProof/>
              </w:rPr>
            </w:pPr>
            <w:r>
              <w:rPr>
                <w:noProof/>
              </w:rPr>
              <w:t>Cél</w:t>
            </w:r>
          </w:p>
        </w:tc>
        <w:tc>
          <w:tcPr>
            <w:tcW w:w="572" w:type="pct"/>
            <w:shd w:val="clear" w:color="auto" w:fill="C6EFCE"/>
            <w:noWrap/>
            <w:vAlign w:val="center"/>
          </w:tcPr>
          <w:p w14:paraId="08DD4C4C" w14:textId="77777777" w:rsidR="003F5418" w:rsidRDefault="002A6C25">
            <w:pPr>
              <w:pStyle w:val="P68B1DB1-Normal4"/>
              <w:jc w:val="center"/>
              <w:rPr>
                <w:noProof/>
              </w:rPr>
            </w:pPr>
            <w:r>
              <w:rPr>
                <w:noProof/>
              </w:rPr>
              <w:t>Egyetemi felvételi ösztöndíjak</w:t>
            </w:r>
          </w:p>
        </w:tc>
        <w:tc>
          <w:tcPr>
            <w:tcW w:w="480" w:type="pct"/>
            <w:shd w:val="clear" w:color="auto" w:fill="C6EFCE"/>
            <w:noWrap/>
            <w:vAlign w:val="center"/>
          </w:tcPr>
          <w:p w14:paraId="2CC4BF60"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12EE8F75"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65023D37" w14:textId="77777777" w:rsidR="003F5418" w:rsidRDefault="002A6C25">
            <w:pPr>
              <w:pStyle w:val="P68B1DB1-Normal4"/>
              <w:jc w:val="center"/>
              <w:rPr>
                <w:noProof/>
              </w:rPr>
            </w:pPr>
            <w:r>
              <w:rPr>
                <w:noProof/>
              </w:rPr>
              <w:t>0</w:t>
            </w:r>
          </w:p>
        </w:tc>
        <w:tc>
          <w:tcPr>
            <w:tcW w:w="343" w:type="pct"/>
            <w:shd w:val="clear" w:color="auto" w:fill="C6EFCE"/>
            <w:noWrap/>
            <w:vAlign w:val="center"/>
          </w:tcPr>
          <w:p w14:paraId="21F34C49" w14:textId="153E70AA" w:rsidR="003F5418" w:rsidRDefault="002A6C25">
            <w:pPr>
              <w:pStyle w:val="P68B1DB1-Normal4"/>
              <w:jc w:val="center"/>
              <w:rPr>
                <w:noProof/>
              </w:rPr>
            </w:pPr>
            <w:r>
              <w:rPr>
                <w:noProof/>
              </w:rPr>
              <w:t>55 000</w:t>
            </w:r>
          </w:p>
        </w:tc>
        <w:tc>
          <w:tcPr>
            <w:tcW w:w="286" w:type="pct"/>
            <w:shd w:val="clear" w:color="auto" w:fill="C6EFCE"/>
            <w:noWrap/>
            <w:vAlign w:val="center"/>
          </w:tcPr>
          <w:p w14:paraId="0DC2562D"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7370C506" w14:textId="77777777" w:rsidR="003F5418" w:rsidRDefault="002A6C25">
            <w:pPr>
              <w:pStyle w:val="P68B1DB1-Normal4"/>
              <w:rPr>
                <w:noProof/>
              </w:rPr>
            </w:pPr>
            <w:r>
              <w:rPr>
                <w:noProof/>
              </w:rPr>
              <w:t>2024</w:t>
            </w:r>
          </w:p>
        </w:tc>
        <w:tc>
          <w:tcPr>
            <w:tcW w:w="1047" w:type="pct"/>
            <w:shd w:val="clear" w:color="auto" w:fill="C6EFCE"/>
            <w:noWrap/>
            <w:vAlign w:val="center"/>
          </w:tcPr>
          <w:p w14:paraId="48437EBA" w14:textId="7C8873BD" w:rsidR="003F5418" w:rsidRDefault="002A6C25">
            <w:pPr>
              <w:pStyle w:val="P68B1DB1-Normal4"/>
              <w:rPr>
                <w:noProof/>
              </w:rPr>
            </w:pPr>
            <w:r>
              <w:rPr>
                <w:noProof/>
              </w:rPr>
              <w:t>Legalább 55000 diák részesül kizárólag a Helyreállítási és Rezilienciaépítési Eszköz forrásaiból finanszírozott ösztöndíjakban</w:t>
            </w:r>
          </w:p>
        </w:tc>
      </w:tr>
      <w:tr w:rsidR="003F5418" w14:paraId="35A6B8E1" w14:textId="77777777">
        <w:trPr>
          <w:trHeight w:val="309"/>
        </w:trPr>
        <w:tc>
          <w:tcPr>
            <w:tcW w:w="380" w:type="pct"/>
            <w:shd w:val="clear" w:color="auto" w:fill="C6EFCE"/>
            <w:noWrap/>
            <w:vAlign w:val="center"/>
          </w:tcPr>
          <w:p w14:paraId="15060BFA" w14:textId="77777777" w:rsidR="003F5418" w:rsidRDefault="002A6C25">
            <w:pPr>
              <w:pStyle w:val="P68B1DB1-Normal4"/>
              <w:jc w:val="center"/>
              <w:rPr>
                <w:noProof/>
              </w:rPr>
            </w:pPr>
            <w:r>
              <w:rPr>
                <w:noProof/>
              </w:rPr>
              <w:t>M4C1–15a</w:t>
            </w:r>
          </w:p>
        </w:tc>
        <w:tc>
          <w:tcPr>
            <w:tcW w:w="500" w:type="pct"/>
            <w:shd w:val="clear" w:color="auto" w:fill="C6EFCE"/>
            <w:noWrap/>
            <w:vAlign w:val="center"/>
          </w:tcPr>
          <w:p w14:paraId="24063E47" w14:textId="77777777" w:rsidR="003F5418" w:rsidRDefault="002A6C25">
            <w:pPr>
              <w:pStyle w:val="P68B1DB1-Normal4"/>
              <w:jc w:val="center"/>
              <w:rPr>
                <w:noProof/>
              </w:rPr>
            </w:pPr>
            <w:r>
              <w:rPr>
                <w:noProof/>
              </w:rPr>
              <w:t xml:space="preserve">Beruházás: </w:t>
            </w:r>
            <w:r>
              <w:rPr>
                <w:noProof/>
              </w:rPr>
              <w:t>Egyetemi ösztöndíjak</w:t>
            </w:r>
          </w:p>
        </w:tc>
        <w:tc>
          <w:tcPr>
            <w:tcW w:w="358" w:type="pct"/>
            <w:shd w:val="clear" w:color="auto" w:fill="C6EFCE"/>
            <w:noWrap/>
            <w:vAlign w:val="center"/>
          </w:tcPr>
          <w:p w14:paraId="1E8FF613"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3DFE6EF" w14:textId="77777777" w:rsidR="003F5418" w:rsidRDefault="002A6C25">
            <w:pPr>
              <w:pStyle w:val="P68B1DB1-Normal4"/>
              <w:jc w:val="center"/>
              <w:rPr>
                <w:noProof/>
              </w:rPr>
            </w:pPr>
            <w:r>
              <w:rPr>
                <w:noProof/>
              </w:rPr>
              <w:t>Egyetemi felvételi ösztöndíjak</w:t>
            </w:r>
          </w:p>
        </w:tc>
        <w:tc>
          <w:tcPr>
            <w:tcW w:w="480" w:type="pct"/>
            <w:shd w:val="clear" w:color="auto" w:fill="C6EFCE"/>
            <w:noWrap/>
            <w:vAlign w:val="center"/>
          </w:tcPr>
          <w:p w14:paraId="0FAB22DD"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33652911"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4AE52E2B" w14:textId="77777777" w:rsidR="003F5418" w:rsidRDefault="002A6C25">
            <w:pPr>
              <w:pStyle w:val="P68B1DB1-Normal4"/>
              <w:jc w:val="center"/>
              <w:rPr>
                <w:noProof/>
              </w:rPr>
            </w:pPr>
            <w:r>
              <w:rPr>
                <w:noProof/>
              </w:rPr>
              <w:t>0</w:t>
            </w:r>
          </w:p>
        </w:tc>
        <w:tc>
          <w:tcPr>
            <w:tcW w:w="343" w:type="pct"/>
            <w:shd w:val="clear" w:color="auto" w:fill="C6EFCE"/>
            <w:noWrap/>
            <w:vAlign w:val="center"/>
          </w:tcPr>
          <w:p w14:paraId="5528FBEA" w14:textId="6969676E" w:rsidR="003F5418" w:rsidRDefault="002A6C25">
            <w:pPr>
              <w:pStyle w:val="P68B1DB1-Normal4"/>
              <w:jc w:val="center"/>
              <w:rPr>
                <w:noProof/>
              </w:rPr>
            </w:pPr>
            <w:r>
              <w:rPr>
                <w:noProof/>
              </w:rPr>
              <w:t>55 000</w:t>
            </w:r>
          </w:p>
        </w:tc>
        <w:tc>
          <w:tcPr>
            <w:tcW w:w="286" w:type="pct"/>
            <w:shd w:val="clear" w:color="auto" w:fill="C6EFCE"/>
            <w:noWrap/>
            <w:vAlign w:val="center"/>
          </w:tcPr>
          <w:p w14:paraId="2055271D"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7DCA349C"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515143E6" w14:textId="418578DF" w:rsidR="003F5418" w:rsidRDefault="002A6C25">
            <w:pPr>
              <w:pStyle w:val="P68B1DB1-Normal4"/>
              <w:rPr>
                <w:noProof/>
              </w:rPr>
            </w:pPr>
            <w:r>
              <w:rPr>
                <w:noProof/>
              </w:rPr>
              <w:t>Legalább 55000 diák részesül kizárólag a Helyreállítási és Rezilienciaépítési Eszköz forrásaiból finanszírozott ösztöndíjakban</w:t>
            </w:r>
          </w:p>
        </w:tc>
      </w:tr>
      <w:tr w:rsidR="003F5418" w14:paraId="49EC8516" w14:textId="77777777">
        <w:trPr>
          <w:trHeight w:val="309"/>
        </w:trPr>
        <w:tc>
          <w:tcPr>
            <w:tcW w:w="380" w:type="pct"/>
            <w:shd w:val="clear" w:color="auto" w:fill="C6EFCE"/>
            <w:noWrap/>
            <w:vAlign w:val="center"/>
          </w:tcPr>
          <w:p w14:paraId="580F5FE9" w14:textId="77777777" w:rsidR="003F5418" w:rsidRDefault="002A6C25">
            <w:pPr>
              <w:pStyle w:val="P68B1DB1-Normal4"/>
              <w:jc w:val="center"/>
              <w:rPr>
                <w:noProof/>
              </w:rPr>
            </w:pPr>
            <w:r>
              <w:rPr>
                <w:noProof/>
              </w:rPr>
              <w:t>M4C1–16</w:t>
            </w:r>
          </w:p>
        </w:tc>
        <w:tc>
          <w:tcPr>
            <w:tcW w:w="500" w:type="pct"/>
            <w:shd w:val="clear" w:color="auto" w:fill="C6EFCE"/>
            <w:noWrap/>
            <w:vAlign w:val="center"/>
          </w:tcPr>
          <w:p w14:paraId="60DF551E" w14:textId="77777777" w:rsidR="003F5418" w:rsidRDefault="002A6C25">
            <w:pPr>
              <w:pStyle w:val="P68B1DB1-Normal4"/>
              <w:jc w:val="center"/>
              <w:rPr>
                <w:noProof/>
              </w:rPr>
            </w:pPr>
            <w:r>
              <w:rPr>
                <w:noProof/>
              </w:rPr>
              <w:t xml:space="preserve">Beruházás: Új készségek és új </w:t>
            </w:r>
            <w:r>
              <w:rPr>
                <w:noProof/>
              </w:rPr>
              <w:t>nyelvek</w:t>
            </w:r>
          </w:p>
        </w:tc>
        <w:tc>
          <w:tcPr>
            <w:tcW w:w="358" w:type="pct"/>
            <w:shd w:val="clear" w:color="auto" w:fill="C6EFCE"/>
            <w:noWrap/>
            <w:vAlign w:val="center"/>
          </w:tcPr>
          <w:p w14:paraId="72D15A2E"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647D8155" w14:textId="77777777" w:rsidR="003F5418" w:rsidRDefault="002A6C25">
            <w:pPr>
              <w:pStyle w:val="P68B1DB1-Normal4"/>
              <w:jc w:val="center"/>
              <w:rPr>
                <w:noProof/>
              </w:rPr>
            </w:pPr>
            <w:r>
              <w:rPr>
                <w:noProof/>
              </w:rPr>
              <w:t>A természettudományok, a technológia, a műszaki tudományok és a matematika (STEM) pályaorientációs projektjeit 2024/25-ben aktiváló iskolák</w:t>
            </w:r>
          </w:p>
          <w:p w14:paraId="3DD78600" w14:textId="77777777" w:rsidR="003F5418" w:rsidRDefault="003F5418">
            <w:pPr>
              <w:jc w:val="center"/>
              <w:rPr>
                <w:rFonts w:ascii="Arial Narrow" w:hAnsi="Arial Narrow"/>
                <w:noProof/>
                <w:color w:val="006100"/>
                <w:sz w:val="20"/>
              </w:rPr>
            </w:pPr>
          </w:p>
          <w:p w14:paraId="103C8BF7" w14:textId="77777777" w:rsidR="003F5418" w:rsidRDefault="003F5418">
            <w:pPr>
              <w:jc w:val="center"/>
              <w:rPr>
                <w:rFonts w:ascii="Arial Narrow" w:hAnsi="Arial Narrow"/>
                <w:noProof/>
                <w:color w:val="006100"/>
                <w:sz w:val="20"/>
              </w:rPr>
            </w:pPr>
          </w:p>
        </w:tc>
        <w:tc>
          <w:tcPr>
            <w:tcW w:w="480" w:type="pct"/>
            <w:shd w:val="clear" w:color="auto" w:fill="C6EFCE"/>
            <w:noWrap/>
            <w:vAlign w:val="center"/>
          </w:tcPr>
          <w:p w14:paraId="7DD22DA9"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032EAFAC"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311615F4" w14:textId="77777777" w:rsidR="003F5418" w:rsidRDefault="002A6C25">
            <w:pPr>
              <w:pStyle w:val="P68B1DB1-Normal4"/>
              <w:jc w:val="center"/>
              <w:rPr>
                <w:noProof/>
              </w:rPr>
            </w:pPr>
            <w:r>
              <w:rPr>
                <w:noProof/>
              </w:rPr>
              <w:t>0</w:t>
            </w:r>
          </w:p>
        </w:tc>
        <w:tc>
          <w:tcPr>
            <w:tcW w:w="343" w:type="pct"/>
            <w:shd w:val="clear" w:color="auto" w:fill="C6EFCE"/>
            <w:noWrap/>
            <w:vAlign w:val="center"/>
          </w:tcPr>
          <w:p w14:paraId="3754FB86" w14:textId="5CD084DB" w:rsidR="003F5418" w:rsidRDefault="002A6C25">
            <w:pPr>
              <w:pStyle w:val="P68B1DB1-Normal4"/>
              <w:jc w:val="center"/>
              <w:rPr>
                <w:noProof/>
              </w:rPr>
            </w:pPr>
            <w:r>
              <w:rPr>
                <w:noProof/>
              </w:rPr>
              <w:t>8 000</w:t>
            </w:r>
          </w:p>
        </w:tc>
        <w:tc>
          <w:tcPr>
            <w:tcW w:w="286" w:type="pct"/>
            <w:shd w:val="clear" w:color="auto" w:fill="C6EFCE"/>
            <w:noWrap/>
            <w:vAlign w:val="center"/>
          </w:tcPr>
          <w:p w14:paraId="524211E7"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4BB5BD09"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1621CE40" w14:textId="13099226" w:rsidR="003F5418" w:rsidRDefault="002A6C25">
            <w:pPr>
              <w:pStyle w:val="P68B1DB1-Normal4"/>
              <w:rPr>
                <w:noProof/>
              </w:rPr>
            </w:pPr>
            <w:r>
              <w:rPr>
                <w:noProof/>
              </w:rPr>
              <w:t xml:space="preserve">Legalább 8000 iskola, amely elindította a STEM-re vonatkozó </w:t>
            </w:r>
            <w:r>
              <w:rPr>
                <w:noProof/>
              </w:rPr>
              <w:t>pályaorientációs projekteket.</w:t>
            </w:r>
          </w:p>
          <w:p w14:paraId="29F227C5" w14:textId="77777777" w:rsidR="003F5418" w:rsidRDefault="002A6C25">
            <w:pPr>
              <w:pStyle w:val="P68B1DB1-Normal4"/>
              <w:rPr>
                <w:noProof/>
              </w:rPr>
            </w:pPr>
            <w:r>
              <w:rPr>
                <w:noProof/>
              </w:rPr>
              <w:t>A projektek célja a TTMM nemzeti digitális platform fejlesztése és digitalizálása, amelynek célja a program teljes körű végrehajtása, az információk és adatok nyomon követése és terjesztése (nemek szerinti bontásban), kezdve a</w:t>
            </w:r>
            <w:r>
              <w:rPr>
                <w:noProof/>
              </w:rPr>
              <w:t>z óvodától és az általános iskolától az első és a második középiskoláig, a műszaki és szakmai intézetekig és egyetemekig.</w:t>
            </w:r>
          </w:p>
        </w:tc>
      </w:tr>
      <w:tr w:rsidR="003F5418" w14:paraId="5ABB1F42" w14:textId="77777777">
        <w:trPr>
          <w:trHeight w:val="309"/>
        </w:trPr>
        <w:tc>
          <w:tcPr>
            <w:tcW w:w="380" w:type="pct"/>
            <w:shd w:val="clear" w:color="auto" w:fill="C6EFCE"/>
            <w:noWrap/>
            <w:vAlign w:val="center"/>
          </w:tcPr>
          <w:p w14:paraId="11BA72A3" w14:textId="77777777" w:rsidR="003F5418" w:rsidRDefault="002A6C25">
            <w:pPr>
              <w:pStyle w:val="P68B1DB1-Normal4"/>
              <w:jc w:val="center"/>
              <w:rPr>
                <w:noProof/>
              </w:rPr>
            </w:pPr>
            <w:r>
              <w:rPr>
                <w:noProof/>
              </w:rPr>
              <w:t>M4C1–17</w:t>
            </w:r>
          </w:p>
        </w:tc>
        <w:tc>
          <w:tcPr>
            <w:tcW w:w="500" w:type="pct"/>
            <w:shd w:val="clear" w:color="auto" w:fill="C6EFCE"/>
            <w:noWrap/>
            <w:vAlign w:val="center"/>
          </w:tcPr>
          <w:p w14:paraId="38CCA24B" w14:textId="77777777" w:rsidR="003F5418" w:rsidRDefault="002A6C25">
            <w:pPr>
              <w:pStyle w:val="P68B1DB1-Normal4"/>
              <w:jc w:val="center"/>
              <w:rPr>
                <w:noProof/>
              </w:rPr>
            </w:pPr>
            <w:r>
              <w:rPr>
                <w:noProof/>
              </w:rPr>
              <w:t>Beruházás: Új készségek és új nyelvek</w:t>
            </w:r>
          </w:p>
        </w:tc>
        <w:tc>
          <w:tcPr>
            <w:tcW w:w="358" w:type="pct"/>
            <w:shd w:val="clear" w:color="auto" w:fill="C6EFCE"/>
            <w:noWrap/>
            <w:vAlign w:val="center"/>
          </w:tcPr>
          <w:p w14:paraId="1D7AF13D"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0856A69" w14:textId="77777777" w:rsidR="003F5418" w:rsidRDefault="002A6C25">
            <w:pPr>
              <w:pStyle w:val="P68B1DB1-Normal4"/>
              <w:jc w:val="center"/>
              <w:rPr>
                <w:noProof/>
              </w:rPr>
            </w:pPr>
            <w:r>
              <w:rPr>
                <w:noProof/>
              </w:rPr>
              <w:t>A tanároknak nyújtott éves nyelv- és módszertani tanfolyamok</w:t>
            </w:r>
          </w:p>
        </w:tc>
        <w:tc>
          <w:tcPr>
            <w:tcW w:w="480" w:type="pct"/>
            <w:shd w:val="clear" w:color="auto" w:fill="C6EFCE"/>
            <w:noWrap/>
            <w:vAlign w:val="center"/>
          </w:tcPr>
          <w:p w14:paraId="694FE8ED"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39A7C170"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73B4AA65" w14:textId="77777777" w:rsidR="003F5418" w:rsidRDefault="002A6C25">
            <w:pPr>
              <w:pStyle w:val="P68B1DB1-Normal4"/>
              <w:jc w:val="center"/>
              <w:rPr>
                <w:noProof/>
              </w:rPr>
            </w:pPr>
            <w:r>
              <w:rPr>
                <w:noProof/>
              </w:rPr>
              <w:t>0</w:t>
            </w:r>
          </w:p>
        </w:tc>
        <w:tc>
          <w:tcPr>
            <w:tcW w:w="343" w:type="pct"/>
            <w:shd w:val="clear" w:color="auto" w:fill="C6EFCE"/>
            <w:noWrap/>
            <w:vAlign w:val="center"/>
          </w:tcPr>
          <w:p w14:paraId="74F9D42F" w14:textId="541461C6" w:rsidR="003F5418" w:rsidRDefault="002A6C25">
            <w:pPr>
              <w:pStyle w:val="P68B1DB1-Normal4"/>
              <w:jc w:val="center"/>
              <w:rPr>
                <w:noProof/>
              </w:rPr>
            </w:pPr>
            <w:r>
              <w:rPr>
                <w:noProof/>
              </w:rPr>
              <w:t>1 000</w:t>
            </w:r>
          </w:p>
        </w:tc>
        <w:tc>
          <w:tcPr>
            <w:tcW w:w="286" w:type="pct"/>
            <w:shd w:val="clear" w:color="auto" w:fill="C6EFCE"/>
            <w:noWrap/>
            <w:vAlign w:val="center"/>
          </w:tcPr>
          <w:p w14:paraId="2F4DF3B4"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5C8B1821"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5F299EBA" w14:textId="1BD89CED" w:rsidR="003F5418" w:rsidRDefault="002A6C25">
            <w:pPr>
              <w:pStyle w:val="P68B1DB1-Normal4"/>
              <w:rPr>
                <w:noProof/>
              </w:rPr>
            </w:pPr>
            <w:r>
              <w:rPr>
                <w:noProof/>
              </w:rPr>
              <w:t>Évente legalább 1000 nyelvtanfolyam és módszertani tanfolyam valamennyi tanár számára</w:t>
            </w:r>
          </w:p>
        </w:tc>
      </w:tr>
      <w:tr w:rsidR="003F5418" w14:paraId="62305374" w14:textId="77777777">
        <w:trPr>
          <w:trHeight w:val="309"/>
        </w:trPr>
        <w:tc>
          <w:tcPr>
            <w:tcW w:w="380" w:type="pct"/>
            <w:shd w:val="clear" w:color="auto" w:fill="C6EFCE"/>
            <w:noWrap/>
            <w:vAlign w:val="center"/>
          </w:tcPr>
          <w:p w14:paraId="57AB1113" w14:textId="77777777" w:rsidR="003F5418" w:rsidRDefault="002A6C25">
            <w:pPr>
              <w:pStyle w:val="P68B1DB1-Normal4"/>
              <w:jc w:val="center"/>
              <w:rPr>
                <w:noProof/>
              </w:rPr>
            </w:pPr>
            <w:r>
              <w:rPr>
                <w:noProof/>
              </w:rPr>
              <w:t>M4C1–18</w:t>
            </w:r>
          </w:p>
        </w:tc>
        <w:tc>
          <w:tcPr>
            <w:tcW w:w="500" w:type="pct"/>
            <w:shd w:val="clear" w:color="auto" w:fill="C6EFCE"/>
            <w:noWrap/>
            <w:vAlign w:val="center"/>
          </w:tcPr>
          <w:p w14:paraId="58BAE788" w14:textId="77777777" w:rsidR="003F5418" w:rsidRDefault="002A6C25">
            <w:pPr>
              <w:pStyle w:val="P68B1DB1-Normal4"/>
              <w:jc w:val="center"/>
              <w:rPr>
                <w:noProof/>
              </w:rPr>
            </w:pPr>
            <w:r>
              <w:rPr>
                <w:noProof/>
              </w:rPr>
              <w:t>Beruházás: A bölcsődékre és az óvodákra, valamint a kora gyermekkori nevelésre és gondozásra vonatkozó terv</w:t>
            </w:r>
          </w:p>
        </w:tc>
        <w:tc>
          <w:tcPr>
            <w:tcW w:w="358" w:type="pct"/>
            <w:shd w:val="clear" w:color="auto" w:fill="C6EFCE"/>
            <w:noWrap/>
            <w:vAlign w:val="center"/>
          </w:tcPr>
          <w:p w14:paraId="15514040"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691A83AE" w14:textId="77777777" w:rsidR="003F5418" w:rsidRDefault="002A6C25">
            <w:pPr>
              <w:pStyle w:val="P68B1DB1-Normal4"/>
              <w:jc w:val="center"/>
              <w:rPr>
                <w:noProof/>
              </w:rPr>
            </w:pPr>
            <w:r>
              <w:rPr>
                <w:noProof/>
              </w:rPr>
              <w:t xml:space="preserve">Oktatási és koragyermekkori gondozási </w:t>
            </w:r>
            <w:r>
              <w:rPr>
                <w:noProof/>
              </w:rPr>
              <w:t>szolgáltatásokra aktivált új helyek (nulla és hat év közöttiek)</w:t>
            </w:r>
          </w:p>
        </w:tc>
        <w:tc>
          <w:tcPr>
            <w:tcW w:w="480" w:type="pct"/>
            <w:shd w:val="clear" w:color="auto" w:fill="C6EFCE"/>
            <w:noWrap/>
            <w:vAlign w:val="center"/>
          </w:tcPr>
          <w:p w14:paraId="393A9F66"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1901E931"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795BCE2B" w14:textId="77777777" w:rsidR="003F5418" w:rsidRDefault="002A6C25">
            <w:pPr>
              <w:pStyle w:val="P68B1DB1-Normal4"/>
              <w:jc w:val="center"/>
              <w:rPr>
                <w:noProof/>
              </w:rPr>
            </w:pPr>
            <w:r>
              <w:rPr>
                <w:noProof/>
              </w:rPr>
              <w:t>0</w:t>
            </w:r>
          </w:p>
        </w:tc>
        <w:tc>
          <w:tcPr>
            <w:tcW w:w="343" w:type="pct"/>
            <w:shd w:val="clear" w:color="auto" w:fill="C6EFCE"/>
            <w:noWrap/>
            <w:vAlign w:val="center"/>
          </w:tcPr>
          <w:p w14:paraId="520151DD" w14:textId="3B05AE10" w:rsidR="003F5418" w:rsidRDefault="002A6C25">
            <w:pPr>
              <w:pStyle w:val="P68B1DB1-Normal4"/>
              <w:rPr>
                <w:noProof/>
              </w:rPr>
            </w:pPr>
            <w:r>
              <w:rPr>
                <w:noProof/>
              </w:rPr>
              <w:t>150 480</w:t>
            </w:r>
          </w:p>
        </w:tc>
        <w:tc>
          <w:tcPr>
            <w:tcW w:w="286" w:type="pct"/>
            <w:shd w:val="clear" w:color="auto" w:fill="C6EFCE"/>
            <w:noWrap/>
            <w:vAlign w:val="center"/>
          </w:tcPr>
          <w:p w14:paraId="17AE6A12"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192805C4"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2F71DFC9" w14:textId="0CA2289B" w:rsidR="003F5418" w:rsidRDefault="002A6C25">
            <w:pPr>
              <w:pStyle w:val="P68B1DB1-Normal4"/>
              <w:rPr>
                <w:noProof/>
              </w:rPr>
            </w:pPr>
            <w:r>
              <w:rPr>
                <w:noProof/>
              </w:rPr>
              <w:t>Legalább 150480 új férőhelyet hoztak létre az oktatási és koragyermekkori gondozási szolgáltatások számára (nulla és hat év közöttiek).</w:t>
            </w:r>
          </w:p>
          <w:p w14:paraId="3EA2E29C" w14:textId="77777777" w:rsidR="003F5418" w:rsidRDefault="003F5418">
            <w:pPr>
              <w:rPr>
                <w:rFonts w:ascii="Arial Narrow" w:hAnsi="Arial Narrow"/>
                <w:noProof/>
                <w:color w:val="006100"/>
                <w:sz w:val="20"/>
              </w:rPr>
            </w:pPr>
          </w:p>
          <w:p w14:paraId="09DC442E" w14:textId="77777777" w:rsidR="003F5418" w:rsidRDefault="002A6C25">
            <w:pPr>
              <w:pStyle w:val="P68B1DB1-Normal4"/>
              <w:rPr>
                <w:noProof/>
              </w:rPr>
            </w:pPr>
            <w:r>
              <w:rPr>
                <w:noProof/>
              </w:rPr>
              <w:t xml:space="preserve">Az óvodák építésére és </w:t>
            </w:r>
            <w:r>
              <w:rPr>
                <w:noProof/>
              </w:rPr>
              <w:t>átalakítására vonatkozó tervvel a cél a rendelkezésre álló férőhelyek számának növelése, a nulla és hat év közötti oktatási szolgálat növelése.</w:t>
            </w:r>
          </w:p>
        </w:tc>
      </w:tr>
      <w:tr w:rsidR="003F5418" w14:paraId="22ADCAD2" w14:textId="77777777">
        <w:trPr>
          <w:trHeight w:val="309"/>
        </w:trPr>
        <w:tc>
          <w:tcPr>
            <w:tcW w:w="380" w:type="pct"/>
            <w:shd w:val="clear" w:color="auto" w:fill="C6EFCE"/>
            <w:noWrap/>
            <w:vAlign w:val="center"/>
          </w:tcPr>
          <w:p w14:paraId="72FE7290" w14:textId="77777777" w:rsidR="003F5418" w:rsidRDefault="002A6C25">
            <w:pPr>
              <w:pStyle w:val="P68B1DB1-Normal4"/>
              <w:jc w:val="center"/>
              <w:rPr>
                <w:noProof/>
              </w:rPr>
            </w:pPr>
            <w:r>
              <w:rPr>
                <w:noProof/>
              </w:rPr>
              <w:t>M4C1–19</w:t>
            </w:r>
          </w:p>
        </w:tc>
        <w:tc>
          <w:tcPr>
            <w:tcW w:w="500" w:type="pct"/>
            <w:shd w:val="clear" w:color="auto" w:fill="C6EFCE"/>
            <w:noWrap/>
            <w:vAlign w:val="center"/>
          </w:tcPr>
          <w:p w14:paraId="267DEDF5" w14:textId="77777777" w:rsidR="003F5418" w:rsidRDefault="002A6C25">
            <w:pPr>
              <w:pStyle w:val="P68B1DB1-Normal4"/>
              <w:jc w:val="center"/>
              <w:rPr>
                <w:noProof/>
              </w:rPr>
            </w:pPr>
            <w:r>
              <w:rPr>
                <w:noProof/>
              </w:rPr>
              <w:t>Beruházás: Iskola 4.0: innovatív iskolák, vezetékek, új osztálytermek és műhelyek</w:t>
            </w:r>
          </w:p>
        </w:tc>
        <w:tc>
          <w:tcPr>
            <w:tcW w:w="358" w:type="pct"/>
            <w:shd w:val="clear" w:color="auto" w:fill="C6EFCE"/>
            <w:noWrap/>
            <w:vAlign w:val="center"/>
          </w:tcPr>
          <w:p w14:paraId="481E9C5B"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59612C6B" w14:textId="77777777" w:rsidR="003F5418" w:rsidRDefault="002A6C25">
            <w:pPr>
              <w:pStyle w:val="P68B1DB1-Normal4"/>
              <w:jc w:val="center"/>
              <w:rPr>
                <w:noProof/>
              </w:rPr>
            </w:pPr>
            <w:r>
              <w:rPr>
                <w:noProof/>
              </w:rPr>
              <w:t>Az osztályokat az</w:t>
            </w:r>
            <w:r>
              <w:rPr>
                <w:noProof/>
              </w:rPr>
              <w:t xml:space="preserve"> Iskola 4.0-ának köszönhetően innovatív tanulási környezetté alakítják át.</w:t>
            </w:r>
          </w:p>
        </w:tc>
        <w:tc>
          <w:tcPr>
            <w:tcW w:w="480" w:type="pct"/>
            <w:shd w:val="clear" w:color="auto" w:fill="C6EFCE"/>
            <w:noWrap/>
            <w:vAlign w:val="center"/>
          </w:tcPr>
          <w:p w14:paraId="7FF1EB25"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7ED6E851"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159B71A0" w14:textId="77777777" w:rsidR="003F5418" w:rsidRDefault="002A6C25">
            <w:pPr>
              <w:pStyle w:val="P68B1DB1-Normal4"/>
              <w:jc w:val="center"/>
              <w:rPr>
                <w:noProof/>
              </w:rPr>
            </w:pPr>
            <w:r>
              <w:rPr>
                <w:noProof/>
              </w:rPr>
              <w:t>0</w:t>
            </w:r>
          </w:p>
        </w:tc>
        <w:tc>
          <w:tcPr>
            <w:tcW w:w="343" w:type="pct"/>
            <w:shd w:val="clear" w:color="auto" w:fill="C6EFCE"/>
            <w:noWrap/>
            <w:vAlign w:val="center"/>
          </w:tcPr>
          <w:p w14:paraId="0762C6E5" w14:textId="2F85ADA7" w:rsidR="003F5418" w:rsidRDefault="002A6C25">
            <w:pPr>
              <w:pStyle w:val="P68B1DB1-Normal4"/>
              <w:jc w:val="center"/>
              <w:rPr>
                <w:noProof/>
              </w:rPr>
            </w:pPr>
            <w:r>
              <w:rPr>
                <w:noProof/>
              </w:rPr>
              <w:t>100 000</w:t>
            </w:r>
          </w:p>
        </w:tc>
        <w:tc>
          <w:tcPr>
            <w:tcW w:w="286" w:type="pct"/>
            <w:shd w:val="clear" w:color="auto" w:fill="C6EFCE"/>
            <w:noWrap/>
            <w:vAlign w:val="center"/>
          </w:tcPr>
          <w:p w14:paraId="7374E268"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661E97DB"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3EB491F0" w14:textId="77777777" w:rsidR="003F5418" w:rsidRDefault="002A6C25">
            <w:pPr>
              <w:pStyle w:val="P68B1DB1-Normal4"/>
              <w:rPr>
                <w:noProof/>
              </w:rPr>
            </w:pPr>
            <w:r>
              <w:rPr>
                <w:noProof/>
              </w:rPr>
              <w:t>Az innovatív tanulási környezetekké átalakított osztálytermek száma az „Iskola 4.0” tervre.</w:t>
            </w:r>
          </w:p>
          <w:p w14:paraId="304F74D0" w14:textId="77777777" w:rsidR="003F5418" w:rsidRDefault="003F5418">
            <w:pPr>
              <w:rPr>
                <w:rFonts w:ascii="Arial Narrow" w:hAnsi="Arial Narrow"/>
                <w:noProof/>
                <w:color w:val="006100"/>
                <w:sz w:val="20"/>
              </w:rPr>
            </w:pPr>
          </w:p>
          <w:p w14:paraId="7341141E" w14:textId="455107EF" w:rsidR="003F5418" w:rsidRDefault="002A6C25">
            <w:pPr>
              <w:pStyle w:val="P68B1DB1-Normal4"/>
              <w:rPr>
                <w:noProof/>
              </w:rPr>
            </w:pPr>
            <w:r>
              <w:rPr>
                <w:noProof/>
              </w:rPr>
              <w:t xml:space="preserve">A cselekvésnek a hagyományos tantermekben használt iskolai </w:t>
            </w:r>
            <w:r>
              <w:rPr>
                <w:noProof/>
              </w:rPr>
              <w:t>tereket innovatív, adaptív és rugalmas tanulási környezetté kell alakítania, amely a digitális technológiákhoz kapcsolódik és integrálódik, fizikai és virtuálisan egyaránt. A beruházásnak az összes leginnovatívabb tanítási technológiát (például kódolási és</w:t>
            </w:r>
            <w:r>
              <w:rPr>
                <w:noProof/>
              </w:rPr>
              <w:t xml:space="preserve"> robotikai eszközöket, virtuálisvalóság-eszközöket és az inkluzív oktatást szolgáló fejlett digitális eszközöket) legalább 100000, tanításra használt általános és középiskolába kell hoznia.</w:t>
            </w:r>
          </w:p>
        </w:tc>
      </w:tr>
      <w:tr w:rsidR="003F5418" w14:paraId="7AEB4A24" w14:textId="77777777">
        <w:trPr>
          <w:trHeight w:val="309"/>
        </w:trPr>
        <w:tc>
          <w:tcPr>
            <w:tcW w:w="380" w:type="pct"/>
            <w:shd w:val="clear" w:color="auto" w:fill="C6EFCE"/>
            <w:noWrap/>
            <w:vAlign w:val="center"/>
          </w:tcPr>
          <w:p w14:paraId="004AA0F3" w14:textId="77777777" w:rsidR="003F5418" w:rsidRDefault="002A6C25">
            <w:pPr>
              <w:pStyle w:val="P68B1DB1-Normal4"/>
              <w:jc w:val="center"/>
              <w:rPr>
                <w:noProof/>
              </w:rPr>
            </w:pPr>
            <w:r>
              <w:rPr>
                <w:noProof/>
              </w:rPr>
              <w:t>M4C1–20</w:t>
            </w:r>
          </w:p>
        </w:tc>
        <w:tc>
          <w:tcPr>
            <w:tcW w:w="500" w:type="pct"/>
            <w:shd w:val="clear" w:color="auto" w:fill="C6EFCE"/>
            <w:noWrap/>
            <w:vAlign w:val="center"/>
          </w:tcPr>
          <w:p w14:paraId="4A0D48C4" w14:textId="77777777" w:rsidR="003F5418" w:rsidRDefault="002A6C25">
            <w:pPr>
              <w:pStyle w:val="P68B1DB1-Normal4"/>
              <w:jc w:val="center"/>
              <w:rPr>
                <w:noProof/>
              </w:rPr>
            </w:pPr>
            <w:r>
              <w:rPr>
                <w:noProof/>
              </w:rPr>
              <w:t xml:space="preserve">Beruházás: A felsőfokú szakképzési rendszer (ITS) </w:t>
            </w:r>
            <w:r>
              <w:rPr>
                <w:noProof/>
              </w:rPr>
              <w:t>fejlesztése</w:t>
            </w:r>
          </w:p>
        </w:tc>
        <w:tc>
          <w:tcPr>
            <w:tcW w:w="358" w:type="pct"/>
            <w:shd w:val="clear" w:color="auto" w:fill="C6EFCE"/>
            <w:noWrap/>
            <w:vAlign w:val="center"/>
          </w:tcPr>
          <w:p w14:paraId="7AAD73C6"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6B3F62B8" w14:textId="77777777" w:rsidR="003F5418" w:rsidRDefault="002A6C25">
            <w:pPr>
              <w:pStyle w:val="P68B1DB1-Normal4"/>
              <w:jc w:val="center"/>
              <w:rPr>
                <w:noProof/>
              </w:rPr>
            </w:pPr>
            <w:r>
              <w:rPr>
                <w:noProof/>
              </w:rPr>
              <w:t>A szakképzési rendszerbe (ITS) beiratkozott hallgatók száma</w:t>
            </w:r>
          </w:p>
        </w:tc>
        <w:tc>
          <w:tcPr>
            <w:tcW w:w="480" w:type="pct"/>
            <w:shd w:val="clear" w:color="auto" w:fill="C6EFCE"/>
            <w:noWrap/>
            <w:vAlign w:val="center"/>
          </w:tcPr>
          <w:p w14:paraId="79BB2D58"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1CC77697"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2B1D4ECE" w14:textId="277DA82E" w:rsidR="003F5418" w:rsidRDefault="002A6C25">
            <w:pPr>
              <w:pStyle w:val="P68B1DB1-Normal4"/>
              <w:jc w:val="center"/>
              <w:rPr>
                <w:noProof/>
              </w:rPr>
            </w:pPr>
            <w:r>
              <w:rPr>
                <w:noProof/>
              </w:rPr>
              <w:t>11 000</w:t>
            </w:r>
          </w:p>
        </w:tc>
        <w:tc>
          <w:tcPr>
            <w:tcW w:w="343" w:type="pct"/>
            <w:shd w:val="clear" w:color="auto" w:fill="C6EFCE"/>
            <w:noWrap/>
            <w:vAlign w:val="center"/>
          </w:tcPr>
          <w:p w14:paraId="1E650769" w14:textId="7CF6AF1E" w:rsidR="003F5418" w:rsidRDefault="002A6C25">
            <w:pPr>
              <w:pStyle w:val="P68B1DB1-Normal4"/>
              <w:jc w:val="center"/>
              <w:rPr>
                <w:noProof/>
              </w:rPr>
            </w:pPr>
            <w:r>
              <w:rPr>
                <w:noProof/>
              </w:rPr>
              <w:t>22 000</w:t>
            </w:r>
          </w:p>
        </w:tc>
        <w:tc>
          <w:tcPr>
            <w:tcW w:w="286" w:type="pct"/>
            <w:shd w:val="clear" w:color="auto" w:fill="C6EFCE"/>
            <w:noWrap/>
            <w:vAlign w:val="center"/>
          </w:tcPr>
          <w:p w14:paraId="24DA0111"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5A67AC4F"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564A494F" w14:textId="77777777" w:rsidR="003F5418" w:rsidRDefault="002A6C25">
            <w:pPr>
              <w:pStyle w:val="P68B1DB1-Normal4"/>
              <w:rPr>
                <w:noProof/>
              </w:rPr>
            </w:pPr>
            <w:r>
              <w:rPr>
                <w:noProof/>
              </w:rPr>
              <w:t>A szakképzési rendszerbe beiratkozott hallgatók számának növekedése (100%).</w:t>
            </w:r>
          </w:p>
        </w:tc>
      </w:tr>
      <w:tr w:rsidR="003F5418" w14:paraId="424C4140" w14:textId="77777777">
        <w:trPr>
          <w:trHeight w:val="309"/>
        </w:trPr>
        <w:tc>
          <w:tcPr>
            <w:tcW w:w="380" w:type="pct"/>
            <w:shd w:val="clear" w:color="auto" w:fill="C6EFCE"/>
            <w:noWrap/>
            <w:vAlign w:val="center"/>
          </w:tcPr>
          <w:p w14:paraId="2F883D3E" w14:textId="77777777" w:rsidR="003F5418" w:rsidRDefault="002A6C25">
            <w:pPr>
              <w:pStyle w:val="P68B1DB1-Normal4"/>
              <w:jc w:val="center"/>
              <w:rPr>
                <w:noProof/>
              </w:rPr>
            </w:pPr>
            <w:r>
              <w:rPr>
                <w:noProof/>
              </w:rPr>
              <w:t>M4C1–20 bis</w:t>
            </w:r>
          </w:p>
        </w:tc>
        <w:tc>
          <w:tcPr>
            <w:tcW w:w="500" w:type="pct"/>
            <w:shd w:val="clear" w:color="auto" w:fill="C6EFCE"/>
            <w:noWrap/>
            <w:vAlign w:val="center"/>
          </w:tcPr>
          <w:p w14:paraId="18A2383C" w14:textId="77777777" w:rsidR="003F5418" w:rsidRDefault="002A6C25">
            <w:pPr>
              <w:pStyle w:val="P68B1DB1-Normal4"/>
              <w:jc w:val="center"/>
              <w:rPr>
                <w:noProof/>
              </w:rPr>
            </w:pPr>
            <w:r>
              <w:rPr>
                <w:noProof/>
              </w:rPr>
              <w:t xml:space="preserve">Beruházás: A felsőfokú szakképzési rendszer (ITS) </w:t>
            </w:r>
            <w:r>
              <w:rPr>
                <w:noProof/>
              </w:rPr>
              <w:t>fejlesztése</w:t>
            </w:r>
          </w:p>
        </w:tc>
        <w:tc>
          <w:tcPr>
            <w:tcW w:w="358" w:type="pct"/>
            <w:shd w:val="clear" w:color="auto" w:fill="C6EFCE"/>
            <w:noWrap/>
            <w:vAlign w:val="center"/>
          </w:tcPr>
          <w:p w14:paraId="22541EEE" w14:textId="77777777" w:rsidR="003F5418" w:rsidRDefault="002A6C25">
            <w:pPr>
              <w:pStyle w:val="P68B1DB1-Normal4"/>
              <w:jc w:val="center"/>
              <w:rPr>
                <w:noProof/>
              </w:rPr>
            </w:pPr>
            <w:r>
              <w:rPr>
                <w:noProof/>
              </w:rPr>
              <w:t>Mérföldkő</w:t>
            </w:r>
          </w:p>
        </w:tc>
        <w:tc>
          <w:tcPr>
            <w:tcW w:w="572" w:type="pct"/>
            <w:shd w:val="clear" w:color="auto" w:fill="C6EFCE"/>
            <w:noWrap/>
            <w:vAlign w:val="center"/>
          </w:tcPr>
          <w:p w14:paraId="10334EBB" w14:textId="77777777" w:rsidR="003F5418" w:rsidRDefault="002A6C25">
            <w:pPr>
              <w:pStyle w:val="P68B1DB1-Normal4"/>
              <w:jc w:val="center"/>
              <w:rPr>
                <w:noProof/>
              </w:rPr>
            </w:pPr>
            <w:r>
              <w:rPr>
                <w:noProof/>
              </w:rPr>
              <w:t xml:space="preserve">Az új nemzeti nyomonkövetési rendszer végrehajtása </w:t>
            </w:r>
          </w:p>
        </w:tc>
        <w:tc>
          <w:tcPr>
            <w:tcW w:w="480" w:type="pct"/>
            <w:shd w:val="clear" w:color="auto" w:fill="C6EFCE"/>
            <w:noWrap/>
            <w:vAlign w:val="center"/>
          </w:tcPr>
          <w:p w14:paraId="1B600D3D" w14:textId="77777777" w:rsidR="003F5418" w:rsidRDefault="002A6C25">
            <w:pPr>
              <w:pStyle w:val="P68B1DB1-Normal4"/>
              <w:jc w:val="center"/>
              <w:rPr>
                <w:noProof/>
              </w:rPr>
            </w:pPr>
            <w:r>
              <w:rPr>
                <w:noProof/>
              </w:rPr>
              <w:t xml:space="preserve">Az új ITS-nyomonkövetési rendszer elindítása </w:t>
            </w:r>
          </w:p>
        </w:tc>
        <w:tc>
          <w:tcPr>
            <w:tcW w:w="422" w:type="pct"/>
            <w:shd w:val="clear" w:color="auto" w:fill="C6EFCE"/>
            <w:noWrap/>
            <w:vAlign w:val="center"/>
          </w:tcPr>
          <w:p w14:paraId="4EE8A491" w14:textId="77777777" w:rsidR="003F5418" w:rsidRDefault="002A6C25">
            <w:pPr>
              <w:pStyle w:val="P68B1DB1-Normal4"/>
              <w:jc w:val="center"/>
              <w:rPr>
                <w:noProof/>
              </w:rPr>
            </w:pPr>
            <w:r>
              <w:rPr>
                <w:noProof/>
              </w:rPr>
              <w:t>NINCS</w:t>
            </w:r>
          </w:p>
        </w:tc>
        <w:tc>
          <w:tcPr>
            <w:tcW w:w="375" w:type="pct"/>
            <w:shd w:val="clear" w:color="auto" w:fill="C6EFCE"/>
            <w:noWrap/>
            <w:vAlign w:val="center"/>
          </w:tcPr>
          <w:p w14:paraId="4DFE2C7C" w14:textId="77777777" w:rsidR="003F5418" w:rsidRDefault="002A6C25">
            <w:pPr>
              <w:pStyle w:val="P68B1DB1-Normal4"/>
              <w:jc w:val="center"/>
              <w:rPr>
                <w:noProof/>
              </w:rPr>
            </w:pPr>
            <w:r>
              <w:rPr>
                <w:noProof/>
              </w:rPr>
              <w:t>NINCS</w:t>
            </w:r>
          </w:p>
        </w:tc>
        <w:tc>
          <w:tcPr>
            <w:tcW w:w="343" w:type="pct"/>
            <w:shd w:val="clear" w:color="auto" w:fill="C6EFCE"/>
            <w:noWrap/>
            <w:vAlign w:val="center"/>
          </w:tcPr>
          <w:p w14:paraId="2AFD7AC6" w14:textId="77777777" w:rsidR="003F5418" w:rsidRDefault="002A6C25">
            <w:pPr>
              <w:pStyle w:val="P68B1DB1-Normal4"/>
              <w:jc w:val="center"/>
              <w:rPr>
                <w:noProof/>
              </w:rPr>
            </w:pPr>
            <w:r>
              <w:rPr>
                <w:noProof/>
              </w:rPr>
              <w:t>NINCS</w:t>
            </w:r>
          </w:p>
        </w:tc>
        <w:tc>
          <w:tcPr>
            <w:tcW w:w="286" w:type="pct"/>
            <w:shd w:val="clear" w:color="auto" w:fill="C6EFCE"/>
            <w:noWrap/>
            <w:vAlign w:val="center"/>
          </w:tcPr>
          <w:p w14:paraId="595BBCB8" w14:textId="77777777" w:rsidR="003F5418" w:rsidRDefault="002A6C25">
            <w:pPr>
              <w:pStyle w:val="P68B1DB1-Normal4"/>
              <w:jc w:val="center"/>
              <w:rPr>
                <w:noProof/>
              </w:rPr>
            </w:pPr>
            <w:r>
              <w:rPr>
                <w:noProof/>
              </w:rPr>
              <w:t>Q4</w:t>
            </w:r>
          </w:p>
        </w:tc>
        <w:tc>
          <w:tcPr>
            <w:tcW w:w="238" w:type="pct"/>
            <w:shd w:val="clear" w:color="auto" w:fill="C6EFCE"/>
            <w:noWrap/>
            <w:vAlign w:val="center"/>
          </w:tcPr>
          <w:p w14:paraId="2F63C0ED" w14:textId="77777777" w:rsidR="003F5418" w:rsidRDefault="002A6C25">
            <w:pPr>
              <w:pStyle w:val="P68B1DB1-Normal4"/>
              <w:jc w:val="center"/>
              <w:rPr>
                <w:noProof/>
              </w:rPr>
            </w:pPr>
            <w:r>
              <w:rPr>
                <w:noProof/>
              </w:rPr>
              <w:t>2025</w:t>
            </w:r>
          </w:p>
        </w:tc>
        <w:tc>
          <w:tcPr>
            <w:tcW w:w="1047" w:type="pct"/>
            <w:shd w:val="clear" w:color="auto" w:fill="C6EFCE"/>
            <w:noWrap/>
            <w:vAlign w:val="center"/>
          </w:tcPr>
          <w:p w14:paraId="20ED1506" w14:textId="77777777" w:rsidR="003F5418" w:rsidRDefault="002A6C25">
            <w:pPr>
              <w:pStyle w:val="P68B1DB1-Normal4"/>
              <w:jc w:val="both"/>
              <w:rPr>
                <w:rFonts w:eastAsiaTheme="minorEastAsia" w:cstheme="minorBidi"/>
                <w:noProof/>
              </w:rPr>
            </w:pPr>
            <w:r>
              <w:rPr>
                <w:noProof/>
              </w:rPr>
              <w:t xml:space="preserve">Az ITS-tanfolyamok által elért eredmények nyomon követésére szolgáló új nemzeti rendszer teljes mértékben </w:t>
            </w:r>
            <w:r>
              <w:rPr>
                <w:noProof/>
              </w:rPr>
              <w:t>megvalósult és működőképes.</w:t>
            </w:r>
          </w:p>
        </w:tc>
      </w:tr>
      <w:tr w:rsidR="003F5418" w14:paraId="6E51EF11" w14:textId="77777777">
        <w:trPr>
          <w:trHeight w:val="309"/>
        </w:trPr>
        <w:tc>
          <w:tcPr>
            <w:tcW w:w="380" w:type="pct"/>
            <w:shd w:val="clear" w:color="auto" w:fill="C6EFCE"/>
            <w:noWrap/>
            <w:vAlign w:val="center"/>
          </w:tcPr>
          <w:p w14:paraId="02700554" w14:textId="77777777" w:rsidR="003F5418" w:rsidRDefault="002A6C25">
            <w:pPr>
              <w:pStyle w:val="P68B1DB1-Normal4"/>
              <w:jc w:val="center"/>
              <w:rPr>
                <w:noProof/>
              </w:rPr>
            </w:pPr>
            <w:r>
              <w:rPr>
                <w:noProof/>
              </w:rPr>
              <w:t>M4C1–21</w:t>
            </w:r>
          </w:p>
        </w:tc>
        <w:tc>
          <w:tcPr>
            <w:tcW w:w="500" w:type="pct"/>
            <w:shd w:val="clear" w:color="auto" w:fill="C6EFCE"/>
            <w:noWrap/>
            <w:vAlign w:val="center"/>
          </w:tcPr>
          <w:p w14:paraId="1E890929" w14:textId="77777777" w:rsidR="003F5418" w:rsidRDefault="002A6C25">
            <w:pPr>
              <w:pStyle w:val="P68B1DB1-Normal4"/>
              <w:jc w:val="center"/>
              <w:rPr>
                <w:noProof/>
              </w:rPr>
            </w:pPr>
            <w:r>
              <w:rPr>
                <w:noProof/>
              </w:rPr>
              <w:t>Beruházás: A teljes munkaidő meghosszabbítására vonatkozó terv</w:t>
            </w:r>
          </w:p>
        </w:tc>
        <w:tc>
          <w:tcPr>
            <w:tcW w:w="358" w:type="pct"/>
            <w:shd w:val="clear" w:color="auto" w:fill="C6EFCE"/>
            <w:noWrap/>
            <w:vAlign w:val="center"/>
          </w:tcPr>
          <w:p w14:paraId="0A3132BB"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C73E955" w14:textId="77777777" w:rsidR="003F5418" w:rsidRDefault="002A6C25">
            <w:pPr>
              <w:pStyle w:val="P68B1DB1-Normal4"/>
              <w:jc w:val="center"/>
              <w:rPr>
                <w:noProof/>
                <w:color w:val="375623"/>
              </w:rPr>
            </w:pPr>
            <w:r>
              <w:rPr>
                <w:noProof/>
              </w:rPr>
              <w:t>A diákoknak az iskolai időn túli fogadására szolgáló struktúrák</w:t>
            </w:r>
          </w:p>
        </w:tc>
        <w:tc>
          <w:tcPr>
            <w:tcW w:w="480" w:type="pct"/>
            <w:shd w:val="clear" w:color="auto" w:fill="C6EFCE"/>
            <w:noWrap/>
            <w:vAlign w:val="center"/>
          </w:tcPr>
          <w:p w14:paraId="25CB1A9A"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7BC84CAD"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4E3274AB" w14:textId="77777777" w:rsidR="003F5418" w:rsidRDefault="002A6C25">
            <w:pPr>
              <w:pStyle w:val="P68B1DB1-Normal4"/>
              <w:jc w:val="center"/>
              <w:rPr>
                <w:noProof/>
              </w:rPr>
            </w:pPr>
            <w:r>
              <w:rPr>
                <w:noProof/>
              </w:rPr>
              <w:t>0</w:t>
            </w:r>
          </w:p>
        </w:tc>
        <w:tc>
          <w:tcPr>
            <w:tcW w:w="343" w:type="pct"/>
            <w:shd w:val="clear" w:color="auto" w:fill="C6EFCE"/>
            <w:noWrap/>
            <w:vAlign w:val="center"/>
          </w:tcPr>
          <w:p w14:paraId="00B2ACA6" w14:textId="5608CE20" w:rsidR="003F5418" w:rsidRDefault="002A6C25">
            <w:pPr>
              <w:pStyle w:val="P68B1DB1-Normal4"/>
              <w:jc w:val="center"/>
              <w:rPr>
                <w:noProof/>
              </w:rPr>
            </w:pPr>
            <w:r>
              <w:rPr>
                <w:noProof/>
              </w:rPr>
              <w:t>1 000</w:t>
            </w:r>
          </w:p>
        </w:tc>
        <w:tc>
          <w:tcPr>
            <w:tcW w:w="286" w:type="pct"/>
            <w:shd w:val="clear" w:color="auto" w:fill="C6EFCE"/>
            <w:noWrap/>
            <w:vAlign w:val="center"/>
          </w:tcPr>
          <w:p w14:paraId="61961EB0"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57244398"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2541F49D" w14:textId="4D83FBB9" w:rsidR="003F5418" w:rsidRDefault="002A6C25">
            <w:pPr>
              <w:pStyle w:val="P68B1DB1-Normal4"/>
              <w:rPr>
                <w:noProof/>
              </w:rPr>
            </w:pPr>
            <w:r>
              <w:rPr>
                <w:noProof/>
              </w:rPr>
              <w:t xml:space="preserve">Legalább 1000 építményt építenek vagy korszerűsítenek annak érdekében, hogy megkönnyítsék az iskolai idő meghosszabbítását és az iskoláknak a tanórákon túli megnyitását. </w:t>
            </w:r>
          </w:p>
        </w:tc>
      </w:tr>
      <w:tr w:rsidR="003F5418" w14:paraId="647232C0" w14:textId="77777777">
        <w:trPr>
          <w:trHeight w:val="309"/>
        </w:trPr>
        <w:tc>
          <w:tcPr>
            <w:tcW w:w="380" w:type="pct"/>
            <w:shd w:val="clear" w:color="auto" w:fill="C6EFCE"/>
            <w:noWrap/>
            <w:vAlign w:val="center"/>
          </w:tcPr>
          <w:p w14:paraId="584D5CAE" w14:textId="77777777" w:rsidR="003F5418" w:rsidRDefault="002A6C25">
            <w:pPr>
              <w:pStyle w:val="P68B1DB1-Normal4"/>
              <w:jc w:val="center"/>
              <w:rPr>
                <w:noProof/>
              </w:rPr>
            </w:pPr>
            <w:r>
              <w:rPr>
                <w:noProof/>
              </w:rPr>
              <w:t>M4C1–22</w:t>
            </w:r>
          </w:p>
        </w:tc>
        <w:tc>
          <w:tcPr>
            <w:tcW w:w="500" w:type="pct"/>
            <w:shd w:val="clear" w:color="auto" w:fill="C6EFCE"/>
            <w:noWrap/>
            <w:vAlign w:val="center"/>
          </w:tcPr>
          <w:p w14:paraId="2AE962A4" w14:textId="77777777" w:rsidR="003F5418" w:rsidRDefault="002A6C25">
            <w:pPr>
              <w:pStyle w:val="P68B1DB1-Normal4"/>
              <w:jc w:val="center"/>
              <w:rPr>
                <w:noProof/>
              </w:rPr>
            </w:pPr>
            <w:r>
              <w:rPr>
                <w:noProof/>
              </w:rPr>
              <w:t>Beruházás: Iskolai sportinfrastruktúra-fejlesztési terv</w:t>
            </w:r>
          </w:p>
        </w:tc>
        <w:tc>
          <w:tcPr>
            <w:tcW w:w="358" w:type="pct"/>
            <w:shd w:val="clear" w:color="auto" w:fill="C6EFCE"/>
            <w:noWrap/>
            <w:vAlign w:val="center"/>
          </w:tcPr>
          <w:p w14:paraId="567A08D7"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22B20316" w14:textId="77777777" w:rsidR="003F5418" w:rsidRDefault="002A6C25">
            <w:pPr>
              <w:pStyle w:val="P68B1DB1-Normal4"/>
              <w:jc w:val="center"/>
              <w:rPr>
                <w:noProof/>
              </w:rPr>
            </w:pPr>
            <w:r>
              <w:rPr>
                <w:noProof/>
              </w:rPr>
              <w:t xml:space="preserve">Az épített vagy </w:t>
            </w:r>
            <w:r>
              <w:rPr>
                <w:noProof/>
              </w:rPr>
              <w:t>felújított sqm tornatermként vagy sportlétesítményként használható</w:t>
            </w:r>
          </w:p>
        </w:tc>
        <w:tc>
          <w:tcPr>
            <w:tcW w:w="480" w:type="pct"/>
            <w:shd w:val="clear" w:color="auto" w:fill="C6EFCE"/>
            <w:noWrap/>
            <w:vAlign w:val="center"/>
          </w:tcPr>
          <w:p w14:paraId="222D3ACF"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3C35EC8B"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7BC06610" w14:textId="77777777" w:rsidR="003F5418" w:rsidRDefault="002A6C25">
            <w:pPr>
              <w:pStyle w:val="P68B1DB1-Normal4"/>
              <w:jc w:val="center"/>
              <w:rPr>
                <w:noProof/>
              </w:rPr>
            </w:pPr>
            <w:r>
              <w:rPr>
                <w:noProof/>
              </w:rPr>
              <w:t>0</w:t>
            </w:r>
          </w:p>
        </w:tc>
        <w:tc>
          <w:tcPr>
            <w:tcW w:w="343" w:type="pct"/>
            <w:shd w:val="clear" w:color="auto" w:fill="C6EFCE"/>
            <w:noWrap/>
            <w:vAlign w:val="center"/>
          </w:tcPr>
          <w:p w14:paraId="1F185E4A" w14:textId="6A59E361" w:rsidR="003F5418" w:rsidRDefault="002A6C25">
            <w:pPr>
              <w:pStyle w:val="P68B1DB1-Normal4"/>
              <w:jc w:val="center"/>
              <w:rPr>
                <w:noProof/>
              </w:rPr>
            </w:pPr>
            <w:r>
              <w:rPr>
                <w:noProof/>
              </w:rPr>
              <w:t>230 400</w:t>
            </w:r>
          </w:p>
        </w:tc>
        <w:tc>
          <w:tcPr>
            <w:tcW w:w="286" w:type="pct"/>
            <w:shd w:val="clear" w:color="auto" w:fill="C6EFCE"/>
            <w:noWrap/>
            <w:vAlign w:val="center"/>
          </w:tcPr>
          <w:p w14:paraId="04E5F4B5"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04E98399"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0D6A2EC5" w14:textId="0F8783CE" w:rsidR="003F5418" w:rsidRDefault="002A6C25">
            <w:pPr>
              <w:pStyle w:val="P68B1DB1-Normal4"/>
              <w:rPr>
                <w:noProof/>
              </w:rPr>
            </w:pPr>
            <w:r>
              <w:rPr>
                <w:noProof/>
              </w:rPr>
              <w:t>Legalább 230400 Sqm-et építettek vagy felújítottak abból a célból, hogy az iskolához kapcsolódó edzőtermek vagy sportlétesítmények legyenek.</w:t>
            </w:r>
          </w:p>
          <w:p w14:paraId="3D90F928" w14:textId="77777777" w:rsidR="003F5418" w:rsidRDefault="003F5418">
            <w:pPr>
              <w:rPr>
                <w:rFonts w:ascii="Arial Narrow" w:hAnsi="Arial Narrow"/>
                <w:noProof/>
                <w:color w:val="006100"/>
                <w:sz w:val="20"/>
              </w:rPr>
            </w:pPr>
          </w:p>
          <w:p w14:paraId="7DB35935" w14:textId="77777777" w:rsidR="003F5418" w:rsidRDefault="002A6C25">
            <w:pPr>
              <w:pStyle w:val="P68B1DB1-Normal4"/>
              <w:rPr>
                <w:noProof/>
              </w:rPr>
            </w:pPr>
            <w:r>
              <w:rPr>
                <w:noProof/>
              </w:rPr>
              <w:t xml:space="preserve">Az iskolaépületek </w:t>
            </w:r>
            <w:r>
              <w:rPr>
                <w:noProof/>
              </w:rPr>
              <w:t>nemzeti nyilvántartása és a GPU megfigyeléséből származó, a nemzeti hároméves programra érvényes adatok</w:t>
            </w:r>
          </w:p>
        </w:tc>
      </w:tr>
      <w:tr w:rsidR="003F5418" w14:paraId="452CC5F2" w14:textId="77777777">
        <w:trPr>
          <w:trHeight w:val="309"/>
        </w:trPr>
        <w:tc>
          <w:tcPr>
            <w:tcW w:w="380" w:type="pct"/>
            <w:shd w:val="clear" w:color="auto" w:fill="C6EFCE"/>
            <w:noWrap/>
            <w:vAlign w:val="center"/>
            <w:hideMark/>
          </w:tcPr>
          <w:p w14:paraId="0C11CA31" w14:textId="77777777" w:rsidR="003F5418" w:rsidRDefault="002A6C25">
            <w:pPr>
              <w:pStyle w:val="P68B1DB1-Normal4"/>
              <w:jc w:val="center"/>
              <w:rPr>
                <w:noProof/>
              </w:rPr>
            </w:pPr>
            <w:r>
              <w:rPr>
                <w:noProof/>
              </w:rPr>
              <w:t>M4C1–23</w:t>
            </w:r>
          </w:p>
        </w:tc>
        <w:tc>
          <w:tcPr>
            <w:tcW w:w="500" w:type="pct"/>
            <w:shd w:val="clear" w:color="auto" w:fill="C6EFCE"/>
            <w:noWrap/>
            <w:vAlign w:val="center"/>
            <w:hideMark/>
          </w:tcPr>
          <w:p w14:paraId="2186767F" w14:textId="77777777" w:rsidR="003F5418" w:rsidRDefault="002A6C25">
            <w:pPr>
              <w:pStyle w:val="P68B1DB1-Normal4"/>
              <w:jc w:val="center"/>
              <w:rPr>
                <w:noProof/>
              </w:rPr>
            </w:pPr>
            <w:r>
              <w:rPr>
                <w:noProof/>
              </w:rPr>
              <w:t>Beruházás: Oktatás és magas szintű egyetemi készségek</w:t>
            </w:r>
          </w:p>
        </w:tc>
        <w:tc>
          <w:tcPr>
            <w:tcW w:w="358" w:type="pct"/>
            <w:shd w:val="clear" w:color="auto" w:fill="C6EFCE"/>
            <w:noWrap/>
            <w:vAlign w:val="center"/>
            <w:hideMark/>
          </w:tcPr>
          <w:p w14:paraId="3E7C9E8F" w14:textId="77777777" w:rsidR="003F5418" w:rsidRDefault="002A6C25">
            <w:pPr>
              <w:pStyle w:val="P68B1DB1-Normal4"/>
              <w:jc w:val="center"/>
              <w:rPr>
                <w:noProof/>
              </w:rPr>
            </w:pPr>
            <w:r>
              <w:rPr>
                <w:noProof/>
              </w:rPr>
              <w:t>Cél</w:t>
            </w:r>
          </w:p>
        </w:tc>
        <w:tc>
          <w:tcPr>
            <w:tcW w:w="572" w:type="pct"/>
            <w:shd w:val="clear" w:color="auto" w:fill="C6EFCE"/>
            <w:noWrap/>
            <w:vAlign w:val="center"/>
            <w:hideMark/>
          </w:tcPr>
          <w:p w14:paraId="4DDBA52C" w14:textId="0CF65198" w:rsidR="003F5418" w:rsidRDefault="002A6C25">
            <w:pPr>
              <w:pStyle w:val="P68B1DB1-Normal4"/>
              <w:jc w:val="center"/>
              <w:rPr>
                <w:noProof/>
              </w:rPr>
            </w:pPr>
            <w:r>
              <w:rPr>
                <w:noProof/>
              </w:rPr>
              <w:t xml:space="preserve">A digitális és környezeti átállásra irányuló programokban három év alatt odaítélt új </w:t>
            </w:r>
            <w:r>
              <w:rPr>
                <w:noProof/>
              </w:rPr>
              <w:t>PhD-k</w:t>
            </w:r>
          </w:p>
        </w:tc>
        <w:tc>
          <w:tcPr>
            <w:tcW w:w="480" w:type="pct"/>
            <w:shd w:val="clear" w:color="auto" w:fill="C6EFCE"/>
            <w:noWrap/>
            <w:vAlign w:val="center"/>
            <w:hideMark/>
          </w:tcPr>
          <w:p w14:paraId="7E5C5EEC" w14:textId="77777777" w:rsidR="003F5418" w:rsidRDefault="002A6C25">
            <w:pPr>
              <w:pStyle w:val="P68B1DB1-Normal4"/>
              <w:jc w:val="center"/>
              <w:rPr>
                <w:noProof/>
              </w:rPr>
            </w:pPr>
            <w:r>
              <w:rPr>
                <w:noProof/>
              </w:rPr>
              <w:t>NINCS</w:t>
            </w:r>
          </w:p>
        </w:tc>
        <w:tc>
          <w:tcPr>
            <w:tcW w:w="422" w:type="pct"/>
            <w:shd w:val="clear" w:color="auto" w:fill="C6EFCE"/>
            <w:noWrap/>
            <w:vAlign w:val="center"/>
            <w:hideMark/>
          </w:tcPr>
          <w:p w14:paraId="38B2910D" w14:textId="77777777" w:rsidR="003F5418" w:rsidRDefault="002A6C25">
            <w:pPr>
              <w:pStyle w:val="P68B1DB1-Normal4"/>
              <w:jc w:val="center"/>
              <w:rPr>
                <w:noProof/>
              </w:rPr>
            </w:pPr>
            <w:r>
              <w:rPr>
                <w:noProof/>
              </w:rPr>
              <w:t>Szám</w:t>
            </w:r>
          </w:p>
        </w:tc>
        <w:tc>
          <w:tcPr>
            <w:tcW w:w="375" w:type="pct"/>
            <w:shd w:val="clear" w:color="auto" w:fill="C6EFCE"/>
            <w:noWrap/>
            <w:vAlign w:val="center"/>
            <w:hideMark/>
          </w:tcPr>
          <w:p w14:paraId="35736961" w14:textId="77777777" w:rsidR="003F5418" w:rsidRDefault="002A6C25">
            <w:pPr>
              <w:pStyle w:val="P68B1DB1-Normal4"/>
              <w:jc w:val="center"/>
              <w:rPr>
                <w:noProof/>
              </w:rPr>
            </w:pPr>
            <w:r>
              <w:rPr>
                <w:noProof/>
              </w:rPr>
              <w:t>0</w:t>
            </w:r>
          </w:p>
        </w:tc>
        <w:tc>
          <w:tcPr>
            <w:tcW w:w="343" w:type="pct"/>
            <w:shd w:val="clear" w:color="auto" w:fill="C6EFCE"/>
            <w:noWrap/>
            <w:vAlign w:val="center"/>
            <w:hideMark/>
          </w:tcPr>
          <w:p w14:paraId="279E76EC" w14:textId="77777777" w:rsidR="003F5418" w:rsidRDefault="002A6C25">
            <w:pPr>
              <w:pStyle w:val="P68B1DB1-Normal4"/>
              <w:jc w:val="center"/>
              <w:rPr>
                <w:noProof/>
              </w:rPr>
            </w:pPr>
            <w:r>
              <w:rPr>
                <w:noProof/>
              </w:rPr>
              <w:t>500</w:t>
            </w:r>
          </w:p>
        </w:tc>
        <w:tc>
          <w:tcPr>
            <w:tcW w:w="286" w:type="pct"/>
            <w:shd w:val="clear" w:color="auto" w:fill="C6EFCE"/>
            <w:noWrap/>
            <w:vAlign w:val="center"/>
            <w:hideMark/>
          </w:tcPr>
          <w:p w14:paraId="0544F68F" w14:textId="77777777" w:rsidR="003F5418" w:rsidRDefault="002A6C25">
            <w:pPr>
              <w:pStyle w:val="P68B1DB1-Normal4"/>
              <w:jc w:val="center"/>
              <w:rPr>
                <w:noProof/>
              </w:rPr>
            </w:pPr>
            <w:r>
              <w:rPr>
                <w:noProof/>
              </w:rPr>
              <w:t>Q2</w:t>
            </w:r>
          </w:p>
        </w:tc>
        <w:tc>
          <w:tcPr>
            <w:tcW w:w="238" w:type="pct"/>
            <w:shd w:val="clear" w:color="auto" w:fill="C6EFCE"/>
            <w:noWrap/>
            <w:vAlign w:val="center"/>
            <w:hideMark/>
          </w:tcPr>
          <w:p w14:paraId="41B36F9E" w14:textId="77777777" w:rsidR="003F5418" w:rsidRDefault="002A6C25">
            <w:pPr>
              <w:pStyle w:val="P68B1DB1-Normal4"/>
              <w:jc w:val="center"/>
              <w:rPr>
                <w:noProof/>
              </w:rPr>
            </w:pPr>
            <w:r>
              <w:rPr>
                <w:noProof/>
              </w:rPr>
              <w:t>2026</w:t>
            </w:r>
          </w:p>
        </w:tc>
        <w:tc>
          <w:tcPr>
            <w:tcW w:w="1047" w:type="pct"/>
            <w:shd w:val="clear" w:color="auto" w:fill="C6EFCE"/>
            <w:noWrap/>
            <w:vAlign w:val="center"/>
            <w:hideMark/>
          </w:tcPr>
          <w:p w14:paraId="1BCDC58F" w14:textId="60A4F375" w:rsidR="003F5418" w:rsidRDefault="002A6C25">
            <w:pPr>
              <w:pStyle w:val="P68B1DB1-Normal4"/>
              <w:rPr>
                <w:noProof/>
              </w:rPr>
            </w:pPr>
            <w:r>
              <w:rPr>
                <w:noProof/>
              </w:rPr>
              <w:t>Legalább 500 új PhD-t ítéltek oda három év alatt a digitális és környezeti átállásra irányuló programokban</w:t>
            </w:r>
          </w:p>
          <w:p w14:paraId="4020CB87" w14:textId="77777777" w:rsidR="003F5418" w:rsidRDefault="002A6C25">
            <w:pPr>
              <w:pStyle w:val="P68B1DB1-Normal4"/>
              <w:rPr>
                <w:rFonts w:eastAsia="Calibri"/>
                <w:noProof/>
              </w:rPr>
            </w:pPr>
            <w:r>
              <w:rPr>
                <w:noProof/>
              </w:rPr>
              <w:t xml:space="preserve">A projekt célja, hogy egyetemi (és doktori) pályákat minősítsen és újítsa meg, a következők révén: digitalizálás; </w:t>
            </w:r>
            <w:r>
              <w:rPr>
                <w:noProof/>
              </w:rPr>
              <w:t>„innovációs kultúra”; nemzetközivé válás.</w:t>
            </w:r>
          </w:p>
        </w:tc>
      </w:tr>
      <w:tr w:rsidR="003F5418" w14:paraId="03942F3D" w14:textId="77777777">
        <w:trPr>
          <w:trHeight w:val="309"/>
        </w:trPr>
        <w:tc>
          <w:tcPr>
            <w:tcW w:w="380" w:type="pct"/>
            <w:shd w:val="clear" w:color="auto" w:fill="C6EFCE"/>
            <w:noWrap/>
            <w:vAlign w:val="center"/>
            <w:hideMark/>
          </w:tcPr>
          <w:p w14:paraId="61B2AED4" w14:textId="77777777" w:rsidR="003F5418" w:rsidRDefault="002A6C25">
            <w:pPr>
              <w:pStyle w:val="P68B1DB1-Normal4"/>
              <w:jc w:val="center"/>
              <w:rPr>
                <w:noProof/>
              </w:rPr>
            </w:pPr>
            <w:r>
              <w:rPr>
                <w:noProof/>
              </w:rPr>
              <w:t>M4C1–23a</w:t>
            </w:r>
          </w:p>
        </w:tc>
        <w:tc>
          <w:tcPr>
            <w:tcW w:w="500" w:type="pct"/>
            <w:shd w:val="clear" w:color="auto" w:fill="C6EFCE"/>
            <w:noWrap/>
            <w:vAlign w:val="center"/>
            <w:hideMark/>
          </w:tcPr>
          <w:p w14:paraId="1EE9D3A8" w14:textId="77777777" w:rsidR="003F5418" w:rsidRDefault="002A6C25">
            <w:pPr>
              <w:pStyle w:val="P68B1DB1-Normal4"/>
              <w:jc w:val="center"/>
              <w:rPr>
                <w:noProof/>
              </w:rPr>
            </w:pPr>
            <w:r>
              <w:rPr>
                <w:noProof/>
              </w:rPr>
              <w:t>Beruházás: Oktatás és magas szintű egyetemi készségek</w:t>
            </w:r>
          </w:p>
        </w:tc>
        <w:tc>
          <w:tcPr>
            <w:tcW w:w="358" w:type="pct"/>
            <w:shd w:val="clear" w:color="auto" w:fill="C6EFCE"/>
            <w:noWrap/>
            <w:vAlign w:val="center"/>
            <w:hideMark/>
          </w:tcPr>
          <w:p w14:paraId="0B69A94E" w14:textId="77777777" w:rsidR="003F5418" w:rsidRDefault="002A6C25">
            <w:pPr>
              <w:pStyle w:val="P68B1DB1-Normal4"/>
              <w:jc w:val="center"/>
              <w:rPr>
                <w:noProof/>
              </w:rPr>
            </w:pPr>
            <w:r>
              <w:rPr>
                <w:noProof/>
              </w:rPr>
              <w:t>Mérföldkő</w:t>
            </w:r>
          </w:p>
        </w:tc>
        <w:tc>
          <w:tcPr>
            <w:tcW w:w="572" w:type="pct"/>
            <w:shd w:val="clear" w:color="auto" w:fill="C6EFCE"/>
            <w:noWrap/>
            <w:vAlign w:val="center"/>
            <w:hideMark/>
          </w:tcPr>
          <w:p w14:paraId="6F90BD92" w14:textId="77777777" w:rsidR="003F5418" w:rsidRDefault="002A6C25">
            <w:pPr>
              <w:pStyle w:val="P68B1DB1-Normal4"/>
              <w:jc w:val="center"/>
              <w:rPr>
                <w:noProof/>
              </w:rPr>
            </w:pPr>
            <w:r>
              <w:rPr>
                <w:noProof/>
              </w:rPr>
              <w:t>A tanításra és a magas szintű egyetemi készségekre vonatkozó alintézkedések végrehajtásának befejezése</w:t>
            </w:r>
          </w:p>
        </w:tc>
        <w:tc>
          <w:tcPr>
            <w:tcW w:w="480" w:type="pct"/>
            <w:shd w:val="clear" w:color="auto" w:fill="C6EFCE"/>
            <w:noWrap/>
            <w:vAlign w:val="center"/>
            <w:hideMark/>
          </w:tcPr>
          <w:p w14:paraId="1EC578A3" w14:textId="77777777" w:rsidR="003F5418" w:rsidRDefault="002A6C25">
            <w:pPr>
              <w:pStyle w:val="P68B1DB1-Normal4"/>
              <w:jc w:val="center"/>
              <w:rPr>
                <w:noProof/>
              </w:rPr>
            </w:pPr>
            <w:r>
              <w:rPr>
                <w:noProof/>
              </w:rPr>
              <w:t xml:space="preserve">Végrehajtják a tanítással és a magas </w:t>
            </w:r>
            <w:r>
              <w:rPr>
                <w:noProof/>
              </w:rPr>
              <w:t>szintű egyetemi készségekkel kapcsolatos alintézkedéseket.</w:t>
            </w:r>
          </w:p>
        </w:tc>
        <w:tc>
          <w:tcPr>
            <w:tcW w:w="422" w:type="pct"/>
            <w:shd w:val="clear" w:color="auto" w:fill="C6EFCE"/>
            <w:noWrap/>
            <w:vAlign w:val="center"/>
            <w:hideMark/>
          </w:tcPr>
          <w:p w14:paraId="18B1BC97"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759CA93F" w14:textId="77777777" w:rsidR="003F5418" w:rsidRDefault="002A6C25">
            <w:pPr>
              <w:pStyle w:val="P68B1DB1-Normal4"/>
              <w:jc w:val="center"/>
              <w:rPr>
                <w:noProof/>
              </w:rPr>
            </w:pPr>
            <w:r>
              <w:rPr>
                <w:noProof/>
              </w:rPr>
              <w:t>NINCS</w:t>
            </w:r>
          </w:p>
        </w:tc>
        <w:tc>
          <w:tcPr>
            <w:tcW w:w="343" w:type="pct"/>
            <w:shd w:val="clear" w:color="auto" w:fill="C6EFCE"/>
            <w:noWrap/>
            <w:vAlign w:val="center"/>
            <w:hideMark/>
          </w:tcPr>
          <w:p w14:paraId="1615BF2A" w14:textId="77777777" w:rsidR="003F5418" w:rsidRDefault="002A6C25">
            <w:pPr>
              <w:pStyle w:val="P68B1DB1-Normal4"/>
              <w:jc w:val="center"/>
              <w:rPr>
                <w:noProof/>
              </w:rPr>
            </w:pPr>
            <w:r>
              <w:rPr>
                <w:noProof/>
              </w:rPr>
              <w:t>NINCS</w:t>
            </w:r>
          </w:p>
        </w:tc>
        <w:tc>
          <w:tcPr>
            <w:tcW w:w="286" w:type="pct"/>
            <w:shd w:val="clear" w:color="auto" w:fill="C6EFCE"/>
            <w:noWrap/>
            <w:vAlign w:val="center"/>
            <w:hideMark/>
          </w:tcPr>
          <w:p w14:paraId="5B5369AD" w14:textId="77777777" w:rsidR="003F5418" w:rsidRDefault="002A6C25">
            <w:pPr>
              <w:pStyle w:val="P68B1DB1-Normal4"/>
              <w:jc w:val="center"/>
              <w:rPr>
                <w:noProof/>
              </w:rPr>
            </w:pPr>
            <w:r>
              <w:rPr>
                <w:noProof/>
              </w:rPr>
              <w:t>Q2</w:t>
            </w:r>
          </w:p>
        </w:tc>
        <w:tc>
          <w:tcPr>
            <w:tcW w:w="238" w:type="pct"/>
            <w:shd w:val="clear" w:color="auto" w:fill="C6EFCE"/>
            <w:noWrap/>
            <w:vAlign w:val="center"/>
            <w:hideMark/>
          </w:tcPr>
          <w:p w14:paraId="2A09ED43" w14:textId="77777777" w:rsidR="003F5418" w:rsidRDefault="002A6C25">
            <w:pPr>
              <w:pStyle w:val="P68B1DB1-Normal4"/>
              <w:jc w:val="center"/>
              <w:rPr>
                <w:noProof/>
              </w:rPr>
            </w:pPr>
            <w:r>
              <w:rPr>
                <w:noProof/>
              </w:rPr>
              <w:t>2026</w:t>
            </w:r>
          </w:p>
        </w:tc>
        <w:tc>
          <w:tcPr>
            <w:tcW w:w="1047" w:type="pct"/>
            <w:shd w:val="clear" w:color="auto" w:fill="C6EFCE"/>
            <w:noWrap/>
            <w:vAlign w:val="center"/>
            <w:hideMark/>
          </w:tcPr>
          <w:p w14:paraId="59DFEDE4" w14:textId="77777777" w:rsidR="003F5418" w:rsidRDefault="002A6C25">
            <w:pPr>
              <w:pStyle w:val="P68B1DB1-Normal4"/>
              <w:rPr>
                <w:noProof/>
              </w:rPr>
            </w:pPr>
            <w:r>
              <w:rPr>
                <w:noProof/>
              </w:rPr>
              <w:t xml:space="preserve">Végrehajtják a tanítással és a magas szintű egyetemi készségekkel kapcsolatos alintézkedéseket. </w:t>
            </w:r>
          </w:p>
          <w:p w14:paraId="7EB639C3" w14:textId="77777777" w:rsidR="003F5418" w:rsidRDefault="003F5418">
            <w:pPr>
              <w:rPr>
                <w:rFonts w:ascii="Arial Narrow" w:hAnsi="Arial Narrow"/>
                <w:noProof/>
                <w:color w:val="006100"/>
                <w:sz w:val="20"/>
              </w:rPr>
            </w:pPr>
          </w:p>
          <w:p w14:paraId="2FD2EA4C" w14:textId="77777777" w:rsidR="003F5418" w:rsidRDefault="002A6C25">
            <w:pPr>
              <w:pStyle w:val="P68B1DB1-Normal4"/>
              <w:rPr>
                <w:noProof/>
              </w:rPr>
            </w:pPr>
            <w:r>
              <w:rPr>
                <w:noProof/>
              </w:rPr>
              <w:t xml:space="preserve">Az alintézkedések a következőket foglalják magukban: </w:t>
            </w:r>
          </w:p>
          <w:p w14:paraId="49733435" w14:textId="77777777" w:rsidR="003F5418" w:rsidRDefault="002A6C25">
            <w:pPr>
              <w:pStyle w:val="P68B1DB1-ListParagraph5"/>
              <w:numPr>
                <w:ilvl w:val="0"/>
                <w:numId w:val="56"/>
              </w:numPr>
              <w:spacing w:before="0" w:after="0"/>
              <w:jc w:val="left"/>
              <w:rPr>
                <w:noProof/>
              </w:rPr>
            </w:pPr>
            <w:r>
              <w:rPr>
                <w:noProof/>
              </w:rPr>
              <w:t>Három digitális okt</w:t>
            </w:r>
            <w:r>
              <w:rPr>
                <w:noProof/>
              </w:rPr>
              <w:t>atási központ létrehozása;</w:t>
            </w:r>
          </w:p>
          <w:p w14:paraId="63A6C3D9" w14:textId="331CB508" w:rsidR="003F5418" w:rsidRDefault="002A6C25">
            <w:pPr>
              <w:pStyle w:val="P68B1DB1-ListParagraph5"/>
              <w:numPr>
                <w:ilvl w:val="0"/>
                <w:numId w:val="56"/>
              </w:numPr>
              <w:spacing w:before="0" w:after="0"/>
              <w:jc w:val="left"/>
              <w:rPr>
                <w:noProof/>
              </w:rPr>
            </w:pPr>
            <w:r>
              <w:rPr>
                <w:noProof/>
              </w:rPr>
              <w:t>A felsőbb egyetemi iskolák három hálózatának aktiválása;</w:t>
            </w:r>
          </w:p>
          <w:p w14:paraId="0FB43992" w14:textId="77777777" w:rsidR="003F5418" w:rsidRDefault="002A6C25">
            <w:pPr>
              <w:pStyle w:val="P68B1DB1-ListParagraph5"/>
              <w:numPr>
                <w:ilvl w:val="0"/>
                <w:numId w:val="56"/>
              </w:numPr>
              <w:spacing w:before="0" w:after="0"/>
              <w:jc w:val="left"/>
              <w:rPr>
                <w:noProof/>
              </w:rPr>
            </w:pPr>
            <w:r>
              <w:rPr>
                <w:noProof/>
              </w:rPr>
              <w:t>Tíz transznacionális oktatási kezdeményezés megvalósítása – TNE;</w:t>
            </w:r>
          </w:p>
          <w:p w14:paraId="1011526F" w14:textId="77777777" w:rsidR="003F5418" w:rsidRDefault="002A6C25">
            <w:pPr>
              <w:pStyle w:val="P68B1DB1-ListParagraph5"/>
              <w:numPr>
                <w:ilvl w:val="0"/>
                <w:numId w:val="56"/>
              </w:numPr>
              <w:spacing w:before="0" w:after="0"/>
              <w:jc w:val="left"/>
              <w:rPr>
                <w:noProof/>
              </w:rPr>
            </w:pPr>
            <w:r>
              <w:rPr>
                <w:noProof/>
              </w:rPr>
              <w:t>A művészeti és zenei felsőoktatási intézmények (AFAM) 15 nemzetköziesítési projektjének megvalósítása.</w:t>
            </w:r>
          </w:p>
        </w:tc>
      </w:tr>
      <w:tr w:rsidR="003F5418" w14:paraId="6C410BD1" w14:textId="77777777">
        <w:trPr>
          <w:trHeight w:val="309"/>
        </w:trPr>
        <w:tc>
          <w:tcPr>
            <w:tcW w:w="380" w:type="pct"/>
            <w:shd w:val="clear" w:color="auto" w:fill="C6EFCE"/>
            <w:noWrap/>
            <w:vAlign w:val="center"/>
          </w:tcPr>
          <w:p w14:paraId="66E4F280" w14:textId="77777777" w:rsidR="003F5418" w:rsidRDefault="002A6C25">
            <w:pPr>
              <w:pStyle w:val="P68B1DB1-Normal4"/>
              <w:jc w:val="center"/>
              <w:rPr>
                <w:noProof/>
              </w:rPr>
            </w:pPr>
            <w:r>
              <w:rPr>
                <w:noProof/>
              </w:rPr>
              <w:t>M4C1–24</w:t>
            </w:r>
          </w:p>
        </w:tc>
        <w:tc>
          <w:tcPr>
            <w:tcW w:w="500" w:type="pct"/>
            <w:shd w:val="clear" w:color="auto" w:fill="C6EFCE"/>
            <w:noWrap/>
            <w:vAlign w:val="center"/>
          </w:tcPr>
          <w:p w14:paraId="7838134E" w14:textId="77777777" w:rsidR="003F5418" w:rsidRDefault="002A6C25">
            <w:pPr>
              <w:pStyle w:val="P68B1DB1-Normal4"/>
              <w:jc w:val="center"/>
              <w:rPr>
                <w:noProof/>
              </w:rPr>
            </w:pPr>
            <w:r>
              <w:rPr>
                <w:noProof/>
              </w:rPr>
              <w:t>Beruházás: Aktív orientáció az iskola és az egyetem közötti átmenet terén.</w:t>
            </w:r>
          </w:p>
        </w:tc>
        <w:tc>
          <w:tcPr>
            <w:tcW w:w="358" w:type="pct"/>
            <w:shd w:val="clear" w:color="auto" w:fill="C6EFCE"/>
            <w:noWrap/>
            <w:vAlign w:val="center"/>
          </w:tcPr>
          <w:p w14:paraId="1A498C60"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29B0E3A" w14:textId="77777777" w:rsidR="003F5418" w:rsidRDefault="002A6C25">
            <w:pPr>
              <w:pStyle w:val="P68B1DB1-Normal4"/>
              <w:jc w:val="center"/>
              <w:rPr>
                <w:noProof/>
              </w:rPr>
            </w:pPr>
            <w:r>
              <w:rPr>
                <w:noProof/>
              </w:rPr>
              <w:t>Iskolai-egyetemi átmeneti tanfolyamokon részt vevő diákok</w:t>
            </w:r>
          </w:p>
        </w:tc>
        <w:tc>
          <w:tcPr>
            <w:tcW w:w="480" w:type="pct"/>
            <w:shd w:val="clear" w:color="auto" w:fill="C6EFCE"/>
            <w:noWrap/>
            <w:vAlign w:val="center"/>
          </w:tcPr>
          <w:p w14:paraId="617D8842"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27E126DE"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039CD2CB" w14:textId="77777777" w:rsidR="003F5418" w:rsidRDefault="002A6C25">
            <w:pPr>
              <w:pStyle w:val="P68B1DB1-Normal4"/>
              <w:jc w:val="center"/>
              <w:rPr>
                <w:noProof/>
              </w:rPr>
            </w:pPr>
            <w:r>
              <w:rPr>
                <w:noProof/>
              </w:rPr>
              <w:t>0</w:t>
            </w:r>
          </w:p>
        </w:tc>
        <w:tc>
          <w:tcPr>
            <w:tcW w:w="343" w:type="pct"/>
            <w:shd w:val="clear" w:color="auto" w:fill="C6EFCE"/>
            <w:noWrap/>
            <w:vAlign w:val="center"/>
          </w:tcPr>
          <w:p w14:paraId="324F5571" w14:textId="3BDB5463" w:rsidR="003F5418" w:rsidRDefault="002A6C25">
            <w:pPr>
              <w:pStyle w:val="P68B1DB1-Normal4"/>
              <w:jc w:val="center"/>
              <w:rPr>
                <w:noProof/>
              </w:rPr>
            </w:pPr>
            <w:r>
              <w:rPr>
                <w:noProof/>
              </w:rPr>
              <w:t>1 000 000</w:t>
            </w:r>
          </w:p>
        </w:tc>
        <w:tc>
          <w:tcPr>
            <w:tcW w:w="286" w:type="pct"/>
            <w:shd w:val="clear" w:color="auto" w:fill="C6EFCE"/>
            <w:noWrap/>
            <w:vAlign w:val="center"/>
          </w:tcPr>
          <w:p w14:paraId="288DA386"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5CC70C7E"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5B371C2F" w14:textId="7BBE5B36" w:rsidR="003F5418" w:rsidRDefault="002A6C25">
            <w:pPr>
              <w:pStyle w:val="P68B1DB1-Normal4"/>
              <w:rPr>
                <w:noProof/>
              </w:rPr>
            </w:pPr>
            <w:r>
              <w:rPr>
                <w:noProof/>
              </w:rPr>
              <w:t xml:space="preserve">A felső középfokú oktatásban legalább 1000000 diák vett részt egy iskola-egyetemi átmeneti tanfolyamon.  </w:t>
            </w:r>
          </w:p>
        </w:tc>
      </w:tr>
      <w:tr w:rsidR="003F5418" w14:paraId="12BC9572" w14:textId="77777777">
        <w:trPr>
          <w:trHeight w:val="309"/>
        </w:trPr>
        <w:tc>
          <w:tcPr>
            <w:tcW w:w="380" w:type="pct"/>
            <w:shd w:val="clear" w:color="auto" w:fill="C6EFCE"/>
            <w:noWrap/>
            <w:vAlign w:val="center"/>
          </w:tcPr>
          <w:p w14:paraId="166F3B7A" w14:textId="77777777" w:rsidR="003F5418" w:rsidRDefault="002A6C25">
            <w:pPr>
              <w:pStyle w:val="P68B1DB1-Normal4"/>
              <w:jc w:val="center"/>
              <w:rPr>
                <w:noProof/>
              </w:rPr>
            </w:pPr>
            <w:r>
              <w:rPr>
                <w:noProof/>
              </w:rPr>
              <w:t>M4C1–25</w:t>
            </w:r>
          </w:p>
        </w:tc>
        <w:tc>
          <w:tcPr>
            <w:tcW w:w="500" w:type="pct"/>
            <w:shd w:val="clear" w:color="auto" w:fill="C6EFCE"/>
            <w:noWrap/>
            <w:vAlign w:val="center"/>
          </w:tcPr>
          <w:p w14:paraId="4449762F" w14:textId="77777777" w:rsidR="003F5418" w:rsidRDefault="002A6C25">
            <w:pPr>
              <w:pStyle w:val="P68B1DB1-Normal4"/>
              <w:jc w:val="center"/>
              <w:rPr>
                <w:noProof/>
              </w:rPr>
            </w:pPr>
            <w:r>
              <w:rPr>
                <w:noProof/>
              </w:rPr>
              <w:t>Beruházás: Rendkívüli beavatkozás, amelynek célja a területi különbségek csökkentése a középiskola I. és II. ciklusaiban, valamint az iskolai</w:t>
            </w:r>
            <w:r>
              <w:rPr>
                <w:noProof/>
              </w:rPr>
              <w:t xml:space="preserve"> lemorzsolódás kezelése</w:t>
            </w:r>
          </w:p>
        </w:tc>
        <w:tc>
          <w:tcPr>
            <w:tcW w:w="358" w:type="pct"/>
            <w:shd w:val="clear" w:color="auto" w:fill="C6EFCE"/>
            <w:noWrap/>
            <w:vAlign w:val="center"/>
          </w:tcPr>
          <w:p w14:paraId="5147D21F"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4B54E26D" w14:textId="77777777" w:rsidR="003F5418" w:rsidRDefault="002A6C25">
            <w:pPr>
              <w:pStyle w:val="P68B1DB1-Normal4"/>
              <w:jc w:val="center"/>
              <w:rPr>
                <w:noProof/>
              </w:rPr>
            </w:pPr>
            <w:r>
              <w:rPr>
                <w:noProof/>
              </w:rPr>
              <w:t>A középfokú oktatásban lemorzsolódók aránya közötti különbség</w:t>
            </w:r>
          </w:p>
        </w:tc>
        <w:tc>
          <w:tcPr>
            <w:tcW w:w="480" w:type="pct"/>
            <w:shd w:val="clear" w:color="auto" w:fill="C6EFCE"/>
            <w:noWrap/>
            <w:vAlign w:val="center"/>
          </w:tcPr>
          <w:p w14:paraId="127F5068"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393C7355" w14:textId="77777777" w:rsidR="003F5418" w:rsidRDefault="002A6C25">
            <w:pPr>
              <w:pStyle w:val="P68B1DB1-Normal4"/>
              <w:jc w:val="center"/>
              <w:rPr>
                <w:noProof/>
              </w:rPr>
            </w:pPr>
            <w:r>
              <w:rPr>
                <w:noProof/>
              </w:rPr>
              <w:t>Százalék</w:t>
            </w:r>
          </w:p>
        </w:tc>
        <w:tc>
          <w:tcPr>
            <w:tcW w:w="375" w:type="pct"/>
            <w:shd w:val="clear" w:color="auto" w:fill="C6EFCE"/>
            <w:noWrap/>
            <w:vAlign w:val="center"/>
          </w:tcPr>
          <w:p w14:paraId="5F215DA4" w14:textId="77777777" w:rsidR="003F5418" w:rsidRDefault="002A6C25">
            <w:pPr>
              <w:pStyle w:val="P68B1DB1-Normal4"/>
              <w:jc w:val="center"/>
              <w:rPr>
                <w:noProof/>
              </w:rPr>
            </w:pPr>
            <w:r>
              <w:rPr>
                <w:noProof/>
              </w:rPr>
              <w:t>13,5</w:t>
            </w:r>
          </w:p>
        </w:tc>
        <w:tc>
          <w:tcPr>
            <w:tcW w:w="343" w:type="pct"/>
            <w:shd w:val="clear" w:color="auto" w:fill="C6EFCE"/>
            <w:noWrap/>
            <w:vAlign w:val="center"/>
          </w:tcPr>
          <w:p w14:paraId="1E124DA6" w14:textId="77777777" w:rsidR="003F5418" w:rsidRDefault="002A6C25">
            <w:pPr>
              <w:pStyle w:val="P68B1DB1-Normal4"/>
              <w:jc w:val="center"/>
              <w:rPr>
                <w:noProof/>
              </w:rPr>
            </w:pPr>
            <w:r>
              <w:rPr>
                <w:noProof/>
              </w:rPr>
              <w:t>10,2</w:t>
            </w:r>
          </w:p>
        </w:tc>
        <w:tc>
          <w:tcPr>
            <w:tcW w:w="286" w:type="pct"/>
            <w:shd w:val="clear" w:color="auto" w:fill="C6EFCE"/>
            <w:noWrap/>
            <w:vAlign w:val="center"/>
          </w:tcPr>
          <w:p w14:paraId="3F399074"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1E677FFE"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03A6028D" w14:textId="77777777" w:rsidR="003F5418" w:rsidRDefault="002A6C25">
            <w:pPr>
              <w:pStyle w:val="P68B1DB1-Normal4"/>
              <w:rPr>
                <w:noProof/>
              </w:rPr>
            </w:pPr>
            <w:r>
              <w:rPr>
                <w:noProof/>
              </w:rPr>
              <w:t>Csökkentse a középiskolai lemorzsolódási arányt, hogy elérje a 2019-es uniós átlagot (10,2%).</w:t>
            </w:r>
          </w:p>
        </w:tc>
      </w:tr>
      <w:tr w:rsidR="003F5418" w14:paraId="2716404D" w14:textId="77777777">
        <w:trPr>
          <w:trHeight w:val="309"/>
        </w:trPr>
        <w:tc>
          <w:tcPr>
            <w:tcW w:w="380" w:type="pct"/>
            <w:shd w:val="clear" w:color="auto" w:fill="C6EFCE"/>
            <w:noWrap/>
            <w:vAlign w:val="center"/>
          </w:tcPr>
          <w:p w14:paraId="67BDEF0F" w14:textId="77777777" w:rsidR="003F5418" w:rsidRDefault="002A6C25">
            <w:pPr>
              <w:pStyle w:val="P68B1DB1-Normal4"/>
              <w:jc w:val="center"/>
              <w:rPr>
                <w:noProof/>
              </w:rPr>
            </w:pPr>
            <w:r>
              <w:rPr>
                <w:noProof/>
              </w:rPr>
              <w:t>M4C1–26</w:t>
            </w:r>
          </w:p>
        </w:tc>
        <w:tc>
          <w:tcPr>
            <w:tcW w:w="500" w:type="pct"/>
            <w:shd w:val="clear" w:color="auto" w:fill="C6EFCE"/>
            <w:noWrap/>
            <w:vAlign w:val="center"/>
          </w:tcPr>
          <w:p w14:paraId="7C88F893" w14:textId="77777777" w:rsidR="003F5418" w:rsidRDefault="002A6C25">
            <w:pPr>
              <w:pStyle w:val="P68B1DB1-Normal4"/>
              <w:jc w:val="center"/>
              <w:rPr>
                <w:noProof/>
              </w:rPr>
            </w:pPr>
            <w:r>
              <w:rPr>
                <w:noProof/>
              </w:rPr>
              <w:t xml:space="preserve">Beruházás: </w:t>
            </w:r>
            <w:r>
              <w:rPr>
                <w:noProof/>
              </w:rPr>
              <w:t>Iskolaépület-biztonsági és strukturális rehabilitációs terv</w:t>
            </w:r>
          </w:p>
        </w:tc>
        <w:tc>
          <w:tcPr>
            <w:tcW w:w="358" w:type="pct"/>
            <w:shd w:val="clear" w:color="auto" w:fill="C6EFCE"/>
            <w:noWrap/>
            <w:vAlign w:val="center"/>
          </w:tcPr>
          <w:p w14:paraId="2DB50F59" w14:textId="77777777" w:rsidR="003F5418" w:rsidRDefault="002A6C25">
            <w:pPr>
              <w:pStyle w:val="P68B1DB1-Normal4"/>
              <w:jc w:val="center"/>
              <w:rPr>
                <w:noProof/>
              </w:rPr>
            </w:pPr>
            <w:r>
              <w:rPr>
                <w:noProof/>
              </w:rPr>
              <w:t>Cél</w:t>
            </w:r>
          </w:p>
        </w:tc>
        <w:tc>
          <w:tcPr>
            <w:tcW w:w="572" w:type="pct"/>
            <w:shd w:val="clear" w:color="auto" w:fill="C6EFCE"/>
            <w:noWrap/>
            <w:vAlign w:val="center"/>
          </w:tcPr>
          <w:p w14:paraId="161A8B32" w14:textId="77777777" w:rsidR="003F5418" w:rsidRDefault="002A6C25">
            <w:pPr>
              <w:pStyle w:val="P68B1DB1-Normal4"/>
              <w:jc w:val="center"/>
              <w:rPr>
                <w:noProof/>
              </w:rPr>
            </w:pPr>
            <w:r>
              <w:rPr>
                <w:noProof/>
              </w:rPr>
              <w:t>Felújított iskolaépületek négyzetmétere</w:t>
            </w:r>
          </w:p>
        </w:tc>
        <w:tc>
          <w:tcPr>
            <w:tcW w:w="480" w:type="pct"/>
            <w:shd w:val="clear" w:color="auto" w:fill="C6EFCE"/>
            <w:noWrap/>
            <w:vAlign w:val="center"/>
          </w:tcPr>
          <w:p w14:paraId="135ACA0B" w14:textId="77777777" w:rsidR="003F5418" w:rsidRDefault="002A6C25">
            <w:pPr>
              <w:pStyle w:val="P68B1DB1-Normal4"/>
              <w:jc w:val="center"/>
              <w:rPr>
                <w:noProof/>
              </w:rPr>
            </w:pPr>
            <w:r>
              <w:rPr>
                <w:noProof/>
              </w:rPr>
              <w:t>NINCS</w:t>
            </w:r>
          </w:p>
        </w:tc>
        <w:tc>
          <w:tcPr>
            <w:tcW w:w="422" w:type="pct"/>
            <w:shd w:val="clear" w:color="auto" w:fill="C6EFCE"/>
            <w:noWrap/>
            <w:vAlign w:val="center"/>
          </w:tcPr>
          <w:p w14:paraId="1D05C969" w14:textId="77777777" w:rsidR="003F5418" w:rsidRDefault="002A6C25">
            <w:pPr>
              <w:pStyle w:val="P68B1DB1-Normal4"/>
              <w:jc w:val="center"/>
              <w:rPr>
                <w:noProof/>
              </w:rPr>
            </w:pPr>
            <w:r>
              <w:rPr>
                <w:noProof/>
              </w:rPr>
              <w:t>Szám</w:t>
            </w:r>
          </w:p>
        </w:tc>
        <w:tc>
          <w:tcPr>
            <w:tcW w:w="375" w:type="pct"/>
            <w:shd w:val="clear" w:color="auto" w:fill="C6EFCE"/>
            <w:noWrap/>
            <w:vAlign w:val="center"/>
          </w:tcPr>
          <w:p w14:paraId="020C8A94" w14:textId="77777777" w:rsidR="003F5418" w:rsidRDefault="002A6C25">
            <w:pPr>
              <w:pStyle w:val="P68B1DB1-Normal4"/>
              <w:jc w:val="center"/>
              <w:rPr>
                <w:noProof/>
              </w:rPr>
            </w:pPr>
            <w:r>
              <w:rPr>
                <w:noProof/>
              </w:rPr>
              <w:t>0</w:t>
            </w:r>
          </w:p>
        </w:tc>
        <w:tc>
          <w:tcPr>
            <w:tcW w:w="343" w:type="pct"/>
            <w:shd w:val="clear" w:color="auto" w:fill="C6EFCE"/>
            <w:noWrap/>
            <w:vAlign w:val="center"/>
          </w:tcPr>
          <w:p w14:paraId="362D038B" w14:textId="42E83D76" w:rsidR="003F5418" w:rsidRDefault="002A6C25">
            <w:pPr>
              <w:pStyle w:val="P68B1DB1-Normal4"/>
              <w:jc w:val="center"/>
              <w:rPr>
                <w:noProof/>
              </w:rPr>
            </w:pPr>
            <w:r>
              <w:rPr>
                <w:noProof/>
              </w:rPr>
              <w:t>2 600 000</w:t>
            </w:r>
          </w:p>
        </w:tc>
        <w:tc>
          <w:tcPr>
            <w:tcW w:w="286" w:type="pct"/>
            <w:shd w:val="clear" w:color="auto" w:fill="C6EFCE"/>
            <w:noWrap/>
            <w:vAlign w:val="center"/>
          </w:tcPr>
          <w:p w14:paraId="77EDB2AD" w14:textId="77777777" w:rsidR="003F5418" w:rsidRDefault="002A6C25">
            <w:pPr>
              <w:pStyle w:val="P68B1DB1-Normal4"/>
              <w:jc w:val="center"/>
              <w:rPr>
                <w:noProof/>
              </w:rPr>
            </w:pPr>
            <w:r>
              <w:rPr>
                <w:noProof/>
              </w:rPr>
              <w:t>Q2</w:t>
            </w:r>
          </w:p>
        </w:tc>
        <w:tc>
          <w:tcPr>
            <w:tcW w:w="238" w:type="pct"/>
            <w:shd w:val="clear" w:color="auto" w:fill="C6EFCE"/>
            <w:noWrap/>
            <w:vAlign w:val="center"/>
          </w:tcPr>
          <w:p w14:paraId="74EC9D1E" w14:textId="77777777" w:rsidR="003F5418" w:rsidRDefault="002A6C25">
            <w:pPr>
              <w:pStyle w:val="P68B1DB1-Normal4"/>
              <w:jc w:val="center"/>
              <w:rPr>
                <w:noProof/>
              </w:rPr>
            </w:pPr>
            <w:r>
              <w:rPr>
                <w:noProof/>
              </w:rPr>
              <w:t>2026</w:t>
            </w:r>
          </w:p>
        </w:tc>
        <w:tc>
          <w:tcPr>
            <w:tcW w:w="1047" w:type="pct"/>
            <w:shd w:val="clear" w:color="auto" w:fill="C6EFCE"/>
            <w:noWrap/>
            <w:vAlign w:val="center"/>
          </w:tcPr>
          <w:p w14:paraId="345474EC" w14:textId="6F1632DD" w:rsidR="003F5418" w:rsidRDefault="002A6C25">
            <w:pPr>
              <w:pStyle w:val="P68B1DB1-Normal4"/>
              <w:rPr>
                <w:noProof/>
              </w:rPr>
            </w:pPr>
            <w:r>
              <w:rPr>
                <w:noProof/>
              </w:rPr>
              <w:t xml:space="preserve">Legalább 2600000 Sqm iskolaépület felújítására vagy felújítására kerül sor. Az iskolaépületek szerkezeti és energetikai </w:t>
            </w:r>
            <w:r>
              <w:rPr>
                <w:noProof/>
              </w:rPr>
              <w:t>átalakítására vonatkozó terv várhatóan 2600000 Sqm összterületet fog átalakítani.</w:t>
            </w:r>
          </w:p>
        </w:tc>
      </w:tr>
    </w:tbl>
    <w:p w14:paraId="1BAD9727" w14:textId="77777777" w:rsidR="003F5418" w:rsidRDefault="003F5418">
      <w:pPr>
        <w:tabs>
          <w:tab w:val="left" w:pos="3045"/>
        </w:tabs>
        <w:spacing w:before="120" w:after="120"/>
        <w:jc w:val="both"/>
        <w:rPr>
          <w:b/>
          <w:noProof/>
          <w:u w:val="single"/>
        </w:rPr>
        <w:sectPr w:rsidR="003F5418">
          <w:headerReference w:type="even" r:id="rId260"/>
          <w:headerReference w:type="default" r:id="rId261"/>
          <w:footerReference w:type="even" r:id="rId262"/>
          <w:footerReference w:type="default" r:id="rId263"/>
          <w:headerReference w:type="first" r:id="rId264"/>
          <w:footerReference w:type="first" r:id="rId265"/>
          <w:pgSz w:w="16839" w:h="11907" w:orient="landscape"/>
          <w:pgMar w:top="1134" w:right="1134" w:bottom="1134" w:left="1134" w:header="567" w:footer="567" w:gutter="0"/>
          <w:cols w:space="720"/>
          <w:docGrid w:linePitch="360"/>
        </w:sectPr>
      </w:pPr>
    </w:p>
    <w:p w14:paraId="6D8C6A17" w14:textId="77777777" w:rsidR="003F5418" w:rsidRDefault="002A6C25">
      <w:pPr>
        <w:pStyle w:val="Heading3"/>
        <w:numPr>
          <w:ilvl w:val="0"/>
          <w:numId w:val="0"/>
        </w:numPr>
        <w:ind w:left="850" w:hanging="850"/>
        <w:rPr>
          <w:rFonts w:ascii="Segoe UI" w:hAnsi="Segoe UI" w:cs="Segoe UI"/>
          <w:i w:val="0"/>
          <w:noProof/>
          <w:sz w:val="18"/>
        </w:rPr>
      </w:pPr>
      <w:r>
        <w:rPr>
          <w:rStyle w:val="normaltextrun"/>
          <w:b/>
          <w:noProof/>
          <w:u w:val="single"/>
        </w:rPr>
        <w:t>J.3. A hitelhez kapcsolódó reformok és beruházások ismertetése</w:t>
      </w:r>
      <w:r>
        <w:rPr>
          <w:rStyle w:val="eop"/>
          <w:noProof/>
        </w:rPr>
        <w:t xml:space="preserve"> </w:t>
      </w:r>
    </w:p>
    <w:p w14:paraId="3ECED3AA" w14:textId="77777777" w:rsidR="003F5418" w:rsidRDefault="002A6C25">
      <w:pPr>
        <w:pStyle w:val="paragraph"/>
        <w:spacing w:before="0" w:beforeAutospacing="0" w:after="0" w:afterAutospacing="0"/>
        <w:jc w:val="both"/>
        <w:textAlignment w:val="baseline"/>
        <w:rPr>
          <w:rStyle w:val="normaltextrun"/>
          <w:rFonts w:ascii="Segoe UI" w:hAnsi="Segoe UI" w:cs="Segoe UI"/>
          <w:noProof/>
          <w:sz w:val="18"/>
        </w:rPr>
      </w:pPr>
      <w:r>
        <w:rPr>
          <w:rStyle w:val="eop"/>
          <w:noProof/>
        </w:rPr>
        <w:t xml:space="preserve"> </w:t>
      </w:r>
    </w:p>
    <w:p w14:paraId="1F9AFC66" w14:textId="7176BC77" w:rsidR="003F5418" w:rsidRDefault="00152815">
      <w:pPr>
        <w:pStyle w:val="paragraph"/>
        <w:spacing w:before="0" w:beforeAutospacing="0" w:after="0" w:afterAutospacing="0"/>
        <w:jc w:val="both"/>
        <w:textAlignment w:val="baseline"/>
        <w:rPr>
          <w:rFonts w:ascii="Segoe UI" w:hAnsi="Segoe UI" w:cs="Segoe UI"/>
          <w:noProof/>
          <w:sz w:val="18"/>
        </w:rPr>
      </w:pPr>
      <w:r w:rsidRPr="00152815">
        <w:rPr>
          <w:b/>
          <w:bCs/>
          <w:noProof/>
        </w:rPr>
        <w:t>1.</w:t>
      </w:r>
      <w:r>
        <w:rPr>
          <w:b/>
          <w:bCs/>
          <w:noProof/>
        </w:rPr>
        <w:t>7</w:t>
      </w:r>
      <w:r w:rsidRPr="00152815">
        <w:rPr>
          <w:b/>
          <w:bCs/>
          <w:noProof/>
        </w:rPr>
        <w:t xml:space="preserve">. </w:t>
      </w:r>
      <w:r>
        <w:rPr>
          <w:rStyle w:val="normaltextrun"/>
          <w:b/>
          <w:noProof/>
        </w:rPr>
        <w:t xml:space="preserve">Reform: A diákok lakhatására vonatkozó szabályozás reformja és a diákok lakhatásába való beruházás </w:t>
      </w:r>
      <w:r>
        <w:rPr>
          <w:rStyle w:val="eop"/>
          <w:noProof/>
        </w:rPr>
        <w:t xml:space="preserve"> </w:t>
      </w:r>
    </w:p>
    <w:p w14:paraId="17D18E27" w14:textId="77777777" w:rsidR="003F5418" w:rsidRDefault="003F5418">
      <w:pPr>
        <w:pStyle w:val="paragraph"/>
        <w:spacing w:before="0" w:beforeAutospacing="0" w:after="0" w:afterAutospacing="0"/>
        <w:jc w:val="both"/>
        <w:textAlignment w:val="baseline"/>
        <w:rPr>
          <w:rStyle w:val="normaltextrun"/>
          <w:noProof/>
          <w:sz w:val="22"/>
        </w:rPr>
      </w:pPr>
    </w:p>
    <w:p w14:paraId="5D473161" w14:textId="77777777" w:rsidR="003F5418" w:rsidRDefault="002A6C25">
      <w:pPr>
        <w:pStyle w:val="paragraph"/>
        <w:spacing w:before="0" w:beforeAutospacing="0" w:after="120" w:afterAutospacing="0"/>
        <w:jc w:val="both"/>
        <w:textAlignment w:val="baseline"/>
        <w:rPr>
          <w:rFonts w:ascii="Segoe UI" w:hAnsi="Segoe UI" w:cs="Segoe UI"/>
          <w:noProof/>
        </w:rPr>
      </w:pPr>
      <w:r>
        <w:rPr>
          <w:rStyle w:val="normaltextrun"/>
          <w:noProof/>
        </w:rPr>
        <w:t>A reform célja, hogy a magán- és állami szervezeteket diákszállási létesítmények létrehozására ösztönözze, az Egyetemi és Kutatási Minisztérium pedig a st</w:t>
      </w:r>
      <w:r>
        <w:rPr>
          <w:rStyle w:val="normaltextrun"/>
          <w:noProof/>
        </w:rPr>
        <w:t xml:space="preserve">ruktúrák működésének első három évében járul hozzá a bérleti bevételek egy részéhez. A cél a végzős középiskolások számára rendelkezésre álló szálláshelyek növelése 2026-ig.  </w:t>
      </w:r>
    </w:p>
    <w:p w14:paraId="0F3E2D75" w14:textId="39CBD644" w:rsidR="003F5418" w:rsidRDefault="002A6C25">
      <w:pPr>
        <w:pStyle w:val="paragraph"/>
        <w:spacing w:before="0" w:beforeAutospacing="0" w:after="120" w:afterAutospacing="0"/>
        <w:jc w:val="both"/>
        <w:textAlignment w:val="baseline"/>
        <w:rPr>
          <w:rFonts w:ascii="Segoe UI" w:hAnsi="Segoe UI" w:cs="Segoe UI"/>
          <w:noProof/>
        </w:rPr>
      </w:pPr>
      <w:r>
        <w:rPr>
          <w:rStyle w:val="normaltextrun"/>
          <w:noProof/>
        </w:rPr>
        <w:t>A tervezett beruházás célja 60000 hálóhelyiség hozzáadása, ami jelentősen csökke</w:t>
      </w:r>
      <w:r>
        <w:rPr>
          <w:rStyle w:val="normaltextrun"/>
          <w:noProof/>
        </w:rPr>
        <w:t>nti Olaszországnak az uniós átlagtól való eltérését a lakhatási létesítményekkel rendelkező diákok aránya tekintetében. Célja a lakhatási létesítményekhez való széles körű hozzáférés biztosítása annak érdekében, hogy társadalmi-gazdasági hátterüktől függet</w:t>
      </w:r>
      <w:r>
        <w:rPr>
          <w:rStyle w:val="normaltextrun"/>
          <w:noProof/>
        </w:rPr>
        <w:t>lenül észszerű számú diák engedhesse meg magának a magasabb szintű oktatást az előnyben részesített területen és helyen. E célból az új helyek 30%-át az úgynevezett „Diritto allo Studio” (tanulmányi szervezetek) szervezetei által meghatározott társadalmi-g</w:t>
      </w:r>
      <w:r>
        <w:rPr>
          <w:rStyle w:val="normaltextrun"/>
          <w:noProof/>
        </w:rPr>
        <w:t xml:space="preserve">azdasági nehézségekkel küzdő diákok számára kell fenntartani.   </w:t>
      </w:r>
    </w:p>
    <w:p w14:paraId="5F62A576" w14:textId="77777777" w:rsidR="003F5418" w:rsidRDefault="002A6C25">
      <w:pPr>
        <w:pStyle w:val="paragraph"/>
        <w:spacing w:before="0" w:beforeAutospacing="0" w:after="120" w:afterAutospacing="0"/>
        <w:jc w:val="both"/>
        <w:textAlignment w:val="baseline"/>
        <w:rPr>
          <w:rFonts w:ascii="Segoe UI" w:hAnsi="Segoe UI" w:cs="Segoe UI"/>
          <w:noProof/>
        </w:rPr>
      </w:pPr>
      <w:r>
        <w:rPr>
          <w:rStyle w:val="normaltextrun"/>
          <w:noProof/>
        </w:rPr>
        <w:t xml:space="preserve">Az egyetemi hallgatók bérleti díját a helyi piaci áraknál legalább 15%-kal alacsonyabb összegben kell megállapítani. </w:t>
      </w:r>
    </w:p>
    <w:p w14:paraId="66729667" w14:textId="77777777" w:rsidR="003F5418" w:rsidRDefault="002A6C25">
      <w:pPr>
        <w:pStyle w:val="paragraph"/>
        <w:spacing w:before="0" w:beforeAutospacing="0" w:after="120" w:afterAutospacing="0"/>
        <w:jc w:val="both"/>
        <w:textAlignment w:val="baseline"/>
        <w:rPr>
          <w:rFonts w:ascii="Segoe UI" w:hAnsi="Segoe UI" w:cs="Segoe UI"/>
          <w:noProof/>
        </w:rPr>
      </w:pPr>
      <w:r>
        <w:rPr>
          <w:rStyle w:val="normaltextrun"/>
          <w:noProof/>
        </w:rPr>
        <w:t xml:space="preserve">A beruházás keretében nem szerezhetők be földgázüzemű kazánok.  </w:t>
      </w:r>
    </w:p>
    <w:p w14:paraId="5500D4E5" w14:textId="77777777" w:rsidR="003F5418" w:rsidRDefault="002A6C25">
      <w:pPr>
        <w:pStyle w:val="paragraph"/>
        <w:spacing w:before="0" w:beforeAutospacing="0" w:after="120" w:afterAutospacing="0"/>
        <w:jc w:val="both"/>
        <w:textAlignment w:val="baseline"/>
        <w:rPr>
          <w:rFonts w:ascii="Segoe UI" w:hAnsi="Segoe UI" w:cs="Segoe UI"/>
          <w:noProof/>
        </w:rPr>
      </w:pPr>
      <w:r>
        <w:rPr>
          <w:rStyle w:val="normaltextrun"/>
          <w:noProof/>
        </w:rPr>
        <w:t>A célért</w:t>
      </w:r>
      <w:r>
        <w:rPr>
          <w:rStyle w:val="normaltextrun"/>
          <w:noProof/>
        </w:rPr>
        <w:t>ékekbe nem számíthatók be azok a férőhelyek, amelyeket már a vonatkozó pályázati felhívás közzététele előtt is hallgatói szálláshelyként használtak. A létrehozott ágyakra vonatkozó végső cél elérése érdekében 2021 és 2025 között projektfelhívásokat kell kö</w:t>
      </w:r>
      <w:r>
        <w:rPr>
          <w:rStyle w:val="normaltextrun"/>
          <w:noProof/>
        </w:rPr>
        <w:t xml:space="preserve">zzétenni. </w:t>
      </w:r>
    </w:p>
    <w:p w14:paraId="1BF4291D" w14:textId="77777777" w:rsidR="003F5418" w:rsidRDefault="002A6C25">
      <w:pPr>
        <w:pStyle w:val="Heading3"/>
        <w:numPr>
          <w:ilvl w:val="0"/>
          <w:numId w:val="0"/>
        </w:numPr>
        <w:ind w:left="850" w:hanging="850"/>
        <w:rPr>
          <w:rFonts w:ascii="Segoe UI" w:hAnsi="Segoe UI" w:cs="Segoe UI"/>
          <w:i w:val="0"/>
          <w:noProof/>
          <w:sz w:val="18"/>
        </w:rPr>
      </w:pPr>
      <w:r>
        <w:rPr>
          <w:rStyle w:val="normaltextrun"/>
          <w:b/>
          <w:noProof/>
          <w:u w:val="single"/>
        </w:rPr>
        <w:t>J.4. Hitel – a végrehajtáshoz és a nyomon követéshez kapcsolódó mérföldkövek, célok, mutatók és ütemterv</w:t>
      </w:r>
      <w:r>
        <w:rPr>
          <w:rStyle w:val="eop"/>
          <w:noProof/>
        </w:rPr>
        <w:t xml:space="preserve"> </w:t>
      </w:r>
    </w:p>
    <w:p w14:paraId="00DA01CD" w14:textId="77777777" w:rsidR="003F5418" w:rsidRDefault="003F5418">
      <w:pPr>
        <w:spacing w:before="120" w:after="120"/>
        <w:ind w:left="709"/>
        <w:contextualSpacing/>
        <w:jc w:val="both"/>
        <w:rPr>
          <w:noProof/>
        </w:rPr>
        <w:sectPr w:rsidR="003F5418">
          <w:headerReference w:type="even" r:id="rId266"/>
          <w:headerReference w:type="default" r:id="rId267"/>
          <w:footerReference w:type="even" r:id="rId268"/>
          <w:footerReference w:type="default" r:id="rId269"/>
          <w:headerReference w:type="first" r:id="rId270"/>
          <w:footerReference w:type="first" r:id="rId271"/>
          <w:pgSz w:w="11907" w:h="16839"/>
          <w:pgMar w:top="1134" w:right="1134" w:bottom="1134" w:left="1134" w:header="567" w:footer="567" w:gutter="0"/>
          <w:cols w:space="720"/>
          <w:docGrid w:linePitch="360"/>
        </w:sect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133"/>
        <w:gridCol w:w="1418"/>
        <w:gridCol w:w="1702"/>
        <w:gridCol w:w="1690"/>
        <w:gridCol w:w="1148"/>
        <w:gridCol w:w="1133"/>
        <w:gridCol w:w="848"/>
        <w:gridCol w:w="900"/>
        <w:gridCol w:w="710"/>
        <w:gridCol w:w="3264"/>
      </w:tblGrid>
      <w:tr w:rsidR="003F5418" w14:paraId="37BD8D44" w14:textId="77777777">
        <w:trPr>
          <w:trHeight w:val="939"/>
          <w:tblHeader/>
          <w:jc w:val="center"/>
        </w:trPr>
        <w:tc>
          <w:tcPr>
            <w:tcW w:w="445" w:type="pct"/>
            <w:vMerge w:val="restart"/>
            <w:shd w:val="clear" w:color="auto" w:fill="BDD7EE"/>
            <w:vAlign w:val="center"/>
            <w:hideMark/>
          </w:tcPr>
          <w:p w14:paraId="4683B4CB" w14:textId="77777777" w:rsidR="003F5418" w:rsidRDefault="002A6C25">
            <w:pPr>
              <w:pStyle w:val="P68B1DB1-Normal3"/>
              <w:jc w:val="center"/>
              <w:rPr>
                <w:noProof/>
              </w:rPr>
            </w:pPr>
            <w:r>
              <w:rPr>
                <w:noProof/>
              </w:rPr>
              <w:t>Sorszám</w:t>
            </w:r>
          </w:p>
        </w:tc>
        <w:tc>
          <w:tcPr>
            <w:tcW w:w="370" w:type="pct"/>
            <w:vMerge w:val="restart"/>
            <w:shd w:val="clear" w:color="auto" w:fill="BDD7EE"/>
            <w:vAlign w:val="center"/>
            <w:hideMark/>
          </w:tcPr>
          <w:p w14:paraId="45BBA6BD" w14:textId="77777777" w:rsidR="003F5418" w:rsidRDefault="002A6C25">
            <w:pPr>
              <w:pStyle w:val="P68B1DB1-Normal3"/>
              <w:jc w:val="center"/>
              <w:rPr>
                <w:noProof/>
              </w:rPr>
            </w:pPr>
            <w:r>
              <w:rPr>
                <w:noProof/>
              </w:rPr>
              <w:t>Kapcsolódó intézkedés (reform vagy beruházás)</w:t>
            </w:r>
          </w:p>
        </w:tc>
        <w:tc>
          <w:tcPr>
            <w:tcW w:w="463" w:type="pct"/>
            <w:vMerge w:val="restart"/>
            <w:shd w:val="clear" w:color="auto" w:fill="BDD7EE"/>
            <w:vAlign w:val="center"/>
            <w:hideMark/>
          </w:tcPr>
          <w:p w14:paraId="4AF8818B" w14:textId="77777777" w:rsidR="003F5418" w:rsidRDefault="002A6C25">
            <w:pPr>
              <w:pStyle w:val="P68B1DB1-Normal3"/>
              <w:jc w:val="center"/>
              <w:rPr>
                <w:noProof/>
              </w:rPr>
            </w:pPr>
            <w:r>
              <w:rPr>
                <w:noProof/>
              </w:rPr>
              <w:t>Mérföldkő/cél</w:t>
            </w:r>
          </w:p>
        </w:tc>
        <w:tc>
          <w:tcPr>
            <w:tcW w:w="556" w:type="pct"/>
            <w:vMerge w:val="restart"/>
            <w:shd w:val="clear" w:color="auto" w:fill="BDD7EE"/>
            <w:vAlign w:val="center"/>
            <w:hideMark/>
          </w:tcPr>
          <w:p w14:paraId="3A8E8604" w14:textId="77777777" w:rsidR="003F5418" w:rsidRDefault="002A6C25">
            <w:pPr>
              <w:pStyle w:val="P68B1DB1-Normal3"/>
              <w:jc w:val="center"/>
              <w:rPr>
                <w:noProof/>
              </w:rPr>
            </w:pPr>
            <w:r>
              <w:rPr>
                <w:noProof/>
              </w:rPr>
              <w:t>Név</w:t>
            </w:r>
          </w:p>
        </w:tc>
        <w:tc>
          <w:tcPr>
            <w:tcW w:w="552" w:type="pct"/>
            <w:vMerge w:val="restart"/>
            <w:shd w:val="clear" w:color="auto" w:fill="BDD7EE"/>
            <w:vAlign w:val="center"/>
            <w:hideMark/>
          </w:tcPr>
          <w:p w14:paraId="08B81D1A"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1022" w:type="pct"/>
            <w:gridSpan w:val="3"/>
            <w:shd w:val="clear" w:color="auto" w:fill="BDD7EE"/>
            <w:vAlign w:val="center"/>
            <w:hideMark/>
          </w:tcPr>
          <w:p w14:paraId="1A41132A"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526" w:type="pct"/>
            <w:gridSpan w:val="2"/>
            <w:shd w:val="clear" w:color="auto" w:fill="BDD7EE"/>
            <w:vAlign w:val="center"/>
            <w:hideMark/>
          </w:tcPr>
          <w:p w14:paraId="4D88E5E2" w14:textId="77777777" w:rsidR="003F5418" w:rsidRDefault="002A6C25">
            <w:pPr>
              <w:pStyle w:val="P68B1DB1-Normal3"/>
              <w:jc w:val="center"/>
              <w:rPr>
                <w:noProof/>
              </w:rPr>
            </w:pPr>
            <w:r>
              <w:rPr>
                <w:noProof/>
              </w:rPr>
              <w:t>A végrehajtás indikatív ütemterve</w:t>
            </w:r>
          </w:p>
        </w:tc>
        <w:tc>
          <w:tcPr>
            <w:tcW w:w="1066" w:type="pct"/>
            <w:vMerge w:val="restart"/>
            <w:shd w:val="clear" w:color="auto" w:fill="BDD7EE"/>
            <w:vAlign w:val="center"/>
            <w:hideMark/>
          </w:tcPr>
          <w:p w14:paraId="17E7EEB6" w14:textId="77777777" w:rsidR="003F5418" w:rsidRDefault="002A6C25">
            <w:pPr>
              <w:pStyle w:val="P68B1DB1-Normal3"/>
              <w:jc w:val="center"/>
              <w:rPr>
                <w:noProof/>
              </w:rPr>
            </w:pPr>
            <w:r>
              <w:rPr>
                <w:noProof/>
              </w:rPr>
              <w:t>Az egyes mérföldkövek és célértékek leírása</w:t>
            </w:r>
          </w:p>
        </w:tc>
      </w:tr>
      <w:tr w:rsidR="003F5418" w14:paraId="36E9A49E" w14:textId="77777777">
        <w:trPr>
          <w:trHeight w:val="1027"/>
          <w:jc w:val="center"/>
        </w:trPr>
        <w:tc>
          <w:tcPr>
            <w:tcW w:w="445" w:type="pct"/>
            <w:vMerge/>
            <w:vAlign w:val="center"/>
            <w:hideMark/>
          </w:tcPr>
          <w:p w14:paraId="7DE138AD" w14:textId="77777777" w:rsidR="003F5418" w:rsidRDefault="003F5418">
            <w:pPr>
              <w:jc w:val="center"/>
              <w:rPr>
                <w:rFonts w:ascii="Arial Narrow" w:hAnsi="Arial Narrow"/>
                <w:b/>
                <w:noProof/>
                <w:sz w:val="20"/>
              </w:rPr>
            </w:pPr>
          </w:p>
        </w:tc>
        <w:tc>
          <w:tcPr>
            <w:tcW w:w="370" w:type="pct"/>
            <w:vMerge/>
            <w:vAlign w:val="center"/>
            <w:hideMark/>
          </w:tcPr>
          <w:p w14:paraId="44482FEC" w14:textId="77777777" w:rsidR="003F5418" w:rsidRDefault="003F5418">
            <w:pPr>
              <w:jc w:val="center"/>
              <w:rPr>
                <w:rFonts w:ascii="Arial Narrow" w:hAnsi="Arial Narrow"/>
                <w:b/>
                <w:noProof/>
                <w:sz w:val="20"/>
              </w:rPr>
            </w:pPr>
          </w:p>
        </w:tc>
        <w:tc>
          <w:tcPr>
            <w:tcW w:w="463" w:type="pct"/>
            <w:vMerge/>
            <w:vAlign w:val="center"/>
            <w:hideMark/>
          </w:tcPr>
          <w:p w14:paraId="206339F1" w14:textId="77777777" w:rsidR="003F5418" w:rsidRDefault="003F5418">
            <w:pPr>
              <w:jc w:val="center"/>
              <w:rPr>
                <w:rFonts w:ascii="Arial Narrow" w:hAnsi="Arial Narrow"/>
                <w:b/>
                <w:noProof/>
                <w:sz w:val="20"/>
              </w:rPr>
            </w:pPr>
          </w:p>
        </w:tc>
        <w:tc>
          <w:tcPr>
            <w:tcW w:w="556" w:type="pct"/>
            <w:vMerge/>
            <w:vAlign w:val="center"/>
            <w:hideMark/>
          </w:tcPr>
          <w:p w14:paraId="19B297CA" w14:textId="77777777" w:rsidR="003F5418" w:rsidRDefault="003F5418">
            <w:pPr>
              <w:jc w:val="center"/>
              <w:rPr>
                <w:rFonts w:ascii="Arial Narrow" w:hAnsi="Arial Narrow"/>
                <w:b/>
                <w:noProof/>
                <w:sz w:val="20"/>
              </w:rPr>
            </w:pPr>
          </w:p>
        </w:tc>
        <w:tc>
          <w:tcPr>
            <w:tcW w:w="552" w:type="pct"/>
            <w:vMerge/>
            <w:vAlign w:val="center"/>
            <w:hideMark/>
          </w:tcPr>
          <w:p w14:paraId="7375CD90" w14:textId="77777777" w:rsidR="003F5418" w:rsidRDefault="003F5418">
            <w:pPr>
              <w:jc w:val="center"/>
              <w:rPr>
                <w:rFonts w:ascii="Arial Narrow" w:hAnsi="Arial Narrow"/>
                <w:b/>
                <w:noProof/>
                <w:sz w:val="20"/>
              </w:rPr>
            </w:pPr>
          </w:p>
        </w:tc>
        <w:tc>
          <w:tcPr>
            <w:tcW w:w="375" w:type="pct"/>
            <w:shd w:val="clear" w:color="auto" w:fill="BDD7EE"/>
            <w:vAlign w:val="center"/>
            <w:hideMark/>
          </w:tcPr>
          <w:p w14:paraId="095BFB76" w14:textId="77777777" w:rsidR="003F5418" w:rsidRDefault="002A6C25">
            <w:pPr>
              <w:pStyle w:val="P68B1DB1-Normal3"/>
              <w:jc w:val="center"/>
              <w:rPr>
                <w:noProof/>
              </w:rPr>
            </w:pPr>
            <w:r>
              <w:rPr>
                <w:noProof/>
              </w:rPr>
              <w:t>Mértékegység</w:t>
            </w:r>
          </w:p>
        </w:tc>
        <w:tc>
          <w:tcPr>
            <w:tcW w:w="370" w:type="pct"/>
            <w:shd w:val="clear" w:color="auto" w:fill="BDD7EE"/>
            <w:vAlign w:val="center"/>
            <w:hideMark/>
          </w:tcPr>
          <w:p w14:paraId="28CA91F2" w14:textId="77777777" w:rsidR="003F5418" w:rsidRDefault="002A6C25">
            <w:pPr>
              <w:pStyle w:val="P68B1DB1-Normal3"/>
              <w:jc w:val="center"/>
              <w:rPr>
                <w:noProof/>
              </w:rPr>
            </w:pPr>
            <w:r>
              <w:rPr>
                <w:noProof/>
              </w:rPr>
              <w:t>Kiindulási</w:t>
            </w:r>
          </w:p>
        </w:tc>
        <w:tc>
          <w:tcPr>
            <w:tcW w:w="277" w:type="pct"/>
            <w:shd w:val="clear" w:color="auto" w:fill="BDD7EE"/>
            <w:vAlign w:val="center"/>
            <w:hideMark/>
          </w:tcPr>
          <w:p w14:paraId="7E4DAD9A" w14:textId="77777777" w:rsidR="003F5418" w:rsidRDefault="002A6C25">
            <w:pPr>
              <w:pStyle w:val="P68B1DB1-Normal3"/>
              <w:jc w:val="center"/>
              <w:rPr>
                <w:noProof/>
              </w:rPr>
            </w:pPr>
            <w:r>
              <w:rPr>
                <w:noProof/>
              </w:rPr>
              <w:t>Cél</w:t>
            </w:r>
          </w:p>
        </w:tc>
        <w:tc>
          <w:tcPr>
            <w:tcW w:w="294" w:type="pct"/>
            <w:shd w:val="clear" w:color="auto" w:fill="BDD7EE"/>
            <w:vAlign w:val="center"/>
            <w:hideMark/>
          </w:tcPr>
          <w:p w14:paraId="0509F219" w14:textId="77777777" w:rsidR="003F5418" w:rsidRDefault="002A6C25">
            <w:pPr>
              <w:pStyle w:val="P68B1DB1-Normal3"/>
              <w:jc w:val="center"/>
              <w:rPr>
                <w:noProof/>
              </w:rPr>
            </w:pPr>
            <w:r>
              <w:rPr>
                <w:noProof/>
              </w:rPr>
              <w:t>Negyedév</w:t>
            </w:r>
          </w:p>
        </w:tc>
        <w:tc>
          <w:tcPr>
            <w:tcW w:w="232" w:type="pct"/>
            <w:shd w:val="clear" w:color="auto" w:fill="BDD7EE"/>
            <w:vAlign w:val="center"/>
            <w:hideMark/>
          </w:tcPr>
          <w:p w14:paraId="69995404" w14:textId="77777777" w:rsidR="003F5418" w:rsidRDefault="002A6C25">
            <w:pPr>
              <w:pStyle w:val="P68B1DB1-Normal3"/>
              <w:jc w:val="center"/>
              <w:rPr>
                <w:noProof/>
              </w:rPr>
            </w:pPr>
            <w:r>
              <w:rPr>
                <w:noProof/>
              </w:rPr>
              <w:t>Éve</w:t>
            </w:r>
          </w:p>
        </w:tc>
        <w:tc>
          <w:tcPr>
            <w:tcW w:w="1066" w:type="pct"/>
            <w:vMerge/>
            <w:vAlign w:val="center"/>
            <w:hideMark/>
          </w:tcPr>
          <w:p w14:paraId="3A38FA5D" w14:textId="77777777" w:rsidR="003F5418" w:rsidRDefault="003F5418">
            <w:pPr>
              <w:rPr>
                <w:rFonts w:ascii="Arial Narrow" w:hAnsi="Arial Narrow"/>
                <w:b/>
                <w:noProof/>
                <w:sz w:val="20"/>
              </w:rPr>
            </w:pPr>
          </w:p>
        </w:tc>
      </w:tr>
      <w:tr w:rsidR="003F5418" w14:paraId="3ED7F56D" w14:textId="77777777">
        <w:trPr>
          <w:trHeight w:val="313"/>
          <w:jc w:val="center"/>
        </w:trPr>
        <w:tc>
          <w:tcPr>
            <w:tcW w:w="445" w:type="pct"/>
            <w:shd w:val="clear" w:color="auto" w:fill="C6EFCE"/>
            <w:noWrap/>
            <w:vAlign w:val="center"/>
            <w:hideMark/>
          </w:tcPr>
          <w:p w14:paraId="3C5D0B47" w14:textId="77777777" w:rsidR="003F5418" w:rsidRDefault="002A6C25">
            <w:pPr>
              <w:pStyle w:val="P68B1DB1-Normal4"/>
              <w:jc w:val="center"/>
              <w:rPr>
                <w:noProof/>
              </w:rPr>
            </w:pPr>
            <w:r>
              <w:rPr>
                <w:noProof/>
              </w:rPr>
              <w:t>M4C1–27</w:t>
            </w:r>
          </w:p>
        </w:tc>
        <w:tc>
          <w:tcPr>
            <w:tcW w:w="370" w:type="pct"/>
            <w:shd w:val="clear" w:color="auto" w:fill="C6EFCE"/>
            <w:noWrap/>
            <w:vAlign w:val="center"/>
          </w:tcPr>
          <w:p w14:paraId="58868061" w14:textId="77777777" w:rsidR="003F5418" w:rsidRDefault="002A6C25">
            <w:pPr>
              <w:pStyle w:val="P68B1DB1-Normal4"/>
              <w:jc w:val="center"/>
              <w:rPr>
                <w:noProof/>
              </w:rPr>
            </w:pPr>
            <w:r>
              <w:rPr>
                <w:noProof/>
              </w:rPr>
              <w:t xml:space="preserve">Reform: A diákok lakhatására </w:t>
            </w:r>
            <w:r>
              <w:rPr>
                <w:noProof/>
              </w:rPr>
              <w:t>vonatkozó szabályozás reformja és a diákok lakhatásába való beruházás</w:t>
            </w:r>
          </w:p>
        </w:tc>
        <w:tc>
          <w:tcPr>
            <w:tcW w:w="463" w:type="pct"/>
            <w:shd w:val="clear" w:color="auto" w:fill="C6EFCE"/>
            <w:noWrap/>
            <w:vAlign w:val="center"/>
            <w:hideMark/>
          </w:tcPr>
          <w:p w14:paraId="3AF7DE0F" w14:textId="77777777" w:rsidR="003F5418" w:rsidRDefault="002A6C25">
            <w:pPr>
              <w:pStyle w:val="P68B1DB1-Normal4"/>
              <w:jc w:val="center"/>
              <w:rPr>
                <w:noProof/>
              </w:rPr>
            </w:pPr>
            <w:r>
              <w:rPr>
                <w:noProof/>
              </w:rPr>
              <w:t>Mérföldkő</w:t>
            </w:r>
          </w:p>
        </w:tc>
        <w:tc>
          <w:tcPr>
            <w:tcW w:w="556" w:type="pct"/>
            <w:shd w:val="clear" w:color="auto" w:fill="C6EFCE"/>
            <w:noWrap/>
            <w:vAlign w:val="center"/>
          </w:tcPr>
          <w:p w14:paraId="520EB09A" w14:textId="77777777" w:rsidR="003F5418" w:rsidRDefault="002A6C25">
            <w:pPr>
              <w:pStyle w:val="P68B1DB1-Normal4"/>
              <w:jc w:val="center"/>
              <w:rPr>
                <w:noProof/>
              </w:rPr>
            </w:pPr>
            <w:r>
              <w:rPr>
                <w:noProof/>
              </w:rPr>
              <w:t>A diákok lakhatására vonatkozó jelenlegi szabályok módosítására irányuló jogszabály hatálybalépése.</w:t>
            </w:r>
          </w:p>
        </w:tc>
        <w:tc>
          <w:tcPr>
            <w:tcW w:w="552" w:type="pct"/>
            <w:shd w:val="clear" w:color="auto" w:fill="C6EFCE"/>
            <w:noWrap/>
            <w:vAlign w:val="center"/>
            <w:hideMark/>
          </w:tcPr>
          <w:p w14:paraId="1899E4E8" w14:textId="77777777" w:rsidR="003F5418" w:rsidRDefault="002A6C25">
            <w:pPr>
              <w:pStyle w:val="P68B1DB1-Normal4"/>
              <w:jc w:val="center"/>
              <w:rPr>
                <w:noProof/>
              </w:rPr>
            </w:pPr>
            <w:r>
              <w:rPr>
                <w:noProof/>
              </w:rPr>
              <w:t>A jogszabály hatálybalépését feltüntető törvényi rendelkezés.</w:t>
            </w:r>
          </w:p>
        </w:tc>
        <w:tc>
          <w:tcPr>
            <w:tcW w:w="375" w:type="pct"/>
            <w:shd w:val="clear" w:color="auto" w:fill="C6EFCE"/>
            <w:noWrap/>
            <w:vAlign w:val="center"/>
            <w:hideMark/>
          </w:tcPr>
          <w:p w14:paraId="62EF4D67" w14:textId="77777777" w:rsidR="003F5418" w:rsidRDefault="002A6C25">
            <w:pPr>
              <w:pStyle w:val="P68B1DB1-Normal4"/>
              <w:jc w:val="center"/>
              <w:rPr>
                <w:noProof/>
              </w:rPr>
            </w:pPr>
            <w:r>
              <w:rPr>
                <w:noProof/>
              </w:rPr>
              <w:t>NINCS</w:t>
            </w:r>
          </w:p>
        </w:tc>
        <w:tc>
          <w:tcPr>
            <w:tcW w:w="370" w:type="pct"/>
            <w:shd w:val="clear" w:color="auto" w:fill="C6EFCE"/>
            <w:noWrap/>
            <w:vAlign w:val="center"/>
          </w:tcPr>
          <w:p w14:paraId="1179604E" w14:textId="77777777" w:rsidR="003F5418" w:rsidRDefault="002A6C25">
            <w:pPr>
              <w:pStyle w:val="P68B1DB1-Normal4"/>
              <w:jc w:val="center"/>
              <w:rPr>
                <w:noProof/>
              </w:rPr>
            </w:pPr>
            <w:r>
              <w:rPr>
                <w:noProof/>
              </w:rPr>
              <w:t>NINCS</w:t>
            </w:r>
          </w:p>
        </w:tc>
        <w:tc>
          <w:tcPr>
            <w:tcW w:w="277" w:type="pct"/>
            <w:shd w:val="clear" w:color="auto" w:fill="C6EFCE"/>
            <w:noWrap/>
            <w:vAlign w:val="center"/>
          </w:tcPr>
          <w:p w14:paraId="78705BC9" w14:textId="77777777" w:rsidR="003F5418" w:rsidRDefault="002A6C25">
            <w:pPr>
              <w:pStyle w:val="P68B1DB1-Normal4"/>
              <w:jc w:val="center"/>
              <w:rPr>
                <w:noProof/>
              </w:rPr>
            </w:pPr>
            <w:r>
              <w:rPr>
                <w:noProof/>
              </w:rPr>
              <w:t>NINCS</w:t>
            </w:r>
          </w:p>
        </w:tc>
        <w:tc>
          <w:tcPr>
            <w:tcW w:w="294" w:type="pct"/>
            <w:shd w:val="clear" w:color="auto" w:fill="C6EFCE"/>
            <w:noWrap/>
            <w:vAlign w:val="center"/>
            <w:hideMark/>
          </w:tcPr>
          <w:p w14:paraId="097E2ADB" w14:textId="77777777" w:rsidR="003F5418" w:rsidRDefault="002A6C25">
            <w:pPr>
              <w:pStyle w:val="P68B1DB1-Normal4"/>
              <w:jc w:val="center"/>
              <w:rPr>
                <w:noProof/>
              </w:rPr>
            </w:pPr>
            <w:r>
              <w:rPr>
                <w:noProof/>
              </w:rPr>
              <w:t>Q4</w:t>
            </w:r>
          </w:p>
        </w:tc>
        <w:tc>
          <w:tcPr>
            <w:tcW w:w="232" w:type="pct"/>
            <w:shd w:val="clear" w:color="auto" w:fill="C6EFCE"/>
            <w:noWrap/>
            <w:vAlign w:val="center"/>
            <w:hideMark/>
          </w:tcPr>
          <w:p w14:paraId="483EB859" w14:textId="77777777" w:rsidR="003F5418" w:rsidRDefault="002A6C25">
            <w:pPr>
              <w:pStyle w:val="P68B1DB1-Normal4"/>
              <w:jc w:val="center"/>
              <w:rPr>
                <w:noProof/>
              </w:rPr>
            </w:pPr>
            <w:r>
              <w:rPr>
                <w:noProof/>
              </w:rPr>
              <w:t>2021</w:t>
            </w:r>
          </w:p>
        </w:tc>
        <w:tc>
          <w:tcPr>
            <w:tcW w:w="1066" w:type="pct"/>
            <w:shd w:val="clear" w:color="auto" w:fill="C6EFCE"/>
            <w:noWrap/>
            <w:vAlign w:val="center"/>
            <w:hideMark/>
          </w:tcPr>
          <w:p w14:paraId="29330F4A" w14:textId="77777777" w:rsidR="003F5418" w:rsidRDefault="002A6C25">
            <w:pPr>
              <w:rPr>
                <w:rFonts w:ascii="Arial Narrow" w:hAnsi="Arial Narrow"/>
                <w:noProof/>
                <w:color w:val="006100"/>
                <w:sz w:val="20"/>
              </w:rPr>
            </w:pPr>
            <w:r>
              <w:rPr>
                <w:rFonts w:ascii="Arial Narrow" w:hAnsi="Arial Narrow"/>
                <w:noProof/>
                <w:color w:val="006100"/>
                <w:sz w:val="20"/>
              </w:rPr>
              <w:t>A felülvizsgált jogszabály:</w:t>
            </w:r>
            <w:r>
              <w:rPr>
                <w:rFonts w:ascii="Arial Narrow" w:hAnsi="Arial Narrow"/>
                <w:noProof/>
              </w:rPr>
              <w:t xml:space="preserve"> </w:t>
            </w:r>
            <w:r>
              <w:rPr>
                <w:noProof/>
              </w:rPr>
              <w:t xml:space="preserve"> </w:t>
            </w:r>
            <w:r>
              <w:rPr>
                <w:noProof/>
              </w:rPr>
              <w:br/>
            </w:r>
            <w:r>
              <w:rPr>
                <w:rFonts w:ascii="Arial Narrow" w:hAnsi="Arial Narrow"/>
                <w:noProof/>
                <w:color w:val="006100"/>
                <w:sz w:val="20"/>
              </w:rPr>
              <w:t>A diákok lakhatására vonatkozó jelenlegi szabályok (a 338/2000. sz. törvény és a 68/2012. sz. törvényerejű rendelet) módosítása annak érdekében, hogy:</w:t>
            </w:r>
          </w:p>
          <w:p w14:paraId="26DE655F" w14:textId="77777777" w:rsidR="003F5418" w:rsidRDefault="002A6C25">
            <w:pPr>
              <w:pStyle w:val="P68B1DB1-Normal4"/>
              <w:rPr>
                <w:noProof/>
              </w:rPr>
            </w:pPr>
            <w:r>
              <w:rPr>
                <w:noProof/>
              </w:rPr>
              <w:t>(1). Az új zöldmezős épületek helyett a szerkezetek szerkezet</w:t>
            </w:r>
            <w:r>
              <w:rPr>
                <w:noProof/>
              </w:rPr>
              <w:t>átalakításának és felújításának előmozdítása (a kofounding aránya nagyobb, jelenleg 50%), a bemutatott projektek által biztosítandó legmagasabb környezetvédelmi színvonal mellett;</w:t>
            </w:r>
          </w:p>
          <w:p w14:paraId="3CE3BF09" w14:textId="77777777" w:rsidR="003F5418" w:rsidRDefault="003F5418">
            <w:pPr>
              <w:rPr>
                <w:rFonts w:ascii="Arial Narrow" w:hAnsi="Arial Narrow"/>
                <w:noProof/>
                <w:color w:val="006100"/>
                <w:sz w:val="20"/>
              </w:rPr>
            </w:pPr>
          </w:p>
          <w:p w14:paraId="082487BA" w14:textId="77777777" w:rsidR="003F5418" w:rsidRDefault="002A6C25">
            <w:pPr>
              <w:pStyle w:val="P68B1DB1-Normal4"/>
              <w:rPr>
                <w:noProof/>
              </w:rPr>
            </w:pPr>
            <w:r>
              <w:rPr>
                <w:noProof/>
              </w:rPr>
              <w:t>(2). Egyszerűsítse – többek között a digitalizációnak köszönhetően – a proj</w:t>
            </w:r>
            <w:r>
              <w:rPr>
                <w:noProof/>
              </w:rPr>
              <w:t>ektek bemutatását és kiválasztását, és ezáltal a végrehajtás időzítését;</w:t>
            </w:r>
          </w:p>
          <w:p w14:paraId="7C779AAC" w14:textId="77777777" w:rsidR="003F5418" w:rsidRDefault="003F5418">
            <w:pPr>
              <w:rPr>
                <w:rFonts w:ascii="Arial Narrow" w:hAnsi="Arial Narrow"/>
                <w:noProof/>
                <w:color w:val="006100"/>
                <w:sz w:val="20"/>
              </w:rPr>
            </w:pPr>
          </w:p>
          <w:p w14:paraId="1375A9DB" w14:textId="77777777" w:rsidR="003F5418" w:rsidRDefault="002A6C25">
            <w:pPr>
              <w:pStyle w:val="P68B1DB1-Normal4"/>
              <w:rPr>
                <w:noProof/>
              </w:rPr>
            </w:pPr>
            <w:r>
              <w:rPr>
                <w:noProof/>
              </w:rPr>
              <w:t>(3)A 338/2000. sz. törvényben meghatározott kritériumoktól való eltérés biztosítása az odaítélhető társfinanszírozás százalékos aránya tekintetében.</w:t>
            </w:r>
          </w:p>
          <w:p w14:paraId="2401E34B" w14:textId="77777777" w:rsidR="003F5418" w:rsidRDefault="003F5418">
            <w:pPr>
              <w:rPr>
                <w:rFonts w:ascii="Arial Narrow" w:hAnsi="Arial Narrow"/>
                <w:noProof/>
                <w:color w:val="006100"/>
                <w:sz w:val="20"/>
              </w:rPr>
            </w:pPr>
          </w:p>
          <w:p w14:paraId="77797894" w14:textId="77777777" w:rsidR="003F5418" w:rsidRDefault="002A6C25">
            <w:pPr>
              <w:pStyle w:val="P68B1DB1-Normal4"/>
              <w:rPr>
                <w:noProof/>
              </w:rPr>
            </w:pPr>
            <w:r>
              <w:rPr>
                <w:noProof/>
              </w:rPr>
              <w:t>Reformot hajtanak végre azáltal,</w:t>
            </w:r>
            <w:r>
              <w:rPr>
                <w:noProof/>
              </w:rPr>
              <w:t xml:space="preserve"> hogy a diákszállásokra vonatkozó olasz szabályozási keretbe bevezetik a következő jelentős változásokat:</w:t>
            </w:r>
          </w:p>
          <w:p w14:paraId="0A13B8C9" w14:textId="77777777" w:rsidR="003F5418" w:rsidRDefault="002A6C25">
            <w:pPr>
              <w:pStyle w:val="P68B1DB1-Normal4"/>
              <w:rPr>
                <w:noProof/>
              </w:rPr>
            </w:pPr>
            <w:r>
              <w:rPr>
                <w:noProof/>
              </w:rPr>
              <w:t xml:space="preserve">1. A finanszírozásban való részvétel megnyitása a magánbefektetők előtt is (a végrehajtásban leírt rendszernek megfelelően), lehetővé téve a köz- és </w:t>
            </w:r>
            <w:r>
              <w:rPr>
                <w:noProof/>
              </w:rPr>
              <w:t>magánszféra közötti partnerségeket is, ahol az egyetem felhasználja a rendelkezésre álló forrásokat a diáklakásokba történő ingatlanberuházások pénzügyi egyensúlyának támogatására;</w:t>
            </w:r>
          </w:p>
          <w:p w14:paraId="31A4A39A" w14:textId="77777777" w:rsidR="003F5418" w:rsidRDefault="002A6C25">
            <w:pPr>
              <w:pStyle w:val="P68B1DB1-Normal4"/>
              <w:rPr>
                <w:noProof/>
              </w:rPr>
            </w:pPr>
            <w:r>
              <w:rPr>
                <w:noProof/>
              </w:rPr>
              <w:t>2. A magánberuházások hosszú távú fenntarthatóságának biztosítása annak gar</w:t>
            </w:r>
            <w:r>
              <w:rPr>
                <w:noProof/>
              </w:rPr>
              <w:t>antálásával, hogy az adózási rendszer a szállodai szolgáltatásokra alkalmazottról a szociális lakásokra alkalmazott adórendszerre változzon, az új szálláshelyek diákszállási célú használatának korlátozásával az egyetemi év során, de lehetővé téve a struktú</w:t>
            </w:r>
            <w:r>
              <w:rPr>
                <w:noProof/>
              </w:rPr>
              <w:t>rák használatát, amennyiben azok nem szükségesek a diákok vendéglátásához. Ez pedig segíteni fog abban, hogy megfizethető bérleti díjak mellett új szálláshelyek álljanak rendelkezésre;</w:t>
            </w:r>
          </w:p>
          <w:p w14:paraId="142527B6" w14:textId="77777777" w:rsidR="003F5418" w:rsidRDefault="002A6C25">
            <w:pPr>
              <w:pStyle w:val="P68B1DB1-Normal4"/>
              <w:rPr>
                <w:noProof/>
              </w:rPr>
            </w:pPr>
            <w:r>
              <w:rPr>
                <w:noProof/>
              </w:rPr>
              <w:t>3. A finanszírozás és a kiegészítő adókedvezmények (pl. a szociális lak</w:t>
            </w:r>
            <w:r>
              <w:rPr>
                <w:noProof/>
              </w:rPr>
              <w:t>ásokkal való egyenlő bánásmód) feltételekhez kötése a hallgatói lakások számára a teljes beruházási időhorizont során történő új lakások használatához, valamint a diákoknak felszámított bérleti díjak megállapodás szerinti felső határának való megfeleléshez</w:t>
            </w:r>
            <w:r>
              <w:rPr>
                <w:noProof/>
              </w:rPr>
              <w:t>, még a különleges finanszírozási rendszerek lejárta után is, amelyek hozzájárulnak a magánszereplők beruházásainak elindításához;</w:t>
            </w:r>
          </w:p>
          <w:p w14:paraId="70711FA5" w14:textId="77777777" w:rsidR="003F5418" w:rsidRDefault="002A6C25">
            <w:pPr>
              <w:pStyle w:val="P68B1DB1-Normal4"/>
              <w:rPr>
                <w:noProof/>
              </w:rPr>
            </w:pPr>
            <w:r>
              <w:rPr>
                <w:noProof/>
              </w:rPr>
              <w:t>4. A diákszállásokra vonatkozó előírások újrafogalmazása az épületekben rendelkezésre álló közös férőhelyre vonatkozó jogi kö</w:t>
            </w:r>
            <w:r>
              <w:rPr>
                <w:noProof/>
              </w:rPr>
              <w:t>vetelmények újrafogalmazása a jobban felszerelt (egyetlen) szobákért cserébe.</w:t>
            </w:r>
          </w:p>
        </w:tc>
      </w:tr>
      <w:tr w:rsidR="003F5418" w14:paraId="57456D9D" w14:textId="77777777">
        <w:trPr>
          <w:trHeight w:val="313"/>
          <w:jc w:val="center"/>
        </w:trPr>
        <w:tc>
          <w:tcPr>
            <w:tcW w:w="445" w:type="pct"/>
            <w:shd w:val="clear" w:color="auto" w:fill="C6EFCE"/>
            <w:noWrap/>
            <w:vAlign w:val="center"/>
            <w:hideMark/>
          </w:tcPr>
          <w:p w14:paraId="7DEF336E" w14:textId="77777777" w:rsidR="003F5418" w:rsidRDefault="002A6C25">
            <w:pPr>
              <w:pStyle w:val="P68B1DB1-Normal4"/>
              <w:jc w:val="center"/>
              <w:rPr>
                <w:noProof/>
              </w:rPr>
            </w:pPr>
            <w:r>
              <w:rPr>
                <w:noProof/>
              </w:rPr>
              <w:t>M4C1–28</w:t>
            </w:r>
          </w:p>
        </w:tc>
        <w:tc>
          <w:tcPr>
            <w:tcW w:w="370" w:type="pct"/>
            <w:shd w:val="clear" w:color="auto" w:fill="C6EFCE"/>
            <w:noWrap/>
            <w:vAlign w:val="center"/>
            <w:hideMark/>
          </w:tcPr>
          <w:p w14:paraId="5C95052F" w14:textId="77777777" w:rsidR="003F5418" w:rsidRDefault="002A6C25">
            <w:pPr>
              <w:pStyle w:val="P68B1DB1-Normal4"/>
              <w:jc w:val="center"/>
              <w:rPr>
                <w:noProof/>
              </w:rPr>
            </w:pPr>
            <w:r>
              <w:rPr>
                <w:noProof/>
              </w:rPr>
              <w:t>Reform: A diákok lakhatására vonatkozó szabályozás reformja és a diákok lakhatásába való beruházás</w:t>
            </w:r>
          </w:p>
        </w:tc>
        <w:tc>
          <w:tcPr>
            <w:tcW w:w="463" w:type="pct"/>
            <w:shd w:val="clear" w:color="auto" w:fill="C6EFCE"/>
            <w:noWrap/>
            <w:vAlign w:val="center"/>
            <w:hideMark/>
          </w:tcPr>
          <w:p w14:paraId="5BF4D096" w14:textId="77777777" w:rsidR="003F5418" w:rsidRDefault="002A6C25">
            <w:pPr>
              <w:pStyle w:val="P68B1DB1-Normal4"/>
              <w:jc w:val="center"/>
              <w:rPr>
                <w:noProof/>
              </w:rPr>
            </w:pPr>
            <w:r>
              <w:rPr>
                <w:noProof/>
              </w:rPr>
              <w:t>Mérföldkő</w:t>
            </w:r>
          </w:p>
        </w:tc>
        <w:tc>
          <w:tcPr>
            <w:tcW w:w="556" w:type="pct"/>
            <w:shd w:val="clear" w:color="auto" w:fill="C6EFCE"/>
            <w:noWrap/>
            <w:vAlign w:val="center"/>
            <w:hideMark/>
          </w:tcPr>
          <w:p w14:paraId="59F2F5A3" w14:textId="77777777" w:rsidR="003F5418" w:rsidRDefault="002A6C25">
            <w:pPr>
              <w:pStyle w:val="P68B1DB1-Normal4"/>
              <w:jc w:val="center"/>
              <w:rPr>
                <w:noProof/>
              </w:rPr>
            </w:pPr>
            <w:r>
              <w:rPr>
                <w:noProof/>
              </w:rPr>
              <w:t xml:space="preserve"> Az első szerződések odaítélése további kollégiumi hallgatói férőhelyek (ágyak) kialakításáról</w:t>
            </w:r>
          </w:p>
        </w:tc>
        <w:tc>
          <w:tcPr>
            <w:tcW w:w="552" w:type="pct"/>
            <w:shd w:val="clear" w:color="auto" w:fill="C6EFCE"/>
            <w:noWrap/>
            <w:vAlign w:val="center"/>
            <w:hideMark/>
          </w:tcPr>
          <w:p w14:paraId="58C664AD" w14:textId="77777777" w:rsidR="003F5418" w:rsidRDefault="002A6C25">
            <w:pPr>
              <w:pStyle w:val="P68B1DB1-Normal4"/>
              <w:jc w:val="center"/>
              <w:rPr>
                <w:noProof/>
              </w:rPr>
            </w:pPr>
            <w:r>
              <w:rPr>
                <w:noProof/>
              </w:rPr>
              <w:t xml:space="preserve"> Az odaítélés közzététele a minisztérium internetes honlapján</w:t>
            </w:r>
          </w:p>
        </w:tc>
        <w:tc>
          <w:tcPr>
            <w:tcW w:w="375" w:type="pct"/>
            <w:shd w:val="clear" w:color="auto" w:fill="C6EFCE"/>
            <w:noWrap/>
            <w:vAlign w:val="center"/>
            <w:hideMark/>
          </w:tcPr>
          <w:p w14:paraId="4E11215B" w14:textId="77777777" w:rsidR="003F5418" w:rsidRDefault="002A6C25">
            <w:pPr>
              <w:pStyle w:val="P68B1DB1-Normal4"/>
              <w:jc w:val="center"/>
              <w:rPr>
                <w:noProof/>
              </w:rPr>
            </w:pPr>
            <w:r>
              <w:rPr>
                <w:noProof/>
              </w:rPr>
              <w:t>NINCS</w:t>
            </w:r>
          </w:p>
        </w:tc>
        <w:tc>
          <w:tcPr>
            <w:tcW w:w="370" w:type="pct"/>
            <w:shd w:val="clear" w:color="auto" w:fill="C6EFCE"/>
            <w:noWrap/>
            <w:vAlign w:val="center"/>
            <w:hideMark/>
          </w:tcPr>
          <w:p w14:paraId="0239781A" w14:textId="77777777" w:rsidR="003F5418" w:rsidRDefault="002A6C25">
            <w:pPr>
              <w:pStyle w:val="P68B1DB1-Normal4"/>
              <w:jc w:val="center"/>
              <w:rPr>
                <w:noProof/>
              </w:rPr>
            </w:pPr>
            <w:r>
              <w:rPr>
                <w:noProof/>
              </w:rPr>
              <w:t>NINCS</w:t>
            </w:r>
          </w:p>
        </w:tc>
        <w:tc>
          <w:tcPr>
            <w:tcW w:w="277" w:type="pct"/>
            <w:shd w:val="clear" w:color="auto" w:fill="C6EFCE"/>
            <w:noWrap/>
            <w:vAlign w:val="center"/>
            <w:hideMark/>
          </w:tcPr>
          <w:p w14:paraId="71C14154" w14:textId="77777777" w:rsidR="003F5418" w:rsidRDefault="002A6C25">
            <w:pPr>
              <w:pStyle w:val="P68B1DB1-Normal4"/>
              <w:jc w:val="center"/>
              <w:rPr>
                <w:noProof/>
              </w:rPr>
            </w:pPr>
            <w:r>
              <w:rPr>
                <w:noProof/>
              </w:rPr>
              <w:t>NINCS</w:t>
            </w:r>
          </w:p>
        </w:tc>
        <w:tc>
          <w:tcPr>
            <w:tcW w:w="294" w:type="pct"/>
            <w:shd w:val="clear" w:color="auto" w:fill="C6EFCE"/>
            <w:noWrap/>
            <w:vAlign w:val="center"/>
            <w:hideMark/>
          </w:tcPr>
          <w:p w14:paraId="1DF42317" w14:textId="77777777" w:rsidR="003F5418" w:rsidRDefault="002A6C25">
            <w:pPr>
              <w:pStyle w:val="P68B1DB1-Normal4"/>
              <w:jc w:val="center"/>
              <w:rPr>
                <w:noProof/>
              </w:rPr>
            </w:pPr>
            <w:r>
              <w:rPr>
                <w:noProof/>
              </w:rPr>
              <w:t>Q2</w:t>
            </w:r>
          </w:p>
        </w:tc>
        <w:tc>
          <w:tcPr>
            <w:tcW w:w="232" w:type="pct"/>
            <w:shd w:val="clear" w:color="auto" w:fill="C6EFCE"/>
            <w:noWrap/>
            <w:vAlign w:val="center"/>
            <w:hideMark/>
          </w:tcPr>
          <w:p w14:paraId="39F2DF3B" w14:textId="77777777" w:rsidR="003F5418" w:rsidRDefault="002A6C25">
            <w:pPr>
              <w:pStyle w:val="P68B1DB1-Normal4"/>
              <w:jc w:val="center"/>
              <w:rPr>
                <w:noProof/>
              </w:rPr>
            </w:pPr>
            <w:r>
              <w:rPr>
                <w:noProof/>
              </w:rPr>
              <w:t>2023</w:t>
            </w:r>
          </w:p>
        </w:tc>
        <w:tc>
          <w:tcPr>
            <w:tcW w:w="1066" w:type="pct"/>
            <w:shd w:val="clear" w:color="auto" w:fill="C6EFCE"/>
            <w:noWrap/>
            <w:vAlign w:val="center"/>
            <w:hideMark/>
          </w:tcPr>
          <w:p w14:paraId="356AA4EA" w14:textId="77777777" w:rsidR="003F5418" w:rsidRDefault="002A6C25">
            <w:pPr>
              <w:pStyle w:val="P68B1DB1-Normal4"/>
              <w:rPr>
                <w:noProof/>
              </w:rPr>
            </w:pPr>
            <w:r>
              <w:rPr>
                <w:noProof/>
              </w:rPr>
              <w:t>További hálóhelyiségek (ágyak) létrehozására irányuló eredeti szerződések</w:t>
            </w:r>
            <w:r>
              <w:rPr>
                <w:noProof/>
              </w:rPr>
              <w:t xml:space="preserve"> odaítélése”;</w:t>
            </w:r>
          </w:p>
        </w:tc>
      </w:tr>
      <w:tr w:rsidR="003F5418" w14:paraId="287D1F4C" w14:textId="77777777">
        <w:trPr>
          <w:trHeight w:val="313"/>
          <w:jc w:val="center"/>
        </w:trPr>
        <w:tc>
          <w:tcPr>
            <w:tcW w:w="445" w:type="pct"/>
            <w:shd w:val="clear" w:color="auto" w:fill="C6EFCE"/>
            <w:noWrap/>
            <w:vAlign w:val="center"/>
            <w:hideMark/>
          </w:tcPr>
          <w:p w14:paraId="1D8AFA40" w14:textId="77777777" w:rsidR="003F5418" w:rsidRDefault="002A6C25">
            <w:pPr>
              <w:pStyle w:val="P68B1DB1-Normal4"/>
              <w:jc w:val="center"/>
              <w:rPr>
                <w:noProof/>
              </w:rPr>
            </w:pPr>
            <w:r>
              <w:rPr>
                <w:noProof/>
              </w:rPr>
              <w:t>M4C1–29</w:t>
            </w:r>
          </w:p>
        </w:tc>
        <w:tc>
          <w:tcPr>
            <w:tcW w:w="370" w:type="pct"/>
            <w:shd w:val="clear" w:color="auto" w:fill="C6EFCE"/>
            <w:noWrap/>
            <w:vAlign w:val="center"/>
            <w:hideMark/>
          </w:tcPr>
          <w:p w14:paraId="77AF3766" w14:textId="77777777" w:rsidR="003F5418" w:rsidRDefault="002A6C25">
            <w:pPr>
              <w:pStyle w:val="P68B1DB1-Normal4"/>
              <w:jc w:val="center"/>
              <w:rPr>
                <w:noProof/>
              </w:rPr>
            </w:pPr>
            <w:r>
              <w:rPr>
                <w:noProof/>
              </w:rPr>
              <w:t>Reform: A diákok lakhatására vonatkozó szabályozás reformja és a diákok lakhatásába való beruházás</w:t>
            </w:r>
          </w:p>
        </w:tc>
        <w:tc>
          <w:tcPr>
            <w:tcW w:w="463" w:type="pct"/>
            <w:shd w:val="clear" w:color="auto" w:fill="C6EFCE"/>
            <w:noWrap/>
            <w:vAlign w:val="center"/>
            <w:hideMark/>
          </w:tcPr>
          <w:p w14:paraId="17ED2F34" w14:textId="77777777" w:rsidR="003F5418" w:rsidRDefault="002A6C25">
            <w:pPr>
              <w:pStyle w:val="P68B1DB1-Normal4"/>
              <w:jc w:val="center"/>
              <w:rPr>
                <w:noProof/>
              </w:rPr>
            </w:pPr>
            <w:r>
              <w:rPr>
                <w:noProof/>
              </w:rPr>
              <w:t>Mérföldkő</w:t>
            </w:r>
          </w:p>
        </w:tc>
        <w:tc>
          <w:tcPr>
            <w:tcW w:w="556" w:type="pct"/>
            <w:shd w:val="clear" w:color="auto" w:fill="C6EFCE"/>
            <w:noWrap/>
            <w:vAlign w:val="center"/>
            <w:hideMark/>
          </w:tcPr>
          <w:p w14:paraId="0138AE25" w14:textId="77777777" w:rsidR="003F5418" w:rsidRDefault="002A6C25">
            <w:pPr>
              <w:pStyle w:val="P68B1DB1-Normal4"/>
              <w:jc w:val="center"/>
              <w:rPr>
                <w:noProof/>
              </w:rPr>
            </w:pPr>
            <w:r>
              <w:rPr>
                <w:noProof/>
              </w:rPr>
              <w:t>A diákok lakhatására vonatkozó jogszabályok reformjának hatálybalépése.</w:t>
            </w:r>
          </w:p>
        </w:tc>
        <w:tc>
          <w:tcPr>
            <w:tcW w:w="552" w:type="pct"/>
            <w:shd w:val="clear" w:color="auto" w:fill="C6EFCE"/>
            <w:noWrap/>
            <w:vAlign w:val="center"/>
            <w:hideMark/>
          </w:tcPr>
          <w:p w14:paraId="767D6328" w14:textId="77777777" w:rsidR="003F5418" w:rsidRDefault="002A6C25">
            <w:pPr>
              <w:pStyle w:val="P68B1DB1-Normal4"/>
              <w:jc w:val="center"/>
              <w:rPr>
                <w:noProof/>
              </w:rPr>
            </w:pPr>
            <w:r>
              <w:rPr>
                <w:noProof/>
              </w:rPr>
              <w:t xml:space="preserve">A törvénynek a reform hatálybalépését feltüntető </w:t>
            </w:r>
            <w:r>
              <w:rPr>
                <w:noProof/>
              </w:rPr>
              <w:t>rendelkezése.</w:t>
            </w:r>
          </w:p>
        </w:tc>
        <w:tc>
          <w:tcPr>
            <w:tcW w:w="375" w:type="pct"/>
            <w:shd w:val="clear" w:color="auto" w:fill="C6EFCE"/>
            <w:noWrap/>
            <w:vAlign w:val="center"/>
            <w:hideMark/>
          </w:tcPr>
          <w:p w14:paraId="4351EBB2" w14:textId="77777777" w:rsidR="003F5418" w:rsidRDefault="002A6C25">
            <w:pPr>
              <w:pStyle w:val="P68B1DB1-Normal4"/>
              <w:jc w:val="center"/>
              <w:rPr>
                <w:noProof/>
              </w:rPr>
            </w:pPr>
            <w:r>
              <w:rPr>
                <w:noProof/>
              </w:rPr>
              <w:t>NINCS</w:t>
            </w:r>
          </w:p>
        </w:tc>
        <w:tc>
          <w:tcPr>
            <w:tcW w:w="370" w:type="pct"/>
            <w:shd w:val="clear" w:color="auto" w:fill="C6EFCE"/>
            <w:noWrap/>
            <w:vAlign w:val="center"/>
            <w:hideMark/>
          </w:tcPr>
          <w:p w14:paraId="38CBDBEA" w14:textId="77777777" w:rsidR="003F5418" w:rsidRDefault="002A6C25">
            <w:pPr>
              <w:pStyle w:val="P68B1DB1-Normal4"/>
              <w:jc w:val="center"/>
              <w:rPr>
                <w:noProof/>
              </w:rPr>
            </w:pPr>
            <w:r>
              <w:rPr>
                <w:noProof/>
              </w:rPr>
              <w:t>NINCS</w:t>
            </w:r>
          </w:p>
        </w:tc>
        <w:tc>
          <w:tcPr>
            <w:tcW w:w="277" w:type="pct"/>
            <w:shd w:val="clear" w:color="auto" w:fill="C6EFCE"/>
            <w:noWrap/>
            <w:vAlign w:val="center"/>
            <w:hideMark/>
          </w:tcPr>
          <w:p w14:paraId="7FC06816" w14:textId="77777777" w:rsidR="003F5418" w:rsidRDefault="002A6C25">
            <w:pPr>
              <w:pStyle w:val="P68B1DB1-Normal4"/>
              <w:jc w:val="center"/>
              <w:rPr>
                <w:noProof/>
              </w:rPr>
            </w:pPr>
            <w:r>
              <w:rPr>
                <w:noProof/>
              </w:rPr>
              <w:t>NINCS</w:t>
            </w:r>
          </w:p>
        </w:tc>
        <w:tc>
          <w:tcPr>
            <w:tcW w:w="294" w:type="pct"/>
            <w:shd w:val="clear" w:color="auto" w:fill="C6EFCE"/>
            <w:noWrap/>
            <w:vAlign w:val="center"/>
            <w:hideMark/>
          </w:tcPr>
          <w:p w14:paraId="13660A28" w14:textId="77777777" w:rsidR="003F5418" w:rsidRDefault="002A6C25">
            <w:pPr>
              <w:pStyle w:val="P68B1DB1-Normal4"/>
              <w:jc w:val="center"/>
              <w:rPr>
                <w:noProof/>
              </w:rPr>
            </w:pPr>
            <w:r>
              <w:rPr>
                <w:noProof/>
              </w:rPr>
              <w:t>Q4</w:t>
            </w:r>
          </w:p>
        </w:tc>
        <w:tc>
          <w:tcPr>
            <w:tcW w:w="232" w:type="pct"/>
            <w:shd w:val="clear" w:color="auto" w:fill="C6EFCE"/>
            <w:noWrap/>
            <w:vAlign w:val="center"/>
            <w:hideMark/>
          </w:tcPr>
          <w:p w14:paraId="4CA0653D" w14:textId="77777777" w:rsidR="003F5418" w:rsidRDefault="002A6C25">
            <w:pPr>
              <w:pStyle w:val="P68B1DB1-Normal4"/>
              <w:jc w:val="center"/>
              <w:rPr>
                <w:noProof/>
              </w:rPr>
            </w:pPr>
            <w:r>
              <w:rPr>
                <w:noProof/>
              </w:rPr>
              <w:t>2022</w:t>
            </w:r>
          </w:p>
        </w:tc>
        <w:tc>
          <w:tcPr>
            <w:tcW w:w="1066" w:type="pct"/>
            <w:shd w:val="clear" w:color="auto" w:fill="C6EFCE"/>
            <w:noWrap/>
            <w:vAlign w:val="center"/>
            <w:hideMark/>
          </w:tcPr>
          <w:p w14:paraId="4058C4A7" w14:textId="77777777" w:rsidR="003F5418" w:rsidRDefault="002A6C25">
            <w:pPr>
              <w:pStyle w:val="P68B1DB1-Normal4"/>
              <w:rPr>
                <w:noProof/>
              </w:rPr>
            </w:pPr>
            <w:r>
              <w:rPr>
                <w:noProof/>
              </w:rPr>
              <w:t>A reform a következőket foglalja magában: A finanszírozásban való részvétel megnyitása a magánbefektetők előtt is, lehetővé téve a köz- és magánszféra közötti partnerségeket is, ahol az egyetem felhasználja a rendelk</w:t>
            </w:r>
            <w:r>
              <w:rPr>
                <w:noProof/>
              </w:rPr>
              <w:t>ezésre álló forrásokat a diáklakásokkal kapcsolatos ingatlanberuházások pénzügyi egyensúlyának támogatására; (2). A magánberuházások hosszú távú fenntarthatóságának biztosítása annak garantálásával, hogy az adózási rendszer a szállodai szolgáltatásokra alk</w:t>
            </w:r>
            <w:r>
              <w:rPr>
                <w:noProof/>
              </w:rPr>
              <w:t>almazottról a szociális lakásokra alkalmazott adórendszerre változzon, az új szálláshelyek diákszállási célú használatának az egyetemi év során történő korlátozásával, de a struktúrák használatának lehetővé tételével, amennyiben azok nem szükségesek a diák</w:t>
            </w:r>
            <w:r>
              <w:rPr>
                <w:noProof/>
              </w:rPr>
              <w:t xml:space="preserve">ok vendéglátásához; (3). A finanszírozás, valamint a kiegészítő adókedvezmények (például a szociális lakásokkal való egyenlő bánásmód) feltételekhez kötése a hallgatói lakhatáshoz szükséges új szálláshelyeknek a teljes beruházási időhorizont során történő </w:t>
            </w:r>
            <w:r>
              <w:rPr>
                <w:noProof/>
              </w:rPr>
              <w:t>használatához, valamint a diákoknak felszámított bérleti díjak megállapodás szerinti felső határának való megfeleléshez, még a különleges finanszírozási rendszerek lejárta után is, amelyek hozzájárulnak a magánszereplők beruházásainak ösztönzéséhez; (4). A</w:t>
            </w:r>
            <w:r>
              <w:rPr>
                <w:noProof/>
              </w:rPr>
              <w:t xml:space="preserve"> diákszállásokra vonatkozó előírások újrafogalmazása az épületekben rendelkezésre álló közös férőhelyre vonatkozó jogi követelmények újrafogalmazása a jobban felszerelt (egyetlen) szobákért cserébe.</w:t>
            </w:r>
          </w:p>
        </w:tc>
      </w:tr>
      <w:tr w:rsidR="003F5418" w14:paraId="662282E1" w14:textId="77777777">
        <w:trPr>
          <w:trHeight w:val="313"/>
          <w:jc w:val="center"/>
        </w:trPr>
        <w:tc>
          <w:tcPr>
            <w:tcW w:w="445" w:type="pct"/>
            <w:shd w:val="clear" w:color="auto" w:fill="C6EFCE"/>
            <w:noWrap/>
            <w:vAlign w:val="center"/>
            <w:hideMark/>
          </w:tcPr>
          <w:p w14:paraId="63267E46" w14:textId="77777777" w:rsidR="003F5418" w:rsidRDefault="002A6C25">
            <w:pPr>
              <w:pStyle w:val="P68B1DB1-Normal4"/>
              <w:jc w:val="center"/>
              <w:rPr>
                <w:noProof/>
              </w:rPr>
            </w:pPr>
            <w:r>
              <w:rPr>
                <w:noProof/>
              </w:rPr>
              <w:t>M4C1–30</w:t>
            </w:r>
          </w:p>
        </w:tc>
        <w:tc>
          <w:tcPr>
            <w:tcW w:w="370" w:type="pct"/>
            <w:shd w:val="clear" w:color="auto" w:fill="C6EFCE"/>
            <w:noWrap/>
            <w:vAlign w:val="center"/>
            <w:hideMark/>
          </w:tcPr>
          <w:p w14:paraId="56C73133" w14:textId="77777777" w:rsidR="003F5418" w:rsidRDefault="002A6C25">
            <w:pPr>
              <w:pStyle w:val="P68B1DB1-Normal4"/>
              <w:jc w:val="center"/>
              <w:rPr>
                <w:noProof/>
              </w:rPr>
            </w:pPr>
            <w:r>
              <w:rPr>
                <w:noProof/>
              </w:rPr>
              <w:t xml:space="preserve">Reform: A diákok lakhatására vonatkozó </w:t>
            </w:r>
            <w:r>
              <w:rPr>
                <w:noProof/>
              </w:rPr>
              <w:t>szabályozás reformja és a diákok lakhatásába való beruházás</w:t>
            </w:r>
          </w:p>
        </w:tc>
        <w:tc>
          <w:tcPr>
            <w:tcW w:w="463" w:type="pct"/>
            <w:shd w:val="clear" w:color="auto" w:fill="C6EFCE"/>
            <w:noWrap/>
            <w:vAlign w:val="center"/>
            <w:hideMark/>
          </w:tcPr>
          <w:p w14:paraId="32B74F57" w14:textId="77777777" w:rsidR="003F5418" w:rsidRDefault="002A6C25">
            <w:pPr>
              <w:pStyle w:val="P68B1DB1-Normal4"/>
              <w:jc w:val="center"/>
              <w:rPr>
                <w:noProof/>
              </w:rPr>
            </w:pPr>
            <w:r>
              <w:rPr>
                <w:noProof/>
              </w:rPr>
              <w:t>Cél</w:t>
            </w:r>
          </w:p>
        </w:tc>
        <w:tc>
          <w:tcPr>
            <w:tcW w:w="556" w:type="pct"/>
            <w:shd w:val="clear" w:color="auto" w:fill="C6EFCE"/>
            <w:noWrap/>
            <w:vAlign w:val="center"/>
            <w:hideMark/>
          </w:tcPr>
          <w:p w14:paraId="3D6B7FF7" w14:textId="77777777" w:rsidR="003F5418" w:rsidRDefault="002A6C25">
            <w:pPr>
              <w:pStyle w:val="P68B1DB1-Normal4"/>
              <w:jc w:val="center"/>
              <w:rPr>
                <w:noProof/>
              </w:rPr>
            </w:pPr>
            <w:r>
              <w:rPr>
                <w:noProof/>
              </w:rPr>
              <w:t>A vonatkozó jogszabályok szerint létrehozott hallgatói hálóhelyiségek</w:t>
            </w:r>
          </w:p>
        </w:tc>
        <w:tc>
          <w:tcPr>
            <w:tcW w:w="552" w:type="pct"/>
            <w:shd w:val="clear" w:color="auto" w:fill="C6EFCE"/>
            <w:noWrap/>
            <w:vAlign w:val="center"/>
            <w:hideMark/>
          </w:tcPr>
          <w:p w14:paraId="60190BE2" w14:textId="77777777" w:rsidR="003F5418" w:rsidRDefault="002A6C25">
            <w:pPr>
              <w:pStyle w:val="P68B1DB1-Normal4"/>
              <w:jc w:val="center"/>
              <w:rPr>
                <w:noProof/>
              </w:rPr>
            </w:pPr>
            <w:r>
              <w:rPr>
                <w:noProof/>
              </w:rPr>
              <w:t>NINCS</w:t>
            </w:r>
          </w:p>
        </w:tc>
        <w:tc>
          <w:tcPr>
            <w:tcW w:w="375" w:type="pct"/>
            <w:shd w:val="clear" w:color="auto" w:fill="C6EFCE"/>
            <w:noWrap/>
            <w:vAlign w:val="center"/>
            <w:hideMark/>
          </w:tcPr>
          <w:p w14:paraId="3BE9BF2F" w14:textId="77777777" w:rsidR="003F5418" w:rsidRDefault="002A6C25">
            <w:pPr>
              <w:pStyle w:val="P68B1DB1-Normal4"/>
              <w:jc w:val="center"/>
              <w:rPr>
                <w:noProof/>
              </w:rPr>
            </w:pPr>
            <w:r>
              <w:rPr>
                <w:noProof/>
              </w:rPr>
              <w:t>Szám</w:t>
            </w:r>
          </w:p>
        </w:tc>
        <w:tc>
          <w:tcPr>
            <w:tcW w:w="370" w:type="pct"/>
            <w:shd w:val="clear" w:color="auto" w:fill="C6EFCE"/>
            <w:noWrap/>
            <w:vAlign w:val="center"/>
            <w:hideMark/>
          </w:tcPr>
          <w:p w14:paraId="11583F00" w14:textId="77777777" w:rsidR="003F5418" w:rsidRDefault="002A6C25">
            <w:pPr>
              <w:pStyle w:val="P68B1DB1-Normal4"/>
              <w:jc w:val="center"/>
              <w:rPr>
                <w:noProof/>
              </w:rPr>
            </w:pPr>
            <w:r>
              <w:rPr>
                <w:noProof/>
              </w:rPr>
              <w:t>0</w:t>
            </w:r>
          </w:p>
        </w:tc>
        <w:tc>
          <w:tcPr>
            <w:tcW w:w="277" w:type="pct"/>
            <w:shd w:val="clear" w:color="auto" w:fill="C6EFCE"/>
            <w:noWrap/>
            <w:vAlign w:val="center"/>
            <w:hideMark/>
          </w:tcPr>
          <w:p w14:paraId="01759D13" w14:textId="3D36C7E3" w:rsidR="003F5418" w:rsidRDefault="002A6C25">
            <w:pPr>
              <w:pStyle w:val="P68B1DB1-Normal4"/>
              <w:jc w:val="center"/>
              <w:rPr>
                <w:noProof/>
              </w:rPr>
            </w:pPr>
            <w:r>
              <w:rPr>
                <w:noProof/>
              </w:rPr>
              <w:t>60 000</w:t>
            </w:r>
          </w:p>
        </w:tc>
        <w:tc>
          <w:tcPr>
            <w:tcW w:w="294" w:type="pct"/>
            <w:shd w:val="clear" w:color="auto" w:fill="C6EFCE"/>
            <w:noWrap/>
            <w:vAlign w:val="center"/>
            <w:hideMark/>
          </w:tcPr>
          <w:p w14:paraId="18178C9D" w14:textId="77777777" w:rsidR="003F5418" w:rsidRDefault="002A6C25">
            <w:pPr>
              <w:pStyle w:val="P68B1DB1-Normal4"/>
              <w:jc w:val="center"/>
              <w:rPr>
                <w:noProof/>
              </w:rPr>
            </w:pPr>
            <w:r>
              <w:rPr>
                <w:noProof/>
              </w:rPr>
              <w:t>Q2</w:t>
            </w:r>
          </w:p>
        </w:tc>
        <w:tc>
          <w:tcPr>
            <w:tcW w:w="232" w:type="pct"/>
            <w:shd w:val="clear" w:color="auto" w:fill="C6EFCE"/>
            <w:noWrap/>
            <w:vAlign w:val="center"/>
            <w:hideMark/>
          </w:tcPr>
          <w:p w14:paraId="5A7A2B0B" w14:textId="77777777" w:rsidR="003F5418" w:rsidRDefault="002A6C25">
            <w:pPr>
              <w:pStyle w:val="P68B1DB1-Normal4"/>
              <w:jc w:val="center"/>
              <w:rPr>
                <w:noProof/>
              </w:rPr>
            </w:pPr>
            <w:r>
              <w:rPr>
                <w:noProof/>
              </w:rPr>
              <w:t>2026</w:t>
            </w:r>
          </w:p>
        </w:tc>
        <w:tc>
          <w:tcPr>
            <w:tcW w:w="1066" w:type="pct"/>
            <w:shd w:val="clear" w:color="auto" w:fill="C6EFCE"/>
            <w:noWrap/>
            <w:vAlign w:val="center"/>
            <w:hideMark/>
          </w:tcPr>
          <w:p w14:paraId="1BD21955" w14:textId="5DE9A7F7" w:rsidR="003F5418" w:rsidRDefault="002A6C25">
            <w:pPr>
              <w:pStyle w:val="paragraph"/>
              <w:spacing w:before="0" w:beforeAutospacing="0" w:after="0" w:afterAutospacing="0"/>
              <w:textAlignment w:val="baseline"/>
              <w:rPr>
                <w:rFonts w:ascii="Arial Narrow" w:hAnsi="Arial Narrow" w:cs="Segoe UI"/>
                <w:noProof/>
                <w:sz w:val="20"/>
              </w:rPr>
            </w:pPr>
            <w:r>
              <w:rPr>
                <w:rStyle w:val="normaltextrun"/>
                <w:rFonts w:ascii="Arial Narrow" w:hAnsi="Arial Narrow"/>
                <w:noProof/>
                <w:color w:val="006100"/>
                <w:sz w:val="20"/>
              </w:rPr>
              <w:t xml:space="preserve">Legalább 60000 további hálóhelyiség (ágy) létrehozása a vonatkozó jogszabályok alapján, </w:t>
            </w:r>
            <w:r>
              <w:rPr>
                <w:rStyle w:val="normaltextrun"/>
                <w:rFonts w:ascii="Arial Narrow" w:hAnsi="Arial Narrow"/>
                <w:noProof/>
                <w:color w:val="006100"/>
                <w:sz w:val="20"/>
              </w:rPr>
              <w:t xml:space="preserve">beleértve a 2022 augusztusában felülvizsgált 338/2000. sz. törvényt és az M4C1–29. mérföldkő 1.7. reform keretében elfogadott új jogalkotási rendszert: A diákok lakhatására vonatkozó szabályozás reformja és a diákok lakhatásába való beruházás </w:t>
            </w:r>
          </w:p>
        </w:tc>
      </w:tr>
    </w:tbl>
    <w:p w14:paraId="5503E9FF" w14:textId="77777777" w:rsidR="003F5418" w:rsidRDefault="003F5418">
      <w:pPr>
        <w:spacing w:before="120" w:after="120"/>
        <w:ind w:left="709"/>
        <w:jc w:val="both"/>
        <w:rPr>
          <w:b/>
          <w:noProof/>
        </w:rPr>
        <w:sectPr w:rsidR="003F5418">
          <w:headerReference w:type="even" r:id="rId272"/>
          <w:headerReference w:type="default" r:id="rId273"/>
          <w:footerReference w:type="even" r:id="rId274"/>
          <w:footerReference w:type="default" r:id="rId275"/>
          <w:headerReference w:type="first" r:id="rId276"/>
          <w:footerReference w:type="first" r:id="rId277"/>
          <w:pgSz w:w="16839" w:h="11907" w:orient="landscape"/>
          <w:pgMar w:top="1134" w:right="1134" w:bottom="1134" w:left="1134" w:header="567" w:footer="567" w:gutter="0"/>
          <w:cols w:space="720"/>
          <w:docGrid w:linePitch="360"/>
        </w:sectPr>
      </w:pPr>
    </w:p>
    <w:p w14:paraId="1234C9EF" w14:textId="77777777" w:rsidR="003F5418" w:rsidRDefault="002A6C25">
      <w:pPr>
        <w:pStyle w:val="Heading2"/>
        <w:numPr>
          <w:ilvl w:val="0"/>
          <w:numId w:val="0"/>
        </w:numPr>
        <w:rPr>
          <w:noProof/>
        </w:rPr>
      </w:pPr>
      <w:r>
        <w:rPr>
          <w:noProof/>
        </w:rPr>
        <w:t xml:space="preserve">K. 4. ELLENŐRZŐ LÁTOGATÁS, 2. KOMPONENS: </w:t>
      </w:r>
      <w:r>
        <w:rPr>
          <w:noProof/>
          <w:u w:val="single"/>
        </w:rPr>
        <w:t>A kutatástól a vállalkozásig</w:t>
      </w:r>
    </w:p>
    <w:p w14:paraId="0E3397B1" w14:textId="77777777" w:rsidR="003F5418" w:rsidRDefault="002A6C25">
      <w:pPr>
        <w:spacing w:before="120" w:after="120"/>
        <w:jc w:val="both"/>
        <w:rPr>
          <w:rFonts w:eastAsia="Calibri"/>
          <w:noProof/>
        </w:rPr>
      </w:pPr>
      <w:r>
        <w:rPr>
          <w:noProof/>
        </w:rPr>
        <w:t>Az olasz helyreállítási és rezilienciaépítési</w:t>
      </w:r>
      <w:r>
        <w:rPr>
          <w:noProof/>
        </w:rPr>
        <w:t xml:space="preserve"> terv ezen komponensének célja a kutatási és innovációs beruházások támogatása, az innováció és a technológiaterjesztés előmozdítása, a készségek megerősítése és a tudásalapú gazdaságra való átállás támogatása. Támogatja az állami kutatási rendszert, a kut</w:t>
      </w:r>
      <w:r>
        <w:rPr>
          <w:noProof/>
        </w:rPr>
        <w:t>atók készségeit és mobilitását, valamint a köz- és magánszféra közötti együttműködést nemzeti és uniós szinten. Három fő pillérre épül:  i. a tudományos alap javítása; az üzleti élet és a tudomány közötti szoros kapcsolatok (tudás- és technológiatranszfer;</w:t>
      </w:r>
      <w:r>
        <w:rPr>
          <w:noProof/>
        </w:rPr>
        <w:t xml:space="preserve"> az üzleti innováció (különösen kkv-k, induló vállalkozások) támogatása.</w:t>
      </w:r>
    </w:p>
    <w:p w14:paraId="6C4F07D0" w14:textId="36663D96" w:rsidR="003F5418" w:rsidRDefault="002A6C25">
      <w:pPr>
        <w:spacing w:before="120" w:after="120"/>
        <w:jc w:val="both"/>
        <w:rPr>
          <w:noProof/>
        </w:rPr>
      </w:pPr>
      <w:r>
        <w:rPr>
          <w:noProof/>
        </w:rPr>
        <w:t>Az e komponens alá tartozó beruházásoknak és reformoknak hozzá kell járulniuk a 2020-ban és 2019-ben Olaszországnak címzett, „a beruházásokkal kapcsolatos gazdaságpolitikának a kutatá</w:t>
      </w:r>
      <w:r>
        <w:rPr>
          <w:noProof/>
        </w:rPr>
        <w:t>sra és innovációra, valamint az infrastruktúra minőségére való összpontosítása” (3. országspecifikus ajánlás, 2019. évi 3. országspecifikus ajánlás), „a gazdasági fellendülést elősegítő magánberuházások előmozdítása” (3. országspecifikus ajánlás, 2020. évi</w:t>
      </w:r>
      <w:r>
        <w:rPr>
          <w:noProof/>
        </w:rPr>
        <w:t xml:space="preserve"> 3. ajánlás), valamint „a beruházásoknak a zöld és digitális átállásra, különösen a kutatásra és az innovációra való összpontosítása” (2020. évi 3. országspecifikus ajánlás). </w:t>
      </w:r>
    </w:p>
    <w:p w14:paraId="2EEB9E57" w14:textId="77777777" w:rsidR="003F5418" w:rsidRDefault="002A6C25">
      <w:pPr>
        <w:pStyle w:val="Heading3"/>
        <w:numPr>
          <w:ilvl w:val="0"/>
          <w:numId w:val="0"/>
        </w:numPr>
        <w:ind w:left="850" w:hanging="850"/>
        <w:rPr>
          <w:b/>
          <w:i w:val="0"/>
          <w:noProof/>
          <w:u w:val="single"/>
        </w:rPr>
      </w:pPr>
      <w:r>
        <w:rPr>
          <w:b/>
          <w:i w:val="0"/>
          <w:noProof/>
          <w:u w:val="single"/>
        </w:rPr>
        <w:t xml:space="preserve">K.1. </w:t>
      </w:r>
      <w:r>
        <w:rPr>
          <w:noProof/>
        </w:rPr>
        <w:t xml:space="preserve"> </w:t>
      </w:r>
      <w:r>
        <w:rPr>
          <w:b/>
          <w:i w:val="0"/>
          <w:noProof/>
          <w:u w:val="single"/>
        </w:rPr>
        <w:t>Vissza nem térítendő pénzügyi támogatás – a reformok és beruházások ismert</w:t>
      </w:r>
      <w:r>
        <w:rPr>
          <w:b/>
          <w:i w:val="0"/>
          <w:noProof/>
          <w:u w:val="single"/>
        </w:rPr>
        <w:t>etése</w:t>
      </w:r>
    </w:p>
    <w:p w14:paraId="2026391D" w14:textId="55F38F10" w:rsidR="003F5418" w:rsidRDefault="00152815">
      <w:pPr>
        <w:pStyle w:val="P68B1DB1-Normal2"/>
        <w:spacing w:before="120" w:after="120"/>
        <w:jc w:val="both"/>
        <w:rPr>
          <w:noProof/>
        </w:rPr>
      </w:pPr>
      <w:r>
        <w:rPr>
          <w:noProof/>
        </w:rPr>
        <w:t>1</w:t>
      </w:r>
      <w:r w:rsidRPr="00B07E42">
        <w:rPr>
          <w:noProof/>
        </w:rPr>
        <w:t>.</w:t>
      </w:r>
      <w:r>
        <w:rPr>
          <w:noProof/>
        </w:rPr>
        <w:t>2</w:t>
      </w:r>
      <w:r w:rsidRPr="00B07E42">
        <w:rPr>
          <w:noProof/>
        </w:rPr>
        <w:t>.</w:t>
      </w:r>
      <w:r>
        <w:rPr>
          <w:noProof/>
        </w:rPr>
        <w:t xml:space="preserve"> Beruházás: Fiatal kutatók által előterjesztett projektek finanszírozása</w:t>
      </w:r>
    </w:p>
    <w:p w14:paraId="7569C847" w14:textId="77777777" w:rsidR="003F5418" w:rsidRDefault="002A6C25">
      <w:pPr>
        <w:spacing w:after="120"/>
        <w:jc w:val="both"/>
        <w:rPr>
          <w:noProof/>
        </w:rPr>
      </w:pPr>
      <w:r>
        <w:rPr>
          <w:noProof/>
        </w:rPr>
        <w:t>A beruházás célja, hogy új lehetőségeket biztosítson a fiatal kutatók számára, hogy megtarthassák őket Olaszországban. Az intézkedés legalább 850 fiatal kutató kutatási tevé</w:t>
      </w:r>
      <w:r>
        <w:rPr>
          <w:noProof/>
        </w:rPr>
        <w:t>kenységeit támogatja olyan programok mintájára, mint az Európai Kutatási Tanács (EKT) és a Marie Skłodowska-Curie egyéni ösztöndíjak (MSCA-IF), a kiválósági pecsét és a doktori posztdoktori nemzetközi kutatók, annak érdekében, hogy kezdeti tapasztalatot sz</w:t>
      </w:r>
      <w:r>
        <w:rPr>
          <w:noProof/>
        </w:rPr>
        <w:t>erezzenek a kutatási felelősség terén. Az EKT-kutatók számára elkülönített hozzájárulás egy részét legalább egy nem pályaorientációs kutató felvételére kell fordítani.</w:t>
      </w:r>
    </w:p>
    <w:p w14:paraId="76353537" w14:textId="77777777" w:rsidR="003F5418" w:rsidRDefault="002A6C25">
      <w:pPr>
        <w:spacing w:after="120"/>
        <w:jc w:val="both"/>
        <w:rPr>
          <w:rFonts w:eastAsia="Calibri"/>
          <w:noProof/>
        </w:rPr>
      </w:pPr>
      <w:r>
        <w:rPr>
          <w:noProof/>
        </w:rPr>
        <w:t>Annak biztosítása érdekében, hogy az intézkedés megfeleljen a jelentős károkozás elkerül</w:t>
      </w:r>
      <w:r>
        <w:rPr>
          <w:noProof/>
        </w:rPr>
        <w:t>ését célzó elvről szóló technikai iránymutatásnak (2021/C58/01), a soron következő pályázati felhívásokra vonatkozó feladatmeghatározásban szereplő támogathatósági kritériumok nem tartalmazzák a tevékenységek alábbi listáját: a fosszilis tüzelőanyagokkal k</w:t>
      </w:r>
      <w:r>
        <w:rPr>
          <w:noProof/>
        </w:rPr>
        <w:t>apcsolatos tevékenységek, beleértve a továbbfelhasználást is</w:t>
      </w:r>
      <w:r>
        <w:rPr>
          <w:rStyle w:val="FootnoteReference"/>
          <w:noProof/>
        </w:rPr>
        <w:footnoteReference w:id="71"/>
      </w:r>
      <w:r>
        <w:rPr>
          <w:noProof/>
        </w:rPr>
        <w:t>; ii. az uniós kibocsátáskereskedelmi rendszer (ETS) keretében végzett tevékenységek, amelyek elérik a vonatkozó referenciaértékeket meg nem haladó, előre jelzett üvegházhatásúgáz-kibocsátást</w:t>
      </w:r>
      <w:r>
        <w:rPr>
          <w:rStyle w:val="FootnoteReference"/>
          <w:noProof/>
        </w:rPr>
        <w:footnoteReference w:id="72"/>
      </w:r>
      <w:r>
        <w:rPr>
          <w:noProof/>
        </w:rPr>
        <w:t>; h</w:t>
      </w:r>
      <w:r>
        <w:rPr>
          <w:noProof/>
        </w:rPr>
        <w:t>ulladéklerakókkal, hulladékégetőkkel</w:t>
      </w:r>
      <w:r>
        <w:rPr>
          <w:rStyle w:val="FootnoteReference"/>
          <w:noProof/>
        </w:rPr>
        <w:footnoteReference w:id="73"/>
      </w:r>
      <w:r>
        <w:rPr>
          <w:noProof/>
        </w:rPr>
        <w:t xml:space="preserve"> és mechanikai-biológiai hulladékkezelő létesítményekkel kapcsolatos tevékenységek</w:t>
      </w:r>
      <w:r>
        <w:rPr>
          <w:rStyle w:val="FootnoteReference"/>
          <w:noProof/>
        </w:rPr>
        <w:footnoteReference w:id="74"/>
      </w:r>
      <w:r>
        <w:rPr>
          <w:noProof/>
        </w:rPr>
        <w:t>; valamint iv. azok a tevékenységek, amelyek esetében a hulladék hosszú távú ártalmatlanítása károsíthatja a környezetet. A feladatmegha</w:t>
      </w:r>
      <w:r>
        <w:rPr>
          <w:noProof/>
        </w:rPr>
        <w:t>tározás előírja továbbá, hogy csak olyan tevékenységek választhatók ki, amelyek megfelelnek a vonatkozó uniós és nemzeti környezetvédelmi jogszabályoknak.</w:t>
      </w:r>
    </w:p>
    <w:p w14:paraId="0D60CCAD" w14:textId="372CC85D" w:rsidR="003F5418" w:rsidRDefault="003F5418">
      <w:pPr>
        <w:spacing w:before="120" w:after="120"/>
        <w:jc w:val="both"/>
        <w:rPr>
          <w:rFonts w:eastAsia="Calibri"/>
          <w:noProof/>
        </w:rPr>
      </w:pPr>
    </w:p>
    <w:p w14:paraId="6615134F" w14:textId="1EE1B19C" w:rsidR="003F5418" w:rsidRDefault="00152815">
      <w:pPr>
        <w:pStyle w:val="P68B1DB1-Normal2"/>
        <w:spacing w:before="120" w:after="120" w:line="257" w:lineRule="auto"/>
        <w:ind w:left="-680" w:firstLine="709"/>
        <w:jc w:val="both"/>
        <w:rPr>
          <w:i/>
          <w:noProof/>
          <w:u w:val="single"/>
        </w:rPr>
      </w:pPr>
      <w:r>
        <w:rPr>
          <w:noProof/>
        </w:rPr>
        <w:t>2</w:t>
      </w:r>
      <w:r w:rsidRPr="00B07E42">
        <w:rPr>
          <w:noProof/>
        </w:rPr>
        <w:t>.</w:t>
      </w:r>
      <w:r>
        <w:rPr>
          <w:noProof/>
        </w:rPr>
        <w:t>2</w:t>
      </w:r>
      <w:r w:rsidRPr="00B07E42">
        <w:rPr>
          <w:noProof/>
        </w:rPr>
        <w:t>.</w:t>
      </w:r>
      <w:r>
        <w:rPr>
          <w:noProof/>
        </w:rPr>
        <w:t xml:space="preserve"> Beruházás: Innovációs megállapodások</w:t>
      </w:r>
    </w:p>
    <w:p w14:paraId="721B0091" w14:textId="77777777" w:rsidR="003F5418" w:rsidRDefault="002A6C25">
      <w:pPr>
        <w:jc w:val="both"/>
        <w:rPr>
          <w:noProof/>
        </w:rPr>
      </w:pPr>
      <w:r>
        <w:rPr>
          <w:noProof/>
        </w:rPr>
        <w:t>A beruházás célja olyan kutatási, fejlesztési és innováció</w:t>
      </w:r>
      <w:r>
        <w:rPr>
          <w:noProof/>
        </w:rPr>
        <w:t>s projektek (úgynevezett „innovációs megállapodások”) finanszírozása, amelyek célja új termékek, eljárások vagy szolgáltatások létrehozásának, illetve a meglévők fejlesztésének támogatása a kulcsfontosságú alaptechnológiák fejlesztése révén, a Horizont Eur</w:t>
      </w:r>
      <w:r>
        <w:rPr>
          <w:noProof/>
        </w:rPr>
        <w:t xml:space="preserve">ópa program II. pillérével összhangban lévő területeken, az (EU) 2021/695 rendeletnek megfelelően. </w:t>
      </w:r>
    </w:p>
    <w:p w14:paraId="10F1B5C9" w14:textId="77777777" w:rsidR="003F5418" w:rsidRDefault="003F5418">
      <w:pPr>
        <w:jc w:val="both"/>
        <w:rPr>
          <w:noProof/>
        </w:rPr>
      </w:pPr>
    </w:p>
    <w:p w14:paraId="23D7A448" w14:textId="3B1B4531" w:rsidR="003F5418" w:rsidRDefault="002A6C25">
      <w:pPr>
        <w:jc w:val="both"/>
        <w:rPr>
          <w:noProof/>
        </w:rPr>
      </w:pPr>
      <w:r>
        <w:rPr>
          <w:noProof/>
        </w:rPr>
        <w:t>A projekt kedvezményezettjei olyan vállalatok, vállalatok társulásai vagy kutatási szervezetek, amelyek innovációs megállapodást hajtanak végre a következő</w:t>
      </w:r>
      <w:r>
        <w:rPr>
          <w:noProof/>
        </w:rPr>
        <w:t xml:space="preserve"> beavatkozási területek egyikén: </w:t>
      </w:r>
    </w:p>
    <w:p w14:paraId="22C623D7" w14:textId="77777777" w:rsidR="003F5418" w:rsidRDefault="002A6C25">
      <w:pPr>
        <w:pStyle w:val="ListParagraph"/>
        <w:numPr>
          <w:ilvl w:val="0"/>
          <w:numId w:val="141"/>
        </w:numPr>
        <w:rPr>
          <w:noProof/>
        </w:rPr>
      </w:pPr>
      <w:r>
        <w:rPr>
          <w:noProof/>
        </w:rPr>
        <w:t xml:space="preserve">gyártási technológiák; </w:t>
      </w:r>
    </w:p>
    <w:p w14:paraId="2659C619" w14:textId="77777777" w:rsidR="003F5418" w:rsidRDefault="002A6C25">
      <w:pPr>
        <w:pStyle w:val="ListParagraph"/>
        <w:numPr>
          <w:ilvl w:val="0"/>
          <w:numId w:val="141"/>
        </w:numPr>
        <w:rPr>
          <w:noProof/>
        </w:rPr>
      </w:pPr>
      <w:r>
        <w:rPr>
          <w:noProof/>
        </w:rPr>
        <w:t>kulcsfontosságú digitális technológiák, ideértve a kvantumtechnológiákat is;</w:t>
      </w:r>
    </w:p>
    <w:p w14:paraId="5D118280" w14:textId="77777777" w:rsidR="003F5418" w:rsidRDefault="002A6C25">
      <w:pPr>
        <w:pStyle w:val="ListParagraph"/>
        <w:numPr>
          <w:ilvl w:val="0"/>
          <w:numId w:val="141"/>
        </w:numPr>
        <w:rPr>
          <w:noProof/>
        </w:rPr>
      </w:pPr>
      <w:r>
        <w:rPr>
          <w:noProof/>
        </w:rPr>
        <w:t xml:space="preserve">kialakulóban lévő alaptechnológiák; </w:t>
      </w:r>
    </w:p>
    <w:p w14:paraId="03C8450A" w14:textId="77777777" w:rsidR="003F5418" w:rsidRDefault="002A6C25">
      <w:pPr>
        <w:pStyle w:val="ListParagraph"/>
        <w:numPr>
          <w:ilvl w:val="0"/>
          <w:numId w:val="141"/>
        </w:numPr>
        <w:rPr>
          <w:noProof/>
        </w:rPr>
      </w:pPr>
      <w:r>
        <w:rPr>
          <w:noProof/>
        </w:rPr>
        <w:t>fejlett anyagok;</w:t>
      </w:r>
    </w:p>
    <w:p w14:paraId="350D509F" w14:textId="77777777" w:rsidR="003F5418" w:rsidRDefault="002A6C25">
      <w:pPr>
        <w:pStyle w:val="ListParagraph"/>
        <w:numPr>
          <w:ilvl w:val="0"/>
          <w:numId w:val="141"/>
        </w:numPr>
        <w:rPr>
          <w:noProof/>
        </w:rPr>
      </w:pPr>
      <w:r>
        <w:rPr>
          <w:noProof/>
        </w:rPr>
        <w:t xml:space="preserve">mesterséges intelligencia és robotika; </w:t>
      </w:r>
    </w:p>
    <w:p w14:paraId="5ADAC23F" w14:textId="77777777" w:rsidR="003F5418" w:rsidRDefault="002A6C25">
      <w:pPr>
        <w:pStyle w:val="ListParagraph"/>
        <w:numPr>
          <w:ilvl w:val="0"/>
          <w:numId w:val="141"/>
        </w:numPr>
        <w:rPr>
          <w:noProof/>
        </w:rPr>
      </w:pPr>
      <w:r>
        <w:rPr>
          <w:noProof/>
        </w:rPr>
        <w:t xml:space="preserve">körforgásos iparágak; </w:t>
      </w:r>
    </w:p>
    <w:p w14:paraId="155AC69A" w14:textId="77777777" w:rsidR="003F5418" w:rsidRDefault="002A6C25">
      <w:pPr>
        <w:pStyle w:val="ListParagraph"/>
        <w:numPr>
          <w:ilvl w:val="0"/>
          <w:numId w:val="141"/>
        </w:numPr>
        <w:rPr>
          <w:noProof/>
        </w:rPr>
      </w:pPr>
      <w:r>
        <w:rPr>
          <w:noProof/>
        </w:rPr>
        <w:t xml:space="preserve">karbonszegény és tiszta iparágak; </w:t>
      </w:r>
    </w:p>
    <w:p w14:paraId="5681C202" w14:textId="77777777" w:rsidR="003F5418" w:rsidRDefault="002A6C25">
      <w:pPr>
        <w:pStyle w:val="ListParagraph"/>
        <w:numPr>
          <w:ilvl w:val="0"/>
          <w:numId w:val="141"/>
        </w:numPr>
        <w:rPr>
          <w:noProof/>
        </w:rPr>
      </w:pPr>
      <w:r>
        <w:rPr>
          <w:noProof/>
        </w:rPr>
        <w:t>nem fertőző betegségek, ritka betegségek;</w:t>
      </w:r>
    </w:p>
    <w:p w14:paraId="4AFCAC2E" w14:textId="77777777" w:rsidR="003F5418" w:rsidRDefault="002A6C25">
      <w:pPr>
        <w:pStyle w:val="ListParagraph"/>
        <w:numPr>
          <w:ilvl w:val="0"/>
          <w:numId w:val="141"/>
        </w:numPr>
        <w:rPr>
          <w:noProof/>
        </w:rPr>
      </w:pPr>
      <w:r>
        <w:rPr>
          <w:noProof/>
        </w:rPr>
        <w:t xml:space="preserve">fertőző betegségek, beleértve a szegénységgel összefüggő és az elhanyagolt betegségeket is; </w:t>
      </w:r>
    </w:p>
    <w:p w14:paraId="5A66384D" w14:textId="77777777" w:rsidR="003F5418" w:rsidRDefault="002A6C25">
      <w:pPr>
        <w:pStyle w:val="ListParagraph"/>
        <w:numPr>
          <w:ilvl w:val="0"/>
          <w:numId w:val="141"/>
        </w:numPr>
        <w:rPr>
          <w:noProof/>
        </w:rPr>
      </w:pPr>
      <w:r>
        <w:rPr>
          <w:noProof/>
        </w:rPr>
        <w:t xml:space="preserve">az egészséget és a gondozást szolgáló eszközök, technológiák és digitális megoldások, </w:t>
      </w:r>
      <w:r>
        <w:rPr>
          <w:noProof/>
        </w:rPr>
        <w:t>beleértve a személyre szabott orvoslást is;</w:t>
      </w:r>
    </w:p>
    <w:p w14:paraId="1E8AC8C7" w14:textId="77777777" w:rsidR="003F5418" w:rsidRDefault="002A6C25">
      <w:pPr>
        <w:pStyle w:val="ListParagraph"/>
        <w:numPr>
          <w:ilvl w:val="0"/>
          <w:numId w:val="141"/>
        </w:numPr>
        <w:rPr>
          <w:noProof/>
        </w:rPr>
      </w:pPr>
      <w:r>
        <w:rPr>
          <w:noProof/>
        </w:rPr>
        <w:t>az energetikai átalakulásban részt vevő ipari létesítmények;</w:t>
      </w:r>
    </w:p>
    <w:p w14:paraId="4D4535DC" w14:textId="77777777" w:rsidR="003F5418" w:rsidRDefault="002A6C25">
      <w:pPr>
        <w:pStyle w:val="ListParagraph"/>
        <w:numPr>
          <w:ilvl w:val="0"/>
          <w:numId w:val="141"/>
        </w:numPr>
        <w:rPr>
          <w:noProof/>
        </w:rPr>
      </w:pPr>
      <w:r>
        <w:rPr>
          <w:noProof/>
        </w:rPr>
        <w:t>ipari versenyképesség a közlekedési ágazatban;</w:t>
      </w:r>
    </w:p>
    <w:p w14:paraId="73302245" w14:textId="77777777" w:rsidR="003F5418" w:rsidRDefault="002A6C25">
      <w:pPr>
        <w:pStyle w:val="ListParagraph"/>
        <w:numPr>
          <w:ilvl w:val="0"/>
          <w:numId w:val="141"/>
        </w:numPr>
        <w:rPr>
          <w:noProof/>
        </w:rPr>
      </w:pPr>
      <w:r>
        <w:rPr>
          <w:noProof/>
        </w:rPr>
        <w:t>tiszta, biztonságos és hozzáférhető közlekedés és mobilitás;</w:t>
      </w:r>
    </w:p>
    <w:p w14:paraId="189F99BE" w14:textId="77777777" w:rsidR="003F5418" w:rsidRDefault="002A6C25">
      <w:pPr>
        <w:pStyle w:val="ListParagraph"/>
        <w:numPr>
          <w:ilvl w:val="0"/>
          <w:numId w:val="141"/>
        </w:numPr>
        <w:rPr>
          <w:noProof/>
        </w:rPr>
      </w:pPr>
      <w:r>
        <w:rPr>
          <w:noProof/>
        </w:rPr>
        <w:t xml:space="preserve">intelligens mobilitás; </w:t>
      </w:r>
    </w:p>
    <w:p w14:paraId="3DD9DE6C" w14:textId="77777777" w:rsidR="003F5418" w:rsidRDefault="002A6C25">
      <w:pPr>
        <w:pStyle w:val="ListParagraph"/>
        <w:numPr>
          <w:ilvl w:val="0"/>
          <w:numId w:val="141"/>
        </w:numPr>
        <w:rPr>
          <w:noProof/>
        </w:rPr>
      </w:pPr>
      <w:r>
        <w:rPr>
          <w:noProof/>
        </w:rPr>
        <w:t>energiatárolás;</w:t>
      </w:r>
    </w:p>
    <w:p w14:paraId="6A36AB40" w14:textId="77777777" w:rsidR="003F5418" w:rsidRDefault="002A6C25">
      <w:pPr>
        <w:pStyle w:val="ListParagraph"/>
        <w:numPr>
          <w:ilvl w:val="0"/>
          <w:numId w:val="141"/>
        </w:numPr>
        <w:rPr>
          <w:noProof/>
        </w:rPr>
      </w:pPr>
      <w:r>
        <w:rPr>
          <w:noProof/>
        </w:rPr>
        <w:t>éle</w:t>
      </w:r>
      <w:r>
        <w:rPr>
          <w:noProof/>
        </w:rPr>
        <w:t>lmiszerrendszerek;</w:t>
      </w:r>
    </w:p>
    <w:p w14:paraId="4E54A42B" w14:textId="77777777" w:rsidR="003F5418" w:rsidRDefault="002A6C25">
      <w:pPr>
        <w:pStyle w:val="ListParagraph"/>
        <w:numPr>
          <w:ilvl w:val="0"/>
          <w:numId w:val="141"/>
        </w:numPr>
        <w:rPr>
          <w:noProof/>
        </w:rPr>
      </w:pPr>
      <w:r>
        <w:rPr>
          <w:noProof/>
        </w:rPr>
        <w:t>bioalapú innovációs rendszerek az uniós biogazdaságban;</w:t>
      </w:r>
    </w:p>
    <w:p w14:paraId="202AF15F" w14:textId="77777777" w:rsidR="003F5418" w:rsidRDefault="002A6C25">
      <w:pPr>
        <w:pStyle w:val="ListParagraph"/>
        <w:numPr>
          <w:ilvl w:val="0"/>
          <w:numId w:val="141"/>
        </w:numPr>
        <w:rPr>
          <w:noProof/>
        </w:rPr>
      </w:pPr>
      <w:r>
        <w:rPr>
          <w:noProof/>
        </w:rPr>
        <w:t>körforgásos rendszerek.</w:t>
      </w:r>
    </w:p>
    <w:p w14:paraId="2A7A84A2" w14:textId="77777777" w:rsidR="003F5418" w:rsidRDefault="003F5418">
      <w:pPr>
        <w:rPr>
          <w:noProof/>
        </w:rPr>
      </w:pPr>
    </w:p>
    <w:p w14:paraId="0D26493A" w14:textId="027B23C5" w:rsidR="003F5418" w:rsidRDefault="002A6C25">
      <w:pPr>
        <w:spacing w:after="120"/>
        <w:jc w:val="both"/>
        <w:rPr>
          <w:noProof/>
        </w:rPr>
      </w:pPr>
      <w:r>
        <w:rPr>
          <w:noProof/>
        </w:rPr>
        <w:t>Annak biztosítása érdekében, hogy az intézkedés megfeleljen a jelentős károkozás elkerülését célzó technikai iránymutatásnak (2021/C58/01), a kiválasztott p</w:t>
      </w:r>
      <w:r>
        <w:rPr>
          <w:noProof/>
        </w:rPr>
        <w:t>rojekteknek ki kell zárniuk a tevékenységek következő listáját: a fosszilis tüzelőanyagokhoz kapcsolódó tevékenységek és eszközök, beleértve a downstream felhasználást is</w:t>
      </w:r>
      <w:r>
        <w:rPr>
          <w:rStyle w:val="FootnoteReference"/>
          <w:noProof/>
        </w:rPr>
        <w:footnoteReference w:id="75"/>
      </w:r>
      <w:r>
        <w:rPr>
          <w:noProof/>
        </w:rPr>
        <w:t>; ii. az uniós kibocsátáskereskedelmi rendszer (ETS) keretében végzett tevékenységek,</w:t>
      </w:r>
      <w:r>
        <w:rPr>
          <w:noProof/>
        </w:rPr>
        <w:t xml:space="preserve"> amelyek elérik a vonatkozó referenciaértékeket meg nem haladó, előre jelzett üvegházhatásúgáz-kibocsátást</w:t>
      </w:r>
      <w:r>
        <w:rPr>
          <w:rStyle w:val="FootnoteReference"/>
          <w:noProof/>
        </w:rPr>
        <w:footnoteReference w:id="76"/>
      </w:r>
      <w:r>
        <w:rPr>
          <w:noProof/>
        </w:rPr>
        <w:t>; hulladéklerakókkal, hulladékégetőkkel és mechanikai-biológiai hulladékkezelő létesítményekkel kapcsolatos tevékenységek</w:t>
      </w:r>
      <w:r>
        <w:rPr>
          <w:rStyle w:val="FootnoteReference"/>
          <w:noProof/>
        </w:rPr>
        <w:footnoteReference w:id="77"/>
      </w:r>
      <w:r>
        <w:rPr>
          <w:noProof/>
        </w:rPr>
        <w:t xml:space="preserve"> és eszközök</w:t>
      </w:r>
      <w:r>
        <w:rPr>
          <w:rStyle w:val="FootnoteReference"/>
          <w:noProof/>
        </w:rPr>
        <w:footnoteReference w:id="78"/>
      </w:r>
      <w:r>
        <w:rPr>
          <w:noProof/>
        </w:rPr>
        <w:t>. A kiválaszto</w:t>
      </w:r>
      <w:r>
        <w:rPr>
          <w:noProof/>
        </w:rPr>
        <w:t>tt projekteknek meg kell felelniük a vonatkozó uniós és nemzeti környezetvédelmi jogszabályoknak.</w:t>
      </w:r>
    </w:p>
    <w:p w14:paraId="10D3F3E4" w14:textId="77777777" w:rsidR="003F5418" w:rsidRDefault="003F5418">
      <w:pPr>
        <w:jc w:val="both"/>
        <w:rPr>
          <w:noProof/>
        </w:rPr>
      </w:pPr>
    </w:p>
    <w:p w14:paraId="5598B1FB" w14:textId="163B8B30" w:rsidR="003F5418" w:rsidRDefault="00152815">
      <w:pPr>
        <w:pStyle w:val="P68B1DB1-Normal2"/>
        <w:spacing w:before="120" w:after="120"/>
        <w:jc w:val="both"/>
        <w:rPr>
          <w:rFonts w:eastAsia="Calibri"/>
          <w:noProof/>
        </w:rPr>
      </w:pPr>
      <w:r>
        <w:rPr>
          <w:noProof/>
        </w:rPr>
        <w:t>3</w:t>
      </w:r>
      <w:r w:rsidRPr="00B07E42">
        <w:rPr>
          <w:noProof/>
        </w:rPr>
        <w:t>.</w:t>
      </w:r>
      <w:r>
        <w:rPr>
          <w:noProof/>
        </w:rPr>
        <w:t>3</w:t>
      </w:r>
      <w:r w:rsidRPr="00B07E42">
        <w:rPr>
          <w:noProof/>
        </w:rPr>
        <w:t>.</w:t>
      </w:r>
      <w:r>
        <w:rPr>
          <w:noProof/>
        </w:rPr>
        <w:t xml:space="preserve"> Beruházás: Innovatív doktori állások bevezetése, amelyek megfelelnek a vállalkozások innovációs igényeinek, és előmozdítják a kutatók vállalatok általi felvételét</w:t>
      </w:r>
    </w:p>
    <w:p w14:paraId="5DF0DFAB" w14:textId="77777777" w:rsidR="003F5418" w:rsidRDefault="002A6C25">
      <w:pPr>
        <w:spacing w:before="120" w:after="120"/>
        <w:jc w:val="both"/>
        <w:rPr>
          <w:rFonts w:eastAsiaTheme="minorEastAsia"/>
          <w:noProof/>
        </w:rPr>
      </w:pPr>
      <w:r>
        <w:rPr>
          <w:noProof/>
        </w:rPr>
        <w:t>Az intézkedés célja a magas színvonalú készségek fejlesztése, különösen a kulcsfontosságú alaptechnológiák területén, a következők révén:</w:t>
      </w:r>
    </w:p>
    <w:p w14:paraId="7CC19C20" w14:textId="77777777" w:rsidR="003F5418" w:rsidRDefault="002A6C25">
      <w:pPr>
        <w:pStyle w:val="ListParagraph"/>
        <w:numPr>
          <w:ilvl w:val="0"/>
          <w:numId w:val="54"/>
        </w:numPr>
        <w:spacing w:line="288" w:lineRule="auto"/>
        <w:rPr>
          <w:rFonts w:eastAsiaTheme="minorEastAsia"/>
          <w:noProof/>
        </w:rPr>
      </w:pPr>
      <w:r>
        <w:rPr>
          <w:noProof/>
        </w:rPr>
        <w:t>Célzott doktori programok létrehozása a vállalkozások bevonásával és bevonásával;</w:t>
      </w:r>
    </w:p>
    <w:p w14:paraId="2A8F853E" w14:textId="77777777" w:rsidR="003F5418" w:rsidRDefault="002A6C25">
      <w:pPr>
        <w:pStyle w:val="ListParagraph"/>
        <w:numPr>
          <w:ilvl w:val="0"/>
          <w:numId w:val="54"/>
        </w:numPr>
        <w:spacing w:line="288" w:lineRule="auto"/>
        <w:rPr>
          <w:rFonts w:eastAsiaTheme="minorEastAsia"/>
          <w:noProof/>
        </w:rPr>
      </w:pPr>
      <w:r>
        <w:rPr>
          <w:noProof/>
        </w:rPr>
        <w:t>A cégek ösztönzése kutató</w:t>
      </w:r>
      <w:r>
        <w:rPr>
          <w:noProof/>
        </w:rPr>
        <w:t>k felvételére.</w:t>
      </w:r>
    </w:p>
    <w:p w14:paraId="5EF75AB0" w14:textId="0B557924" w:rsidR="003F5418" w:rsidRDefault="002A6C25">
      <w:pPr>
        <w:spacing w:before="120" w:after="120"/>
        <w:jc w:val="both"/>
        <w:rPr>
          <w:noProof/>
        </w:rPr>
      </w:pPr>
      <w:r>
        <w:rPr>
          <w:noProof/>
        </w:rPr>
        <w:t>Konkrétan a MUR – Egyetemi és Kutatási Minisztérium által végrehajtott intézkedés három év alatt összesen 6000 doktori ösztöndíj odaítélését írja elő, magán társfinanszírozással és a kutatók felvételére irányuló ösztönzőkkel együtt.</w:t>
      </w:r>
    </w:p>
    <w:p w14:paraId="525EF07F" w14:textId="05576A36" w:rsidR="003F5418" w:rsidRDefault="00152815">
      <w:pPr>
        <w:pStyle w:val="P68B1DB1-Normal2"/>
        <w:spacing w:before="120" w:after="120" w:line="288" w:lineRule="auto"/>
        <w:jc w:val="both"/>
        <w:rPr>
          <w:rFonts w:eastAsiaTheme="minorEastAsia"/>
          <w:noProof/>
        </w:rPr>
      </w:pPr>
      <w:r>
        <w:rPr>
          <w:noProof/>
        </w:rPr>
        <w:t>1</w:t>
      </w:r>
      <w:r w:rsidRPr="00B07E42">
        <w:rPr>
          <w:noProof/>
        </w:rPr>
        <w:t>.1.</w:t>
      </w:r>
      <w:r>
        <w:rPr>
          <w:noProof/>
        </w:rPr>
        <w:t xml:space="preserve"> Reform: Az egyszerűsítést és a mobilitást előmozdító K+I támogatási intézkedések végrehajtása</w:t>
      </w:r>
    </w:p>
    <w:p w14:paraId="1F3D1AD2" w14:textId="77777777" w:rsidR="003F5418" w:rsidRDefault="002A6C25">
      <w:pPr>
        <w:spacing w:before="120" w:after="120"/>
        <w:jc w:val="both"/>
        <w:rPr>
          <w:noProof/>
        </w:rPr>
      </w:pPr>
      <w:r>
        <w:rPr>
          <w:noProof/>
        </w:rPr>
        <w:t>A reformot az Egyetemi és Kutatási Minisztérium (MUR) és a Gazdaságfejlesztési Minisztérium (MiSE) hajtja végre minisztériumközi irányítóbizottság létrehozásával</w:t>
      </w:r>
      <w:r>
        <w:rPr>
          <w:noProof/>
        </w:rPr>
        <w:t xml:space="preserve"> és két miniszteri rendelet kiadásával: a magas rangú személyek mobilitásának növelése és támogatása (ösztönzők révén), például: kutatók és vezetők) egyetemek, kutatási infrastruktúrák és vállalatok között, valamint ii. a kutatási alapok kezelésének egysze</w:t>
      </w:r>
      <w:r>
        <w:rPr>
          <w:noProof/>
        </w:rPr>
        <w:t>rűsítése, iii. a kutatók karrierpályájának megreformálása a kutatási tevékenységekre való összpontosításuk növelése érdekében. A reformnak a K+F tevékenységek rendszerszintűbb megközelítése felé kell elmozdulnia, túllépve a források újraelosztásának jelenl</w:t>
      </w:r>
      <w:r>
        <w:rPr>
          <w:noProof/>
        </w:rPr>
        <w:t>egi logikáján azáltal, hogy a megosztáson alapuló megközelítést részesíti előnyben, és a köz- és magánszféra kutatási tevékenységeire szánt alapok kezelésével kapcsolatos bürokrácia egyszerűsítésére összpontosít, jelentős hatást gyakorolva a prioritások sz</w:t>
      </w:r>
      <w:r>
        <w:rPr>
          <w:noProof/>
        </w:rPr>
        <w:t>étszórtságának és szétaprózódásának elkerülése révén, amit a küldetés első komponense is támogat. Az állami kutatási szerveknek kulcsszerepet kell játszaniuk mind a partnerségek, a nemzeti kampányok és a területi ökoszisztémák projektvezetőiként, mind a PN</w:t>
      </w:r>
      <w:r>
        <w:rPr>
          <w:noProof/>
        </w:rPr>
        <w:t>R-alapra és az Infrastruktúraalapra vonatkozó pályázati felhívások potenciális résztvevőiként.</w:t>
      </w:r>
    </w:p>
    <w:p w14:paraId="063AA63C" w14:textId="77777777" w:rsidR="003F5418" w:rsidRDefault="002A6C25">
      <w:pPr>
        <w:pStyle w:val="Heading3"/>
        <w:numPr>
          <w:ilvl w:val="0"/>
          <w:numId w:val="0"/>
        </w:numPr>
        <w:ind w:left="850" w:hanging="850"/>
        <w:rPr>
          <w:b/>
          <w:i w:val="0"/>
          <w:noProof/>
          <w:u w:val="single"/>
        </w:rPr>
        <w:sectPr w:rsidR="003F5418">
          <w:headerReference w:type="even" r:id="rId278"/>
          <w:headerReference w:type="default" r:id="rId279"/>
          <w:footerReference w:type="even" r:id="rId280"/>
          <w:footerReference w:type="default" r:id="rId281"/>
          <w:headerReference w:type="first" r:id="rId282"/>
          <w:footerReference w:type="first" r:id="rId283"/>
          <w:pgSz w:w="11907" w:h="16839"/>
          <w:pgMar w:top="1440" w:right="1440" w:bottom="1440" w:left="1440" w:header="567" w:footer="567" w:gutter="0"/>
          <w:cols w:space="720"/>
          <w:docGrid w:linePitch="360"/>
        </w:sectPr>
      </w:pPr>
      <w:r>
        <w:rPr>
          <w:b/>
          <w:i w:val="0"/>
          <w:noProof/>
          <w:u w:val="single"/>
        </w:rPr>
        <w:t xml:space="preserve">K.2. </w:t>
      </w:r>
      <w:r>
        <w:rPr>
          <w:noProof/>
        </w:rPr>
        <w:t xml:space="preserve"> </w:t>
      </w:r>
      <w:r>
        <w:rPr>
          <w:b/>
          <w:i w:val="0"/>
          <w:noProof/>
          <w:u w:val="single"/>
        </w:rPr>
        <w:t>Vissza nem térítendő pénzügyi támogatás – a végrehajtáshoz és a nyomon követéshez kapcsolódó mérföldkövek, c</w:t>
      </w:r>
      <w:r>
        <w:rPr>
          <w:b/>
          <w:i w:val="0"/>
          <w:noProof/>
          <w:u w:val="single"/>
        </w:rPr>
        <w:t>élok, mutatók és ütemterv</w:t>
      </w:r>
    </w:p>
    <w:p w14:paraId="13080B44" w14:textId="77777777" w:rsidR="003F5418" w:rsidRDefault="003F5418">
      <w:pPr>
        <w:spacing w:before="120" w:after="120"/>
        <w:jc w:val="both"/>
        <w:rPr>
          <w:noProof/>
        </w:rPr>
      </w:pP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96"/>
        <w:gridCol w:w="1416"/>
        <w:gridCol w:w="1502"/>
        <w:gridCol w:w="1607"/>
        <w:gridCol w:w="1310"/>
        <w:gridCol w:w="1000"/>
        <w:gridCol w:w="792"/>
        <w:gridCol w:w="991"/>
        <w:gridCol w:w="673"/>
        <w:gridCol w:w="2977"/>
      </w:tblGrid>
      <w:tr w:rsidR="003F5418" w14:paraId="247955EC" w14:textId="77777777">
        <w:trPr>
          <w:trHeight w:val="927"/>
          <w:tblHeader/>
          <w:jc w:val="center"/>
        </w:trPr>
        <w:tc>
          <w:tcPr>
            <w:tcW w:w="1503" w:type="dxa"/>
            <w:vMerge w:val="restart"/>
            <w:shd w:val="clear" w:color="auto" w:fill="BDD7EE"/>
            <w:vAlign w:val="center"/>
            <w:hideMark/>
          </w:tcPr>
          <w:p w14:paraId="36A4DD69" w14:textId="77777777" w:rsidR="003F5418" w:rsidRDefault="002A6C25">
            <w:pPr>
              <w:pStyle w:val="P68B1DB1-Normal3"/>
              <w:jc w:val="center"/>
              <w:rPr>
                <w:noProof/>
              </w:rPr>
            </w:pPr>
            <w:r>
              <w:rPr>
                <w:noProof/>
              </w:rPr>
              <w:t>Sorszám</w:t>
            </w:r>
          </w:p>
        </w:tc>
        <w:tc>
          <w:tcPr>
            <w:tcW w:w="1596" w:type="dxa"/>
            <w:vMerge w:val="restart"/>
            <w:shd w:val="clear" w:color="auto" w:fill="BDD7EE"/>
            <w:vAlign w:val="center"/>
            <w:hideMark/>
          </w:tcPr>
          <w:p w14:paraId="6DCED757" w14:textId="77777777" w:rsidR="003F5418" w:rsidRDefault="002A6C25">
            <w:pPr>
              <w:pStyle w:val="P68B1DB1-Normal3"/>
              <w:jc w:val="center"/>
              <w:rPr>
                <w:noProof/>
              </w:rPr>
            </w:pPr>
            <w:r>
              <w:rPr>
                <w:noProof/>
              </w:rPr>
              <w:t>Kapcsolódó intézkedés (reform vagy beruházás)</w:t>
            </w:r>
          </w:p>
        </w:tc>
        <w:tc>
          <w:tcPr>
            <w:tcW w:w="1416" w:type="dxa"/>
            <w:vMerge w:val="restart"/>
            <w:shd w:val="clear" w:color="auto" w:fill="BDD7EE"/>
            <w:vAlign w:val="center"/>
            <w:hideMark/>
          </w:tcPr>
          <w:p w14:paraId="33280869" w14:textId="77777777" w:rsidR="003F5418" w:rsidRDefault="002A6C25">
            <w:pPr>
              <w:pStyle w:val="P68B1DB1-Normal3"/>
              <w:jc w:val="center"/>
              <w:rPr>
                <w:noProof/>
              </w:rPr>
            </w:pPr>
            <w:r>
              <w:rPr>
                <w:noProof/>
              </w:rPr>
              <w:t>Mérföldkő/cél</w:t>
            </w:r>
          </w:p>
        </w:tc>
        <w:tc>
          <w:tcPr>
            <w:tcW w:w="1362" w:type="dxa"/>
            <w:vMerge w:val="restart"/>
            <w:shd w:val="clear" w:color="auto" w:fill="BDD7EE"/>
            <w:vAlign w:val="center"/>
            <w:hideMark/>
          </w:tcPr>
          <w:p w14:paraId="21D77BE3" w14:textId="77777777" w:rsidR="003F5418" w:rsidRDefault="002A6C25">
            <w:pPr>
              <w:pStyle w:val="P68B1DB1-Normal3"/>
              <w:jc w:val="center"/>
              <w:rPr>
                <w:noProof/>
              </w:rPr>
            </w:pPr>
            <w:r>
              <w:rPr>
                <w:noProof/>
              </w:rPr>
              <w:t>Név</w:t>
            </w:r>
          </w:p>
        </w:tc>
        <w:tc>
          <w:tcPr>
            <w:tcW w:w="1607" w:type="dxa"/>
            <w:vMerge w:val="restart"/>
            <w:shd w:val="clear" w:color="auto" w:fill="BDD7EE"/>
            <w:vAlign w:val="center"/>
            <w:hideMark/>
          </w:tcPr>
          <w:p w14:paraId="62B881D7"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2791" w:type="dxa"/>
            <w:gridSpan w:val="3"/>
            <w:shd w:val="clear" w:color="auto" w:fill="BDD7EE"/>
            <w:vAlign w:val="center"/>
            <w:hideMark/>
          </w:tcPr>
          <w:p w14:paraId="5B59EECB"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652" w:type="dxa"/>
            <w:gridSpan w:val="2"/>
            <w:shd w:val="clear" w:color="auto" w:fill="BDD7EE"/>
            <w:vAlign w:val="center"/>
            <w:hideMark/>
          </w:tcPr>
          <w:p w14:paraId="242ACBD9" w14:textId="77777777" w:rsidR="003F5418" w:rsidRDefault="002A6C25">
            <w:pPr>
              <w:pStyle w:val="P68B1DB1-Normal3"/>
              <w:jc w:val="center"/>
              <w:rPr>
                <w:noProof/>
              </w:rPr>
            </w:pPr>
            <w:r>
              <w:rPr>
                <w:noProof/>
              </w:rPr>
              <w:t>A végrehajtás indikatív ütemterve</w:t>
            </w:r>
          </w:p>
        </w:tc>
        <w:tc>
          <w:tcPr>
            <w:tcW w:w="2977" w:type="dxa"/>
            <w:vMerge w:val="restart"/>
            <w:shd w:val="clear" w:color="auto" w:fill="BDD7EE"/>
            <w:vAlign w:val="center"/>
            <w:hideMark/>
          </w:tcPr>
          <w:p w14:paraId="18DAFF1A" w14:textId="77777777" w:rsidR="003F5418" w:rsidRDefault="002A6C25">
            <w:pPr>
              <w:pStyle w:val="P68B1DB1-Normal3"/>
              <w:jc w:val="center"/>
              <w:rPr>
                <w:noProof/>
              </w:rPr>
            </w:pPr>
            <w:r>
              <w:rPr>
                <w:noProof/>
              </w:rPr>
              <w:t xml:space="preserve">Az egyes mérföldkövek és célértékek </w:t>
            </w:r>
            <w:r>
              <w:rPr>
                <w:noProof/>
              </w:rPr>
              <w:t>leírása</w:t>
            </w:r>
          </w:p>
        </w:tc>
      </w:tr>
      <w:tr w:rsidR="003F5418" w14:paraId="464CBDC6" w14:textId="77777777">
        <w:trPr>
          <w:trHeight w:val="802"/>
          <w:jc w:val="center"/>
        </w:trPr>
        <w:tc>
          <w:tcPr>
            <w:tcW w:w="1503" w:type="dxa"/>
            <w:vMerge/>
            <w:vAlign w:val="center"/>
            <w:hideMark/>
          </w:tcPr>
          <w:p w14:paraId="5DE21187" w14:textId="77777777" w:rsidR="003F5418" w:rsidRDefault="003F5418">
            <w:pPr>
              <w:jc w:val="center"/>
              <w:rPr>
                <w:rFonts w:ascii="Arial Narrow" w:hAnsi="Arial Narrow"/>
                <w:b/>
                <w:noProof/>
                <w:sz w:val="20"/>
              </w:rPr>
            </w:pPr>
          </w:p>
        </w:tc>
        <w:tc>
          <w:tcPr>
            <w:tcW w:w="1596" w:type="dxa"/>
            <w:vMerge/>
            <w:vAlign w:val="center"/>
            <w:hideMark/>
          </w:tcPr>
          <w:p w14:paraId="44C75D3B" w14:textId="77777777" w:rsidR="003F5418" w:rsidRDefault="003F5418">
            <w:pPr>
              <w:jc w:val="center"/>
              <w:rPr>
                <w:rFonts w:ascii="Arial Narrow" w:hAnsi="Arial Narrow"/>
                <w:b/>
                <w:noProof/>
                <w:sz w:val="20"/>
              </w:rPr>
            </w:pPr>
          </w:p>
        </w:tc>
        <w:tc>
          <w:tcPr>
            <w:tcW w:w="1416" w:type="dxa"/>
            <w:vMerge/>
            <w:vAlign w:val="center"/>
            <w:hideMark/>
          </w:tcPr>
          <w:p w14:paraId="2F507D92" w14:textId="77777777" w:rsidR="003F5418" w:rsidRDefault="003F5418">
            <w:pPr>
              <w:jc w:val="center"/>
              <w:rPr>
                <w:rFonts w:ascii="Arial Narrow" w:hAnsi="Arial Narrow"/>
                <w:b/>
                <w:noProof/>
                <w:sz w:val="20"/>
              </w:rPr>
            </w:pPr>
          </w:p>
        </w:tc>
        <w:tc>
          <w:tcPr>
            <w:tcW w:w="1362" w:type="dxa"/>
            <w:vMerge/>
            <w:vAlign w:val="center"/>
            <w:hideMark/>
          </w:tcPr>
          <w:p w14:paraId="3DEE1B69" w14:textId="77777777" w:rsidR="003F5418" w:rsidRDefault="003F5418">
            <w:pPr>
              <w:jc w:val="center"/>
              <w:rPr>
                <w:rFonts w:ascii="Arial Narrow" w:hAnsi="Arial Narrow"/>
                <w:b/>
                <w:noProof/>
                <w:sz w:val="20"/>
              </w:rPr>
            </w:pPr>
          </w:p>
        </w:tc>
        <w:tc>
          <w:tcPr>
            <w:tcW w:w="1607" w:type="dxa"/>
            <w:vMerge/>
            <w:vAlign w:val="center"/>
            <w:hideMark/>
          </w:tcPr>
          <w:p w14:paraId="729E6F05" w14:textId="77777777" w:rsidR="003F5418" w:rsidRDefault="003F5418">
            <w:pPr>
              <w:jc w:val="center"/>
              <w:rPr>
                <w:rFonts w:ascii="Arial Narrow" w:hAnsi="Arial Narrow"/>
                <w:b/>
                <w:noProof/>
                <w:sz w:val="20"/>
              </w:rPr>
            </w:pPr>
          </w:p>
        </w:tc>
        <w:tc>
          <w:tcPr>
            <w:tcW w:w="1008" w:type="dxa"/>
            <w:shd w:val="clear" w:color="auto" w:fill="BDD7EE"/>
            <w:vAlign w:val="center"/>
            <w:hideMark/>
          </w:tcPr>
          <w:p w14:paraId="431617E4" w14:textId="77777777" w:rsidR="003F5418" w:rsidRDefault="002A6C25">
            <w:pPr>
              <w:pStyle w:val="P68B1DB1-Normal3"/>
              <w:jc w:val="center"/>
              <w:rPr>
                <w:noProof/>
              </w:rPr>
            </w:pPr>
            <w:r>
              <w:rPr>
                <w:noProof/>
              </w:rPr>
              <w:t>Mértékegység</w:t>
            </w:r>
          </w:p>
        </w:tc>
        <w:tc>
          <w:tcPr>
            <w:tcW w:w="991" w:type="dxa"/>
            <w:shd w:val="clear" w:color="auto" w:fill="BDD7EE"/>
            <w:vAlign w:val="center"/>
            <w:hideMark/>
          </w:tcPr>
          <w:p w14:paraId="419F5015" w14:textId="77777777" w:rsidR="003F5418" w:rsidRDefault="002A6C25">
            <w:pPr>
              <w:pStyle w:val="P68B1DB1-Normal3"/>
              <w:jc w:val="center"/>
              <w:rPr>
                <w:noProof/>
              </w:rPr>
            </w:pPr>
            <w:r>
              <w:rPr>
                <w:noProof/>
              </w:rPr>
              <w:t>Kiindulási</w:t>
            </w:r>
          </w:p>
        </w:tc>
        <w:tc>
          <w:tcPr>
            <w:tcW w:w="792" w:type="dxa"/>
            <w:shd w:val="clear" w:color="auto" w:fill="BDD7EE"/>
            <w:vAlign w:val="center"/>
            <w:hideMark/>
          </w:tcPr>
          <w:p w14:paraId="17D00FB2" w14:textId="77777777" w:rsidR="003F5418" w:rsidRDefault="002A6C25">
            <w:pPr>
              <w:pStyle w:val="P68B1DB1-Normal3"/>
              <w:jc w:val="center"/>
              <w:rPr>
                <w:noProof/>
              </w:rPr>
            </w:pPr>
            <w:r>
              <w:rPr>
                <w:noProof/>
              </w:rPr>
              <w:t>Cél</w:t>
            </w:r>
          </w:p>
        </w:tc>
        <w:tc>
          <w:tcPr>
            <w:tcW w:w="979" w:type="dxa"/>
            <w:shd w:val="clear" w:color="auto" w:fill="BDD7EE"/>
            <w:vAlign w:val="center"/>
            <w:hideMark/>
          </w:tcPr>
          <w:p w14:paraId="23F6DFE1" w14:textId="77777777" w:rsidR="003F5418" w:rsidRDefault="002A6C25">
            <w:pPr>
              <w:pStyle w:val="P68B1DB1-Normal3"/>
              <w:jc w:val="center"/>
              <w:rPr>
                <w:noProof/>
              </w:rPr>
            </w:pPr>
            <w:r>
              <w:rPr>
                <w:noProof/>
              </w:rPr>
              <w:t>Negyedév</w:t>
            </w:r>
          </w:p>
        </w:tc>
        <w:tc>
          <w:tcPr>
            <w:tcW w:w="673" w:type="dxa"/>
            <w:shd w:val="clear" w:color="auto" w:fill="BDD7EE"/>
            <w:vAlign w:val="center"/>
            <w:hideMark/>
          </w:tcPr>
          <w:p w14:paraId="50F787C4" w14:textId="77777777" w:rsidR="003F5418" w:rsidRDefault="002A6C25">
            <w:pPr>
              <w:pStyle w:val="P68B1DB1-Normal3"/>
              <w:jc w:val="center"/>
              <w:rPr>
                <w:noProof/>
              </w:rPr>
            </w:pPr>
            <w:r>
              <w:rPr>
                <w:noProof/>
              </w:rPr>
              <w:t>Éve</w:t>
            </w:r>
          </w:p>
        </w:tc>
        <w:tc>
          <w:tcPr>
            <w:tcW w:w="2977" w:type="dxa"/>
            <w:vMerge/>
            <w:vAlign w:val="center"/>
            <w:hideMark/>
          </w:tcPr>
          <w:p w14:paraId="4320398D" w14:textId="77777777" w:rsidR="003F5418" w:rsidRDefault="003F5418">
            <w:pPr>
              <w:rPr>
                <w:rFonts w:ascii="Arial Narrow" w:hAnsi="Arial Narrow"/>
                <w:b/>
                <w:noProof/>
                <w:sz w:val="20"/>
              </w:rPr>
            </w:pPr>
          </w:p>
        </w:tc>
      </w:tr>
      <w:tr w:rsidR="003F5418" w14:paraId="682F4A1C" w14:textId="77777777">
        <w:trPr>
          <w:trHeight w:val="1065"/>
          <w:jc w:val="center"/>
        </w:trPr>
        <w:tc>
          <w:tcPr>
            <w:tcW w:w="1503" w:type="dxa"/>
            <w:shd w:val="clear" w:color="auto" w:fill="C6EFCE"/>
            <w:noWrap/>
            <w:vAlign w:val="center"/>
            <w:hideMark/>
          </w:tcPr>
          <w:p w14:paraId="09192FD2" w14:textId="77777777" w:rsidR="003F5418" w:rsidRDefault="002A6C25">
            <w:pPr>
              <w:pStyle w:val="P68B1DB1-Normal4"/>
              <w:jc w:val="center"/>
              <w:rPr>
                <w:noProof/>
              </w:rPr>
            </w:pPr>
            <w:r>
              <w:rPr>
                <w:noProof/>
              </w:rPr>
              <w:t>M4C2–1</w:t>
            </w:r>
          </w:p>
        </w:tc>
        <w:tc>
          <w:tcPr>
            <w:tcW w:w="1596" w:type="dxa"/>
            <w:shd w:val="clear" w:color="auto" w:fill="C6EFCE"/>
            <w:noWrap/>
            <w:vAlign w:val="center"/>
            <w:hideMark/>
          </w:tcPr>
          <w:p w14:paraId="264C4B6E" w14:textId="77777777" w:rsidR="003F5418" w:rsidRDefault="002A6C25">
            <w:pPr>
              <w:pStyle w:val="P68B1DB1-Normal4"/>
              <w:jc w:val="center"/>
              <w:rPr>
                <w:noProof/>
              </w:rPr>
            </w:pPr>
            <w:r>
              <w:rPr>
                <w:noProof/>
              </w:rPr>
              <w:t xml:space="preserve"> Beruházás: Fiatal kutatók által előterjesztett projektek finanszírozása</w:t>
            </w:r>
          </w:p>
        </w:tc>
        <w:tc>
          <w:tcPr>
            <w:tcW w:w="1416" w:type="dxa"/>
            <w:shd w:val="clear" w:color="auto" w:fill="C6EFCE"/>
            <w:noWrap/>
            <w:vAlign w:val="center"/>
            <w:hideMark/>
          </w:tcPr>
          <w:p w14:paraId="57F68105" w14:textId="77777777" w:rsidR="003F5418" w:rsidRDefault="002A6C25">
            <w:pPr>
              <w:pStyle w:val="P68B1DB1-Normal4"/>
              <w:jc w:val="center"/>
              <w:rPr>
                <w:noProof/>
              </w:rPr>
            </w:pPr>
            <w:r>
              <w:rPr>
                <w:noProof/>
              </w:rPr>
              <w:t>Cél</w:t>
            </w:r>
          </w:p>
        </w:tc>
        <w:tc>
          <w:tcPr>
            <w:tcW w:w="1362" w:type="dxa"/>
            <w:shd w:val="clear" w:color="auto" w:fill="C6EFCE"/>
            <w:noWrap/>
            <w:vAlign w:val="center"/>
            <w:hideMark/>
          </w:tcPr>
          <w:p w14:paraId="26C0704A" w14:textId="77777777" w:rsidR="003F5418" w:rsidRDefault="002A6C25">
            <w:pPr>
              <w:pStyle w:val="P68B1DB1-Normal4"/>
              <w:jc w:val="center"/>
              <w:rPr>
                <w:rFonts w:eastAsia="Calibri"/>
                <w:noProof/>
              </w:rPr>
            </w:pPr>
            <w:r>
              <w:rPr>
                <w:noProof/>
              </w:rPr>
              <w:t>Kutatási ösztöndíjban részesülő hallgatók száma</w:t>
            </w:r>
          </w:p>
        </w:tc>
        <w:tc>
          <w:tcPr>
            <w:tcW w:w="1607" w:type="dxa"/>
            <w:shd w:val="clear" w:color="auto" w:fill="C6EFCE"/>
            <w:noWrap/>
            <w:vAlign w:val="center"/>
            <w:hideMark/>
          </w:tcPr>
          <w:p w14:paraId="3FA087B2" w14:textId="77777777" w:rsidR="003F5418" w:rsidRDefault="002A6C25">
            <w:pPr>
              <w:pStyle w:val="P68B1DB1-Normal4"/>
              <w:jc w:val="center"/>
              <w:rPr>
                <w:noProof/>
              </w:rPr>
            </w:pPr>
            <w:r>
              <w:rPr>
                <w:noProof/>
              </w:rPr>
              <w:t>NINCS</w:t>
            </w:r>
          </w:p>
        </w:tc>
        <w:tc>
          <w:tcPr>
            <w:tcW w:w="1008" w:type="dxa"/>
            <w:shd w:val="clear" w:color="auto" w:fill="C6EFCE"/>
            <w:noWrap/>
            <w:vAlign w:val="center"/>
            <w:hideMark/>
          </w:tcPr>
          <w:p w14:paraId="0C829614" w14:textId="77777777" w:rsidR="003F5418" w:rsidRDefault="002A6C25">
            <w:pPr>
              <w:pStyle w:val="P68B1DB1-Normal4"/>
              <w:jc w:val="center"/>
              <w:rPr>
                <w:noProof/>
              </w:rPr>
            </w:pPr>
            <w:r>
              <w:rPr>
                <w:noProof/>
              </w:rPr>
              <w:t>Szám</w:t>
            </w:r>
          </w:p>
        </w:tc>
        <w:tc>
          <w:tcPr>
            <w:tcW w:w="991" w:type="dxa"/>
            <w:shd w:val="clear" w:color="auto" w:fill="C6EFCE"/>
            <w:noWrap/>
            <w:vAlign w:val="center"/>
            <w:hideMark/>
          </w:tcPr>
          <w:p w14:paraId="08C42BA6" w14:textId="77777777" w:rsidR="003F5418" w:rsidRDefault="002A6C25">
            <w:pPr>
              <w:pStyle w:val="P68B1DB1-Normal4"/>
              <w:jc w:val="center"/>
              <w:rPr>
                <w:noProof/>
              </w:rPr>
            </w:pPr>
            <w:r>
              <w:rPr>
                <w:noProof/>
              </w:rPr>
              <w:t>50</w:t>
            </w:r>
          </w:p>
        </w:tc>
        <w:tc>
          <w:tcPr>
            <w:tcW w:w="792" w:type="dxa"/>
            <w:shd w:val="clear" w:color="auto" w:fill="C6EFCE"/>
            <w:noWrap/>
            <w:vAlign w:val="center"/>
            <w:hideMark/>
          </w:tcPr>
          <w:p w14:paraId="68CB437D" w14:textId="77777777" w:rsidR="003F5418" w:rsidRDefault="002A6C25">
            <w:pPr>
              <w:pStyle w:val="P68B1DB1-Normal4"/>
              <w:jc w:val="center"/>
              <w:rPr>
                <w:noProof/>
              </w:rPr>
            </w:pPr>
            <w:r>
              <w:rPr>
                <w:noProof/>
              </w:rPr>
              <w:t>300</w:t>
            </w:r>
          </w:p>
        </w:tc>
        <w:tc>
          <w:tcPr>
            <w:tcW w:w="979" w:type="dxa"/>
            <w:shd w:val="clear" w:color="auto" w:fill="C6EFCE"/>
            <w:noWrap/>
            <w:vAlign w:val="center"/>
            <w:hideMark/>
          </w:tcPr>
          <w:p w14:paraId="58E8F77D" w14:textId="77777777" w:rsidR="003F5418" w:rsidRDefault="002A6C25">
            <w:pPr>
              <w:pStyle w:val="P68B1DB1-Normal4"/>
              <w:jc w:val="center"/>
              <w:rPr>
                <w:noProof/>
              </w:rPr>
            </w:pPr>
            <w:r>
              <w:rPr>
                <w:noProof/>
              </w:rPr>
              <w:t>Q4</w:t>
            </w:r>
          </w:p>
        </w:tc>
        <w:tc>
          <w:tcPr>
            <w:tcW w:w="673" w:type="dxa"/>
            <w:shd w:val="clear" w:color="auto" w:fill="C6EFCE"/>
            <w:noWrap/>
            <w:vAlign w:val="center"/>
            <w:hideMark/>
          </w:tcPr>
          <w:p w14:paraId="7C6B5185" w14:textId="77777777" w:rsidR="003F5418" w:rsidRDefault="002A6C25">
            <w:pPr>
              <w:pStyle w:val="P68B1DB1-Normal4"/>
              <w:jc w:val="center"/>
              <w:rPr>
                <w:noProof/>
              </w:rPr>
            </w:pPr>
            <w:r>
              <w:rPr>
                <w:noProof/>
              </w:rPr>
              <w:t>2022</w:t>
            </w:r>
          </w:p>
        </w:tc>
        <w:tc>
          <w:tcPr>
            <w:tcW w:w="2977" w:type="dxa"/>
            <w:shd w:val="clear" w:color="auto" w:fill="C6EFCE"/>
            <w:noWrap/>
            <w:vAlign w:val="center"/>
            <w:hideMark/>
          </w:tcPr>
          <w:p w14:paraId="3C2356B9" w14:textId="77777777" w:rsidR="003F5418" w:rsidRDefault="002A6C25">
            <w:pPr>
              <w:pStyle w:val="P68B1DB1-Normal4"/>
              <w:rPr>
                <w:noProof/>
              </w:rPr>
            </w:pPr>
            <w:r>
              <w:rPr>
                <w:noProof/>
              </w:rPr>
              <w:t>Legalább 300 kutatói ösztöndíj odaítélése</w:t>
            </w:r>
            <w:r>
              <w:rPr>
                <w:noProof/>
              </w:rPr>
              <w:t xml:space="preserve"> diákoknak. Az odaítélésre vonatkozó kiválasztási eljárásnak olyan támogathatósági kritériumokat kell tartalmaznia, amelyek a kizárási lista, valamint a vonatkozó uniós és nemzeti környezetvédelmi jogszabályoknak való megfelelés követelménye révén biztosít</w:t>
            </w:r>
            <w:r>
              <w:rPr>
                <w:noProof/>
              </w:rPr>
              <w:t>ják, hogy a kiválasztott projektek megfeleljenek a jelentős károkozás elkerülését célzó technikai iránymutatásnak (2021/C58/01).</w:t>
            </w:r>
          </w:p>
          <w:p w14:paraId="32C2D757" w14:textId="77777777" w:rsidR="003F5418" w:rsidRDefault="003F5418">
            <w:pPr>
              <w:rPr>
                <w:rFonts w:ascii="Arial Narrow" w:hAnsi="Arial Narrow"/>
                <w:noProof/>
                <w:color w:val="006100"/>
                <w:sz w:val="20"/>
              </w:rPr>
            </w:pPr>
          </w:p>
          <w:p w14:paraId="77CC002A" w14:textId="77777777" w:rsidR="003F5418" w:rsidRDefault="002A6C25">
            <w:pPr>
              <w:pStyle w:val="P68B1DB1-Normal4"/>
              <w:rPr>
                <w:noProof/>
              </w:rPr>
            </w:pPr>
            <w:r>
              <w:rPr>
                <w:noProof/>
              </w:rPr>
              <w:t>A cél kielégítő teljesítése során azt is figyelembe kell venni, hogy legalább 300 fiatal kutatót szerződtek.</w:t>
            </w:r>
          </w:p>
        </w:tc>
      </w:tr>
      <w:tr w:rsidR="003F5418" w14:paraId="23513450" w14:textId="77777777">
        <w:trPr>
          <w:trHeight w:val="1065"/>
          <w:jc w:val="center"/>
        </w:trPr>
        <w:tc>
          <w:tcPr>
            <w:tcW w:w="1503" w:type="dxa"/>
            <w:shd w:val="clear" w:color="auto" w:fill="C6EFCE"/>
            <w:noWrap/>
            <w:vAlign w:val="center"/>
            <w:hideMark/>
          </w:tcPr>
          <w:p w14:paraId="793B01F0" w14:textId="77777777" w:rsidR="003F5418" w:rsidRDefault="002A6C25">
            <w:pPr>
              <w:pStyle w:val="P68B1DB1-Normal4"/>
              <w:jc w:val="center"/>
              <w:rPr>
                <w:rFonts w:eastAsia="Calibri"/>
                <w:noProof/>
              </w:rPr>
            </w:pPr>
            <w:r>
              <w:rPr>
                <w:noProof/>
              </w:rPr>
              <w:t>M4C2–1a</w:t>
            </w:r>
          </w:p>
        </w:tc>
        <w:tc>
          <w:tcPr>
            <w:tcW w:w="1596" w:type="dxa"/>
            <w:shd w:val="clear" w:color="auto" w:fill="C6EFCE"/>
            <w:noWrap/>
            <w:vAlign w:val="center"/>
            <w:hideMark/>
          </w:tcPr>
          <w:p w14:paraId="67C6585C" w14:textId="77777777" w:rsidR="003F5418" w:rsidRDefault="002A6C25">
            <w:pPr>
              <w:pStyle w:val="P68B1DB1-Normal4"/>
              <w:jc w:val="center"/>
              <w:rPr>
                <w:noProof/>
              </w:rPr>
            </w:pPr>
            <w:r>
              <w:rPr>
                <w:noProof/>
              </w:rPr>
              <w:t>Beruházás: Fiatal kutatók által előterjesztett projektek finanszírozása</w:t>
            </w:r>
          </w:p>
          <w:p w14:paraId="3F38AB25" w14:textId="77777777" w:rsidR="003F5418" w:rsidRDefault="003F5418">
            <w:pPr>
              <w:jc w:val="center"/>
              <w:rPr>
                <w:rFonts w:ascii="Arial Narrow" w:hAnsi="Arial Narrow"/>
                <w:noProof/>
                <w:color w:val="006100"/>
                <w:sz w:val="20"/>
              </w:rPr>
            </w:pPr>
          </w:p>
        </w:tc>
        <w:tc>
          <w:tcPr>
            <w:tcW w:w="1416" w:type="dxa"/>
            <w:shd w:val="clear" w:color="auto" w:fill="C6EFCE"/>
            <w:noWrap/>
            <w:vAlign w:val="center"/>
            <w:hideMark/>
          </w:tcPr>
          <w:p w14:paraId="7C0A8F97" w14:textId="77777777" w:rsidR="003F5418" w:rsidRDefault="002A6C25">
            <w:pPr>
              <w:pStyle w:val="P68B1DB1-Normal4"/>
              <w:jc w:val="center"/>
              <w:rPr>
                <w:noProof/>
              </w:rPr>
            </w:pPr>
            <w:r>
              <w:rPr>
                <w:noProof/>
              </w:rPr>
              <w:t>Cél</w:t>
            </w:r>
          </w:p>
        </w:tc>
        <w:tc>
          <w:tcPr>
            <w:tcW w:w="1362" w:type="dxa"/>
            <w:shd w:val="clear" w:color="auto" w:fill="C6EFCE"/>
            <w:noWrap/>
            <w:vAlign w:val="center"/>
            <w:hideMark/>
          </w:tcPr>
          <w:p w14:paraId="3C339C4D" w14:textId="77777777" w:rsidR="003F5418" w:rsidRDefault="002A6C25">
            <w:pPr>
              <w:pStyle w:val="P68B1DB1-Normal4"/>
              <w:jc w:val="center"/>
              <w:rPr>
                <w:rFonts w:eastAsia="Calibri"/>
                <w:noProof/>
              </w:rPr>
            </w:pPr>
            <w:r>
              <w:rPr>
                <w:noProof/>
              </w:rPr>
              <w:t>Kutatási ösztöndíjban részesülő hallgatók száma</w:t>
            </w:r>
          </w:p>
          <w:p w14:paraId="230006F9" w14:textId="77777777" w:rsidR="003F5418" w:rsidRDefault="003F5418">
            <w:pPr>
              <w:jc w:val="center"/>
              <w:rPr>
                <w:rFonts w:ascii="Arial Narrow" w:eastAsia="Calibri" w:hAnsi="Arial Narrow"/>
                <w:noProof/>
                <w:color w:val="006100"/>
                <w:sz w:val="20"/>
              </w:rPr>
            </w:pPr>
          </w:p>
        </w:tc>
        <w:tc>
          <w:tcPr>
            <w:tcW w:w="1607" w:type="dxa"/>
            <w:shd w:val="clear" w:color="auto" w:fill="C6EFCE"/>
            <w:noWrap/>
            <w:vAlign w:val="center"/>
            <w:hideMark/>
          </w:tcPr>
          <w:p w14:paraId="53183F7E" w14:textId="77777777" w:rsidR="003F5418" w:rsidRDefault="002A6C25">
            <w:pPr>
              <w:pStyle w:val="P68B1DB1-Normal4"/>
              <w:jc w:val="center"/>
              <w:rPr>
                <w:noProof/>
              </w:rPr>
            </w:pPr>
            <w:r>
              <w:rPr>
                <w:noProof/>
              </w:rPr>
              <w:t>NINCS</w:t>
            </w:r>
          </w:p>
        </w:tc>
        <w:tc>
          <w:tcPr>
            <w:tcW w:w="1008" w:type="dxa"/>
            <w:shd w:val="clear" w:color="auto" w:fill="C6EFCE"/>
            <w:noWrap/>
            <w:vAlign w:val="center"/>
            <w:hideMark/>
          </w:tcPr>
          <w:p w14:paraId="6448B816" w14:textId="77777777" w:rsidR="003F5418" w:rsidRDefault="002A6C25">
            <w:pPr>
              <w:pStyle w:val="P68B1DB1-Normal4"/>
              <w:jc w:val="center"/>
              <w:rPr>
                <w:noProof/>
              </w:rPr>
            </w:pPr>
            <w:r>
              <w:rPr>
                <w:noProof/>
              </w:rPr>
              <w:t>Szám</w:t>
            </w:r>
          </w:p>
        </w:tc>
        <w:tc>
          <w:tcPr>
            <w:tcW w:w="991" w:type="dxa"/>
            <w:shd w:val="clear" w:color="auto" w:fill="C6EFCE"/>
            <w:noWrap/>
            <w:vAlign w:val="center"/>
            <w:hideMark/>
          </w:tcPr>
          <w:p w14:paraId="54CB12BC" w14:textId="77777777" w:rsidR="003F5418" w:rsidRDefault="002A6C25">
            <w:pPr>
              <w:pStyle w:val="P68B1DB1-Normal4"/>
              <w:jc w:val="center"/>
              <w:rPr>
                <w:noProof/>
              </w:rPr>
            </w:pPr>
            <w:r>
              <w:rPr>
                <w:noProof/>
              </w:rPr>
              <w:t>300</w:t>
            </w:r>
          </w:p>
        </w:tc>
        <w:tc>
          <w:tcPr>
            <w:tcW w:w="792" w:type="dxa"/>
            <w:shd w:val="clear" w:color="auto" w:fill="C6EFCE"/>
            <w:noWrap/>
            <w:vAlign w:val="center"/>
            <w:hideMark/>
          </w:tcPr>
          <w:p w14:paraId="0D9AA1F9" w14:textId="77777777" w:rsidR="003F5418" w:rsidRDefault="002A6C25">
            <w:pPr>
              <w:pStyle w:val="P68B1DB1-Normal4"/>
              <w:jc w:val="center"/>
              <w:rPr>
                <w:noProof/>
              </w:rPr>
            </w:pPr>
            <w:r>
              <w:rPr>
                <w:noProof/>
              </w:rPr>
              <w:t>850</w:t>
            </w:r>
          </w:p>
        </w:tc>
        <w:tc>
          <w:tcPr>
            <w:tcW w:w="979" w:type="dxa"/>
            <w:shd w:val="clear" w:color="auto" w:fill="C6EFCE"/>
            <w:noWrap/>
            <w:vAlign w:val="center"/>
            <w:hideMark/>
          </w:tcPr>
          <w:p w14:paraId="0044819D" w14:textId="77777777" w:rsidR="003F5418" w:rsidRDefault="002A6C25">
            <w:pPr>
              <w:pStyle w:val="P68B1DB1-Normal4"/>
              <w:jc w:val="center"/>
              <w:rPr>
                <w:noProof/>
              </w:rPr>
            </w:pPr>
            <w:r>
              <w:rPr>
                <w:noProof/>
              </w:rPr>
              <w:t>Q2</w:t>
            </w:r>
          </w:p>
        </w:tc>
        <w:tc>
          <w:tcPr>
            <w:tcW w:w="673" w:type="dxa"/>
            <w:shd w:val="clear" w:color="auto" w:fill="C6EFCE"/>
            <w:noWrap/>
            <w:vAlign w:val="center"/>
            <w:hideMark/>
          </w:tcPr>
          <w:p w14:paraId="5F2D0155" w14:textId="77777777" w:rsidR="003F5418" w:rsidRDefault="002A6C25">
            <w:pPr>
              <w:pStyle w:val="P68B1DB1-Normal4"/>
              <w:jc w:val="center"/>
              <w:rPr>
                <w:noProof/>
              </w:rPr>
            </w:pPr>
            <w:r>
              <w:rPr>
                <w:noProof/>
              </w:rPr>
              <w:t>2025</w:t>
            </w:r>
          </w:p>
        </w:tc>
        <w:tc>
          <w:tcPr>
            <w:tcW w:w="2977" w:type="dxa"/>
            <w:shd w:val="clear" w:color="auto" w:fill="C6EFCE"/>
            <w:noWrap/>
            <w:vAlign w:val="center"/>
            <w:hideMark/>
          </w:tcPr>
          <w:p w14:paraId="5C98F48B" w14:textId="77777777" w:rsidR="003F5418" w:rsidRDefault="002A6C25">
            <w:pPr>
              <w:pStyle w:val="P68B1DB1-Normal4"/>
              <w:rPr>
                <w:noProof/>
              </w:rPr>
            </w:pPr>
            <w:r>
              <w:rPr>
                <w:noProof/>
              </w:rPr>
              <w:t xml:space="preserve">Legalább 850 kutatói ösztöndíj odaítélése diákoknak. A kutatási támogatások odaítélésére vonatkozó </w:t>
            </w:r>
            <w:r>
              <w:rPr>
                <w:noProof/>
              </w:rPr>
              <w:t xml:space="preserve">kiválasztási eljárásnak olyan támogathatósági kritériumokat kell tartalmaznia, amelyek egy kizárási lista, valamint a vonatkozó uniós és nemzeti környezetvédelmi jogszabályoknak való megfelelés követelménye révén biztosítják, hogy a kiválasztott projektek </w:t>
            </w:r>
            <w:r>
              <w:rPr>
                <w:noProof/>
              </w:rPr>
              <w:t>megfeleljenek a jelentős károkozás elkerülését célzó technikai iránymutatásnak (2021/C58/01).</w:t>
            </w:r>
          </w:p>
          <w:p w14:paraId="72EA587A" w14:textId="77777777" w:rsidR="003F5418" w:rsidRDefault="002A6C25">
            <w:pPr>
              <w:pStyle w:val="P68B1DB1-Normal4"/>
              <w:rPr>
                <w:noProof/>
              </w:rPr>
            </w:pPr>
            <w:r>
              <w:rPr>
                <w:noProof/>
              </w:rPr>
              <w:t>A cél kielégítő teljesítése során azt is figyelembe kell venni, hogy legalább 850 fiatal kutató szerződött.</w:t>
            </w:r>
          </w:p>
        </w:tc>
      </w:tr>
      <w:tr w:rsidR="003F5418" w14:paraId="07E9C7EE" w14:textId="77777777">
        <w:trPr>
          <w:trHeight w:val="309"/>
          <w:jc w:val="center"/>
        </w:trPr>
        <w:tc>
          <w:tcPr>
            <w:tcW w:w="1503" w:type="dxa"/>
            <w:shd w:val="clear" w:color="auto" w:fill="C6EFCE"/>
            <w:noWrap/>
            <w:vAlign w:val="center"/>
          </w:tcPr>
          <w:p w14:paraId="20F92E24" w14:textId="7E03E5B1" w:rsidR="003F5418" w:rsidRDefault="002A6C25">
            <w:pPr>
              <w:pStyle w:val="P68B1DB1-Normal4"/>
              <w:jc w:val="center"/>
              <w:rPr>
                <w:noProof/>
              </w:rPr>
            </w:pPr>
            <w:r>
              <w:rPr>
                <w:noProof/>
              </w:rPr>
              <w:t>M4C2–2bis</w:t>
            </w:r>
          </w:p>
        </w:tc>
        <w:tc>
          <w:tcPr>
            <w:tcW w:w="1596" w:type="dxa"/>
            <w:shd w:val="clear" w:color="auto" w:fill="C6EFCE"/>
            <w:noWrap/>
            <w:vAlign w:val="center"/>
          </w:tcPr>
          <w:p w14:paraId="126BD8E6" w14:textId="45E0A583" w:rsidR="003F5418" w:rsidRDefault="002A6C25">
            <w:pPr>
              <w:pStyle w:val="P68B1DB1-Normal4"/>
              <w:jc w:val="center"/>
              <w:rPr>
                <w:noProof/>
              </w:rPr>
            </w:pPr>
            <w:r>
              <w:rPr>
                <w:noProof/>
              </w:rPr>
              <w:t>Beruházás: Innovációs megállapodások</w:t>
            </w:r>
          </w:p>
        </w:tc>
        <w:tc>
          <w:tcPr>
            <w:tcW w:w="1416" w:type="dxa"/>
            <w:shd w:val="clear" w:color="auto" w:fill="C6EFCE"/>
            <w:noWrap/>
            <w:vAlign w:val="center"/>
          </w:tcPr>
          <w:p w14:paraId="4E6C9D69" w14:textId="563A7CD6" w:rsidR="003F5418" w:rsidRDefault="002A6C25">
            <w:pPr>
              <w:pStyle w:val="P68B1DB1-Normal4"/>
              <w:jc w:val="center"/>
              <w:rPr>
                <w:noProof/>
              </w:rPr>
            </w:pPr>
            <w:r>
              <w:rPr>
                <w:noProof/>
              </w:rPr>
              <w:t>Cél</w:t>
            </w:r>
          </w:p>
        </w:tc>
        <w:tc>
          <w:tcPr>
            <w:tcW w:w="1362" w:type="dxa"/>
            <w:shd w:val="clear" w:color="auto" w:fill="C6EFCE"/>
            <w:noWrap/>
            <w:vAlign w:val="center"/>
          </w:tcPr>
          <w:p w14:paraId="37DFA547" w14:textId="1CD40D50" w:rsidR="003F5418" w:rsidRDefault="002A6C25">
            <w:pPr>
              <w:pStyle w:val="P68B1DB1-Normal4"/>
              <w:jc w:val="center"/>
              <w:rPr>
                <w:noProof/>
              </w:rPr>
            </w:pPr>
            <w:r>
              <w:rPr>
                <w:noProof/>
              </w:rPr>
              <w:t xml:space="preserve">Megkötött innovációs megállapodások </w:t>
            </w:r>
          </w:p>
        </w:tc>
        <w:tc>
          <w:tcPr>
            <w:tcW w:w="1607" w:type="dxa"/>
            <w:shd w:val="clear" w:color="auto" w:fill="C6EFCE"/>
            <w:noWrap/>
            <w:vAlign w:val="center"/>
          </w:tcPr>
          <w:p w14:paraId="19D4705C" w14:textId="0E0F7B4D" w:rsidR="003F5418" w:rsidRDefault="002A6C25">
            <w:pPr>
              <w:pStyle w:val="P68B1DB1-Normal4"/>
              <w:jc w:val="center"/>
              <w:rPr>
                <w:noProof/>
              </w:rPr>
            </w:pPr>
            <w:r>
              <w:rPr>
                <w:noProof/>
              </w:rPr>
              <w:t>NINCS</w:t>
            </w:r>
          </w:p>
        </w:tc>
        <w:tc>
          <w:tcPr>
            <w:tcW w:w="1008" w:type="dxa"/>
            <w:shd w:val="clear" w:color="auto" w:fill="C6EFCE"/>
            <w:noWrap/>
            <w:vAlign w:val="center"/>
          </w:tcPr>
          <w:p w14:paraId="05E72B8E" w14:textId="02F9E629" w:rsidR="003F5418" w:rsidRDefault="002A6C25">
            <w:pPr>
              <w:pStyle w:val="P68B1DB1-Normal4"/>
              <w:jc w:val="center"/>
              <w:rPr>
                <w:noProof/>
              </w:rPr>
            </w:pPr>
            <w:r>
              <w:rPr>
                <w:noProof/>
              </w:rPr>
              <w:t>Szám</w:t>
            </w:r>
          </w:p>
        </w:tc>
        <w:tc>
          <w:tcPr>
            <w:tcW w:w="991" w:type="dxa"/>
            <w:shd w:val="clear" w:color="auto" w:fill="C6EFCE"/>
            <w:noWrap/>
            <w:vAlign w:val="center"/>
          </w:tcPr>
          <w:p w14:paraId="107E878F" w14:textId="47FF5450" w:rsidR="003F5418" w:rsidRDefault="002A6C25">
            <w:pPr>
              <w:pStyle w:val="P68B1DB1-Normal4"/>
              <w:jc w:val="center"/>
              <w:rPr>
                <w:noProof/>
              </w:rPr>
            </w:pPr>
            <w:r>
              <w:rPr>
                <w:noProof/>
              </w:rPr>
              <w:t>0</w:t>
            </w:r>
          </w:p>
        </w:tc>
        <w:tc>
          <w:tcPr>
            <w:tcW w:w="792" w:type="dxa"/>
            <w:shd w:val="clear" w:color="auto" w:fill="C6EFCE"/>
            <w:noWrap/>
            <w:vAlign w:val="center"/>
          </w:tcPr>
          <w:p w14:paraId="6123296D" w14:textId="43CBEF7A" w:rsidR="003F5418" w:rsidRDefault="002A6C25">
            <w:pPr>
              <w:pStyle w:val="P68B1DB1-Normal4"/>
              <w:jc w:val="center"/>
              <w:rPr>
                <w:noProof/>
              </w:rPr>
            </w:pPr>
            <w:r>
              <w:rPr>
                <w:noProof/>
              </w:rPr>
              <w:t>32</w:t>
            </w:r>
          </w:p>
        </w:tc>
        <w:tc>
          <w:tcPr>
            <w:tcW w:w="979" w:type="dxa"/>
            <w:shd w:val="clear" w:color="auto" w:fill="C6EFCE"/>
            <w:noWrap/>
            <w:vAlign w:val="center"/>
          </w:tcPr>
          <w:p w14:paraId="1CF92872" w14:textId="01AEFD08" w:rsidR="003F5418" w:rsidRDefault="002A6C25">
            <w:pPr>
              <w:pStyle w:val="P68B1DB1-Normal4"/>
              <w:jc w:val="center"/>
              <w:rPr>
                <w:noProof/>
              </w:rPr>
            </w:pPr>
            <w:r>
              <w:rPr>
                <w:noProof/>
              </w:rPr>
              <w:t>Q4</w:t>
            </w:r>
          </w:p>
        </w:tc>
        <w:tc>
          <w:tcPr>
            <w:tcW w:w="673" w:type="dxa"/>
            <w:shd w:val="clear" w:color="auto" w:fill="C6EFCE"/>
            <w:noWrap/>
            <w:vAlign w:val="center"/>
          </w:tcPr>
          <w:p w14:paraId="1D915BD5" w14:textId="312DC9FD" w:rsidR="003F5418" w:rsidRDefault="002A6C25">
            <w:pPr>
              <w:pStyle w:val="P68B1DB1-Normal4"/>
              <w:jc w:val="center"/>
              <w:rPr>
                <w:noProof/>
              </w:rPr>
            </w:pPr>
            <w:r>
              <w:rPr>
                <w:noProof/>
              </w:rPr>
              <w:t>2025</w:t>
            </w:r>
          </w:p>
        </w:tc>
        <w:tc>
          <w:tcPr>
            <w:tcW w:w="2977" w:type="dxa"/>
            <w:shd w:val="clear" w:color="auto" w:fill="C6EFCE"/>
            <w:noWrap/>
            <w:vAlign w:val="center"/>
          </w:tcPr>
          <w:p w14:paraId="6C7CB99E" w14:textId="653809B1" w:rsidR="003F5418" w:rsidRDefault="002A6C25">
            <w:pPr>
              <w:pStyle w:val="P68B1DB1-Normal4"/>
              <w:rPr>
                <w:noProof/>
              </w:rPr>
            </w:pPr>
            <w:r>
              <w:rPr>
                <w:noProof/>
              </w:rPr>
              <w:t>Legalább 32 innovációs megállapodás megkötése.</w:t>
            </w:r>
          </w:p>
        </w:tc>
      </w:tr>
      <w:tr w:rsidR="003F5418" w14:paraId="2DFFCE4F" w14:textId="77777777">
        <w:trPr>
          <w:trHeight w:val="309"/>
          <w:jc w:val="center"/>
        </w:trPr>
        <w:tc>
          <w:tcPr>
            <w:tcW w:w="1503" w:type="dxa"/>
            <w:shd w:val="clear" w:color="auto" w:fill="C6EFCE"/>
            <w:noWrap/>
            <w:vAlign w:val="center"/>
            <w:hideMark/>
          </w:tcPr>
          <w:p w14:paraId="4BE43104" w14:textId="77777777" w:rsidR="003F5418" w:rsidRDefault="002A6C25">
            <w:pPr>
              <w:pStyle w:val="P68B1DB1-Normal4"/>
              <w:jc w:val="center"/>
              <w:rPr>
                <w:noProof/>
              </w:rPr>
            </w:pPr>
            <w:r>
              <w:rPr>
                <w:noProof/>
              </w:rPr>
              <w:t>M4C2–3</w:t>
            </w:r>
          </w:p>
        </w:tc>
        <w:tc>
          <w:tcPr>
            <w:tcW w:w="1596" w:type="dxa"/>
            <w:shd w:val="clear" w:color="auto" w:fill="C6EFCE"/>
            <w:noWrap/>
            <w:vAlign w:val="center"/>
            <w:hideMark/>
          </w:tcPr>
          <w:p w14:paraId="0C39489D" w14:textId="77777777" w:rsidR="003F5418" w:rsidRDefault="002A6C25">
            <w:pPr>
              <w:pStyle w:val="P68B1DB1-Normal4"/>
              <w:jc w:val="center"/>
              <w:rPr>
                <w:rFonts w:eastAsia="Calibri"/>
                <w:noProof/>
              </w:rPr>
            </w:pPr>
            <w:r>
              <w:rPr>
                <w:noProof/>
              </w:rPr>
              <w:t xml:space="preserve">Beruházás: Innovatív doktori állások bevezetése, amelyek megfelelnek a vállalkozások innovációs igényeinek, és előmozdítják a kutatók </w:t>
            </w:r>
            <w:r>
              <w:rPr>
                <w:noProof/>
              </w:rPr>
              <w:t>vállalatok általi felvételét</w:t>
            </w:r>
          </w:p>
        </w:tc>
        <w:tc>
          <w:tcPr>
            <w:tcW w:w="1416" w:type="dxa"/>
            <w:shd w:val="clear" w:color="auto" w:fill="C6EFCE"/>
            <w:noWrap/>
            <w:vAlign w:val="center"/>
            <w:hideMark/>
          </w:tcPr>
          <w:p w14:paraId="0CA36091" w14:textId="77777777" w:rsidR="003F5418" w:rsidRDefault="002A6C25">
            <w:pPr>
              <w:pStyle w:val="P68B1DB1-Normal4"/>
              <w:jc w:val="center"/>
              <w:rPr>
                <w:noProof/>
              </w:rPr>
            </w:pPr>
            <w:r>
              <w:rPr>
                <w:noProof/>
              </w:rPr>
              <w:t>Cél</w:t>
            </w:r>
          </w:p>
        </w:tc>
        <w:tc>
          <w:tcPr>
            <w:tcW w:w="1362" w:type="dxa"/>
            <w:shd w:val="clear" w:color="auto" w:fill="C6EFCE"/>
            <w:noWrap/>
            <w:vAlign w:val="center"/>
            <w:hideMark/>
          </w:tcPr>
          <w:p w14:paraId="72BC509F" w14:textId="77777777" w:rsidR="003F5418" w:rsidRDefault="002A6C25">
            <w:pPr>
              <w:pStyle w:val="P68B1DB1-Normal4"/>
              <w:jc w:val="center"/>
              <w:rPr>
                <w:noProof/>
              </w:rPr>
            </w:pPr>
            <w:r>
              <w:rPr>
                <w:noProof/>
              </w:rPr>
              <w:t>Az innovatív PhD-ösztöndíjak száma</w:t>
            </w:r>
          </w:p>
        </w:tc>
        <w:tc>
          <w:tcPr>
            <w:tcW w:w="1607" w:type="dxa"/>
            <w:shd w:val="clear" w:color="auto" w:fill="C6EFCE"/>
            <w:noWrap/>
            <w:vAlign w:val="center"/>
            <w:hideMark/>
          </w:tcPr>
          <w:p w14:paraId="3D6DDB93" w14:textId="77777777" w:rsidR="003F5418" w:rsidRDefault="002A6C25">
            <w:pPr>
              <w:pStyle w:val="P68B1DB1-Normal4"/>
              <w:jc w:val="center"/>
              <w:rPr>
                <w:noProof/>
              </w:rPr>
            </w:pPr>
            <w:r>
              <w:rPr>
                <w:noProof/>
              </w:rPr>
              <w:t>NINCS</w:t>
            </w:r>
          </w:p>
        </w:tc>
        <w:tc>
          <w:tcPr>
            <w:tcW w:w="1008" w:type="dxa"/>
            <w:shd w:val="clear" w:color="auto" w:fill="C6EFCE"/>
            <w:noWrap/>
            <w:vAlign w:val="center"/>
            <w:hideMark/>
          </w:tcPr>
          <w:p w14:paraId="3A8D5AF6" w14:textId="77777777" w:rsidR="003F5418" w:rsidRDefault="002A6C25">
            <w:pPr>
              <w:pStyle w:val="P68B1DB1-Normal4"/>
              <w:jc w:val="center"/>
              <w:rPr>
                <w:rFonts w:eastAsia="Calibri"/>
                <w:noProof/>
              </w:rPr>
            </w:pPr>
            <w:r>
              <w:rPr>
                <w:noProof/>
              </w:rPr>
              <w:t>Szám</w:t>
            </w:r>
          </w:p>
        </w:tc>
        <w:tc>
          <w:tcPr>
            <w:tcW w:w="991" w:type="dxa"/>
            <w:shd w:val="clear" w:color="auto" w:fill="C6EFCE"/>
            <w:noWrap/>
            <w:vAlign w:val="center"/>
            <w:hideMark/>
          </w:tcPr>
          <w:p w14:paraId="5BE770EC" w14:textId="77777777" w:rsidR="003F5418" w:rsidRDefault="002A6C25">
            <w:pPr>
              <w:pStyle w:val="P68B1DB1-Normal4"/>
              <w:jc w:val="center"/>
              <w:rPr>
                <w:noProof/>
              </w:rPr>
            </w:pPr>
            <w:r>
              <w:rPr>
                <w:noProof/>
              </w:rPr>
              <w:t>0</w:t>
            </w:r>
          </w:p>
        </w:tc>
        <w:tc>
          <w:tcPr>
            <w:tcW w:w="792" w:type="dxa"/>
            <w:shd w:val="clear" w:color="auto" w:fill="C6EFCE"/>
            <w:noWrap/>
            <w:vAlign w:val="center"/>
            <w:hideMark/>
          </w:tcPr>
          <w:p w14:paraId="58E3FA9B" w14:textId="6BD02AC1" w:rsidR="003F5418" w:rsidRDefault="002A6C25">
            <w:pPr>
              <w:pStyle w:val="P68B1DB1-Normal4"/>
              <w:jc w:val="center"/>
              <w:rPr>
                <w:noProof/>
              </w:rPr>
            </w:pPr>
            <w:r>
              <w:rPr>
                <w:noProof/>
              </w:rPr>
              <w:t>6 000</w:t>
            </w:r>
          </w:p>
        </w:tc>
        <w:tc>
          <w:tcPr>
            <w:tcW w:w="979" w:type="dxa"/>
            <w:shd w:val="clear" w:color="auto" w:fill="C6EFCE"/>
            <w:noWrap/>
            <w:vAlign w:val="center"/>
            <w:hideMark/>
          </w:tcPr>
          <w:p w14:paraId="3D11E33A" w14:textId="77777777" w:rsidR="003F5418" w:rsidRDefault="002A6C25">
            <w:pPr>
              <w:pStyle w:val="P68B1DB1-Normal4"/>
              <w:jc w:val="center"/>
              <w:rPr>
                <w:noProof/>
              </w:rPr>
            </w:pPr>
            <w:r>
              <w:rPr>
                <w:noProof/>
              </w:rPr>
              <w:t>Q4</w:t>
            </w:r>
          </w:p>
        </w:tc>
        <w:tc>
          <w:tcPr>
            <w:tcW w:w="673" w:type="dxa"/>
            <w:shd w:val="clear" w:color="auto" w:fill="C6EFCE"/>
            <w:noWrap/>
            <w:vAlign w:val="center"/>
            <w:hideMark/>
          </w:tcPr>
          <w:p w14:paraId="7246F684" w14:textId="77777777" w:rsidR="003F5418" w:rsidRDefault="002A6C25">
            <w:pPr>
              <w:pStyle w:val="P68B1DB1-Normal4"/>
              <w:jc w:val="center"/>
              <w:rPr>
                <w:noProof/>
              </w:rPr>
            </w:pPr>
            <w:r>
              <w:rPr>
                <w:noProof/>
              </w:rPr>
              <w:t>2024</w:t>
            </w:r>
          </w:p>
        </w:tc>
        <w:tc>
          <w:tcPr>
            <w:tcW w:w="2977" w:type="dxa"/>
            <w:shd w:val="clear" w:color="auto" w:fill="C6EFCE"/>
            <w:noWrap/>
            <w:vAlign w:val="center"/>
            <w:hideMark/>
          </w:tcPr>
          <w:p w14:paraId="276C2CFA" w14:textId="420A183D" w:rsidR="003F5418" w:rsidRDefault="002A6C25">
            <w:pPr>
              <w:pStyle w:val="P68B1DB1-Normal4"/>
              <w:rPr>
                <w:noProof/>
              </w:rPr>
            </w:pPr>
            <w:r>
              <w:rPr>
                <w:noProof/>
              </w:rPr>
              <w:t>Legalább 6000 doktori ösztöndíj odaítélése.</w:t>
            </w:r>
          </w:p>
          <w:p w14:paraId="7C063295" w14:textId="77777777" w:rsidR="003F5418" w:rsidRDefault="002A6C25">
            <w:pPr>
              <w:pStyle w:val="P68B1DB1-Normal4"/>
              <w:rPr>
                <w:noProof/>
              </w:rPr>
            </w:pPr>
            <w:r>
              <w:rPr>
                <w:noProof/>
              </w:rPr>
              <w:t>Az innovatív PhD-k azonosítására vonatkozó kritikus követelmények közé tartoznak a következők:</w:t>
            </w:r>
          </w:p>
          <w:p w14:paraId="14CF6E13" w14:textId="77777777" w:rsidR="003F5418" w:rsidRDefault="002A6C25">
            <w:pPr>
              <w:pStyle w:val="P68B1DB1-Normal4"/>
              <w:rPr>
                <w:noProof/>
              </w:rPr>
            </w:pPr>
            <w:r>
              <w:rPr>
                <w:noProof/>
              </w:rPr>
              <w:t xml:space="preserve">olyan fegyelmi és </w:t>
            </w:r>
            <w:r>
              <w:rPr>
                <w:noProof/>
              </w:rPr>
              <w:t>tematikus területeket fed le, amelyek megfelelnek a programban részt vevő régiók magasan képzett személyek munkaerőpiaci igényeinek;</w:t>
            </w:r>
          </w:p>
          <w:p w14:paraId="74BE90C3" w14:textId="77777777" w:rsidR="003F5418" w:rsidRDefault="002A6C25">
            <w:pPr>
              <w:pStyle w:val="P68B1DB1-Normal4"/>
              <w:rPr>
                <w:noProof/>
              </w:rPr>
            </w:pPr>
            <w:r>
              <w:rPr>
                <w:noProof/>
              </w:rPr>
              <w:t>teljes időtartama 3 év;</w:t>
            </w:r>
          </w:p>
          <w:p w14:paraId="4DC47C14" w14:textId="77777777" w:rsidR="003F5418" w:rsidRDefault="002A6C25">
            <w:pPr>
              <w:pStyle w:val="P68B1DB1-Normal4"/>
              <w:rPr>
                <w:noProof/>
              </w:rPr>
            </w:pPr>
            <w:r>
              <w:rPr>
                <w:noProof/>
              </w:rPr>
              <w:t>a teljes doktori, képzési, kutatási és értékelési tanfolyam lebonyolításának biztosítása a kedvezmé</w:t>
            </w:r>
            <w:r>
              <w:rPr>
                <w:noProof/>
              </w:rPr>
              <w:t>nyezett egyetemnek a program célrégióiban található igazgatási és működési központjában, a vállalatnál és külföldön töltött tanulmányi és kutatási időszakok sérelme nélkül, a javaslattevő tantárgy irodáiban tervezett képzési és kutatási tevékenységekkel ös</w:t>
            </w:r>
            <w:r>
              <w:rPr>
                <w:noProof/>
              </w:rPr>
              <w:t>szhangban;</w:t>
            </w:r>
          </w:p>
          <w:p w14:paraId="05D8F332" w14:textId="77777777" w:rsidR="003F5418" w:rsidRDefault="002A6C25">
            <w:pPr>
              <w:pStyle w:val="P68B1DB1-Normal4"/>
              <w:rPr>
                <w:noProof/>
              </w:rPr>
            </w:pPr>
            <w:r>
              <w:rPr>
                <w:noProof/>
              </w:rPr>
              <w:t>legalább hat (6) hónap, de legfeljebb tizennyolc (18) hónap közötti tanulmányi és kutatási időszakok biztosítása a vállalatnál;</w:t>
            </w:r>
          </w:p>
          <w:p w14:paraId="6EF6762A" w14:textId="77777777" w:rsidR="003F5418" w:rsidRDefault="002A6C25">
            <w:pPr>
              <w:pStyle w:val="P68B1DB1-Normal4"/>
              <w:rPr>
                <w:noProof/>
              </w:rPr>
            </w:pPr>
            <w:r>
              <w:rPr>
                <w:noProof/>
              </w:rPr>
              <w:t>legalább hat (6) hónaptól legfeljebb tizennyolc hónapig terjedő külföldi tanulmányi és kutatási időszakok biztosítása</w:t>
            </w:r>
            <w:r>
              <w:rPr>
                <w:noProof/>
              </w:rPr>
              <w:t>;</w:t>
            </w:r>
          </w:p>
          <w:p w14:paraId="00202186" w14:textId="77777777" w:rsidR="003F5418" w:rsidRDefault="002A6C25">
            <w:pPr>
              <w:pStyle w:val="P68B1DB1-Normal4"/>
              <w:rPr>
                <w:noProof/>
              </w:rPr>
            </w:pPr>
            <w:r>
              <w:rPr>
                <w:noProof/>
              </w:rPr>
              <w:t>annak biztosítása, hogy a doktorandusz a törvénynek megfelelően képesített és speciális működési és tudományos struktúrákat vehessen igénybe tanulmányi és kutatási tevékenységekhez, beleértve (amennyiben a képzés típusa szempontjából releváns) tudományos</w:t>
            </w:r>
            <w:r>
              <w:rPr>
                <w:noProof/>
              </w:rPr>
              <w:t xml:space="preserve"> laboratóriumokat, könyvtárakat, adatbázisokat stb.;</w:t>
            </w:r>
          </w:p>
          <w:p w14:paraId="6BB2B352" w14:textId="77777777" w:rsidR="003F5418" w:rsidRDefault="002A6C25">
            <w:pPr>
              <w:pStyle w:val="P68B1DB1-Normal4"/>
              <w:rPr>
                <w:noProof/>
              </w:rPr>
            </w:pPr>
            <w:r>
              <w:rPr>
                <w:noProof/>
              </w:rPr>
              <w:t>a nyelvi és informatikai fejlesztésre, a kutatásirányításra és az európai és nemzetközi kutatási rendszerek ismeretére, a kutatási eredmények és a szellemi tulajdon fejlesztésére irányuló didaktikai tevé</w:t>
            </w:r>
            <w:r>
              <w:rPr>
                <w:noProof/>
              </w:rPr>
              <w:t>kenységek végrehajtásának biztosítása;</w:t>
            </w:r>
          </w:p>
          <w:p w14:paraId="41963FFC" w14:textId="77777777" w:rsidR="003F5418" w:rsidRDefault="002A6C25">
            <w:pPr>
              <w:pStyle w:val="P68B1DB1-Normal4"/>
              <w:rPr>
                <w:noProof/>
              </w:rPr>
            </w:pPr>
            <w:r>
              <w:rPr>
                <w:noProof/>
              </w:rPr>
              <w:t>a vállalatok részvételének biztosítása a képzés meghatározásában, az egyetemmel folytatott szélesebb körű együttműködés keretében is;</w:t>
            </w:r>
          </w:p>
          <w:p w14:paraId="3C217DB0" w14:textId="77777777" w:rsidR="003F5418" w:rsidRDefault="002A6C25">
            <w:pPr>
              <w:pStyle w:val="P68B1DB1-Normal4"/>
              <w:rPr>
                <w:noProof/>
              </w:rPr>
            </w:pPr>
            <w:r>
              <w:rPr>
                <w:noProof/>
              </w:rPr>
              <w:t>a horizontális elveknek való megfelelés biztosítása (környezeti fenntarthatóság; fe</w:t>
            </w:r>
            <w:r>
              <w:rPr>
                <w:noProof/>
              </w:rPr>
              <w:t>nntartható fejlődés; esélyegyenlőség és megkülönböztetésmentesség; akadálymentes hozzáférés a fogyatékossággal élő személyek számára).</w:t>
            </w:r>
          </w:p>
          <w:p w14:paraId="6BDFAC4A" w14:textId="77777777" w:rsidR="003F5418" w:rsidRDefault="003F5418">
            <w:pPr>
              <w:rPr>
                <w:rFonts w:ascii="Arial Narrow" w:hAnsi="Arial Narrow"/>
                <w:noProof/>
                <w:color w:val="006100"/>
                <w:sz w:val="20"/>
              </w:rPr>
            </w:pPr>
          </w:p>
          <w:p w14:paraId="7EE18D89" w14:textId="77777777" w:rsidR="003F5418" w:rsidRDefault="002A6C25">
            <w:pPr>
              <w:pStyle w:val="P68B1DB1-Normal4"/>
              <w:rPr>
                <w:noProof/>
              </w:rPr>
            </w:pPr>
            <w:r>
              <w:rPr>
                <w:noProof/>
              </w:rPr>
              <w:t xml:space="preserve">A kiválasztási eljárásnak olyan támogathatósági kritériumokat kell tartalmaznia, amelyek egy kizárási lista, valamint a </w:t>
            </w:r>
            <w:r>
              <w:rPr>
                <w:noProof/>
              </w:rPr>
              <w:t>vonatkozó uniós és nemzeti környezetvédelmi jogszabályoknak való megfelelés követelménye révén biztosítják, hogy a kiválasztott projektek megfeleljenek a jelentős károkozás elkerülését célzó technikai iránymutatásnak (2021/C58/01).</w:t>
            </w:r>
          </w:p>
        </w:tc>
      </w:tr>
      <w:tr w:rsidR="003F5418" w14:paraId="0A098D87" w14:textId="77777777">
        <w:trPr>
          <w:trHeight w:val="309"/>
          <w:jc w:val="center"/>
        </w:trPr>
        <w:tc>
          <w:tcPr>
            <w:tcW w:w="1503" w:type="dxa"/>
            <w:shd w:val="clear" w:color="auto" w:fill="C6EFCE"/>
            <w:noWrap/>
            <w:vAlign w:val="center"/>
            <w:hideMark/>
          </w:tcPr>
          <w:p w14:paraId="499A8B2F" w14:textId="77777777" w:rsidR="003F5418" w:rsidRDefault="002A6C25">
            <w:pPr>
              <w:pStyle w:val="P68B1DB1-Normal4"/>
              <w:jc w:val="center"/>
              <w:rPr>
                <w:noProof/>
              </w:rPr>
            </w:pPr>
            <w:r>
              <w:rPr>
                <w:noProof/>
              </w:rPr>
              <w:t>M4C2–4</w:t>
            </w:r>
          </w:p>
        </w:tc>
        <w:tc>
          <w:tcPr>
            <w:tcW w:w="1596" w:type="dxa"/>
            <w:shd w:val="clear" w:color="auto" w:fill="C6EFCE"/>
            <w:noWrap/>
            <w:vAlign w:val="center"/>
            <w:hideMark/>
          </w:tcPr>
          <w:p w14:paraId="48DA65C9" w14:textId="77777777" w:rsidR="003F5418" w:rsidRDefault="002A6C25">
            <w:pPr>
              <w:pStyle w:val="P68B1DB1-Normal4"/>
              <w:jc w:val="center"/>
              <w:rPr>
                <w:noProof/>
              </w:rPr>
            </w:pPr>
            <w:r>
              <w:rPr>
                <w:noProof/>
              </w:rPr>
              <w:t xml:space="preserve">Reform: Az </w:t>
            </w:r>
            <w:r>
              <w:rPr>
                <w:noProof/>
              </w:rPr>
              <w:t>egyszerűsítést és a mobilitást elősegítő K+F támogatási intézkedések végrehajtása</w:t>
            </w:r>
          </w:p>
        </w:tc>
        <w:tc>
          <w:tcPr>
            <w:tcW w:w="1416" w:type="dxa"/>
            <w:shd w:val="clear" w:color="auto" w:fill="C6EFCE"/>
            <w:noWrap/>
            <w:vAlign w:val="center"/>
            <w:hideMark/>
          </w:tcPr>
          <w:p w14:paraId="7D7FB671" w14:textId="77777777" w:rsidR="003F5418" w:rsidRDefault="002A6C25">
            <w:pPr>
              <w:pStyle w:val="P68B1DB1-Normal4"/>
              <w:jc w:val="center"/>
              <w:rPr>
                <w:noProof/>
              </w:rPr>
            </w:pPr>
            <w:r>
              <w:rPr>
                <w:noProof/>
              </w:rPr>
              <w:t>Mérföldkő</w:t>
            </w:r>
          </w:p>
        </w:tc>
        <w:tc>
          <w:tcPr>
            <w:tcW w:w="1362" w:type="dxa"/>
            <w:shd w:val="clear" w:color="auto" w:fill="C6EFCE"/>
            <w:noWrap/>
            <w:vAlign w:val="center"/>
            <w:hideMark/>
          </w:tcPr>
          <w:p w14:paraId="278718DE" w14:textId="77777777" w:rsidR="003F5418" w:rsidRDefault="002A6C25">
            <w:pPr>
              <w:pStyle w:val="P68B1DB1-Normal4"/>
              <w:jc w:val="center"/>
              <w:rPr>
                <w:noProof/>
              </w:rPr>
            </w:pPr>
            <w:r>
              <w:rPr>
                <w:noProof/>
              </w:rPr>
              <w:t>A rendes finanszírozási alaphoz kapcsolódó, a K+F egyszerűsítéséről és a mobilitásról szóló miniszteri rendeletek hatálybalépése.</w:t>
            </w:r>
          </w:p>
        </w:tc>
        <w:tc>
          <w:tcPr>
            <w:tcW w:w="1607" w:type="dxa"/>
            <w:shd w:val="clear" w:color="auto" w:fill="C6EFCE"/>
            <w:noWrap/>
            <w:vAlign w:val="center"/>
            <w:hideMark/>
          </w:tcPr>
          <w:p w14:paraId="04D1D465" w14:textId="77777777" w:rsidR="003F5418" w:rsidRDefault="002A6C25">
            <w:pPr>
              <w:pStyle w:val="P68B1DB1-Normal4"/>
              <w:jc w:val="center"/>
              <w:rPr>
                <w:noProof/>
              </w:rPr>
            </w:pPr>
            <w:r>
              <w:rPr>
                <w:noProof/>
              </w:rPr>
              <w:t xml:space="preserve">A rendeletben szereplő, a törvény </w:t>
            </w:r>
            <w:r>
              <w:rPr>
                <w:noProof/>
              </w:rPr>
              <w:t>hatálybalépését feltüntető rendelkezés</w:t>
            </w:r>
          </w:p>
        </w:tc>
        <w:tc>
          <w:tcPr>
            <w:tcW w:w="1008" w:type="dxa"/>
            <w:shd w:val="clear" w:color="auto" w:fill="C6EFCE"/>
            <w:noWrap/>
            <w:vAlign w:val="center"/>
            <w:hideMark/>
          </w:tcPr>
          <w:p w14:paraId="00CDCEB5" w14:textId="77777777" w:rsidR="003F5418" w:rsidRDefault="002A6C25">
            <w:pPr>
              <w:pStyle w:val="P68B1DB1-Normal4"/>
              <w:jc w:val="center"/>
              <w:rPr>
                <w:noProof/>
              </w:rPr>
            </w:pPr>
            <w:r>
              <w:rPr>
                <w:noProof/>
              </w:rPr>
              <w:t>NINCS</w:t>
            </w:r>
          </w:p>
        </w:tc>
        <w:tc>
          <w:tcPr>
            <w:tcW w:w="991" w:type="dxa"/>
            <w:shd w:val="clear" w:color="auto" w:fill="C6EFCE"/>
            <w:noWrap/>
            <w:vAlign w:val="center"/>
            <w:hideMark/>
          </w:tcPr>
          <w:p w14:paraId="727FA914" w14:textId="77777777" w:rsidR="003F5418" w:rsidRDefault="002A6C25">
            <w:pPr>
              <w:pStyle w:val="P68B1DB1-Normal4"/>
              <w:jc w:val="center"/>
              <w:rPr>
                <w:noProof/>
              </w:rPr>
            </w:pPr>
            <w:r>
              <w:rPr>
                <w:noProof/>
              </w:rPr>
              <w:t>NINCS</w:t>
            </w:r>
          </w:p>
        </w:tc>
        <w:tc>
          <w:tcPr>
            <w:tcW w:w="792" w:type="dxa"/>
            <w:shd w:val="clear" w:color="auto" w:fill="C6EFCE"/>
            <w:noWrap/>
            <w:vAlign w:val="center"/>
            <w:hideMark/>
          </w:tcPr>
          <w:p w14:paraId="26864E5E" w14:textId="77777777" w:rsidR="003F5418" w:rsidRDefault="003F5418">
            <w:pPr>
              <w:jc w:val="center"/>
              <w:rPr>
                <w:rFonts w:ascii="Arial Narrow" w:hAnsi="Arial Narrow"/>
                <w:noProof/>
                <w:color w:val="006100"/>
                <w:sz w:val="20"/>
              </w:rPr>
            </w:pPr>
          </w:p>
        </w:tc>
        <w:tc>
          <w:tcPr>
            <w:tcW w:w="979" w:type="dxa"/>
            <w:shd w:val="clear" w:color="auto" w:fill="C6EFCE"/>
            <w:noWrap/>
            <w:vAlign w:val="center"/>
            <w:hideMark/>
          </w:tcPr>
          <w:p w14:paraId="097932F6" w14:textId="77777777" w:rsidR="003F5418" w:rsidRDefault="002A6C25">
            <w:pPr>
              <w:pStyle w:val="P68B1DB1-Normal4"/>
              <w:jc w:val="center"/>
              <w:rPr>
                <w:noProof/>
              </w:rPr>
            </w:pPr>
            <w:r>
              <w:rPr>
                <w:noProof/>
              </w:rPr>
              <w:t>Q2</w:t>
            </w:r>
          </w:p>
        </w:tc>
        <w:tc>
          <w:tcPr>
            <w:tcW w:w="673" w:type="dxa"/>
            <w:shd w:val="clear" w:color="auto" w:fill="C6EFCE"/>
            <w:noWrap/>
            <w:vAlign w:val="center"/>
            <w:hideMark/>
          </w:tcPr>
          <w:p w14:paraId="09A4AD6F" w14:textId="77777777" w:rsidR="003F5418" w:rsidRDefault="002A6C25">
            <w:pPr>
              <w:pStyle w:val="P68B1DB1-Normal4"/>
              <w:jc w:val="center"/>
              <w:rPr>
                <w:noProof/>
              </w:rPr>
            </w:pPr>
            <w:r>
              <w:rPr>
                <w:noProof/>
              </w:rPr>
              <w:t>2022</w:t>
            </w:r>
          </w:p>
        </w:tc>
        <w:tc>
          <w:tcPr>
            <w:tcW w:w="2977" w:type="dxa"/>
            <w:shd w:val="clear" w:color="auto" w:fill="C6EFCE"/>
            <w:noWrap/>
            <w:vAlign w:val="center"/>
            <w:hideMark/>
          </w:tcPr>
          <w:p w14:paraId="0D9E394B" w14:textId="77777777" w:rsidR="003F5418" w:rsidRDefault="002A6C25">
            <w:pPr>
              <w:pStyle w:val="P68B1DB1-Normal4"/>
              <w:rPr>
                <w:noProof/>
              </w:rPr>
            </w:pPr>
            <w:r>
              <w:rPr>
                <w:noProof/>
              </w:rPr>
              <w:t>A miniszteri rendeletek a következő kulcsfontosságú elemeket tartalmazzák:</w:t>
            </w:r>
          </w:p>
          <w:p w14:paraId="0A08AE0B" w14:textId="77777777" w:rsidR="003F5418" w:rsidRDefault="002A6C25">
            <w:pPr>
              <w:pStyle w:val="P68B1DB1-Normal4"/>
              <w:rPr>
                <w:noProof/>
              </w:rPr>
            </w:pPr>
            <w:r>
              <w:rPr>
                <w:noProof/>
              </w:rPr>
              <w:t>a K+F tevékenységek rendszerszintűbb megközelítésére való áttérés egy új, egyszerűsített modell révén, amelynek célja, ho</w:t>
            </w:r>
            <w:r>
              <w:rPr>
                <w:noProof/>
              </w:rPr>
              <w:t>gy a prioritások szétszórtságának és szétaprózódásának elkerülése révén jelentős hatást érjen el; a jogszabályok reformja a magas rangú személyiségek (például kutatók és vezetők) egyetemek, kutatási infrastruktúrák és vállalatok közötti mobilitásának növel</w:t>
            </w:r>
            <w:r>
              <w:rPr>
                <w:noProof/>
              </w:rPr>
              <w:t>ése érdekében; az alapok kezelésének egyszerűsítése; meg kell reformálni a kutatók karrierpályáját annak érdekében, hogy jobban összpontosítsanak a kutatási tevékenységekre.</w:t>
            </w:r>
          </w:p>
        </w:tc>
      </w:tr>
    </w:tbl>
    <w:p w14:paraId="2B8729FE" w14:textId="77777777" w:rsidR="003F5418" w:rsidRDefault="003F5418">
      <w:pPr>
        <w:spacing w:before="120" w:after="120"/>
        <w:ind w:left="709"/>
        <w:jc w:val="both"/>
        <w:rPr>
          <w:noProof/>
        </w:rPr>
        <w:sectPr w:rsidR="003F5418">
          <w:headerReference w:type="even" r:id="rId284"/>
          <w:headerReference w:type="default" r:id="rId285"/>
          <w:footerReference w:type="even" r:id="rId286"/>
          <w:footerReference w:type="default" r:id="rId287"/>
          <w:headerReference w:type="first" r:id="rId288"/>
          <w:footerReference w:type="first" r:id="rId289"/>
          <w:pgSz w:w="16839" w:h="11907" w:orient="landscape"/>
          <w:pgMar w:top="1134" w:right="1134" w:bottom="1134" w:left="1134" w:header="567" w:footer="567" w:gutter="0"/>
          <w:cols w:space="720"/>
          <w:docGrid w:linePitch="360"/>
        </w:sectPr>
      </w:pPr>
    </w:p>
    <w:p w14:paraId="7B62C6B8"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K.3. </w:t>
      </w:r>
      <w:r>
        <w:rPr>
          <w:noProof/>
        </w:rPr>
        <w:t xml:space="preserve"> </w:t>
      </w:r>
      <w:r>
        <w:rPr>
          <w:b/>
          <w:i w:val="0"/>
          <w:noProof/>
          <w:u w:val="single"/>
        </w:rPr>
        <w:t xml:space="preserve">A hitelhez kapcsolódó reformok és beruházások ismertetése </w:t>
      </w:r>
    </w:p>
    <w:p w14:paraId="176E6BB2" w14:textId="05924ED2" w:rsidR="003F5418" w:rsidRDefault="00152815">
      <w:pPr>
        <w:pStyle w:val="P68B1DB1-Normal17"/>
        <w:spacing w:before="120" w:after="120"/>
        <w:jc w:val="both"/>
        <w:rPr>
          <w:rFonts w:eastAsia="Calibri"/>
          <w:noProof/>
        </w:rPr>
      </w:pPr>
      <w:r>
        <w:rPr>
          <w:noProof/>
        </w:rPr>
        <w:t>1</w:t>
      </w:r>
      <w:r w:rsidRPr="00B07E42">
        <w:rPr>
          <w:noProof/>
        </w:rPr>
        <w:t>.1.</w:t>
      </w:r>
      <w:r>
        <w:rPr>
          <w:noProof/>
        </w:rPr>
        <w:t xml:space="preserve"> Beruházás: Jelentős nemzeti érdekű kutatási projektek (PRIN)</w:t>
      </w:r>
    </w:p>
    <w:p w14:paraId="0226400B" w14:textId="77777777" w:rsidR="003F5418" w:rsidRDefault="002A6C25">
      <w:pPr>
        <w:pStyle w:val="P68B1DB1-Normal12"/>
        <w:spacing w:before="120" w:after="120"/>
        <w:jc w:val="both"/>
        <w:rPr>
          <w:rFonts w:eastAsia="Calibri"/>
          <w:noProof/>
        </w:rPr>
      </w:pPr>
      <w:r>
        <w:rPr>
          <w:noProof/>
        </w:rPr>
        <w:t>Az intézkedés jelentős nemzeti érdekű kutatási projektek (PRIN) finanszírozásából áll. A projektek időtartama legalább két év, és a</w:t>
      </w:r>
      <w:r>
        <w:rPr>
          <w:noProof/>
        </w:rPr>
        <w:t>z egyetemekhez és kutatóintézetekhez tartozó kutatási egységek együttműködését igénylik. A finanszírozott projekteket az Egyetemi és Kutatási Minisztérium választja ki a felelősök tudományos profiljának minősége, valamint a kutatási projekt eredetisége, mó</w:t>
      </w:r>
      <w:r>
        <w:rPr>
          <w:noProof/>
        </w:rPr>
        <w:t>dszertani megfelelősége, hatása és megvalósíthatósága alapján. E tevékenységtípusnak ösztönöznie kell a felderítő kutatásra irányuló, kutatásvezérelt kezdeményezések kidolgozását, valamint az egyetemek és a kutatóintézetek közötti szorosabb együttműködést.</w:t>
      </w:r>
    </w:p>
    <w:p w14:paraId="10739834" w14:textId="66203F5E" w:rsidR="003F5418" w:rsidRDefault="002A6C25">
      <w:pPr>
        <w:pStyle w:val="P68B1DB1-Normal12"/>
        <w:spacing w:before="120" w:after="120"/>
        <w:jc w:val="both"/>
        <w:rPr>
          <w:rFonts w:eastAsia="Calibri"/>
          <w:noProof/>
        </w:rPr>
      </w:pPr>
      <w:r>
        <w:rPr>
          <w:noProof/>
        </w:rPr>
        <w:t>A beruházás 2026-ig várhatóan 5350 projektet fog finanszírozni.</w:t>
      </w:r>
    </w:p>
    <w:p w14:paraId="3DA2AAD5" w14:textId="77777777" w:rsidR="003F5418" w:rsidRDefault="002A6C25">
      <w:pPr>
        <w:spacing w:before="120" w:after="120"/>
        <w:jc w:val="both"/>
        <w:rPr>
          <w:rFonts w:eastAsia="Calibri"/>
          <w:noProof/>
          <w:color w:val="000000" w:themeColor="text1"/>
        </w:rPr>
      </w:pPr>
      <w:r>
        <w:rPr>
          <w:noProof/>
        </w:rPr>
        <w:t>Annak biztosítása</w:t>
      </w:r>
      <w:r>
        <w:rPr>
          <w:noProof/>
          <w:color w:val="000000" w:themeColor="text1"/>
        </w:rPr>
        <w:t>érdekében, hogy az intézkedés megfeleljen a jelentős károkozás elkerülését célzó elvről szóló technikai iránymutatásnak (2021/C58/01), a soron következő pályázati felhívásokr</w:t>
      </w:r>
      <w:r>
        <w:rPr>
          <w:noProof/>
          <w:color w:val="000000" w:themeColor="text1"/>
        </w:rPr>
        <w:t>a vonatkozó feladatmeghatározásban szereplő támogathatósági kritériumok nem tartalmazzák a tevékenységek alábbi listáját: a fosszilis tüzelőanyagokkal kapcsolatos tevékenységek, beleértve a továbbfelhasználást is</w:t>
      </w:r>
      <w:r>
        <w:rPr>
          <w:rStyle w:val="FootnoteReference"/>
          <w:rFonts w:eastAsia="Calibri"/>
          <w:noProof/>
          <w:color w:val="000000" w:themeColor="text1"/>
        </w:rPr>
        <w:footnoteReference w:id="79"/>
      </w:r>
      <w:r>
        <w:rPr>
          <w:noProof/>
          <w:color w:val="000000" w:themeColor="text1"/>
        </w:rPr>
        <w:t>; ii. az uniós kibocsátáskereskedelmi rends</w:t>
      </w:r>
      <w:r>
        <w:rPr>
          <w:noProof/>
          <w:color w:val="000000" w:themeColor="text1"/>
        </w:rPr>
        <w:t>zer (ETS) keretében végzett tevékenységek, amelyek elérik a vonatkozó referenciaértékeket meg nem haladó, előre jelzett üvegházhatásúgáz-kibocsátást</w:t>
      </w:r>
      <w:r>
        <w:rPr>
          <w:rStyle w:val="FootnoteReference"/>
          <w:rFonts w:eastAsia="Calibri"/>
          <w:noProof/>
          <w:color w:val="000000" w:themeColor="text1"/>
        </w:rPr>
        <w:footnoteReference w:id="80"/>
      </w:r>
      <w:r>
        <w:rPr>
          <w:noProof/>
          <w:color w:val="000000" w:themeColor="text1"/>
        </w:rPr>
        <w:t>; hulladéklerakókkal, hulladékégetőkkel</w:t>
      </w:r>
      <w:r>
        <w:rPr>
          <w:rStyle w:val="FootnoteReference"/>
          <w:rFonts w:eastAsia="Calibri"/>
          <w:noProof/>
          <w:color w:val="000000" w:themeColor="text1"/>
        </w:rPr>
        <w:footnoteReference w:id="81"/>
      </w:r>
      <w:r>
        <w:rPr>
          <w:noProof/>
        </w:rPr>
        <w:t xml:space="preserve"> </w:t>
      </w:r>
      <w:r>
        <w:rPr>
          <w:noProof/>
          <w:color w:val="000000" w:themeColor="text1"/>
        </w:rPr>
        <w:t>és mechanikai-biológiai hulladékkezelő létesítményekkel kapcsolato</w:t>
      </w:r>
      <w:r>
        <w:rPr>
          <w:noProof/>
          <w:color w:val="000000" w:themeColor="text1"/>
        </w:rPr>
        <w:t>s tevékenységek</w:t>
      </w:r>
      <w:r>
        <w:rPr>
          <w:rStyle w:val="FootnoteReference"/>
          <w:rFonts w:eastAsia="Calibri"/>
          <w:noProof/>
          <w:color w:val="000000" w:themeColor="text1"/>
        </w:rPr>
        <w:footnoteReference w:id="82"/>
      </w:r>
      <w:r>
        <w:rPr>
          <w:noProof/>
          <w:color w:val="000000" w:themeColor="text1"/>
        </w:rPr>
        <w:t xml:space="preserve">; valamint iv. azok a tevékenységek, amelyek esetében a hulladék hosszú távú ártalmatlanítása károsíthatja a környezetet. A feladatmeghatározás előírja továbbá, hogy csak olyan tevékenységek választhatók ki, amelyek megfelelnek a vonatkozó </w:t>
      </w:r>
      <w:r>
        <w:rPr>
          <w:noProof/>
          <w:color w:val="000000" w:themeColor="text1"/>
        </w:rPr>
        <w:t>uniós és nemzeti környezetvédelmi jogszabályoknak.</w:t>
      </w:r>
    </w:p>
    <w:p w14:paraId="248070BE" w14:textId="34E6B1BC" w:rsidR="003F5418" w:rsidRDefault="00152815">
      <w:pPr>
        <w:pStyle w:val="paragraph"/>
        <w:spacing w:before="120" w:beforeAutospacing="0" w:after="120" w:afterAutospacing="0"/>
        <w:jc w:val="both"/>
        <w:textAlignment w:val="baseline"/>
        <w:rPr>
          <w:rStyle w:val="eop"/>
          <w:rFonts w:eastAsiaTheme="majorEastAsia"/>
          <w:b/>
          <w:noProof/>
          <w:color w:val="000000" w:themeColor="text1"/>
          <w:shd w:val="clear" w:color="auto" w:fill="FFFFFF"/>
        </w:rPr>
      </w:pPr>
      <w:r w:rsidRPr="00152815">
        <w:rPr>
          <w:b/>
          <w:bCs/>
          <w:noProof/>
        </w:rPr>
        <w:t>1.</w:t>
      </w:r>
      <w:r>
        <w:rPr>
          <w:b/>
          <w:bCs/>
          <w:noProof/>
        </w:rPr>
        <w:t>3</w:t>
      </w:r>
      <w:r w:rsidRPr="00152815">
        <w:rPr>
          <w:b/>
          <w:bCs/>
          <w:noProof/>
        </w:rPr>
        <w:t xml:space="preserve">. </w:t>
      </w:r>
      <w:r>
        <w:rPr>
          <w:rStyle w:val="normaltextrun"/>
          <w:b/>
          <w:noProof/>
          <w:color w:val="000000" w:themeColor="text1"/>
          <w:shd w:val="clear" w:color="auto" w:fill="FFFFFF"/>
        </w:rPr>
        <w:t>Beruházás: Az egyetemekre, kutatóközpontokra, vállalatokra kiterjesztett partnerségek, valamint az alapkutatási projektek finanszírozása</w:t>
      </w:r>
    </w:p>
    <w:p w14:paraId="6E71E7D0" w14:textId="77777777" w:rsidR="003F5418" w:rsidRDefault="002A6C25">
      <w:pPr>
        <w:spacing w:before="120" w:after="120"/>
        <w:jc w:val="both"/>
        <w:rPr>
          <w:rFonts w:eastAsia="Calibri"/>
          <w:noProof/>
          <w:color w:val="000000" w:themeColor="text1"/>
        </w:rPr>
      </w:pPr>
      <w:r>
        <w:rPr>
          <w:noProof/>
          <w:color w:val="000000" w:themeColor="text1"/>
        </w:rPr>
        <w:t>Más európai országokhoz képest az olasz kutatási és egyetemi re</w:t>
      </w:r>
      <w:r>
        <w:rPr>
          <w:noProof/>
          <w:color w:val="000000" w:themeColor="text1"/>
        </w:rPr>
        <w:t>ndszer alacsony szabadalmai és spin-off-termelése különösen kritikusnak tűnik</w:t>
      </w:r>
      <w:r>
        <w:rPr>
          <w:rStyle w:val="FootnoteReference"/>
          <w:rFonts w:eastAsia="Calibri"/>
          <w:noProof/>
          <w:color w:val="000000" w:themeColor="text1"/>
        </w:rPr>
        <w:footnoteReference w:id="83"/>
      </w:r>
      <w:r>
        <w:rPr>
          <w:noProof/>
        </w:rPr>
        <w:t>.</w:t>
      </w:r>
      <w:r>
        <w:rPr>
          <w:noProof/>
          <w:color w:val="000000" w:themeColor="text1"/>
        </w:rPr>
        <w:t> Ez néhány strukturális kihívásra vezethető vissza, például a kis- és középvállalkozásoknak a nemzetgazdaságban betöltött domináns szerepére, a jövedelmek és a termelékenység te</w:t>
      </w:r>
      <w:r>
        <w:rPr>
          <w:noProof/>
          <w:color w:val="000000" w:themeColor="text1"/>
        </w:rPr>
        <w:t xml:space="preserve">kintetében fennálló jelentős regionális különbségekre, valamint arra, hogy az egyetemek nem tudnak együttműködni a vállalkozásokkal. </w:t>
      </w:r>
    </w:p>
    <w:p w14:paraId="22D6F8A5" w14:textId="77777777" w:rsidR="003F5418" w:rsidRDefault="002A6C25">
      <w:pPr>
        <w:pStyle w:val="P68B1DB1-Normal12"/>
        <w:spacing w:before="120" w:after="120"/>
        <w:jc w:val="both"/>
        <w:rPr>
          <w:rFonts w:eastAsia="Calibri"/>
          <w:noProof/>
        </w:rPr>
      </w:pPr>
      <w:r>
        <w:rPr>
          <w:noProof/>
        </w:rPr>
        <w:t>A beruházás célja legalább 14 nagy alapkutatási program finanszírozása, amelyeket köz- és magánszféra széles körű hálózata</w:t>
      </w:r>
      <w:r>
        <w:rPr>
          <w:noProof/>
        </w:rPr>
        <w:t>i hajtanak végre. A beruházás összhangban van a PNR egyik célkitűzésével, amely a pozitív változásoknak az alapkutatás ösztönzése révén történő előmozdítására irányul. Minden egyes program esetében célzottan be kell vonni az érdekelt feleket, hogy bevonják</w:t>
      </w:r>
      <w:r>
        <w:rPr>
          <w:noProof/>
        </w:rPr>
        <w:t xml:space="preserve"> a polgárokat, valamint megkönnyítsék a technológia- és tudástranszfert a területek, a vállalatok és a közigazgatási szervek számára. </w:t>
      </w:r>
    </w:p>
    <w:p w14:paraId="2C0DA2F1" w14:textId="77777777" w:rsidR="003F5418" w:rsidRDefault="002A6C25">
      <w:pPr>
        <w:pStyle w:val="P68B1DB1-Normal12"/>
        <w:spacing w:before="120" w:after="120"/>
        <w:jc w:val="both"/>
        <w:rPr>
          <w:rFonts w:eastAsia="Calibri"/>
          <w:noProof/>
        </w:rPr>
      </w:pPr>
      <w:r>
        <w:rPr>
          <w:noProof/>
        </w:rPr>
        <w:t>A beruházás várhatóan megerősíti a nemzeti technológiai láncokat, és előmozdítja a stratégiai európai és globális értéklá</w:t>
      </w:r>
      <w:r>
        <w:rPr>
          <w:noProof/>
        </w:rPr>
        <w:t>ncokban való részvételüket. A lehetséges példák a következők: fenntartható mobilitás (fenntartható akkumulátorok, anyagok, logisztika stb.), alternatív energiák, szupravezetők, az éghajlatváltozás nyomon követése és megelőzése, körforgásos gazdaság a divat</w:t>
      </w:r>
      <w:r>
        <w:rPr>
          <w:noProof/>
        </w:rPr>
        <w:t>iparban, ipari szimbiózis, környezettudatos tervezés és a fenntarthatóságot szolgáló tervezés, hulladékgazdálkodás, újrahasznosítás és újrahasznosítás, biológiai sokféleség, zöld termelési folyamatok, önvezető járművek, oltóanyagok, bioreaktorok, új nyersa</w:t>
      </w:r>
      <w:r>
        <w:rPr>
          <w:noProof/>
        </w:rPr>
        <w:t>nyagok, vízgazdálkodás és vízkészlet-megőrzés kulturális örökség.  Az egyes programoknak elő kell segíteniük a kis- és középvállalkozások nagy magánszereplők és állami kutatóközpontok köré történő összevonását, valamint ösztönözniük kell az együttműködésen</w:t>
      </w:r>
      <w:r>
        <w:rPr>
          <w:noProof/>
        </w:rPr>
        <w:t xml:space="preserve"> alapuló és kiegészítő kutatási tevékenységeket. A K+F projektek magukban foglalják mind a humántőkébe, mind az egyetemek, kutatóközpontok és vállalkozások alapkutatási fejlesztésébe történő beruházásokat. </w:t>
      </w:r>
    </w:p>
    <w:p w14:paraId="2230B897" w14:textId="77777777" w:rsidR="003F5418" w:rsidRDefault="002A6C25">
      <w:pPr>
        <w:spacing w:before="120" w:after="120"/>
        <w:jc w:val="both"/>
        <w:rPr>
          <w:rFonts w:eastAsia="Calibri"/>
          <w:noProof/>
          <w:color w:val="000000" w:themeColor="text1"/>
        </w:rPr>
      </w:pPr>
      <w:r>
        <w:rPr>
          <w:noProof/>
          <w:color w:val="000000" w:themeColor="text1"/>
        </w:rPr>
        <w:t>Annak biztosítása érdekében, hogy az intézkedés m</w:t>
      </w:r>
      <w:r>
        <w:rPr>
          <w:noProof/>
          <w:color w:val="000000" w:themeColor="text1"/>
        </w:rPr>
        <w:t xml:space="preserve">egfeleljen a jelentős károkozás elkerülését célzó technikai iránymutatásnak (2021/C58/01), a soron következő programfelhívásokra vonatkozó feladatmeghatározásban szereplő támogathatósági kritériumoknak ki kell zárniuk a tevékenységek következő listáját: a </w:t>
      </w:r>
      <w:r>
        <w:rPr>
          <w:noProof/>
          <w:color w:val="000000" w:themeColor="text1"/>
        </w:rPr>
        <w:t>fosszilis tüzelőanyagokkal kapcsolatos tevékenységek, beleértve a továbbfelhasználást is</w:t>
      </w:r>
      <w:r>
        <w:rPr>
          <w:rStyle w:val="FootnoteReference"/>
          <w:rFonts w:eastAsia="Calibri"/>
          <w:noProof/>
          <w:color w:val="000000" w:themeColor="text1"/>
        </w:rPr>
        <w:footnoteReference w:id="84"/>
      </w:r>
      <w:r>
        <w:rPr>
          <w:noProof/>
          <w:color w:val="000000" w:themeColor="text1"/>
        </w:rPr>
        <w:t>; ii. az uniós kibocsátáskereskedelmi rendszer (ETS) keretében végzett tevékenységek, amelyek elérik a vonatkozó referenciaértékeket meg nem haladó, előre jelzett üveg</w:t>
      </w:r>
      <w:r>
        <w:rPr>
          <w:noProof/>
          <w:color w:val="000000" w:themeColor="text1"/>
        </w:rPr>
        <w:t>házhatásúgáz-kibocsátást</w:t>
      </w:r>
      <w:r>
        <w:rPr>
          <w:rStyle w:val="FootnoteReference"/>
          <w:rFonts w:eastAsia="Calibri"/>
          <w:noProof/>
          <w:color w:val="000000" w:themeColor="text1"/>
        </w:rPr>
        <w:footnoteReference w:id="85"/>
      </w:r>
      <w:r>
        <w:rPr>
          <w:noProof/>
          <w:color w:val="000000" w:themeColor="text1"/>
        </w:rPr>
        <w:t>; hulladéklerakókkal, hulladékégetőkkel</w:t>
      </w:r>
      <w:r>
        <w:rPr>
          <w:rStyle w:val="FootnoteReference"/>
          <w:rFonts w:eastAsia="Calibri"/>
          <w:noProof/>
          <w:color w:val="000000" w:themeColor="text1"/>
        </w:rPr>
        <w:footnoteReference w:id="86"/>
      </w:r>
      <w:r>
        <w:rPr>
          <w:noProof/>
          <w:color w:val="000000" w:themeColor="text1"/>
        </w:rPr>
        <w:t xml:space="preserve"> és mechanikai-biológiai hulladékkezelő létesítményekkel kapcsolatos tevékenységek</w:t>
      </w:r>
      <w:r>
        <w:rPr>
          <w:rStyle w:val="FootnoteReference"/>
          <w:rFonts w:eastAsia="Calibri"/>
          <w:noProof/>
          <w:color w:val="000000" w:themeColor="text1"/>
        </w:rPr>
        <w:footnoteReference w:id="87"/>
      </w:r>
      <w:r>
        <w:rPr>
          <w:noProof/>
          <w:color w:val="000000" w:themeColor="text1"/>
        </w:rPr>
        <w:t>; valamint iv. azok a tevékenységek, amelyek esetében a hulladék hosszú távú ártalmatlanítása károsíthatja a</w:t>
      </w:r>
      <w:r>
        <w:rPr>
          <w:noProof/>
          <w:color w:val="000000" w:themeColor="text1"/>
        </w:rPr>
        <w:t xml:space="preserve"> környezetet. A feladatmeghatározás előírja továbbá, hogy csak olyan tevékenységek választhatók ki, amelyek megfelelnek a vonatkozó uniós és nemzeti környezetvédelmi jogszabályoknak. </w:t>
      </w:r>
    </w:p>
    <w:p w14:paraId="422645CF" w14:textId="45CA25DE" w:rsidR="003F5418" w:rsidRDefault="00152815">
      <w:pPr>
        <w:pStyle w:val="P68B1DB1-Normal17"/>
        <w:spacing w:before="120" w:after="120"/>
        <w:jc w:val="both"/>
        <w:rPr>
          <w:rFonts w:eastAsia="Calibri"/>
          <w:noProof/>
        </w:rPr>
      </w:pPr>
      <w:r>
        <w:rPr>
          <w:noProof/>
        </w:rPr>
        <w:t>1</w:t>
      </w:r>
      <w:r w:rsidRPr="00B07E42">
        <w:rPr>
          <w:noProof/>
        </w:rPr>
        <w:t>.</w:t>
      </w:r>
      <w:r>
        <w:rPr>
          <w:noProof/>
        </w:rPr>
        <w:t>4</w:t>
      </w:r>
      <w:r w:rsidRPr="00B07E42">
        <w:rPr>
          <w:noProof/>
        </w:rPr>
        <w:t>.</w:t>
      </w:r>
      <w:r>
        <w:rPr>
          <w:noProof/>
        </w:rPr>
        <w:t xml:space="preserve"> Beruházás: A kutatási struktúrák megerősítése és a „nemzeti K+F-vezetők” létrehozásának támogatása egyes kulcsfontosságú alaptechnológiákkal kapcsolatban</w:t>
      </w:r>
    </w:p>
    <w:p w14:paraId="5150DE94" w14:textId="77777777" w:rsidR="003F5418" w:rsidRDefault="002A6C25">
      <w:pPr>
        <w:pStyle w:val="P68B1DB1-Normal12"/>
        <w:spacing w:before="120" w:after="120"/>
        <w:jc w:val="both"/>
        <w:rPr>
          <w:rFonts w:eastAsia="Calibri"/>
          <w:noProof/>
        </w:rPr>
      </w:pPr>
      <w:r>
        <w:rPr>
          <w:noProof/>
        </w:rPr>
        <w:t>Ezen intézkedés célja legalább öt olyan nemzeti kutatóközpont létrehozásának finanszírozása, amelyeket versenyeljárások keretében választanak ki, és amelyek egyetemek, k</w:t>
      </w:r>
      <w:r>
        <w:rPr>
          <w:noProof/>
        </w:rPr>
        <w:t>utatóközpontok és vállalkozások együttműködése révén képesek elérni a kutatási és innovációs kapacitás kritikus küszöbértékét. A kiválasztás versenypályázati felhívások alapján történik, amelyekben a koordináló vezető által vezetett nemzeti konzorciumok is</w:t>
      </w:r>
      <w:r>
        <w:rPr>
          <w:noProof/>
        </w:rPr>
        <w:t xml:space="preserve"> részt vehetnek, figyelembe véve az előző feltérképezési gyakorlatot is.</w:t>
      </w:r>
    </w:p>
    <w:p w14:paraId="2677BF71" w14:textId="77777777" w:rsidR="003F5418" w:rsidRDefault="002A6C25">
      <w:pPr>
        <w:pStyle w:val="P68B1DB1-Normal12"/>
        <w:spacing w:before="120" w:after="120"/>
        <w:jc w:val="both"/>
        <w:rPr>
          <w:rFonts w:eastAsia="Calibri"/>
          <w:noProof/>
        </w:rPr>
      </w:pPr>
      <w:r>
        <w:rPr>
          <w:noProof/>
        </w:rPr>
        <w:t>Az egyes nemzeti központok legfontosabb elemei a) a releváns kutatási létesítmények létrehozása és megújítása; b) magánszereplők bevonása a kutatási projektek végrehajtásába és végreh</w:t>
      </w:r>
      <w:r>
        <w:rPr>
          <w:noProof/>
        </w:rPr>
        <w:t>ajtásába, c) az induló vállalkozások és a spin-off-generáció támogatása. A kiválasztást célzott pályázati felhívások útján kell elvégezni, amelyek közül az elsőt 2022 elejéig kell elindítani. A pályázati felhívásokban való részvételre irányuló pályázatok k</w:t>
      </w:r>
      <w:r>
        <w:rPr>
          <w:noProof/>
        </w:rPr>
        <w:t>özötti választás az Európai Innovációs Tanács által elfogadotthoz hasonló módon történik.</w:t>
      </w:r>
    </w:p>
    <w:p w14:paraId="5AF80633" w14:textId="77777777" w:rsidR="003F5418" w:rsidRDefault="002A6C25">
      <w:pPr>
        <w:spacing w:before="120" w:after="120"/>
        <w:jc w:val="both"/>
        <w:rPr>
          <w:rFonts w:eastAsia="Calibri"/>
          <w:noProof/>
          <w:color w:val="000000" w:themeColor="text1"/>
        </w:rPr>
      </w:pPr>
      <w:r>
        <w:rPr>
          <w:noProof/>
          <w:color w:val="000000" w:themeColor="text1"/>
        </w:rPr>
        <w:t>Annak biztosítása érdekében, hogy az intézkedés megfeleljen a jelentős károkozás elkerülését célzó elvről szóló technikai iránymutatásnak (2021/C58/01), a soron követ</w:t>
      </w:r>
      <w:r>
        <w:rPr>
          <w:noProof/>
          <w:color w:val="000000" w:themeColor="text1"/>
        </w:rPr>
        <w:t>kező pályázati felhívásokra vonatkozó feladatmeghatározásban szereplő támogathatósági kritériumok nem tartalmazzák a tevékenységek alábbi listáját: a fosszilis tüzelőanyagokkal kapcsolatos tevékenységek, beleértve a továbbfelhasználást is</w:t>
      </w:r>
      <w:r>
        <w:rPr>
          <w:rStyle w:val="FootnoteReference"/>
          <w:noProof/>
          <w:color w:val="000000" w:themeColor="text1"/>
        </w:rPr>
        <w:footnoteReference w:id="88"/>
      </w:r>
      <w:r>
        <w:rPr>
          <w:noProof/>
          <w:color w:val="000000" w:themeColor="text1"/>
        </w:rPr>
        <w:t>; ii. az uniós ki</w:t>
      </w:r>
      <w:r>
        <w:rPr>
          <w:noProof/>
          <w:color w:val="000000" w:themeColor="text1"/>
        </w:rPr>
        <w:t>bocsátáskereskedelmi rendszer (ETS) keretében végzett tevékenységek, amelyek elérik a vonatkozó referenciaértékeket meg nem haladó, előre jelzett üvegházhatásúgáz-kibocsátást</w:t>
      </w:r>
      <w:r>
        <w:rPr>
          <w:rStyle w:val="FootnoteReference"/>
          <w:noProof/>
          <w:color w:val="000000" w:themeColor="text1"/>
        </w:rPr>
        <w:footnoteReference w:id="89"/>
      </w:r>
      <w:r>
        <w:rPr>
          <w:noProof/>
          <w:color w:val="000000" w:themeColor="text1"/>
        </w:rPr>
        <w:t>; hulladéklerakókkal, hulladékégetőkkel</w:t>
      </w:r>
      <w:r>
        <w:rPr>
          <w:rStyle w:val="FootnoteReference"/>
          <w:noProof/>
          <w:color w:val="000000" w:themeColor="text1"/>
        </w:rPr>
        <w:footnoteReference w:id="90"/>
      </w:r>
      <w:r>
        <w:rPr>
          <w:noProof/>
          <w:color w:val="000000" w:themeColor="text1"/>
        </w:rPr>
        <w:t xml:space="preserve"> és mechanikai-biológiai hulladékkezelő l</w:t>
      </w:r>
      <w:r>
        <w:rPr>
          <w:noProof/>
          <w:color w:val="000000" w:themeColor="text1"/>
        </w:rPr>
        <w:t>étesítményekkel kapcsolatos tevékenységek</w:t>
      </w:r>
      <w:r>
        <w:rPr>
          <w:rStyle w:val="FootnoteReference"/>
          <w:noProof/>
          <w:color w:val="000000" w:themeColor="text1"/>
        </w:rPr>
        <w:footnoteReference w:id="91"/>
      </w:r>
      <w:r>
        <w:rPr>
          <w:noProof/>
          <w:color w:val="000000" w:themeColor="text1"/>
        </w:rPr>
        <w:t>; valamint iv. azok a tevékenységek, amelyek esetében a hulladék hosszú távú ártalmatlanítása károsíthatja a környezetet. A feladatmeghatározás előírja továbbá, hogy csak olyan tevékenységek választhatók ki, amelye</w:t>
      </w:r>
      <w:r>
        <w:rPr>
          <w:noProof/>
          <w:color w:val="000000" w:themeColor="text1"/>
        </w:rPr>
        <w:t>k megfelelnek a vonatkozó uniós és nemzeti környezetvédelmi jogszabályoknak.</w:t>
      </w:r>
    </w:p>
    <w:p w14:paraId="7812BC8C" w14:textId="68D5E429" w:rsidR="003F5418" w:rsidRDefault="00152815">
      <w:pPr>
        <w:pStyle w:val="P68B1DB1-Normal17"/>
        <w:spacing w:before="120" w:after="120"/>
        <w:jc w:val="both"/>
        <w:rPr>
          <w:rFonts w:eastAsia="Calibri"/>
          <w:noProof/>
        </w:rPr>
      </w:pPr>
      <w:r>
        <w:rPr>
          <w:noProof/>
        </w:rPr>
        <w:t>1</w:t>
      </w:r>
      <w:r w:rsidRPr="00B07E42">
        <w:rPr>
          <w:noProof/>
        </w:rPr>
        <w:t>.</w:t>
      </w:r>
      <w:r>
        <w:rPr>
          <w:noProof/>
        </w:rPr>
        <w:t>5</w:t>
      </w:r>
      <w:r w:rsidRPr="00B07E42">
        <w:rPr>
          <w:noProof/>
        </w:rPr>
        <w:t>.</w:t>
      </w:r>
      <w:r>
        <w:rPr>
          <w:noProof/>
        </w:rPr>
        <w:t xml:space="preserve"> Beruházás: „A fenntarthatóságot szolgáló innovációs ökoszisztémák” létrehozása és megerősítése, „területi vezető K+F” kiépítése. </w:t>
      </w:r>
    </w:p>
    <w:p w14:paraId="01D847E4" w14:textId="77777777" w:rsidR="003F5418" w:rsidRDefault="002A6C25">
      <w:pPr>
        <w:pStyle w:val="P68B1DB1-Normal12"/>
        <w:spacing w:before="120" w:after="120"/>
        <w:jc w:val="both"/>
        <w:rPr>
          <w:rFonts w:eastAsia="Calibri"/>
          <w:noProof/>
        </w:rPr>
      </w:pPr>
      <w:r>
        <w:rPr>
          <w:noProof/>
        </w:rPr>
        <w:t xml:space="preserve">A MUR által végrehajtott intézkedés 2026-ig </w:t>
      </w:r>
      <w:r>
        <w:rPr>
          <w:noProof/>
        </w:rPr>
        <w:t>legalább 10 (meglévő vagy új) „területi K+I-mintát” finanszíroz, amelyeket egyedi versenyeljárások alapján kell kiválasztani, a társadalmi fenntarthatósági projektek előmozdítására való képességre összpontosítva. Minden projektnek tartalmaznia kell a követ</w:t>
      </w:r>
      <w:r>
        <w:rPr>
          <w:noProof/>
        </w:rPr>
        <w:t>kező elemeket:a) egyetemek és vállalkozások által szinergiában végzett innovatív képzési tevékenységek, amelyek célja a vállalkozások által igényelt készségek és az egyetemek, valamint az ipari doktori fokozatok által nyújtott készségek közötti eltérések c</w:t>
      </w:r>
      <w:r>
        <w:rPr>
          <w:noProof/>
        </w:rPr>
        <w:t>sökkentése;b) a területen működő egyetemek és vállalkozások, különösen kkv-k által közösen végzett kutatási tevékenységek és/vagy kutatási infrastruktúrák;c) az induló innovatív vállalkozások támogatása;d) a helyi közösségek bevonása az innovációval és fen</w:t>
      </w:r>
      <w:r>
        <w:rPr>
          <w:noProof/>
        </w:rPr>
        <w:t>ntarthatósággal kapcsolatos kérdésekbe.</w:t>
      </w:r>
    </w:p>
    <w:p w14:paraId="614AA136" w14:textId="77777777" w:rsidR="003F5418" w:rsidRDefault="002A6C25">
      <w:pPr>
        <w:pStyle w:val="P68B1DB1-Normal12"/>
        <w:spacing w:before="120" w:after="120"/>
        <w:jc w:val="both"/>
        <w:rPr>
          <w:rFonts w:eastAsia="Calibri"/>
          <w:noProof/>
        </w:rPr>
      </w:pPr>
      <w:r>
        <w:rPr>
          <w:noProof/>
        </w:rPr>
        <w:t>A finanszírozandó projekteket a következő kritériumok alapján kell kiválasztani: tudományos és műszaki minőség, valamint a területi irányultsággal való összhangja; hatékony képesség a vállalkozások, különösen a kkv-k</w:t>
      </w:r>
      <w:r>
        <w:rPr>
          <w:noProof/>
        </w:rPr>
        <w:t xml:space="preserve"> innovációs kapacitásainak ösztönzésére; képesség nemzeti és nemzetközi kapcsolatok kialakítására a főbb kutatóintézetekkel és vezető vállalatokkal; hatékony kapacitás a helyi közösségek bevonására.</w:t>
      </w:r>
    </w:p>
    <w:p w14:paraId="071774FB" w14:textId="77777777" w:rsidR="003F5418" w:rsidRDefault="002A6C25">
      <w:pPr>
        <w:spacing w:before="120" w:after="120"/>
        <w:jc w:val="both"/>
        <w:rPr>
          <w:rFonts w:eastAsiaTheme="minorEastAsia"/>
          <w:noProof/>
        </w:rPr>
      </w:pPr>
      <w:r>
        <w:rPr>
          <w:noProof/>
        </w:rPr>
        <w:t xml:space="preserve">Annak biztosítása érdekében, hogy az intézkedés </w:t>
      </w:r>
      <w:r>
        <w:rPr>
          <w:noProof/>
        </w:rPr>
        <w:t xml:space="preserve">megfeleljen a jelentős károkozás elkerülését célzó elvről szóló technikai iránymutatásnak (2021/C58/01), a soron következő pályázati felhívásokra vonatkozó feladatmeghatározásban szereplő támogathatósági kritériumok nem tartalmazzák a tevékenységek alábbi </w:t>
      </w:r>
      <w:r>
        <w:rPr>
          <w:noProof/>
        </w:rPr>
        <w:t>listáját: a fosszilis tüzelőanyagokkal kapcsolatos tevékenységek, beleértve a továbbfelhasználást is</w:t>
      </w:r>
      <w:r>
        <w:rPr>
          <w:rStyle w:val="FootnoteReference"/>
          <w:noProof/>
        </w:rPr>
        <w:footnoteReference w:id="92"/>
      </w:r>
      <w:r>
        <w:rPr>
          <w:noProof/>
        </w:rPr>
        <w:t xml:space="preserve">; ii. az uniós kibocsátáskereskedelmi rendszer (ETS) keretében végzett tevékenységek, amelyek elérik a vonatkozó referenciaértékeket meg nem haladó, előre </w:t>
      </w:r>
      <w:r>
        <w:rPr>
          <w:noProof/>
        </w:rPr>
        <w:t>jelzett üvegházhatásúgáz-kibocsátást</w:t>
      </w:r>
      <w:r>
        <w:rPr>
          <w:rStyle w:val="FootnoteReference"/>
          <w:noProof/>
        </w:rPr>
        <w:footnoteReference w:id="93"/>
      </w:r>
      <w:r>
        <w:rPr>
          <w:noProof/>
        </w:rPr>
        <w:t>; hulladéklerakókkal, hulladékégetőkkel</w:t>
      </w:r>
      <w:r>
        <w:rPr>
          <w:rStyle w:val="FootnoteReference"/>
          <w:noProof/>
        </w:rPr>
        <w:footnoteReference w:id="94"/>
      </w:r>
      <w:r>
        <w:rPr>
          <w:noProof/>
        </w:rPr>
        <w:t xml:space="preserve"> és mechanikai-biológiai hulladékkezelő létesítményekkel kapcsolatos tevékenységek</w:t>
      </w:r>
      <w:r>
        <w:rPr>
          <w:rStyle w:val="FootnoteReference"/>
          <w:noProof/>
        </w:rPr>
        <w:footnoteReference w:id="95"/>
      </w:r>
      <w:r>
        <w:rPr>
          <w:noProof/>
        </w:rPr>
        <w:t>; valamint iv. azok a tevékenységek, amelyek esetében a hulladék hosszú távú ártalmatlanítása ká</w:t>
      </w:r>
      <w:r>
        <w:rPr>
          <w:noProof/>
        </w:rPr>
        <w:t>rosíthatja a környezetet. A feladatmeghatározás előírja továbbá, hogy csak olyan tevékenységek választhatók ki, amelyek megfelelnek a vonatkozó uniós és nemzeti környezetvédelmi jogszabályoknak.</w:t>
      </w:r>
    </w:p>
    <w:p w14:paraId="29EF7BEE" w14:textId="03D511F5" w:rsidR="003F5418" w:rsidRDefault="00152815">
      <w:pPr>
        <w:pStyle w:val="P68B1DB1-Normal2"/>
        <w:spacing w:before="120" w:after="120"/>
        <w:jc w:val="both"/>
        <w:rPr>
          <w:rFonts w:eastAsia="Calibri"/>
          <w:noProof/>
        </w:rPr>
      </w:pPr>
      <w:r>
        <w:rPr>
          <w:noProof/>
        </w:rPr>
        <w:t>2</w:t>
      </w:r>
      <w:r w:rsidRPr="00B07E42">
        <w:rPr>
          <w:noProof/>
        </w:rPr>
        <w:t>.1.</w:t>
      </w:r>
      <w:r>
        <w:rPr>
          <w:noProof/>
        </w:rPr>
        <w:t xml:space="preserve"> Beruházás: Közös európai érdeket szolgáló fontos projektek</w:t>
      </w:r>
    </w:p>
    <w:p w14:paraId="63721C85" w14:textId="77777777" w:rsidR="003F5418" w:rsidRDefault="002A6C25">
      <w:pPr>
        <w:spacing w:before="120" w:after="120" w:line="288" w:lineRule="auto"/>
        <w:jc w:val="both"/>
        <w:rPr>
          <w:rFonts w:eastAsiaTheme="minorEastAsia"/>
          <w:noProof/>
        </w:rPr>
      </w:pPr>
      <w:r>
        <w:rPr>
          <w:noProof/>
        </w:rPr>
        <w:t>Az intézkedés célja, hogy a 2020. évi költségvetési törvény 1. cikkének (232) bekezdésében említett jelenlegi közös európai érdeket szolgáló fontossági alapot további forrásokkal egészítse ki.</w:t>
      </w:r>
    </w:p>
    <w:p w14:paraId="2BBD09F6" w14:textId="77777777" w:rsidR="003F5418" w:rsidRDefault="002A6C25">
      <w:pPr>
        <w:spacing w:before="120" w:after="120"/>
        <w:jc w:val="both"/>
        <w:rPr>
          <w:rFonts w:eastAsia="Calibri"/>
          <w:noProof/>
        </w:rPr>
      </w:pPr>
      <w:r>
        <w:rPr>
          <w:noProof/>
        </w:rPr>
        <w:t xml:space="preserve">Annak biztosítása érdekében, hogy az intézkedés megfeleljen </w:t>
      </w:r>
      <w:r>
        <w:rPr>
          <w:noProof/>
        </w:rPr>
        <w:t xml:space="preserve">a jelentős károkozás elkerülését célzó elvről szóló technikai iránymutatásnak (2021/C58/01), a soron következő pályázati felhívásokra vonatkozó feladatmeghatározásban szereplő támogathatósági kritériumok nem tartalmazzák a tevékenységek alábbi listáját: a </w:t>
      </w:r>
      <w:r>
        <w:rPr>
          <w:noProof/>
        </w:rPr>
        <w:t>fosszilis tüzelőanyagokkal kapcsolatos tevékenységek, beleértve a továbbfelhasználást is</w:t>
      </w:r>
      <w:r>
        <w:rPr>
          <w:rStyle w:val="FootnoteReference"/>
          <w:noProof/>
        </w:rPr>
        <w:footnoteReference w:id="96"/>
      </w:r>
      <w:r>
        <w:rPr>
          <w:noProof/>
        </w:rPr>
        <w:t>; ii. az uniós kibocsátáskereskedelmi rendszer (ETS) keretében végzett tevékenységek, amelyek elérik a vonatkozó referenciaértékeket meg nem haladó, előre jelzett üveg</w:t>
      </w:r>
      <w:r>
        <w:rPr>
          <w:noProof/>
        </w:rPr>
        <w:t>házhatásúgáz-kibocsátást</w:t>
      </w:r>
      <w:r>
        <w:rPr>
          <w:rStyle w:val="FootnoteReference"/>
          <w:noProof/>
        </w:rPr>
        <w:footnoteReference w:id="97"/>
      </w:r>
      <w:r>
        <w:rPr>
          <w:noProof/>
        </w:rPr>
        <w:t>; hulladéklerakókkal, hulladékégetőkkel</w:t>
      </w:r>
      <w:r>
        <w:rPr>
          <w:rStyle w:val="FootnoteReference"/>
          <w:noProof/>
        </w:rPr>
        <w:footnoteReference w:id="98"/>
      </w:r>
      <w:r>
        <w:rPr>
          <w:noProof/>
        </w:rPr>
        <w:t xml:space="preserve"> és mechanikai-biológiai hulladékkezelő létesítményekkel kapcsolatos tevékenységek</w:t>
      </w:r>
      <w:r>
        <w:rPr>
          <w:rStyle w:val="FootnoteReference"/>
          <w:noProof/>
        </w:rPr>
        <w:footnoteReference w:id="99"/>
      </w:r>
      <w:r>
        <w:rPr>
          <w:noProof/>
        </w:rPr>
        <w:t>; valamint iv. azok a tevékenységek, amelyek esetében a hulladék hosszú távú ártalmatlanítása károsíthatja a</w:t>
      </w:r>
      <w:r>
        <w:rPr>
          <w:noProof/>
        </w:rPr>
        <w:t xml:space="preserve"> környezetet. A feladatmeghatározás előírja továbbá, hogy csak olyan tevékenységek választhatók ki, amelyek megfelelnek a vonatkozó uniós és nemzeti környezetvédelmi jogszabályoknak.</w:t>
      </w:r>
    </w:p>
    <w:p w14:paraId="0E33EE93" w14:textId="72C62AD4" w:rsidR="003F5418" w:rsidRDefault="00152815">
      <w:pPr>
        <w:pStyle w:val="P68B1DB1-Normal2"/>
        <w:spacing w:before="120" w:after="120"/>
        <w:jc w:val="both"/>
        <w:rPr>
          <w:rFonts w:eastAsia="Calibri"/>
          <w:noProof/>
        </w:rPr>
      </w:pPr>
      <w:r>
        <w:rPr>
          <w:noProof/>
        </w:rPr>
        <w:t>2</w:t>
      </w:r>
      <w:r w:rsidRPr="00B07E42">
        <w:rPr>
          <w:noProof/>
        </w:rPr>
        <w:t>.</w:t>
      </w:r>
      <w:r>
        <w:rPr>
          <w:noProof/>
        </w:rPr>
        <w:t>3</w:t>
      </w:r>
      <w:r w:rsidRPr="00B07E42">
        <w:rPr>
          <w:noProof/>
        </w:rPr>
        <w:t>.</w:t>
      </w:r>
      <w:r>
        <w:rPr>
          <w:noProof/>
        </w:rPr>
        <w:t xml:space="preserve"> Beruházás: A technológiaátadási központok megerősítése és ágazati/területi bővítése ipari szegmensek szerint</w:t>
      </w:r>
    </w:p>
    <w:p w14:paraId="79542676" w14:textId="77777777" w:rsidR="003F5418" w:rsidRDefault="002A6C25">
      <w:pPr>
        <w:spacing w:before="120" w:after="120"/>
        <w:jc w:val="both"/>
        <w:rPr>
          <w:rFonts w:eastAsia="Calibri"/>
          <w:noProof/>
        </w:rPr>
      </w:pPr>
      <w:r>
        <w:rPr>
          <w:noProof/>
        </w:rPr>
        <w:t>A MiMIT – Vállalkozásügyi Minisztérium és az olaszországi Made által végrehajtott intézkedés célja a projektfejlesztésért, a vállalkozásoknak nyújtott fejlett technológiai szolgáltatásokért, valamint az innovatív és</w:t>
      </w:r>
      <w:r>
        <w:rPr>
          <w:noProof/>
        </w:rPr>
        <w:t xml:space="preserve"> minősített technológiatranszfer-szolgáltatásokért felelős ötven központ (kompetenciaközpontok, európai digitális innovációs központ, kiválósági pecsét, tesztelési és kísérleti eszköz, nemzeti digitális innovációs központok) hálózatának támogatása, többek </w:t>
      </w:r>
      <w:r>
        <w:rPr>
          <w:noProof/>
        </w:rPr>
        <w:t>között átszervezési és észszerűsítési folyamat révén. Az intézkedés által elérni kívánt központok egyszerűsítésére és észszerűsítésére irányuló folyamat célja, hogy az élvonalbeli gyártási technológiákra és specializációkra összpontosítva növelje a vállalk</w:t>
      </w:r>
      <w:r>
        <w:rPr>
          <w:noProof/>
        </w:rPr>
        <w:t xml:space="preserve">ozásoknak nyújtott fejlett technológiai szolgáltatásokat. </w:t>
      </w:r>
    </w:p>
    <w:p w14:paraId="2C546B63" w14:textId="460EC513" w:rsidR="003F5418" w:rsidRDefault="002A6C25">
      <w:pPr>
        <w:spacing w:before="120" w:after="120"/>
        <w:jc w:val="both"/>
        <w:rPr>
          <w:rFonts w:eastAsia="Calibri"/>
          <w:noProof/>
        </w:rPr>
      </w:pPr>
      <w:r>
        <w:rPr>
          <w:noProof/>
        </w:rPr>
        <w:t xml:space="preserve">A központok által nyújtott szolgáltatások a következőket foglalják magukban: i. digitális értékelés, ii. befektetés előtti tesztelés, iii. képzés; a finanszírozáshoz való hozzáférés; az innovációs </w:t>
      </w:r>
      <w:r>
        <w:rPr>
          <w:noProof/>
        </w:rPr>
        <w:t>projektek fejlesztéséhez nyújtott pénzügyi és működési támogatás (a technológiai érettségi szint (TRL) több mint 5); technológiai közvetítői tevékenység; valamint vii. helyi szintű figyelemfelkeltés.</w:t>
      </w:r>
    </w:p>
    <w:p w14:paraId="3DA88BCF" w14:textId="77777777" w:rsidR="003F5418" w:rsidRDefault="002A6C25">
      <w:pPr>
        <w:spacing w:before="120" w:after="120"/>
        <w:jc w:val="both"/>
        <w:rPr>
          <w:rFonts w:eastAsia="Calibri"/>
          <w:noProof/>
        </w:rPr>
      </w:pPr>
      <w:r>
        <w:rPr>
          <w:noProof/>
        </w:rPr>
        <w:t>Az európai digitális innovációs központ és a TEF más uni</w:t>
      </w:r>
      <w:r>
        <w:rPr>
          <w:noProof/>
        </w:rPr>
        <w:t>ós alapokból, többek között a Digitális Európa programból is finanszírozásban részesülhet tevékenységeinek elvégzéséhez</w:t>
      </w:r>
      <w:r>
        <w:rPr>
          <w:noProof/>
          <w:color w:val="D13438"/>
          <w:u w:val="single"/>
        </w:rPr>
        <w:t>.</w:t>
      </w:r>
      <w:r>
        <w:rPr>
          <w:noProof/>
        </w:rPr>
        <w:t xml:space="preserve"> </w:t>
      </w:r>
    </w:p>
    <w:p w14:paraId="06084BAF" w14:textId="77777777" w:rsidR="003F5418" w:rsidRDefault="002A6C25">
      <w:pPr>
        <w:spacing w:before="120" w:after="120"/>
        <w:jc w:val="both"/>
        <w:rPr>
          <w:rFonts w:eastAsia="Calibri"/>
          <w:noProof/>
        </w:rPr>
      </w:pPr>
      <w:r>
        <w:rPr>
          <w:noProof/>
        </w:rPr>
        <w:t>A beruházás kétféle beavatkozásból áll:</w:t>
      </w:r>
    </w:p>
    <w:p w14:paraId="074C36FE" w14:textId="77777777" w:rsidR="003F5418" w:rsidRDefault="002A6C25">
      <w:pPr>
        <w:spacing w:before="120" w:after="120"/>
        <w:jc w:val="both"/>
        <w:rPr>
          <w:rFonts w:eastAsia="Calibri"/>
          <w:noProof/>
        </w:rPr>
      </w:pPr>
      <w:r>
        <w:rPr>
          <w:noProof/>
        </w:rPr>
        <w:t>Az első sorban a Helyreállítási és Rezilienciaépítési Eszköz kizárólag 35 központot finanszíro</w:t>
      </w:r>
      <w:r>
        <w:rPr>
          <w:noProof/>
        </w:rPr>
        <w:t xml:space="preserve">z, más uniós forrásokból származó támogatás nélkül. </w:t>
      </w:r>
    </w:p>
    <w:p w14:paraId="11E66D84" w14:textId="77777777" w:rsidR="003F5418" w:rsidRDefault="002A6C25">
      <w:pPr>
        <w:spacing w:before="120" w:after="120"/>
        <w:jc w:val="both"/>
        <w:rPr>
          <w:rFonts w:eastAsia="Calibri"/>
          <w:noProof/>
        </w:rPr>
      </w:pPr>
      <w:r>
        <w:rPr>
          <w:noProof/>
        </w:rPr>
        <w:t>A</w:t>
      </w:r>
      <w:r>
        <w:rPr>
          <w:noProof/>
          <w:color w:val="000000" w:themeColor="text1"/>
        </w:rPr>
        <w:t xml:space="preserve">második sor keretében a </w:t>
      </w:r>
      <w:r>
        <w:rPr>
          <w:noProof/>
        </w:rPr>
        <w:t xml:space="preserve">Helyreállítási és Rezilienciaépítési Eszköz 13 </w:t>
      </w:r>
      <w:r>
        <w:rPr>
          <w:noProof/>
          <w:color w:val="000000" w:themeColor="text1"/>
        </w:rPr>
        <w:t xml:space="preserve">európai digitális innovációs központ (EDIH) </w:t>
      </w:r>
      <w:r>
        <w:rPr>
          <w:noProof/>
        </w:rPr>
        <w:t xml:space="preserve">és két </w:t>
      </w:r>
      <w:r>
        <w:rPr>
          <w:noProof/>
          <w:color w:val="000000" w:themeColor="text1"/>
        </w:rPr>
        <w:t>tesztelési és kísérleti létesítmény (TEF)</w:t>
      </w:r>
      <w:r>
        <w:rPr>
          <w:noProof/>
        </w:rPr>
        <w:t xml:space="preserve"> egy részét finanszírozza, a költségek </w:t>
      </w:r>
      <w:r>
        <w:rPr>
          <w:noProof/>
        </w:rPr>
        <w:t xml:space="preserve">másik része pedig a Digitális Európa programból származik. A Helyreállítási és Rezilienciaépítési Eszköz </w:t>
      </w:r>
      <w:r>
        <w:rPr>
          <w:noProof/>
          <w:color w:val="000000" w:themeColor="text1"/>
        </w:rPr>
        <w:t>és a Digitális Európa program által finanszírozott 13 európai digitális innovációs központ és két TEF működtetését munkacsomagokba kell szervezni</w:t>
      </w:r>
      <w:r>
        <w:rPr>
          <w:rStyle w:val="FootnoteReference"/>
          <w:noProof/>
          <w:color w:val="000000" w:themeColor="text1"/>
        </w:rPr>
        <w:footnoteReference w:id="100"/>
      </w:r>
      <w:r>
        <w:rPr>
          <w:noProof/>
          <w:color w:val="000000" w:themeColor="text1"/>
        </w:rPr>
        <w:t>. A H</w:t>
      </w:r>
      <w:r>
        <w:rPr>
          <w:noProof/>
          <w:color w:val="000000" w:themeColor="text1"/>
        </w:rPr>
        <w:t>elyreállítási és Rezilienciaépítési Eszközből nyújtott támogatás nem vonatkozik azokra a munkacsomagokra, amelyekhez az európai digitális innovációs központ és a TEF támogatást kap a Digitális Európa program keretében.</w:t>
      </w:r>
    </w:p>
    <w:p w14:paraId="5004201E" w14:textId="77777777" w:rsidR="003F5418" w:rsidRDefault="002A6C25">
      <w:pPr>
        <w:pStyle w:val="P68B1DB1-Normal12"/>
        <w:spacing w:before="120" w:after="120"/>
        <w:jc w:val="both"/>
        <w:rPr>
          <w:noProof/>
        </w:rPr>
      </w:pPr>
      <w:r>
        <w:rPr>
          <w:noProof/>
        </w:rPr>
        <w:t xml:space="preserve">Annak biztosítása érdekében, hogy az </w:t>
      </w:r>
      <w:r>
        <w:rPr>
          <w:noProof/>
        </w:rPr>
        <w:t>intézkedés megfeleljen a jelentős károkozás elkerülését célzó elvről szóló technikai iránymutatásnak (2021/C58/01), a soron következő pályázati felhívásokra vonatkozó feladatmeghatározásban szereplő támogathatósági kritériumok nem tartalmazzák a tevékenysé</w:t>
      </w:r>
      <w:r>
        <w:rPr>
          <w:noProof/>
        </w:rPr>
        <w:t>gek alábbi listáját: a fosszilis tüzelőanyagokkal kapcsolatos tevékenységek, beleértve a továbbfelhasználást is</w:t>
      </w:r>
      <w:r>
        <w:rPr>
          <w:noProof/>
        </w:rPr>
        <w:footnoteReference w:id="101"/>
      </w:r>
      <w:r>
        <w:rPr>
          <w:noProof/>
        </w:rPr>
        <w:t>; ii. az uniós kibocsátáskereskedelmi rendszer (ETS) keretében végzett tevékenységek, amelyek elérik a vonatkozó referenciaértékeket meg nem hal</w:t>
      </w:r>
      <w:r>
        <w:rPr>
          <w:noProof/>
        </w:rPr>
        <w:t>adó, előre jelzett üvegházhatásúgáz-kibocsátást</w:t>
      </w:r>
      <w:r>
        <w:rPr>
          <w:noProof/>
        </w:rPr>
        <w:footnoteReference w:id="102"/>
      </w:r>
      <w:r>
        <w:rPr>
          <w:noProof/>
        </w:rPr>
        <w:t>; hulladéklerakókkal, hulladékégetőkkel</w:t>
      </w:r>
      <w:r>
        <w:rPr>
          <w:noProof/>
        </w:rPr>
        <w:footnoteReference w:id="103"/>
      </w:r>
      <w:r>
        <w:rPr>
          <w:noProof/>
        </w:rPr>
        <w:t xml:space="preserve"> és mechanikai-biológiai hulladékkezelő létesítményekkel kapcsolatos tevékenységek</w:t>
      </w:r>
      <w:r>
        <w:rPr>
          <w:noProof/>
        </w:rPr>
        <w:footnoteReference w:id="104"/>
      </w:r>
      <w:r>
        <w:rPr>
          <w:noProof/>
        </w:rPr>
        <w:t xml:space="preserve">; valamint iv. azok a tevékenységek, amelyek esetében a hulladék hosszú távú </w:t>
      </w:r>
      <w:r>
        <w:rPr>
          <w:noProof/>
        </w:rPr>
        <w:t>ártalmatlanítása károsíthatja a környezetet. A feladatmeghatározás továbbá előírja, hogy csak olyan tevékenységek választhatók ki, amelyek megfelelnek a vonatkozó uniós és nemzeti környezetvédelmi jogszabályoknak.</w:t>
      </w:r>
    </w:p>
    <w:p w14:paraId="4950FD75" w14:textId="4887C4B9" w:rsidR="003F5418" w:rsidRDefault="00152815">
      <w:pPr>
        <w:pStyle w:val="P68B1DB1-Normal2"/>
        <w:spacing w:before="120" w:after="120" w:line="288" w:lineRule="auto"/>
        <w:jc w:val="both"/>
        <w:rPr>
          <w:rFonts w:eastAsia="Calibri"/>
          <w:noProof/>
        </w:rPr>
      </w:pPr>
      <w:r>
        <w:rPr>
          <w:noProof/>
        </w:rPr>
        <w:t>3</w:t>
      </w:r>
      <w:r w:rsidRPr="00B07E42">
        <w:rPr>
          <w:noProof/>
        </w:rPr>
        <w:t>.1.</w:t>
      </w:r>
      <w:r>
        <w:rPr>
          <w:noProof/>
        </w:rPr>
        <w:t xml:space="preserve"> Beruházás: A kutatási és innovációs infrastruktúrák integrált rendszerének megépítésére szolgáló alap</w:t>
      </w:r>
    </w:p>
    <w:p w14:paraId="4318542F" w14:textId="77777777" w:rsidR="003F5418" w:rsidRDefault="002A6C25">
      <w:pPr>
        <w:spacing w:before="120" w:after="120"/>
        <w:jc w:val="both"/>
        <w:rPr>
          <w:rFonts w:eastAsia="Calibri"/>
          <w:noProof/>
        </w:rPr>
      </w:pPr>
      <w:r>
        <w:rPr>
          <w:noProof/>
        </w:rPr>
        <w:t>Az alap célja, hogy elősegítse a magas színvonalú kutatási infrastruktúrák és a gazdasági ágazat tudományos ismeretei közötti ozmózist, előmozdítva az innovációt. E célból a MUR – Egyetemi és</w:t>
      </w:r>
      <w:r>
        <w:rPr>
          <w:noProof/>
        </w:rPr>
        <w:t xml:space="preserve"> Kutatási Minisztérium által végrehajtott intézkedés támogatja az ipart és a tudományos életet összekapcsoló kutatási és innovációs infrastruktúrák létrehozását. Az Építési és Kutatási Infrastruktúra Alap támogatja az európai jelentőségű kutatási infrastru</w:t>
      </w:r>
      <w:r>
        <w:rPr>
          <w:noProof/>
        </w:rPr>
        <w:t>ktúrák és a célzott innovációs infrastruktúrák kompetitív alapon történő létrehozását vagy megerősítését, előmozdítva a köz- és magánberuházások kombinálását.</w:t>
      </w:r>
    </w:p>
    <w:p w14:paraId="17627162" w14:textId="77777777" w:rsidR="003F5418" w:rsidRDefault="002A6C25">
      <w:pPr>
        <w:spacing w:before="120" w:after="120"/>
        <w:jc w:val="both"/>
        <w:rPr>
          <w:rFonts w:eastAsia="Calibri"/>
          <w:noProof/>
        </w:rPr>
      </w:pPr>
      <w:r>
        <w:rPr>
          <w:noProof/>
        </w:rPr>
        <w:t>Az intézkedés keretében minden egyes infrastruktúrára vonatkozóan legalább 30 (meglévő vagy újonn</w:t>
      </w:r>
      <w:r>
        <w:rPr>
          <w:noProof/>
        </w:rPr>
        <w:t>an finanszírozott) infrastrukturális projektet kell finanszírozni egy kutatásmenedzserrel.</w:t>
      </w:r>
    </w:p>
    <w:p w14:paraId="36A47C11" w14:textId="77777777" w:rsidR="003F5418" w:rsidRDefault="002A6C25">
      <w:pPr>
        <w:spacing w:before="120" w:after="120"/>
        <w:jc w:val="both"/>
        <w:rPr>
          <w:noProof/>
          <w:color w:val="000000" w:themeColor="text1"/>
        </w:rPr>
      </w:pPr>
      <w:r>
        <w:rPr>
          <w:noProof/>
        </w:rPr>
        <w:t>Annak biztosítása érdekében, hogy az intézkedés megfeleljen a jelentős károkozás elkerülését célzó elvről szóló technikai iránymutatásnak (2021/C58/01), a soron köve</w:t>
      </w:r>
      <w:r>
        <w:rPr>
          <w:noProof/>
        </w:rPr>
        <w:t>tkező pályázati felhívásokra vonatkozó feladatmeghatározásban szereplő támogathatósági kritériumok nem tartalmazzák a tevékenységek alábbi listáját: a fosszilis tüzelőanyagokkal kapcsolatos tevékenységek, beleértve a továbbfelhasználást is</w:t>
      </w:r>
      <w:r>
        <w:rPr>
          <w:rStyle w:val="FootnoteReference"/>
          <w:noProof/>
        </w:rPr>
        <w:footnoteReference w:id="105"/>
      </w:r>
      <w:r>
        <w:rPr>
          <w:noProof/>
        </w:rPr>
        <w:t>; ii. az uniós k</w:t>
      </w:r>
      <w:r>
        <w:rPr>
          <w:noProof/>
        </w:rPr>
        <w:t>ibocsátáskereskedelmi rendszer (ETS) keretében végzett tevékenységek, amelyek elérik a vonatkozó referenciaértékeket meg nem haladó, előre jelzett üvegházhatásúgáz-kibocsátást</w:t>
      </w:r>
      <w:r>
        <w:rPr>
          <w:rStyle w:val="FootnoteReference"/>
          <w:noProof/>
        </w:rPr>
        <w:footnoteReference w:id="106"/>
      </w:r>
      <w:r>
        <w:rPr>
          <w:noProof/>
        </w:rPr>
        <w:t>; hulladéklerakókkal, hulladékégetőkkel</w:t>
      </w:r>
      <w:r>
        <w:rPr>
          <w:rStyle w:val="FootnoteReference"/>
          <w:noProof/>
        </w:rPr>
        <w:footnoteReference w:id="107"/>
      </w:r>
      <w:r>
        <w:rPr>
          <w:noProof/>
        </w:rPr>
        <w:t xml:space="preserve"> és mechanikai-biológiai hulladékkezelő </w:t>
      </w:r>
      <w:r>
        <w:rPr>
          <w:noProof/>
        </w:rPr>
        <w:t>létesítményekkel kapcsolatos tevékenységek</w:t>
      </w:r>
      <w:r>
        <w:rPr>
          <w:rStyle w:val="FootnoteReference"/>
          <w:noProof/>
        </w:rPr>
        <w:footnoteReference w:id="108"/>
      </w:r>
      <w:r>
        <w:rPr>
          <w:noProof/>
        </w:rPr>
        <w:t>; valamint iv. azok a tevékenységek, amelyek esetében a hulladék hosszú távú ártalmatlanítása károsíthatja a környezetet. A feladatmeghatározás előírja továbbá, hogy csak olyan tevékenységek választhatók ki, amely</w:t>
      </w:r>
      <w:r>
        <w:rPr>
          <w:noProof/>
        </w:rPr>
        <w:t>ek megfelelnek a vonatkozó uniós és nemzeti környezetvédelmi jogszabályoknak.</w:t>
      </w:r>
    </w:p>
    <w:p w14:paraId="5F386C3E" w14:textId="2F2C3156" w:rsidR="003F5418" w:rsidRDefault="00152815">
      <w:pPr>
        <w:pStyle w:val="P68B1DB1-Normal10"/>
        <w:spacing w:after="120"/>
        <w:jc w:val="both"/>
        <w:rPr>
          <w:noProof/>
        </w:rPr>
      </w:pPr>
      <w:r>
        <w:rPr>
          <w:noProof/>
        </w:rPr>
        <w:t>3</w:t>
      </w:r>
      <w:r w:rsidRPr="00B07E42">
        <w:rPr>
          <w:noProof/>
        </w:rPr>
        <w:t>.</w:t>
      </w:r>
      <w:r>
        <w:rPr>
          <w:noProof/>
        </w:rPr>
        <w:t>2</w:t>
      </w:r>
      <w:r w:rsidRPr="00B07E42">
        <w:rPr>
          <w:noProof/>
        </w:rPr>
        <w:t>.</w:t>
      </w:r>
      <w:r>
        <w:rPr>
          <w:noProof/>
        </w:rPr>
        <w:t xml:space="preserve"> Beruházás: Induló vállalkozások finanszírozása, Digitális Átállást Támogató Alap</w:t>
      </w:r>
    </w:p>
    <w:p w14:paraId="129D7F16" w14:textId="596B0AC3" w:rsidR="003F5418" w:rsidRDefault="002A6C25">
      <w:pPr>
        <w:spacing w:after="120"/>
        <w:jc w:val="both"/>
        <w:rPr>
          <w:noProof/>
        </w:rPr>
      </w:pPr>
      <w:r>
        <w:rPr>
          <w:noProof/>
        </w:rPr>
        <w:t xml:space="preserve">Ez az intézkedés egy eszközbe, a Digitális Átállást Támogató Alapba történő közberuházásból </w:t>
      </w:r>
      <w:r>
        <w:rPr>
          <w:noProof/>
        </w:rPr>
        <w:t>áll, amelynek célja a magánberuházások ösztönzése, a finanszírozáshoz való hozzáférés javítása Olaszország digitális induló innovatív vállalkozások ökoszisztémájában, valamint a kockázatitőke-piac fejlesztése ebben az ágazatban. A Keret közvetlen vagy közv</w:t>
      </w:r>
      <w:r>
        <w:rPr>
          <w:noProof/>
        </w:rPr>
        <w:t xml:space="preserve">etett sajáttőke- vagy kvázisajáttőke-támogatás formájában </w:t>
      </w:r>
      <w:r>
        <w:rPr>
          <w:noProof/>
          <w:color w:val="000000" w:themeColor="text1"/>
        </w:rPr>
        <w:t>működik</w:t>
      </w:r>
      <w:r>
        <w:rPr>
          <w:noProof/>
        </w:rPr>
        <w:t xml:space="preserve">. A közvetlen befektetések esetében a DTF-nek sajáttőke- vagy kvázisajáttőke-támogatással (például átváltható értékpapírokkal) kell működnie az induló vállalkozásoknak; közvetett beruházások </w:t>
      </w:r>
      <w:r>
        <w:rPr>
          <w:noProof/>
        </w:rPr>
        <w:t>esetén az SGR-nek harmadik fél alapok (ABA – Alternatív Beruházási Alap) finanszírozásával kell működnie, amelyek tőke- vagy kvázisajáttőke-, hitelviszonyt megtestesítő vagy kvázi-hitelviszonyt megtestesítő instrumentumok biztosításával működnek. A Helyreá</w:t>
      </w:r>
      <w:r>
        <w:rPr>
          <w:noProof/>
        </w:rPr>
        <w:t>llítási és Rezilienciaépítési Eszköz beruházásai alapján az eszköz célja kezdetben legalább 400 000 000 EUR összegű finanszírozás biztosítása.</w:t>
      </w:r>
    </w:p>
    <w:p w14:paraId="3F212C6F" w14:textId="77777777" w:rsidR="003F5418" w:rsidRDefault="002A6C25">
      <w:pPr>
        <w:spacing w:after="120"/>
        <w:jc w:val="both"/>
        <w:rPr>
          <w:noProof/>
        </w:rPr>
      </w:pPr>
      <w:r>
        <w:rPr>
          <w:noProof/>
        </w:rPr>
        <w:t>Az eszközt végrehajtó partnerként a CDP Venture Capital SGR kezeli. A DTF-nek 15 éves időtartamra kell szólnia an</w:t>
      </w:r>
      <w:r>
        <w:rPr>
          <w:noProof/>
        </w:rPr>
        <w:t>nak érdekében, hogy megfeleljen a harmadik féltől származó pénzeszközök futamidejének, és a következő terméksorokba kell befektetnie:</w:t>
      </w:r>
    </w:p>
    <w:p w14:paraId="76B27610" w14:textId="77777777" w:rsidR="003F5418" w:rsidRDefault="002A6C25">
      <w:pPr>
        <w:pStyle w:val="ListParagraph"/>
        <w:numPr>
          <w:ilvl w:val="0"/>
          <w:numId w:val="52"/>
        </w:numPr>
        <w:spacing w:before="0"/>
        <w:contextualSpacing w:val="0"/>
        <w:rPr>
          <w:noProof/>
        </w:rPr>
      </w:pPr>
      <w:r>
        <w:rPr>
          <w:noProof/>
        </w:rPr>
        <w:t>A digitális induló vállalkozások sajáttőke- vagy kvázisajáttőke-támogatása (közvetlen módon);</w:t>
      </w:r>
    </w:p>
    <w:p w14:paraId="3768388D" w14:textId="77777777" w:rsidR="003F5418" w:rsidRDefault="002A6C25">
      <w:pPr>
        <w:pStyle w:val="ListParagraph"/>
        <w:numPr>
          <w:ilvl w:val="0"/>
          <w:numId w:val="52"/>
        </w:numPr>
        <w:spacing w:before="0"/>
        <w:contextualSpacing w:val="0"/>
        <w:rPr>
          <w:noProof/>
        </w:rPr>
      </w:pPr>
      <w:r>
        <w:rPr>
          <w:noProof/>
        </w:rPr>
        <w:t>Kockázati tőke/magántőke-ala</w:t>
      </w:r>
      <w:r>
        <w:rPr>
          <w:noProof/>
        </w:rPr>
        <w:t>pok sajáttőke- vagy kvázisajáttőke-támogatása (közvetett módon);</w:t>
      </w:r>
    </w:p>
    <w:p w14:paraId="344E5310" w14:textId="77777777" w:rsidR="003F5418" w:rsidRDefault="002A6C25">
      <w:pPr>
        <w:pStyle w:val="ListParagraph"/>
        <w:numPr>
          <w:ilvl w:val="0"/>
          <w:numId w:val="52"/>
        </w:numPr>
        <w:spacing w:before="0"/>
        <w:contextualSpacing w:val="0"/>
        <w:rPr>
          <w:noProof/>
        </w:rPr>
      </w:pPr>
      <w:r>
        <w:rPr>
          <w:noProof/>
        </w:rPr>
        <w:t>Tőke, kvázisajáttőke-finanszírozás formájában nyújtott támogatás inkubációs/gyorsító programokhoz.</w:t>
      </w:r>
    </w:p>
    <w:p w14:paraId="3BD55E7C" w14:textId="77777777" w:rsidR="003F5418" w:rsidRDefault="002A6C25">
      <w:pPr>
        <w:spacing w:after="120"/>
        <w:jc w:val="both"/>
        <w:rPr>
          <w:noProof/>
        </w:rPr>
      </w:pPr>
      <w:r>
        <w:rPr>
          <w:noProof/>
        </w:rPr>
        <w:t>A MIMIT és az SGR módosítja a tényleges végrehajtási megállapodást (a</w:t>
      </w:r>
      <w:r>
        <w:rPr>
          <w:i/>
          <w:noProof/>
        </w:rPr>
        <w:t xml:space="preserve">továbbiakban: Accordo </w:t>
      </w:r>
      <w:r>
        <w:rPr>
          <w:i/>
          <w:noProof/>
        </w:rPr>
        <w:t>Finanziario</w:t>
      </w:r>
      <w:r>
        <w:rPr>
          <w:noProof/>
        </w:rPr>
        <w:t>) és a DTF-szabályokat a következő rendelkezések beillesztése érdekében:</w:t>
      </w:r>
    </w:p>
    <w:p w14:paraId="03969471" w14:textId="77777777" w:rsidR="003F5418" w:rsidRDefault="002A6C25">
      <w:pPr>
        <w:pStyle w:val="LegalNumPar"/>
        <w:numPr>
          <w:ilvl w:val="0"/>
          <w:numId w:val="31"/>
        </w:numPr>
        <w:spacing w:after="120" w:line="240" w:lineRule="auto"/>
        <w:jc w:val="both"/>
        <w:rPr>
          <w:rFonts w:ascii="Times New Roman" w:eastAsia="Times New Roman" w:hAnsi="Times New Roman" w:cs="Times New Roman"/>
          <w:noProof/>
          <w:sz w:val="24"/>
        </w:rPr>
      </w:pPr>
      <w:r>
        <w:rPr>
          <w:rStyle w:val="FootnoteReference"/>
          <w:noProof/>
        </w:rPr>
        <w:t>Az eszköz döntéshozatali folyamatának</w:t>
      </w:r>
      <w:r>
        <w:rPr>
          <w:rFonts w:ascii="Times New Roman" w:hAnsi="Times New Roman"/>
          <w:noProof/>
          <w:sz w:val="24"/>
        </w:rPr>
        <w:t>leírása: A Békekeret végleges beruházási döntését az igazgatótanács vagy más, azzal egyenértékű irányító testület hozza meg, és a kormá</w:t>
      </w:r>
      <w:r>
        <w:rPr>
          <w:rFonts w:ascii="Times New Roman" w:hAnsi="Times New Roman"/>
          <w:noProof/>
          <w:sz w:val="24"/>
        </w:rPr>
        <w:t>nytól független tagok szavazatainak többségével hagyja jóvá</w:t>
      </w:r>
      <w:r>
        <w:rPr>
          <w:rStyle w:val="FootnoteReference"/>
          <w:noProof/>
        </w:rPr>
        <w:footnoteReference w:id="109"/>
      </w:r>
      <w:r>
        <w:rPr>
          <w:rFonts w:ascii="Times New Roman" w:hAnsi="Times New Roman"/>
          <w:noProof/>
          <w:sz w:val="24"/>
        </w:rPr>
        <w:t>.</w:t>
      </w:r>
    </w:p>
    <w:p w14:paraId="42C95AEA" w14:textId="77777777" w:rsidR="003F5418" w:rsidRDefault="002A6C25">
      <w:pPr>
        <w:pStyle w:val="P68B1DB1-LegalNumPar19"/>
        <w:spacing w:after="120" w:line="240" w:lineRule="auto"/>
        <w:jc w:val="both"/>
        <w:rPr>
          <w:rFonts w:cs="Times New Roman"/>
          <w:noProof/>
        </w:rPr>
      </w:pPr>
      <w:r>
        <w:rPr>
          <w:noProof/>
        </w:rPr>
        <w:t>A kapcsolódó beruházási politika fő követelményei,</w:t>
      </w:r>
      <w:r>
        <w:rPr>
          <w:b/>
          <w:noProof/>
        </w:rPr>
        <w:t xml:space="preserve"> </w:t>
      </w:r>
      <w:r>
        <w:rPr>
          <w:noProof/>
        </w:rPr>
        <w:t>amelyek a következőket foglalják magukban:</w:t>
      </w:r>
    </w:p>
    <w:p w14:paraId="41B18EC3" w14:textId="77777777" w:rsidR="003F5418" w:rsidRDefault="002A6C25">
      <w:pPr>
        <w:pStyle w:val="P68B1DB1-LegalNumPar220"/>
        <w:spacing w:after="120" w:line="240" w:lineRule="auto"/>
        <w:jc w:val="both"/>
        <w:rPr>
          <w:rFonts w:cs="Times New Roman"/>
          <w:noProof/>
        </w:rPr>
      </w:pPr>
      <w:r>
        <w:rPr>
          <w:noProof/>
        </w:rPr>
        <w:t xml:space="preserve">A pénzügyi termékek és a támogatható végső kedvezményezettek leírása. </w:t>
      </w:r>
    </w:p>
    <w:p w14:paraId="53BE9AD1" w14:textId="77777777" w:rsidR="003F5418" w:rsidRDefault="002A6C25">
      <w:pPr>
        <w:pStyle w:val="P68B1DB1-LegalNumPar220"/>
        <w:spacing w:after="120" w:line="240" w:lineRule="auto"/>
        <w:jc w:val="both"/>
        <w:rPr>
          <w:rFonts w:cs="Times New Roman"/>
          <w:noProof/>
        </w:rPr>
      </w:pPr>
      <w:r>
        <w:rPr>
          <w:noProof/>
        </w:rPr>
        <w:t>Az a követelmény, hogy minden</w:t>
      </w:r>
      <w:r>
        <w:rPr>
          <w:noProof/>
        </w:rPr>
        <w:t xml:space="preserve"> támogatott beruházás gazdaságilag életképes legyen</w:t>
      </w:r>
      <w:r>
        <w:rPr>
          <w:b/>
          <w:noProof/>
        </w:rPr>
        <w:t>.</w:t>
      </w:r>
    </w:p>
    <w:p w14:paraId="524624CF" w14:textId="77777777" w:rsidR="003F5418" w:rsidRDefault="002A6C25">
      <w:pPr>
        <w:pStyle w:val="P68B1DB1-LegalNumPar220"/>
        <w:numPr>
          <w:ilvl w:val="0"/>
          <w:numId w:val="0"/>
        </w:numPr>
        <w:spacing w:after="120" w:line="240" w:lineRule="auto"/>
        <w:jc w:val="both"/>
        <w:rPr>
          <w:rFonts w:eastAsia="Times New Roman" w:cs="Times New Roman"/>
          <w:noProof/>
        </w:rPr>
      </w:pPr>
      <w:r>
        <w:rPr>
          <w:noProof/>
        </w:rPr>
        <w:t xml:space="preserve">A jelentős károkozás elkerülését célzó elvnek való megfelelés követelménye a DNSH technikai iránymutatásban (2021/C58/01) meghatározottak szerint. Különösen az induló vállalkozásoknak nyújtott általános </w:t>
      </w:r>
      <w:r>
        <w:rPr>
          <w:noProof/>
        </w:rPr>
        <w:t>támogatás esetében a beruházási politikának ki kell zárnia azokat a vállalkozásokat, amelyek jelentős hangsúlyt</w:t>
      </w:r>
      <w:r>
        <w:rPr>
          <w:noProof/>
        </w:rPr>
        <w:footnoteReference w:id="110"/>
      </w:r>
      <w:r>
        <w:rPr>
          <w:noProof/>
        </w:rPr>
        <w:t xml:space="preserve"> fektetnek a következő ágazatokra: fosszilis tüzelőanyagokon alapuló energiatermelés és kapcsolódó tevékenységek</w:t>
      </w:r>
      <w:r>
        <w:rPr>
          <w:noProof/>
        </w:rPr>
        <w:footnoteReference w:id="111"/>
      </w:r>
      <w:r>
        <w:rPr>
          <w:noProof/>
        </w:rPr>
        <w:t>; ii. energiaigényes és/vagy ma</w:t>
      </w:r>
      <w:r>
        <w:rPr>
          <w:noProof/>
        </w:rPr>
        <w:t>gas szén-dioxid-kibocsátású iparágak</w:t>
      </w:r>
      <w:r>
        <w:rPr>
          <w:noProof/>
        </w:rPr>
        <w:footnoteReference w:id="112"/>
      </w:r>
      <w:r>
        <w:rPr>
          <w:noProof/>
        </w:rPr>
        <w:t>; szennyező járművek gyártása, bérlése vagy értékesítése</w:t>
      </w:r>
      <w:r>
        <w:rPr>
          <w:noProof/>
        </w:rPr>
        <w:footnoteReference w:id="113"/>
      </w:r>
      <w:r>
        <w:rPr>
          <w:noProof/>
        </w:rPr>
        <w:t>; IV. hulladékgyűjtés, hulladékkezelés és -ártalmatlanítás</w:t>
      </w:r>
      <w:r>
        <w:rPr>
          <w:noProof/>
        </w:rPr>
        <w:footnoteReference w:id="114"/>
      </w:r>
      <w:r>
        <w:rPr>
          <w:noProof/>
        </w:rPr>
        <w:t>, v. nukleáris üzemanyag feldolgozása, atomenergia előállítása. A beruházási politikának továbbá meg ke</w:t>
      </w:r>
      <w:r>
        <w:rPr>
          <w:noProof/>
        </w:rPr>
        <w:t>ll követelnie az eszköz végső kedvezményezettjeinek a vonatkozó uniós és nemzeti környezetvédelmi jogszabályoknak való</w:t>
      </w:r>
      <w:r>
        <w:rPr>
          <w:b/>
          <w:noProof/>
        </w:rPr>
        <w:t xml:space="preserve"> </w:t>
      </w:r>
      <w:r>
        <w:rPr>
          <w:noProof/>
        </w:rPr>
        <w:t>megfelelését.</w:t>
      </w:r>
    </w:p>
    <w:p w14:paraId="67FEEDB7" w14:textId="77777777" w:rsidR="003F5418" w:rsidRDefault="002A6C25">
      <w:pPr>
        <w:pStyle w:val="P68B1DB1-LegalNumPar220"/>
        <w:spacing w:after="120" w:line="240" w:lineRule="auto"/>
        <w:jc w:val="both"/>
        <w:rPr>
          <w:rFonts w:cs="Times New Roman"/>
          <w:noProof/>
        </w:rPr>
      </w:pPr>
      <w:r>
        <w:rPr>
          <w:noProof/>
        </w:rPr>
        <w:t>Az a követelmény, hogy az eszköz végső kedvezményezettjei nem részesülhetnek támogatásban más uniós eszközökből ugyanazon k</w:t>
      </w:r>
      <w:r>
        <w:rPr>
          <w:noProof/>
        </w:rPr>
        <w:t>öltségek fedezésére.</w:t>
      </w:r>
    </w:p>
    <w:p w14:paraId="39F2817D" w14:textId="77777777" w:rsidR="003F5418" w:rsidRDefault="002A6C25">
      <w:pPr>
        <w:pStyle w:val="P68B1DB1-LegalNumPar19"/>
        <w:spacing w:after="120" w:line="240" w:lineRule="auto"/>
        <w:jc w:val="both"/>
        <w:rPr>
          <w:rFonts w:cs="Times New Roman"/>
          <w:noProof/>
        </w:rPr>
      </w:pPr>
      <w:r>
        <w:rPr>
          <w:noProof/>
        </w:rPr>
        <w:t>A végrehajtási megállapodás hatálya alá tartozó összeg, a végrehajtó partner díjstruktúrája, valamint az eszköz beruházási politikájának megfelelően a visszafolyó bevételek újbóli befektetésére vonatkozó követelmény.</w:t>
      </w:r>
    </w:p>
    <w:p w14:paraId="275E637D" w14:textId="77777777" w:rsidR="003F5418" w:rsidRDefault="002A6C25">
      <w:pPr>
        <w:pStyle w:val="P68B1DB1-LegalNumPar19"/>
        <w:spacing w:after="120" w:line="240" w:lineRule="auto"/>
        <w:jc w:val="both"/>
        <w:rPr>
          <w:rFonts w:cs="Times New Roman"/>
          <w:noProof/>
        </w:rPr>
      </w:pPr>
      <w:r>
        <w:rPr>
          <w:noProof/>
        </w:rPr>
        <w:t>Nyomonkövetési, el</w:t>
      </w:r>
      <w:r>
        <w:rPr>
          <w:noProof/>
        </w:rPr>
        <w:t>lenőrzési és kontrollkövetelmények, beleértve a következőket:</w:t>
      </w:r>
    </w:p>
    <w:p w14:paraId="6B1B8C66" w14:textId="77777777" w:rsidR="003F5418" w:rsidRDefault="002A6C25">
      <w:pPr>
        <w:numPr>
          <w:ilvl w:val="0"/>
          <w:numId w:val="53"/>
        </w:numPr>
        <w:spacing w:after="120"/>
        <w:jc w:val="both"/>
        <w:rPr>
          <w:noProof/>
        </w:rPr>
      </w:pPr>
      <w:r>
        <w:rPr>
          <w:noProof/>
        </w:rPr>
        <w:t>A végrehajtó partner által a mozgósított beruházásról való jelentéstételhez használt monitoringrendszer leírása.</w:t>
      </w:r>
    </w:p>
    <w:p w14:paraId="1AE604AA" w14:textId="77777777" w:rsidR="003F5418" w:rsidRDefault="002A6C25">
      <w:pPr>
        <w:numPr>
          <w:ilvl w:val="0"/>
          <w:numId w:val="53"/>
        </w:numPr>
        <w:spacing w:after="120"/>
        <w:jc w:val="both"/>
        <w:rPr>
          <w:noProof/>
        </w:rPr>
      </w:pPr>
      <w:r>
        <w:rPr>
          <w:noProof/>
        </w:rPr>
        <w:t>A végrehajtó partner azon eljárásainak leírása, amelyek biztosítják a csalás, a k</w:t>
      </w:r>
      <w:r>
        <w:rPr>
          <w:noProof/>
        </w:rPr>
        <w:t xml:space="preserve">orrupció és az összeférhetetlenség megelőzését, felderítését és korrekcióját. </w:t>
      </w:r>
    </w:p>
    <w:p w14:paraId="054DBEE9" w14:textId="77777777" w:rsidR="003F5418" w:rsidRDefault="002A6C25">
      <w:pPr>
        <w:numPr>
          <w:ilvl w:val="0"/>
          <w:numId w:val="53"/>
        </w:numPr>
        <w:spacing w:after="120"/>
        <w:jc w:val="both"/>
        <w:rPr>
          <w:noProof/>
        </w:rPr>
      </w:pPr>
      <w:r>
        <w:rPr>
          <w:noProof/>
        </w:rPr>
        <w:t>Az egyes műveletek támogathatóságának a végrehajtási megállapodásban meghatározott követelményekkel összhangban történő, az egyes műveletek finanszírozására való kötelezettségvá</w:t>
      </w:r>
      <w:r>
        <w:rPr>
          <w:noProof/>
        </w:rPr>
        <w:t>llalást megelőző ellenőrzésére vonatkozó kötelezettség.</w:t>
      </w:r>
    </w:p>
    <w:p w14:paraId="12A19942" w14:textId="77777777" w:rsidR="003F5418" w:rsidRDefault="002A6C25">
      <w:pPr>
        <w:numPr>
          <w:ilvl w:val="0"/>
          <w:numId w:val="53"/>
        </w:numPr>
        <w:spacing w:after="120"/>
        <w:jc w:val="both"/>
        <w:rPr>
          <w:noProof/>
        </w:rPr>
      </w:pPr>
      <w:r>
        <w:rPr>
          <w:noProof/>
        </w:rPr>
        <w:t>A kockázatalapú utólagos ellenőrzéseknek az SGR ellenőrzési tervével összhangban történő elvégzésére vonatkozó kötelezettség. Ezeknek az ellenőrzéseknek meg kell győződniük i. arról, hogy az ellenőrzé</w:t>
      </w:r>
      <w:r>
        <w:rPr>
          <w:noProof/>
        </w:rPr>
        <w:t xml:space="preserve">si rendszerek hatékonyak-e, beleértve a csalás, a korrupció és az összeférhetetlenség felderítését; a DNSH-elvnek és az állami támogatásokra vonatkozó szabályoknak való megfelelést, valamint iii. azt a követelményt, hogy az eszköz végső kedvezményezettjei </w:t>
      </w:r>
      <w:r>
        <w:rPr>
          <w:noProof/>
        </w:rPr>
        <w:t>nem részesültek támogatásban más uniós eszközökből ugyanazon költségek fedezésére. Az ellenőrzések azt is vizsgálják, hogy az ügyletek jogszerűek-e, valamint hogy az alkalmazandó végrehajtási megállapodásban és finanszírozási megállapodásokban foglalt felt</w:t>
      </w:r>
      <w:r>
        <w:rPr>
          <w:noProof/>
        </w:rPr>
        <w:t xml:space="preserve">ételeket betartják-e. </w:t>
      </w:r>
    </w:p>
    <w:p w14:paraId="5C813DAF" w14:textId="77777777" w:rsidR="003F5418" w:rsidRDefault="002A6C25">
      <w:pPr>
        <w:numPr>
          <w:ilvl w:val="0"/>
          <w:numId w:val="25"/>
        </w:numPr>
        <w:spacing w:after="120"/>
        <w:ind w:left="720" w:hanging="360"/>
        <w:jc w:val="both"/>
        <w:rPr>
          <w:noProof/>
        </w:rPr>
      </w:pPr>
      <w:r>
        <w:rPr>
          <w:b/>
          <w:noProof/>
        </w:rPr>
        <w:t>A kockázatitőke-tőkealapok/hitelalapok kiválasztására vonatkozó</w:t>
      </w:r>
      <w:r>
        <w:rPr>
          <w:noProof/>
        </w:rPr>
        <w:t xml:space="preserve"> követelmények</w:t>
      </w:r>
      <w:r>
        <w:rPr>
          <w:b/>
          <w:noProof/>
        </w:rPr>
        <w:t xml:space="preserve">: </w:t>
      </w:r>
      <w:r>
        <w:rPr>
          <w:noProof/>
        </w:rPr>
        <w:t>A Digitális Átmenet Alap nyílt, átlátható és megkülönböztetésmentes módon, a jelenlegi gyakorlattal összhangban választja ki a pénzügyi közvetítőket, több</w:t>
      </w:r>
      <w:r>
        <w:rPr>
          <w:noProof/>
        </w:rPr>
        <w:t xml:space="preserve">ek között azáltal, hogy az SGR és a MIMIT weboldalakon egyaránt közzéteszi az összes követelményt és pályázati űrlapot. Minden érintett pénzügyi szereplő esetében előzetesen ellenőrizni kell, hogy a pénzügyi közvetítők </w:t>
      </w:r>
      <w:r>
        <w:rPr>
          <w:i/>
          <w:noProof/>
        </w:rPr>
        <w:t>esetében</w:t>
      </w:r>
      <w:r>
        <w:rPr>
          <w:noProof/>
        </w:rPr>
        <w:t xml:space="preserve"> nem áll fenn összeférhetetle</w:t>
      </w:r>
      <w:r>
        <w:rPr>
          <w:noProof/>
        </w:rPr>
        <w:t>nség. Az összeférhetetlenség hiánya mindig az eszköz „végső kedvezményezettjére” utal.</w:t>
      </w:r>
    </w:p>
    <w:p w14:paraId="65285211" w14:textId="77777777" w:rsidR="003F5418" w:rsidRDefault="002A6C25">
      <w:pPr>
        <w:numPr>
          <w:ilvl w:val="0"/>
          <w:numId w:val="25"/>
        </w:numPr>
        <w:spacing w:after="120"/>
        <w:ind w:left="720" w:hanging="360"/>
        <w:jc w:val="both"/>
        <w:rPr>
          <w:noProof/>
        </w:rPr>
      </w:pPr>
      <w:r>
        <w:rPr>
          <w:b/>
          <w:noProof/>
        </w:rPr>
        <w:t>Finanszírozási megállapodások aláírásának kötelezettsége</w:t>
      </w:r>
      <w:r>
        <w:rPr>
          <w:noProof/>
        </w:rPr>
        <w:t>: A Digitális Átállást Támogató Alap finanszírozási megállapodásokat ír alá a pénzügyi közvetítőkkel a kulcsfonto</w:t>
      </w:r>
      <w:r>
        <w:rPr>
          <w:noProof/>
        </w:rPr>
        <w:t xml:space="preserve">sságú követelményekkel összhangban, amelyek magukban foglalják a DTF működésének valamennyi követelményét, beleértve a következőket: </w:t>
      </w:r>
    </w:p>
    <w:p w14:paraId="56E13ACE" w14:textId="77777777" w:rsidR="003F5418" w:rsidRDefault="002A6C25">
      <w:pPr>
        <w:numPr>
          <w:ilvl w:val="0"/>
          <w:numId w:val="51"/>
        </w:numPr>
        <w:spacing w:after="120"/>
        <w:jc w:val="both"/>
        <w:rPr>
          <w:noProof/>
        </w:rPr>
      </w:pPr>
      <w:r>
        <w:rPr>
          <w:noProof/>
        </w:rPr>
        <w:t xml:space="preserve">A pénzügyi közvetítő azon kötelezettsége, hogy döntéseit </w:t>
      </w:r>
      <w:r>
        <w:rPr>
          <w:i/>
          <w:noProof/>
        </w:rPr>
        <w:t>értelemszerűen</w:t>
      </w:r>
      <w:r>
        <w:rPr>
          <w:noProof/>
        </w:rPr>
        <w:t xml:space="preserve"> a fent meghatározott döntéshozatali és beruházási </w:t>
      </w:r>
      <w:r>
        <w:rPr>
          <w:noProof/>
        </w:rPr>
        <w:t>politikai követelményeknek megfelelően hozza meg, beleértve a DNSH-elv tiszteletben tartásával kapcsolatos követelményeket is.</w:t>
      </w:r>
    </w:p>
    <w:p w14:paraId="1999C881" w14:textId="77777777" w:rsidR="003F5418" w:rsidRDefault="002A6C25">
      <w:pPr>
        <w:numPr>
          <w:ilvl w:val="0"/>
          <w:numId w:val="51"/>
        </w:numPr>
        <w:spacing w:after="120"/>
        <w:jc w:val="both"/>
        <w:rPr>
          <w:noProof/>
        </w:rPr>
      </w:pPr>
      <w:r>
        <w:rPr>
          <w:noProof/>
        </w:rPr>
        <w:t xml:space="preserve">A pénzügyi közvetítő által létrehozandó nyomonkövetési, ellenőrzési és kontrollkeret leírása, amelyre </w:t>
      </w:r>
      <w:r>
        <w:rPr>
          <w:i/>
          <w:noProof/>
        </w:rPr>
        <w:t>értelemszerűen</w:t>
      </w:r>
      <w:r>
        <w:rPr>
          <w:noProof/>
        </w:rPr>
        <w:t xml:space="preserve"> a fent megha</w:t>
      </w:r>
      <w:r>
        <w:rPr>
          <w:noProof/>
        </w:rPr>
        <w:t xml:space="preserve">tározott valamennyi nyomonkövetési, ellenőrzési és kontrollkövetelmény vonatkozik. </w:t>
      </w:r>
    </w:p>
    <w:p w14:paraId="3BADC445" w14:textId="77777777" w:rsidR="003F5418" w:rsidRDefault="002A6C25">
      <w:pPr>
        <w:spacing w:before="120" w:after="120"/>
        <w:jc w:val="both"/>
        <w:rPr>
          <w:noProof/>
        </w:rPr>
      </w:pPr>
      <w:r>
        <w:rPr>
          <w:noProof/>
        </w:rPr>
        <w:t>Az intézkedés végrehajtását 2026. augusztus 31-ig be kell fejezni.</w:t>
      </w:r>
    </w:p>
    <w:p w14:paraId="144F68E1" w14:textId="77777777" w:rsidR="003F5418" w:rsidRDefault="002A6C25">
      <w:pPr>
        <w:pStyle w:val="Heading3"/>
        <w:numPr>
          <w:ilvl w:val="0"/>
          <w:numId w:val="0"/>
        </w:numPr>
        <w:ind w:left="850" w:hanging="850"/>
        <w:rPr>
          <w:b/>
          <w:i w:val="0"/>
          <w:noProof/>
          <w:u w:val="single"/>
        </w:rPr>
      </w:pPr>
      <w:r>
        <w:rPr>
          <w:b/>
          <w:i w:val="0"/>
          <w:noProof/>
          <w:u w:val="single"/>
        </w:rPr>
        <w:t xml:space="preserve">K.4. </w:t>
      </w:r>
      <w:r>
        <w:rPr>
          <w:noProof/>
        </w:rPr>
        <w:t xml:space="preserve"> </w:t>
      </w:r>
      <w:r>
        <w:rPr>
          <w:b/>
          <w:i w:val="0"/>
          <w:noProof/>
          <w:u w:val="single"/>
        </w:rPr>
        <w:t>Hitel</w:t>
      </w:r>
      <w:r>
        <w:rPr>
          <w:b/>
          <w:i w:val="0"/>
          <w:noProof/>
          <w:u w:val="single"/>
        </w:rPr>
        <w:t xml:space="preserve"> – a végrehajtáshoz és a nyomon követéshez kapcsolódó mérföldkövek, célok, mutatók és ütemterv </w:t>
      </w:r>
    </w:p>
    <w:p w14:paraId="45774319" w14:textId="77777777" w:rsidR="003F5418" w:rsidRDefault="003F5418">
      <w:pPr>
        <w:spacing w:before="120" w:after="120"/>
        <w:ind w:left="709"/>
        <w:contextualSpacing/>
        <w:jc w:val="both"/>
        <w:rPr>
          <w:noProof/>
        </w:rPr>
        <w:sectPr w:rsidR="003F5418">
          <w:headerReference w:type="even" r:id="rId290"/>
          <w:headerReference w:type="default" r:id="rId291"/>
          <w:footerReference w:type="even" r:id="rId292"/>
          <w:footerReference w:type="default" r:id="rId293"/>
          <w:headerReference w:type="first" r:id="rId294"/>
          <w:footerReference w:type="first" r:id="rId295"/>
          <w:pgSz w:w="11907" w:h="16839"/>
          <w:pgMar w:top="1134" w:right="1134" w:bottom="1134" w:left="1134" w:header="567" w:footer="567" w:gutter="0"/>
          <w:cols w:space="720"/>
          <w:docGrid w:linePitch="360"/>
        </w:sectPr>
      </w:pPr>
    </w:p>
    <w:tbl>
      <w:tblPr>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9"/>
        <w:gridCol w:w="1132"/>
        <w:gridCol w:w="1418"/>
        <w:gridCol w:w="1275"/>
        <w:gridCol w:w="1134"/>
        <w:gridCol w:w="993"/>
        <w:gridCol w:w="1275"/>
        <w:gridCol w:w="993"/>
        <w:gridCol w:w="708"/>
        <w:gridCol w:w="3686"/>
      </w:tblGrid>
      <w:tr w:rsidR="003F5418" w14:paraId="623C5D9D" w14:textId="77777777">
        <w:trPr>
          <w:trHeight w:val="939"/>
          <w:tblHeader/>
        </w:trPr>
        <w:tc>
          <w:tcPr>
            <w:tcW w:w="1135" w:type="dxa"/>
            <w:vMerge w:val="restart"/>
            <w:shd w:val="clear" w:color="auto" w:fill="BDD7EE"/>
            <w:vAlign w:val="center"/>
            <w:hideMark/>
          </w:tcPr>
          <w:p w14:paraId="0B55FB3D" w14:textId="77777777" w:rsidR="003F5418" w:rsidRDefault="002A6C25">
            <w:pPr>
              <w:pStyle w:val="P68B1DB1-Normal3"/>
              <w:jc w:val="center"/>
              <w:rPr>
                <w:noProof/>
              </w:rPr>
            </w:pPr>
            <w:r>
              <w:rPr>
                <w:noProof/>
              </w:rPr>
              <w:t>Sorszám</w:t>
            </w:r>
          </w:p>
        </w:tc>
        <w:tc>
          <w:tcPr>
            <w:tcW w:w="1419" w:type="dxa"/>
            <w:vMerge w:val="restart"/>
            <w:shd w:val="clear" w:color="auto" w:fill="BDD7EE"/>
            <w:vAlign w:val="center"/>
            <w:hideMark/>
          </w:tcPr>
          <w:p w14:paraId="7C940EE0" w14:textId="77777777" w:rsidR="003F5418" w:rsidRDefault="002A6C25">
            <w:pPr>
              <w:pStyle w:val="P68B1DB1-Normal3"/>
              <w:jc w:val="center"/>
              <w:rPr>
                <w:noProof/>
              </w:rPr>
            </w:pPr>
            <w:r>
              <w:rPr>
                <w:noProof/>
              </w:rPr>
              <w:t>Kapcsolódó intézkedés (reform vagy beruházás)</w:t>
            </w:r>
          </w:p>
        </w:tc>
        <w:tc>
          <w:tcPr>
            <w:tcW w:w="1132" w:type="dxa"/>
            <w:vMerge w:val="restart"/>
            <w:shd w:val="clear" w:color="auto" w:fill="BDD7EE"/>
            <w:vAlign w:val="center"/>
            <w:hideMark/>
          </w:tcPr>
          <w:p w14:paraId="570B9EA9" w14:textId="77777777" w:rsidR="003F5418" w:rsidRDefault="002A6C25">
            <w:pPr>
              <w:pStyle w:val="P68B1DB1-Normal3"/>
              <w:jc w:val="center"/>
              <w:rPr>
                <w:noProof/>
              </w:rPr>
            </w:pPr>
            <w:r>
              <w:rPr>
                <w:noProof/>
              </w:rPr>
              <w:t>Mérföldkő/cél</w:t>
            </w:r>
          </w:p>
        </w:tc>
        <w:tc>
          <w:tcPr>
            <w:tcW w:w="1418" w:type="dxa"/>
            <w:vMerge w:val="restart"/>
            <w:shd w:val="clear" w:color="auto" w:fill="BDD7EE"/>
            <w:vAlign w:val="center"/>
            <w:hideMark/>
          </w:tcPr>
          <w:p w14:paraId="73D299D3" w14:textId="77777777" w:rsidR="003F5418" w:rsidRDefault="002A6C25">
            <w:pPr>
              <w:pStyle w:val="P68B1DB1-Normal3"/>
              <w:jc w:val="center"/>
              <w:rPr>
                <w:noProof/>
              </w:rPr>
            </w:pPr>
            <w:r>
              <w:rPr>
                <w:noProof/>
              </w:rPr>
              <w:t>Név</w:t>
            </w:r>
          </w:p>
        </w:tc>
        <w:tc>
          <w:tcPr>
            <w:tcW w:w="1275" w:type="dxa"/>
            <w:vMerge w:val="restart"/>
            <w:shd w:val="clear" w:color="auto" w:fill="BDD7EE"/>
            <w:vAlign w:val="center"/>
            <w:hideMark/>
          </w:tcPr>
          <w:p w14:paraId="71642B16"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 xml:space="preserve">(a </w:t>
            </w:r>
            <w:r>
              <w:rPr>
                <w:rFonts w:ascii="Arial Narrow" w:hAnsi="Arial Narrow"/>
                <w:b/>
                <w:noProof/>
                <w:sz w:val="20"/>
              </w:rPr>
              <w:t>részcélokra vonatkozóan)</w:t>
            </w:r>
          </w:p>
        </w:tc>
        <w:tc>
          <w:tcPr>
            <w:tcW w:w="3402" w:type="dxa"/>
            <w:gridSpan w:val="3"/>
            <w:shd w:val="clear" w:color="auto" w:fill="BDD7EE"/>
            <w:vAlign w:val="center"/>
            <w:hideMark/>
          </w:tcPr>
          <w:p w14:paraId="2AD5D983"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701" w:type="dxa"/>
            <w:gridSpan w:val="2"/>
            <w:shd w:val="clear" w:color="auto" w:fill="BDD7EE"/>
            <w:vAlign w:val="center"/>
            <w:hideMark/>
          </w:tcPr>
          <w:p w14:paraId="69064D6E" w14:textId="77777777" w:rsidR="003F5418" w:rsidRDefault="002A6C25">
            <w:pPr>
              <w:pStyle w:val="P68B1DB1-Normal3"/>
              <w:jc w:val="center"/>
              <w:rPr>
                <w:noProof/>
              </w:rPr>
            </w:pPr>
            <w:r>
              <w:rPr>
                <w:noProof/>
              </w:rPr>
              <w:t>A végrehajtás indikatív ütemterve</w:t>
            </w:r>
          </w:p>
        </w:tc>
        <w:tc>
          <w:tcPr>
            <w:tcW w:w="3686" w:type="dxa"/>
            <w:vMerge w:val="restart"/>
            <w:shd w:val="clear" w:color="auto" w:fill="BDD7EE"/>
            <w:vAlign w:val="center"/>
            <w:hideMark/>
          </w:tcPr>
          <w:p w14:paraId="31D562CF" w14:textId="77777777" w:rsidR="003F5418" w:rsidRDefault="002A6C25">
            <w:pPr>
              <w:pStyle w:val="P68B1DB1-Normal3"/>
              <w:jc w:val="center"/>
              <w:rPr>
                <w:noProof/>
              </w:rPr>
            </w:pPr>
            <w:r>
              <w:rPr>
                <w:noProof/>
              </w:rPr>
              <w:t>Az egyes mérföldkövek és célértékek leírása</w:t>
            </w:r>
          </w:p>
        </w:tc>
      </w:tr>
      <w:tr w:rsidR="003F5418" w14:paraId="02BA6B23" w14:textId="77777777">
        <w:trPr>
          <w:trHeight w:val="741"/>
        </w:trPr>
        <w:tc>
          <w:tcPr>
            <w:tcW w:w="1135" w:type="dxa"/>
            <w:vMerge/>
            <w:vAlign w:val="center"/>
            <w:hideMark/>
          </w:tcPr>
          <w:p w14:paraId="40E035A3" w14:textId="77777777" w:rsidR="003F5418" w:rsidRDefault="003F5418">
            <w:pPr>
              <w:jc w:val="center"/>
              <w:rPr>
                <w:rFonts w:ascii="Arial Narrow" w:hAnsi="Arial Narrow"/>
                <w:b/>
                <w:noProof/>
                <w:sz w:val="20"/>
              </w:rPr>
            </w:pPr>
          </w:p>
        </w:tc>
        <w:tc>
          <w:tcPr>
            <w:tcW w:w="1419" w:type="dxa"/>
            <w:vMerge/>
            <w:vAlign w:val="center"/>
            <w:hideMark/>
          </w:tcPr>
          <w:p w14:paraId="747693BD" w14:textId="77777777" w:rsidR="003F5418" w:rsidRDefault="003F5418">
            <w:pPr>
              <w:jc w:val="center"/>
              <w:rPr>
                <w:rFonts w:ascii="Arial Narrow" w:hAnsi="Arial Narrow"/>
                <w:b/>
                <w:noProof/>
                <w:sz w:val="20"/>
              </w:rPr>
            </w:pPr>
          </w:p>
        </w:tc>
        <w:tc>
          <w:tcPr>
            <w:tcW w:w="1132" w:type="dxa"/>
            <w:vMerge/>
            <w:vAlign w:val="center"/>
            <w:hideMark/>
          </w:tcPr>
          <w:p w14:paraId="040EBE96" w14:textId="77777777" w:rsidR="003F5418" w:rsidRDefault="003F5418">
            <w:pPr>
              <w:jc w:val="center"/>
              <w:rPr>
                <w:rFonts w:ascii="Arial Narrow" w:hAnsi="Arial Narrow"/>
                <w:b/>
                <w:noProof/>
                <w:sz w:val="20"/>
              </w:rPr>
            </w:pPr>
          </w:p>
        </w:tc>
        <w:tc>
          <w:tcPr>
            <w:tcW w:w="1418" w:type="dxa"/>
            <w:vMerge/>
            <w:vAlign w:val="center"/>
            <w:hideMark/>
          </w:tcPr>
          <w:p w14:paraId="44B23CF6" w14:textId="77777777" w:rsidR="003F5418" w:rsidRDefault="003F5418">
            <w:pPr>
              <w:jc w:val="center"/>
              <w:rPr>
                <w:rFonts w:ascii="Arial Narrow" w:hAnsi="Arial Narrow"/>
                <w:b/>
                <w:noProof/>
                <w:sz w:val="20"/>
              </w:rPr>
            </w:pPr>
          </w:p>
        </w:tc>
        <w:tc>
          <w:tcPr>
            <w:tcW w:w="1275" w:type="dxa"/>
            <w:vMerge/>
            <w:vAlign w:val="center"/>
            <w:hideMark/>
          </w:tcPr>
          <w:p w14:paraId="04D97340" w14:textId="77777777" w:rsidR="003F5418" w:rsidRDefault="003F5418">
            <w:pPr>
              <w:jc w:val="center"/>
              <w:rPr>
                <w:rFonts w:ascii="Arial Narrow" w:hAnsi="Arial Narrow"/>
                <w:b/>
                <w:noProof/>
                <w:sz w:val="20"/>
              </w:rPr>
            </w:pPr>
          </w:p>
        </w:tc>
        <w:tc>
          <w:tcPr>
            <w:tcW w:w="1134" w:type="dxa"/>
            <w:shd w:val="clear" w:color="auto" w:fill="BDD7EE"/>
            <w:vAlign w:val="center"/>
            <w:hideMark/>
          </w:tcPr>
          <w:p w14:paraId="25271579" w14:textId="77777777" w:rsidR="003F5418" w:rsidRDefault="002A6C25">
            <w:pPr>
              <w:pStyle w:val="P68B1DB1-Normal3"/>
              <w:jc w:val="center"/>
              <w:rPr>
                <w:noProof/>
              </w:rPr>
            </w:pPr>
            <w:r>
              <w:rPr>
                <w:noProof/>
              </w:rPr>
              <w:t>Mértékegység</w:t>
            </w:r>
          </w:p>
        </w:tc>
        <w:tc>
          <w:tcPr>
            <w:tcW w:w="993" w:type="dxa"/>
            <w:shd w:val="clear" w:color="auto" w:fill="BDD7EE"/>
            <w:vAlign w:val="center"/>
            <w:hideMark/>
          </w:tcPr>
          <w:p w14:paraId="676F97C6" w14:textId="77777777" w:rsidR="003F5418" w:rsidRDefault="002A6C25">
            <w:pPr>
              <w:pStyle w:val="P68B1DB1-Normal3"/>
              <w:jc w:val="center"/>
              <w:rPr>
                <w:noProof/>
              </w:rPr>
            </w:pPr>
            <w:r>
              <w:rPr>
                <w:noProof/>
              </w:rPr>
              <w:t>Kiindulási</w:t>
            </w:r>
          </w:p>
        </w:tc>
        <w:tc>
          <w:tcPr>
            <w:tcW w:w="1275" w:type="dxa"/>
            <w:shd w:val="clear" w:color="auto" w:fill="BDD7EE"/>
            <w:vAlign w:val="center"/>
            <w:hideMark/>
          </w:tcPr>
          <w:p w14:paraId="3F1E7872" w14:textId="77777777" w:rsidR="003F5418" w:rsidRDefault="002A6C25">
            <w:pPr>
              <w:pStyle w:val="P68B1DB1-Normal3"/>
              <w:jc w:val="center"/>
              <w:rPr>
                <w:noProof/>
              </w:rPr>
            </w:pPr>
            <w:r>
              <w:rPr>
                <w:noProof/>
              </w:rPr>
              <w:t>Cél</w:t>
            </w:r>
          </w:p>
        </w:tc>
        <w:tc>
          <w:tcPr>
            <w:tcW w:w="993" w:type="dxa"/>
            <w:shd w:val="clear" w:color="auto" w:fill="BDD7EE"/>
            <w:vAlign w:val="center"/>
            <w:hideMark/>
          </w:tcPr>
          <w:p w14:paraId="0EFF8E60" w14:textId="77777777" w:rsidR="003F5418" w:rsidRDefault="002A6C25">
            <w:pPr>
              <w:pStyle w:val="P68B1DB1-Normal3"/>
              <w:jc w:val="center"/>
              <w:rPr>
                <w:noProof/>
              </w:rPr>
            </w:pPr>
            <w:r>
              <w:rPr>
                <w:noProof/>
              </w:rPr>
              <w:t>Negyedév</w:t>
            </w:r>
          </w:p>
        </w:tc>
        <w:tc>
          <w:tcPr>
            <w:tcW w:w="708" w:type="dxa"/>
            <w:shd w:val="clear" w:color="auto" w:fill="BDD7EE"/>
            <w:vAlign w:val="center"/>
            <w:hideMark/>
          </w:tcPr>
          <w:p w14:paraId="7D05ADFF" w14:textId="77777777" w:rsidR="003F5418" w:rsidRDefault="002A6C25">
            <w:pPr>
              <w:pStyle w:val="P68B1DB1-Normal3"/>
              <w:jc w:val="center"/>
              <w:rPr>
                <w:noProof/>
              </w:rPr>
            </w:pPr>
            <w:r>
              <w:rPr>
                <w:noProof/>
              </w:rPr>
              <w:t>Éve</w:t>
            </w:r>
          </w:p>
        </w:tc>
        <w:tc>
          <w:tcPr>
            <w:tcW w:w="3686" w:type="dxa"/>
            <w:vMerge/>
            <w:vAlign w:val="center"/>
            <w:hideMark/>
          </w:tcPr>
          <w:p w14:paraId="5DF10785" w14:textId="77777777" w:rsidR="003F5418" w:rsidRDefault="003F5418">
            <w:pPr>
              <w:rPr>
                <w:rFonts w:ascii="Arial Narrow" w:hAnsi="Arial Narrow"/>
                <w:b/>
                <w:noProof/>
                <w:sz w:val="20"/>
              </w:rPr>
            </w:pPr>
          </w:p>
        </w:tc>
      </w:tr>
      <w:tr w:rsidR="003F5418" w14:paraId="7A753D6A" w14:textId="77777777">
        <w:trPr>
          <w:trHeight w:val="1740"/>
        </w:trPr>
        <w:tc>
          <w:tcPr>
            <w:tcW w:w="1135" w:type="dxa"/>
            <w:shd w:val="clear" w:color="auto" w:fill="C6EFCE"/>
            <w:noWrap/>
            <w:vAlign w:val="center"/>
            <w:hideMark/>
          </w:tcPr>
          <w:p w14:paraId="44ACCDD2" w14:textId="77777777" w:rsidR="003F5418" w:rsidRDefault="002A6C25">
            <w:pPr>
              <w:pStyle w:val="P68B1DB1-Normal4"/>
              <w:jc w:val="center"/>
              <w:rPr>
                <w:noProof/>
              </w:rPr>
            </w:pPr>
            <w:r>
              <w:rPr>
                <w:noProof/>
              </w:rPr>
              <w:t>M4C2–5</w:t>
            </w:r>
          </w:p>
          <w:p w14:paraId="3460BC4C" w14:textId="77777777" w:rsidR="003F5418" w:rsidRDefault="003F5418">
            <w:pPr>
              <w:jc w:val="center"/>
              <w:rPr>
                <w:rFonts w:ascii="Arial Narrow" w:hAnsi="Arial Narrow"/>
                <w:noProof/>
                <w:color w:val="006100"/>
                <w:sz w:val="20"/>
              </w:rPr>
            </w:pPr>
          </w:p>
        </w:tc>
        <w:tc>
          <w:tcPr>
            <w:tcW w:w="1419" w:type="dxa"/>
            <w:shd w:val="clear" w:color="auto" w:fill="C6EFCE"/>
            <w:noWrap/>
            <w:vAlign w:val="center"/>
          </w:tcPr>
          <w:p w14:paraId="7E247344" w14:textId="77777777" w:rsidR="003F5418" w:rsidRDefault="002A6C25">
            <w:pPr>
              <w:pStyle w:val="P68B1DB1-Normal4"/>
              <w:jc w:val="center"/>
              <w:rPr>
                <w:noProof/>
              </w:rPr>
            </w:pPr>
            <w:r>
              <w:rPr>
                <w:noProof/>
              </w:rPr>
              <w:t xml:space="preserve">Beruházás: Jelentős nemzeti érdekű kutatási projektek </w:t>
            </w:r>
            <w:r>
              <w:rPr>
                <w:noProof/>
              </w:rPr>
              <w:t>(PRIN)</w:t>
            </w:r>
          </w:p>
        </w:tc>
        <w:tc>
          <w:tcPr>
            <w:tcW w:w="1132" w:type="dxa"/>
            <w:shd w:val="clear" w:color="auto" w:fill="C6EFCE"/>
            <w:noWrap/>
            <w:vAlign w:val="center"/>
            <w:hideMark/>
          </w:tcPr>
          <w:p w14:paraId="5766F8BB" w14:textId="77777777" w:rsidR="003F5418" w:rsidRDefault="002A6C25">
            <w:pPr>
              <w:pStyle w:val="P68B1DB1-Normal4"/>
              <w:jc w:val="center"/>
              <w:rPr>
                <w:noProof/>
              </w:rPr>
            </w:pPr>
            <w:r>
              <w:rPr>
                <w:noProof/>
              </w:rPr>
              <w:t>Cél</w:t>
            </w:r>
          </w:p>
        </w:tc>
        <w:tc>
          <w:tcPr>
            <w:tcW w:w="1418" w:type="dxa"/>
            <w:shd w:val="clear" w:color="auto" w:fill="C6EFCE"/>
            <w:noWrap/>
            <w:vAlign w:val="center"/>
          </w:tcPr>
          <w:p w14:paraId="2460EFAF" w14:textId="77777777" w:rsidR="003F5418" w:rsidRDefault="002A6C25">
            <w:pPr>
              <w:pStyle w:val="P68B1DB1-Normal4"/>
              <w:jc w:val="center"/>
              <w:rPr>
                <w:noProof/>
              </w:rPr>
            </w:pPr>
            <w:r>
              <w:rPr>
                <w:noProof/>
              </w:rPr>
              <w:t>Az odaítélt kutatási projektek száma</w:t>
            </w:r>
          </w:p>
        </w:tc>
        <w:tc>
          <w:tcPr>
            <w:tcW w:w="1275" w:type="dxa"/>
            <w:shd w:val="clear" w:color="auto" w:fill="C6EFCE"/>
            <w:noWrap/>
            <w:vAlign w:val="center"/>
            <w:hideMark/>
          </w:tcPr>
          <w:p w14:paraId="35D7C692"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31E99925" w14:textId="77777777" w:rsidR="003F5418" w:rsidRDefault="002A6C25">
            <w:pPr>
              <w:pStyle w:val="P68B1DB1-Normal4"/>
              <w:jc w:val="center"/>
              <w:rPr>
                <w:noProof/>
              </w:rPr>
            </w:pPr>
            <w:r>
              <w:rPr>
                <w:noProof/>
              </w:rPr>
              <w:t>Szám</w:t>
            </w:r>
          </w:p>
        </w:tc>
        <w:tc>
          <w:tcPr>
            <w:tcW w:w="993" w:type="dxa"/>
            <w:shd w:val="clear" w:color="auto" w:fill="C6EFCE"/>
            <w:noWrap/>
            <w:vAlign w:val="center"/>
          </w:tcPr>
          <w:p w14:paraId="69A4EC91" w14:textId="77777777" w:rsidR="003F5418" w:rsidRDefault="002A6C25">
            <w:pPr>
              <w:pStyle w:val="P68B1DB1-Normal4"/>
              <w:jc w:val="center"/>
              <w:rPr>
                <w:noProof/>
              </w:rPr>
            </w:pPr>
            <w:r>
              <w:rPr>
                <w:noProof/>
              </w:rPr>
              <w:t>0</w:t>
            </w:r>
          </w:p>
        </w:tc>
        <w:tc>
          <w:tcPr>
            <w:tcW w:w="1275" w:type="dxa"/>
            <w:shd w:val="clear" w:color="auto" w:fill="C6EFCE"/>
            <w:noWrap/>
            <w:vAlign w:val="center"/>
          </w:tcPr>
          <w:p w14:paraId="7714657E" w14:textId="3A5AA2D1" w:rsidR="003F5418" w:rsidRDefault="002A6C25">
            <w:pPr>
              <w:pStyle w:val="P68B1DB1-Normal4"/>
              <w:jc w:val="center"/>
              <w:rPr>
                <w:noProof/>
              </w:rPr>
            </w:pPr>
            <w:r>
              <w:rPr>
                <w:noProof/>
              </w:rPr>
              <w:t>3 150</w:t>
            </w:r>
          </w:p>
        </w:tc>
        <w:tc>
          <w:tcPr>
            <w:tcW w:w="993" w:type="dxa"/>
            <w:shd w:val="clear" w:color="auto" w:fill="C6EFCE"/>
            <w:noWrap/>
            <w:vAlign w:val="center"/>
            <w:hideMark/>
          </w:tcPr>
          <w:p w14:paraId="64868569" w14:textId="77777777" w:rsidR="003F5418" w:rsidRDefault="002A6C25">
            <w:pPr>
              <w:pStyle w:val="P68B1DB1-Normal4"/>
              <w:jc w:val="center"/>
              <w:rPr>
                <w:noProof/>
              </w:rPr>
            </w:pPr>
            <w:r>
              <w:rPr>
                <w:noProof/>
              </w:rPr>
              <w:t>Q4</w:t>
            </w:r>
          </w:p>
        </w:tc>
        <w:tc>
          <w:tcPr>
            <w:tcW w:w="708" w:type="dxa"/>
            <w:shd w:val="clear" w:color="auto" w:fill="C6EFCE"/>
            <w:noWrap/>
            <w:vAlign w:val="center"/>
            <w:hideMark/>
          </w:tcPr>
          <w:p w14:paraId="17B90A0E" w14:textId="77777777" w:rsidR="003F5418" w:rsidRDefault="002A6C25">
            <w:pPr>
              <w:pStyle w:val="P68B1DB1-Normal4"/>
              <w:jc w:val="center"/>
              <w:rPr>
                <w:noProof/>
              </w:rPr>
            </w:pPr>
            <w:r>
              <w:rPr>
                <w:noProof/>
              </w:rPr>
              <w:t>2023</w:t>
            </w:r>
          </w:p>
        </w:tc>
        <w:tc>
          <w:tcPr>
            <w:tcW w:w="3686" w:type="dxa"/>
            <w:shd w:val="clear" w:color="auto" w:fill="C6EFCE"/>
            <w:noWrap/>
            <w:vAlign w:val="center"/>
            <w:hideMark/>
          </w:tcPr>
          <w:p w14:paraId="30C366B2" w14:textId="4294D62F" w:rsidR="003F5418" w:rsidRDefault="002A6C25">
            <w:pPr>
              <w:pStyle w:val="P68B1DB1-Normal4"/>
              <w:rPr>
                <w:noProof/>
              </w:rPr>
            </w:pPr>
            <w:r>
              <w:rPr>
                <w:noProof/>
              </w:rPr>
              <w:t xml:space="preserve">Legalább 3150 Progetti di </w:t>
            </w:r>
            <w:r>
              <w:rPr>
                <w:i/>
                <w:noProof/>
              </w:rPr>
              <w:t>Ricerca di Interesse Nazionale kutatási</w:t>
            </w:r>
            <w:r>
              <w:rPr>
                <w:noProof/>
              </w:rPr>
              <w:t xml:space="preserve"> projekt odaítélése. </w:t>
            </w:r>
          </w:p>
          <w:p w14:paraId="53478990" w14:textId="77777777" w:rsidR="003F5418" w:rsidRDefault="002A6C25">
            <w:pPr>
              <w:pStyle w:val="P68B1DB1-Normal4"/>
              <w:rPr>
                <w:noProof/>
              </w:rPr>
            </w:pPr>
            <w:r>
              <w:rPr>
                <w:noProof/>
              </w:rPr>
              <w:t>A versenypályázati felhívások keretében kiválasztott projekteknek odaítélt szerződéseket a jel</w:t>
            </w:r>
            <w:r>
              <w:rPr>
                <w:noProof/>
              </w:rPr>
              <w:t>entős károkozás elkerülését célzó technikai iránymutatásnak (2021/C58/01) megfelelően kell odaítélni a kizárási lista, valamint a vonatkozó uniós és nemzeti környezetvédelmi jogszabályoknak való megfelelés követelménye révén.</w:t>
            </w:r>
          </w:p>
        </w:tc>
      </w:tr>
      <w:tr w:rsidR="003F5418" w14:paraId="02CDAD03" w14:textId="77777777">
        <w:trPr>
          <w:trHeight w:val="313"/>
        </w:trPr>
        <w:tc>
          <w:tcPr>
            <w:tcW w:w="1135" w:type="dxa"/>
            <w:shd w:val="clear" w:color="auto" w:fill="C6EFCE"/>
            <w:noWrap/>
            <w:vAlign w:val="center"/>
            <w:hideMark/>
          </w:tcPr>
          <w:p w14:paraId="7EC1FF1E" w14:textId="77777777" w:rsidR="003F5418" w:rsidRDefault="002A6C25">
            <w:pPr>
              <w:pStyle w:val="P68B1DB1-Normal4"/>
              <w:jc w:val="center"/>
              <w:rPr>
                <w:noProof/>
              </w:rPr>
            </w:pPr>
            <w:r>
              <w:rPr>
                <w:noProof/>
              </w:rPr>
              <w:t>M4C2–6</w:t>
            </w:r>
          </w:p>
        </w:tc>
        <w:tc>
          <w:tcPr>
            <w:tcW w:w="1419" w:type="dxa"/>
            <w:shd w:val="clear" w:color="auto" w:fill="C6EFCE"/>
            <w:noWrap/>
            <w:vAlign w:val="center"/>
          </w:tcPr>
          <w:p w14:paraId="73652C97" w14:textId="77777777" w:rsidR="003F5418" w:rsidRDefault="002A6C25">
            <w:pPr>
              <w:pStyle w:val="P68B1DB1-Normal4"/>
              <w:jc w:val="center"/>
              <w:rPr>
                <w:noProof/>
              </w:rPr>
            </w:pPr>
            <w:r>
              <w:rPr>
                <w:noProof/>
              </w:rPr>
              <w:t xml:space="preserve">Beruházás: Jelentős </w:t>
            </w:r>
            <w:r>
              <w:rPr>
                <w:noProof/>
              </w:rPr>
              <w:t>nemzeti érdekű kutatási projektek (PRIN)</w:t>
            </w:r>
          </w:p>
        </w:tc>
        <w:tc>
          <w:tcPr>
            <w:tcW w:w="1132" w:type="dxa"/>
            <w:shd w:val="clear" w:color="auto" w:fill="C6EFCE"/>
            <w:noWrap/>
            <w:vAlign w:val="center"/>
            <w:hideMark/>
          </w:tcPr>
          <w:p w14:paraId="0B6C7F17" w14:textId="77777777" w:rsidR="003F5418" w:rsidRDefault="002A6C25">
            <w:pPr>
              <w:pStyle w:val="P68B1DB1-Normal4"/>
              <w:jc w:val="center"/>
              <w:rPr>
                <w:noProof/>
              </w:rPr>
            </w:pPr>
            <w:r>
              <w:rPr>
                <w:noProof/>
              </w:rPr>
              <w:t>Cél</w:t>
            </w:r>
          </w:p>
        </w:tc>
        <w:tc>
          <w:tcPr>
            <w:tcW w:w="1418" w:type="dxa"/>
            <w:shd w:val="clear" w:color="auto" w:fill="C6EFCE"/>
            <w:noWrap/>
            <w:vAlign w:val="center"/>
          </w:tcPr>
          <w:p w14:paraId="5C544DED" w14:textId="77777777" w:rsidR="003F5418" w:rsidRDefault="002A6C25">
            <w:pPr>
              <w:pStyle w:val="P68B1DB1-Normal4"/>
              <w:jc w:val="center"/>
              <w:rPr>
                <w:noProof/>
              </w:rPr>
            </w:pPr>
            <w:r>
              <w:rPr>
                <w:noProof/>
              </w:rPr>
              <w:t>Az odaítélt kutatási projektek száma</w:t>
            </w:r>
          </w:p>
        </w:tc>
        <w:tc>
          <w:tcPr>
            <w:tcW w:w="1275" w:type="dxa"/>
            <w:shd w:val="clear" w:color="auto" w:fill="C6EFCE"/>
            <w:noWrap/>
            <w:vAlign w:val="center"/>
            <w:hideMark/>
          </w:tcPr>
          <w:p w14:paraId="293E5C42"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58661DAD" w14:textId="77777777" w:rsidR="003F5418" w:rsidRDefault="002A6C25">
            <w:pPr>
              <w:pStyle w:val="P68B1DB1-Normal4"/>
              <w:jc w:val="center"/>
              <w:rPr>
                <w:noProof/>
              </w:rPr>
            </w:pPr>
            <w:r>
              <w:rPr>
                <w:noProof/>
              </w:rPr>
              <w:t>Szám</w:t>
            </w:r>
          </w:p>
        </w:tc>
        <w:tc>
          <w:tcPr>
            <w:tcW w:w="993" w:type="dxa"/>
            <w:shd w:val="clear" w:color="auto" w:fill="C6EFCE"/>
            <w:noWrap/>
            <w:vAlign w:val="center"/>
          </w:tcPr>
          <w:p w14:paraId="608D5D8C" w14:textId="383BE4ED" w:rsidR="003F5418" w:rsidRDefault="002A6C25">
            <w:pPr>
              <w:pStyle w:val="P68B1DB1-Normal4"/>
              <w:jc w:val="center"/>
              <w:rPr>
                <w:noProof/>
              </w:rPr>
            </w:pPr>
            <w:r>
              <w:rPr>
                <w:noProof/>
              </w:rPr>
              <w:t>3 150</w:t>
            </w:r>
          </w:p>
        </w:tc>
        <w:tc>
          <w:tcPr>
            <w:tcW w:w="1275" w:type="dxa"/>
            <w:shd w:val="clear" w:color="auto" w:fill="C6EFCE"/>
            <w:noWrap/>
            <w:vAlign w:val="center"/>
          </w:tcPr>
          <w:p w14:paraId="2A4AACB0" w14:textId="239FD939" w:rsidR="003F5418" w:rsidRDefault="002A6C25">
            <w:pPr>
              <w:pStyle w:val="P68B1DB1-Normal4"/>
              <w:jc w:val="center"/>
              <w:rPr>
                <w:noProof/>
              </w:rPr>
            </w:pPr>
            <w:r>
              <w:rPr>
                <w:noProof/>
              </w:rPr>
              <w:t>5 350</w:t>
            </w:r>
          </w:p>
        </w:tc>
        <w:tc>
          <w:tcPr>
            <w:tcW w:w="993" w:type="dxa"/>
            <w:shd w:val="clear" w:color="auto" w:fill="C6EFCE"/>
            <w:noWrap/>
            <w:vAlign w:val="center"/>
            <w:hideMark/>
          </w:tcPr>
          <w:p w14:paraId="0DCF93D6"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6F673F8C" w14:textId="77777777" w:rsidR="003F5418" w:rsidRDefault="002A6C25">
            <w:pPr>
              <w:pStyle w:val="P68B1DB1-Normal4"/>
              <w:jc w:val="center"/>
              <w:rPr>
                <w:noProof/>
              </w:rPr>
            </w:pPr>
            <w:r>
              <w:rPr>
                <w:noProof/>
              </w:rPr>
              <w:t>2025</w:t>
            </w:r>
          </w:p>
        </w:tc>
        <w:tc>
          <w:tcPr>
            <w:tcW w:w="3686" w:type="dxa"/>
            <w:shd w:val="clear" w:color="auto" w:fill="C6EFCE"/>
            <w:noWrap/>
            <w:vAlign w:val="center"/>
            <w:hideMark/>
          </w:tcPr>
          <w:p w14:paraId="66FDD0A6" w14:textId="1E80E2BA" w:rsidR="003F5418" w:rsidRDefault="002A6C25">
            <w:pPr>
              <w:pStyle w:val="P68B1DB1-Normal4"/>
              <w:rPr>
                <w:noProof/>
              </w:rPr>
            </w:pPr>
            <w:r>
              <w:rPr>
                <w:noProof/>
              </w:rPr>
              <w:t>Legalább 5350 Progetti di Ricerca di Interesse Nazionale kutatási projekt odaítélése.</w:t>
            </w:r>
          </w:p>
          <w:p w14:paraId="323A54A3" w14:textId="77777777" w:rsidR="003F5418" w:rsidRDefault="002A6C25">
            <w:pPr>
              <w:pStyle w:val="P68B1DB1-Normal4"/>
              <w:rPr>
                <w:noProof/>
              </w:rPr>
            </w:pPr>
            <w:r>
              <w:rPr>
                <w:noProof/>
              </w:rPr>
              <w:t xml:space="preserve">A versenypályázati felhívások keretében kiválasztott </w:t>
            </w:r>
            <w:r>
              <w:rPr>
                <w:noProof/>
              </w:rPr>
              <w:t>projekteknek odaítélt szerződéseket a jelentős károkozás elkerülését célzó technikai iránymutatásnak (2021/C58/01) megfelelően kell odaítélni a kizárási lista, valamint a vonatkozó uniós és nemzeti környezetvédelmi jogszabályoknak való megfelelés követelmé</w:t>
            </w:r>
            <w:r>
              <w:rPr>
                <w:noProof/>
              </w:rPr>
              <w:t>nye révén.</w:t>
            </w:r>
          </w:p>
        </w:tc>
      </w:tr>
      <w:tr w:rsidR="003F5418" w14:paraId="60CBA4E1" w14:textId="77777777">
        <w:trPr>
          <w:trHeight w:val="313"/>
        </w:trPr>
        <w:tc>
          <w:tcPr>
            <w:tcW w:w="1135" w:type="dxa"/>
            <w:shd w:val="clear" w:color="auto" w:fill="C6EFCE"/>
            <w:noWrap/>
            <w:vAlign w:val="center"/>
            <w:hideMark/>
          </w:tcPr>
          <w:p w14:paraId="2772FD9F" w14:textId="77777777" w:rsidR="003F5418" w:rsidRDefault="002A6C25">
            <w:pPr>
              <w:pStyle w:val="P68B1DB1-Normal4"/>
              <w:jc w:val="center"/>
              <w:rPr>
                <w:noProof/>
              </w:rPr>
            </w:pPr>
            <w:r>
              <w:rPr>
                <w:noProof/>
              </w:rPr>
              <w:t>M4C2–7</w:t>
            </w:r>
          </w:p>
        </w:tc>
        <w:tc>
          <w:tcPr>
            <w:tcW w:w="1419" w:type="dxa"/>
            <w:shd w:val="clear" w:color="auto" w:fill="C6EFCE"/>
            <w:noWrap/>
            <w:vAlign w:val="center"/>
            <w:hideMark/>
          </w:tcPr>
          <w:p w14:paraId="017872B7" w14:textId="77777777" w:rsidR="003F5418" w:rsidRDefault="002A6C25">
            <w:pPr>
              <w:pStyle w:val="P68B1DB1-Normal4"/>
              <w:jc w:val="center"/>
              <w:rPr>
                <w:noProof/>
              </w:rPr>
            </w:pPr>
            <w:r>
              <w:rPr>
                <w:noProof/>
              </w:rPr>
              <w:t>Beruházás: Jelentős nemzeti érdekű kutatási projektek (PRIN)</w:t>
            </w:r>
          </w:p>
        </w:tc>
        <w:tc>
          <w:tcPr>
            <w:tcW w:w="1132" w:type="dxa"/>
            <w:shd w:val="clear" w:color="auto" w:fill="C6EFCE"/>
            <w:noWrap/>
            <w:vAlign w:val="center"/>
            <w:hideMark/>
          </w:tcPr>
          <w:p w14:paraId="04D59892"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114AD476" w14:textId="77777777" w:rsidR="003F5418" w:rsidRDefault="002A6C25">
            <w:pPr>
              <w:pStyle w:val="P68B1DB1-Normal4"/>
              <w:jc w:val="center"/>
              <w:rPr>
                <w:noProof/>
              </w:rPr>
            </w:pPr>
            <w:r>
              <w:rPr>
                <w:noProof/>
              </w:rPr>
              <w:t>A határozott időre alkalmazott kutatók száma</w:t>
            </w:r>
          </w:p>
        </w:tc>
        <w:tc>
          <w:tcPr>
            <w:tcW w:w="1275" w:type="dxa"/>
            <w:shd w:val="clear" w:color="auto" w:fill="C6EFCE"/>
            <w:noWrap/>
            <w:vAlign w:val="center"/>
            <w:hideMark/>
          </w:tcPr>
          <w:p w14:paraId="7EC57369"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77E97B15"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5323D548"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20BA005A" w14:textId="77777777" w:rsidR="003F5418" w:rsidRDefault="002A6C25">
            <w:pPr>
              <w:pStyle w:val="P68B1DB1-Normal4"/>
              <w:jc w:val="center"/>
              <w:rPr>
                <w:noProof/>
              </w:rPr>
            </w:pPr>
            <w:r>
              <w:rPr>
                <w:noProof/>
              </w:rPr>
              <w:t>900</w:t>
            </w:r>
          </w:p>
        </w:tc>
        <w:tc>
          <w:tcPr>
            <w:tcW w:w="993" w:type="dxa"/>
            <w:shd w:val="clear" w:color="auto" w:fill="C6EFCE"/>
            <w:noWrap/>
            <w:vAlign w:val="center"/>
            <w:hideMark/>
          </w:tcPr>
          <w:p w14:paraId="1AAC4454"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5DC616DE" w14:textId="77777777" w:rsidR="003F5418" w:rsidRDefault="002A6C25">
            <w:pPr>
              <w:pStyle w:val="P68B1DB1-Normal4"/>
              <w:jc w:val="center"/>
              <w:rPr>
                <w:noProof/>
              </w:rPr>
            </w:pPr>
            <w:r>
              <w:rPr>
                <w:noProof/>
              </w:rPr>
              <w:t>2025</w:t>
            </w:r>
          </w:p>
        </w:tc>
        <w:tc>
          <w:tcPr>
            <w:tcW w:w="3686" w:type="dxa"/>
            <w:shd w:val="clear" w:color="auto" w:fill="C6EFCE"/>
            <w:noWrap/>
            <w:vAlign w:val="center"/>
            <w:hideMark/>
          </w:tcPr>
          <w:p w14:paraId="13682003" w14:textId="77777777" w:rsidR="003F5418" w:rsidRDefault="002A6C25">
            <w:pPr>
              <w:pStyle w:val="P68B1DB1-Normal4"/>
              <w:spacing w:after="120"/>
              <w:rPr>
                <w:noProof/>
              </w:rPr>
            </w:pPr>
            <w:r>
              <w:rPr>
                <w:noProof/>
              </w:rPr>
              <w:t>Legalább 900 új, határozott időre alkalmazott kutatót kell felvenni.</w:t>
            </w:r>
          </w:p>
          <w:p w14:paraId="1CA0D302" w14:textId="77777777" w:rsidR="003F5418" w:rsidRDefault="002A6C25">
            <w:pPr>
              <w:pStyle w:val="P68B1DB1-Normal4"/>
              <w:spacing w:after="120"/>
              <w:rPr>
                <w:noProof/>
              </w:rPr>
            </w:pPr>
            <w:r>
              <w:rPr>
                <w:noProof/>
              </w:rPr>
              <w:t xml:space="preserve">A felvett kutatók a 2021–2027 </w:t>
            </w:r>
            <w:r>
              <w:rPr>
                <w:noProof/>
              </w:rPr>
              <w:t>közötti időszakra vonatkozó európai kutatási és innovációs keretprogram hat klaszterével összhangban álló prioritásokra összpontosítanak: i. egészségügy; humanista kultúra, kreativitás, társadalmi átalakulások, befogadó társadalom; a szociális rendszerek b</w:t>
            </w:r>
            <w:r>
              <w:rPr>
                <w:noProof/>
              </w:rPr>
              <w:t>iztonsága; a digitális ágazat, az ipar, a repüléstechnika; v. éghajlat, energia, fenntartható mobilitás; élelmiszerek, bioökonómia, biológiai sokféleség, mezőgazdaság, környezetvédelem.</w:t>
            </w:r>
          </w:p>
        </w:tc>
      </w:tr>
      <w:tr w:rsidR="003F5418" w14:paraId="194E7572" w14:textId="77777777">
        <w:trPr>
          <w:trHeight w:val="1278"/>
        </w:trPr>
        <w:tc>
          <w:tcPr>
            <w:tcW w:w="1135" w:type="dxa"/>
            <w:shd w:val="clear" w:color="auto" w:fill="C6EFCE"/>
            <w:noWrap/>
            <w:vAlign w:val="center"/>
            <w:hideMark/>
          </w:tcPr>
          <w:p w14:paraId="7F812B91" w14:textId="77777777" w:rsidR="003F5418" w:rsidRDefault="002A6C25">
            <w:pPr>
              <w:pStyle w:val="P68B1DB1-Normal4"/>
              <w:jc w:val="center"/>
              <w:rPr>
                <w:noProof/>
              </w:rPr>
            </w:pPr>
            <w:r>
              <w:rPr>
                <w:noProof/>
              </w:rPr>
              <w:t>M4C2–8</w:t>
            </w:r>
          </w:p>
        </w:tc>
        <w:tc>
          <w:tcPr>
            <w:tcW w:w="1419" w:type="dxa"/>
            <w:shd w:val="clear" w:color="auto" w:fill="C6EFCE"/>
            <w:noWrap/>
            <w:vAlign w:val="center"/>
            <w:hideMark/>
          </w:tcPr>
          <w:p w14:paraId="19716618" w14:textId="77777777" w:rsidR="003F5418" w:rsidRDefault="002A6C25">
            <w:pPr>
              <w:pStyle w:val="P68B1DB1-Normal4"/>
              <w:jc w:val="center"/>
              <w:rPr>
                <w:noProof/>
              </w:rPr>
            </w:pPr>
            <w:r>
              <w:rPr>
                <w:noProof/>
              </w:rPr>
              <w:t xml:space="preserve">Beruházás: Az egyetemekre, kutatóközpontokra, vállalatokra, </w:t>
            </w:r>
            <w:r>
              <w:rPr>
                <w:noProof/>
              </w:rPr>
              <w:t>valamint az alapkutatási projektek finanszírozására is kiterjesztett partnerségek</w:t>
            </w:r>
          </w:p>
        </w:tc>
        <w:tc>
          <w:tcPr>
            <w:tcW w:w="1132" w:type="dxa"/>
            <w:shd w:val="clear" w:color="auto" w:fill="C6EFCE"/>
            <w:noWrap/>
            <w:vAlign w:val="center"/>
            <w:hideMark/>
          </w:tcPr>
          <w:p w14:paraId="2E66697B"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29E96775" w14:textId="29978A16" w:rsidR="003F5418" w:rsidRDefault="002A6C25">
            <w:pPr>
              <w:pStyle w:val="P68B1DB1-Normal4"/>
              <w:jc w:val="center"/>
              <w:rPr>
                <w:noProof/>
              </w:rPr>
            </w:pPr>
            <w:r>
              <w:rPr>
                <w:noProof/>
              </w:rPr>
              <w:t>A kutatóintézetek és magáncégek között létrejött, tervezett alapkutatási partnerségek keretében felvett, határozott időre alkalmazott kutatók száma</w:t>
            </w:r>
          </w:p>
        </w:tc>
        <w:tc>
          <w:tcPr>
            <w:tcW w:w="1275" w:type="dxa"/>
            <w:shd w:val="clear" w:color="auto" w:fill="C6EFCE"/>
            <w:noWrap/>
            <w:vAlign w:val="center"/>
            <w:hideMark/>
          </w:tcPr>
          <w:p w14:paraId="7A32A9D3"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4A9F7F2"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0799AECC"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2DD37E36" w14:textId="00339005" w:rsidR="003F5418" w:rsidRDefault="002A6C25">
            <w:pPr>
              <w:pStyle w:val="P68B1DB1-Normal4"/>
              <w:jc w:val="center"/>
              <w:rPr>
                <w:noProof/>
              </w:rPr>
            </w:pPr>
            <w:r>
              <w:rPr>
                <w:noProof/>
              </w:rPr>
              <w:t>1 400</w:t>
            </w:r>
          </w:p>
        </w:tc>
        <w:tc>
          <w:tcPr>
            <w:tcW w:w="993" w:type="dxa"/>
            <w:shd w:val="clear" w:color="auto" w:fill="C6EFCE"/>
            <w:noWrap/>
            <w:vAlign w:val="center"/>
            <w:hideMark/>
          </w:tcPr>
          <w:p w14:paraId="259D96A4"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29A8CDD2" w14:textId="77777777" w:rsidR="003F5418" w:rsidRDefault="002A6C25">
            <w:pPr>
              <w:pStyle w:val="P68B1DB1-Normal4"/>
              <w:jc w:val="center"/>
              <w:rPr>
                <w:noProof/>
              </w:rPr>
            </w:pPr>
            <w:r>
              <w:rPr>
                <w:noProof/>
              </w:rPr>
              <w:t>2025</w:t>
            </w:r>
          </w:p>
        </w:tc>
        <w:tc>
          <w:tcPr>
            <w:tcW w:w="3686" w:type="dxa"/>
            <w:shd w:val="clear" w:color="auto" w:fill="C6EFCE"/>
            <w:noWrap/>
            <w:vAlign w:val="center"/>
            <w:hideMark/>
          </w:tcPr>
          <w:p w14:paraId="4BECCCA0" w14:textId="77777777" w:rsidR="003F5418" w:rsidRDefault="002A6C25">
            <w:pPr>
              <w:pStyle w:val="P68B1DB1-Normal4"/>
              <w:spacing w:after="120"/>
              <w:rPr>
                <w:noProof/>
              </w:rPr>
            </w:pPr>
            <w:r>
              <w:rPr>
                <w:noProof/>
              </w:rPr>
              <w:t xml:space="preserve">A kutatóintézetek és magáncégek között aláírt tervezett alapkutatási partnerségek mindegyikére legalább 100 új, határozott időre kinevezett kutatót kell felvenni (1.3. pont). </w:t>
            </w:r>
          </w:p>
          <w:p w14:paraId="56730013" w14:textId="77777777" w:rsidR="003F5418" w:rsidRDefault="002A6C25">
            <w:pPr>
              <w:pStyle w:val="P68B1DB1-Normal4"/>
              <w:spacing w:after="120"/>
              <w:rPr>
                <w:noProof/>
              </w:rPr>
            </w:pPr>
            <w:r>
              <w:rPr>
                <w:noProof/>
              </w:rPr>
              <w:t>A kutatóintézetek és magáncégek között legalább 14 alapkutatási partnersége</w:t>
            </w:r>
            <w:r>
              <w:rPr>
                <w:noProof/>
              </w:rPr>
              <w:t xml:space="preserve">t kell aláírni. </w:t>
            </w:r>
          </w:p>
          <w:p w14:paraId="14D6AC9A" w14:textId="77777777" w:rsidR="003F5418" w:rsidRDefault="002A6C25">
            <w:pPr>
              <w:pStyle w:val="P68B1DB1-Normal4"/>
              <w:spacing w:after="120"/>
              <w:rPr>
                <w:noProof/>
              </w:rPr>
            </w:pPr>
            <w:r>
              <w:rPr>
                <w:noProof/>
              </w:rPr>
              <w:t>A cél kielégítő teljesítése a női kutatóknak odaítélt határozott idejű szerződések arányától függ: legalább 40%.</w:t>
            </w:r>
          </w:p>
          <w:p w14:paraId="0AA83F4E" w14:textId="77777777" w:rsidR="003F5418" w:rsidRDefault="002A6C25">
            <w:pPr>
              <w:pStyle w:val="P68B1DB1-Normal4"/>
              <w:spacing w:after="120"/>
              <w:rPr>
                <w:noProof/>
              </w:rPr>
            </w:pPr>
            <w:r>
              <w:rPr>
                <w:noProof/>
              </w:rPr>
              <w:t>A projekteket versenyszempontok alapján kell kiválasztani, ideértve i. a PNR (Piano Nazionale di Ricerca) célkitűzéseinek és p</w:t>
            </w:r>
            <w:r>
              <w:rPr>
                <w:noProof/>
              </w:rPr>
              <w:t>rioritásainak betartását; az érdekelt felek bevonása a technológiai érettségi szint és a társadalmi készenléti szint (SRL) kombinálása érdekében;</w:t>
            </w:r>
          </w:p>
          <w:p w14:paraId="73913F04" w14:textId="77777777" w:rsidR="003F5418" w:rsidRDefault="002A6C25">
            <w:pPr>
              <w:pStyle w:val="P68B1DB1-Normal4"/>
              <w:spacing w:after="120"/>
              <w:rPr>
                <w:noProof/>
              </w:rPr>
            </w:pPr>
            <w:r>
              <w:rPr>
                <w:noProof/>
              </w:rPr>
              <w:t>Ezen túlmenően egyedi kiválasztási kritériumokat kell meghatározni annak érdekében, hogy biztosítsák i. az éri</w:t>
            </w:r>
            <w:r>
              <w:rPr>
                <w:noProof/>
              </w:rPr>
              <w:t>ntett területek egyensúlyát (az ország különböző régióiból és különböző övezeteiből – többek között a délről és a szigetekről – származó szereplők bevonásának előmozdítása révén), ii. a nagy- és kis- és középvállalkozások (kkv-k) bevonása, különös tekintet</w:t>
            </w:r>
            <w:r>
              <w:rPr>
                <w:noProof/>
              </w:rPr>
              <w:t>tel a fiatalabbakra (a létrehozásuktól számított kevesebb mint öt éven belül) és az innovatív vállalkozásokra.</w:t>
            </w:r>
          </w:p>
          <w:p w14:paraId="262B78B0" w14:textId="77777777" w:rsidR="003F5418" w:rsidRDefault="002A6C25">
            <w:pPr>
              <w:pStyle w:val="P68B1DB1-paragraph18"/>
              <w:spacing w:before="0" w:beforeAutospacing="0" w:after="120" w:afterAutospacing="0"/>
              <w:textAlignment w:val="baseline"/>
              <w:rPr>
                <w:noProof/>
              </w:rPr>
            </w:pPr>
            <w:r>
              <w:rPr>
                <w:noProof/>
              </w:rPr>
              <w:t>A programokra vonatkozó felhívás és a kiválasztási eljárás a következőket tartalmazza:</w:t>
            </w:r>
          </w:p>
          <w:p w14:paraId="6CC1B1B4" w14:textId="77777777" w:rsidR="003F5418" w:rsidRDefault="002A6C25">
            <w:pPr>
              <w:pStyle w:val="P68B1DB1-paragraph18"/>
              <w:spacing w:before="0" w:beforeAutospacing="0" w:after="120" w:afterAutospacing="0"/>
              <w:textAlignment w:val="baseline"/>
              <w:rPr>
                <w:noProof/>
              </w:rPr>
            </w:pPr>
            <w:r>
              <w:rPr>
                <w:noProof/>
              </w:rPr>
              <w:t xml:space="preserve">a) támogathatósági kritériumok, amelyek egy kizárási </w:t>
            </w:r>
            <w:r>
              <w:rPr>
                <w:noProof/>
              </w:rPr>
              <w:t>lista, valamint a vonatkozó uniós és nemzeti környezetvédelmi jogszabályoknak való megfelelés követelménye révén biztosítják, hogy a kiválasztott projektek megfeleljenek a jelentős károkozás elkerülését célzó technikai iránymutatásnak (2021/C58/01).</w:t>
            </w:r>
          </w:p>
          <w:p w14:paraId="5DCB4851" w14:textId="77777777" w:rsidR="003F5418" w:rsidRDefault="002A6C25">
            <w:pPr>
              <w:pStyle w:val="P68B1DB1-paragraph18"/>
              <w:spacing w:before="0" w:beforeAutospacing="0" w:after="120" w:afterAutospacing="0"/>
              <w:textAlignment w:val="baseline"/>
              <w:rPr>
                <w:noProof/>
              </w:rPr>
            </w:pPr>
            <w:r>
              <w:rPr>
                <w:noProof/>
              </w:rPr>
              <w:t>b) Köt</w:t>
            </w:r>
            <w:r>
              <w:rPr>
                <w:noProof/>
              </w:rPr>
              <w:t>elezettségvállalás arra, hogy a beruházás éghajlat-politikai hozzájárulása az (EU) 2021/241 rendelet VI. mellékletében szereplő módszertan szerint a Helyreállítási és Rezilienciaépítési Eszközből támogatott beruházás összköltségének legalább 42%-át teszi k</w:t>
            </w:r>
            <w:r>
              <w:rPr>
                <w:noProof/>
              </w:rPr>
              <w:t>i.</w:t>
            </w:r>
          </w:p>
          <w:p w14:paraId="5AA22411" w14:textId="77777777" w:rsidR="003F5418" w:rsidRDefault="002A6C25">
            <w:pPr>
              <w:pStyle w:val="P68B1DB1-paragraph18"/>
              <w:spacing w:before="0" w:beforeAutospacing="0" w:after="120" w:afterAutospacing="0"/>
              <w:textAlignment w:val="baseline"/>
              <w:rPr>
                <w:noProof/>
              </w:rPr>
            </w:pPr>
            <w:r>
              <w:rPr>
                <w:noProof/>
              </w:rPr>
              <w:t>C) Kötelezettségvállalás arra, hogy jelentést tesznek az intézkedés végrehajtásáról a program időtartamának félidejében és a program végén.</w:t>
            </w:r>
          </w:p>
        </w:tc>
      </w:tr>
      <w:tr w:rsidR="003F5418" w14:paraId="7A573179" w14:textId="77777777">
        <w:trPr>
          <w:trHeight w:val="313"/>
        </w:trPr>
        <w:tc>
          <w:tcPr>
            <w:tcW w:w="1135" w:type="dxa"/>
            <w:shd w:val="clear" w:color="auto" w:fill="C6EFCE"/>
            <w:noWrap/>
            <w:vAlign w:val="center"/>
            <w:hideMark/>
          </w:tcPr>
          <w:p w14:paraId="71FC6503" w14:textId="77777777" w:rsidR="003F5418" w:rsidRDefault="002A6C25">
            <w:pPr>
              <w:pStyle w:val="P68B1DB1-Normal4"/>
              <w:jc w:val="center"/>
              <w:rPr>
                <w:noProof/>
              </w:rPr>
            </w:pPr>
            <w:r>
              <w:rPr>
                <w:noProof/>
              </w:rPr>
              <w:t>M4C2–9</w:t>
            </w:r>
          </w:p>
        </w:tc>
        <w:tc>
          <w:tcPr>
            <w:tcW w:w="1419" w:type="dxa"/>
            <w:shd w:val="clear" w:color="auto" w:fill="C6EFCE"/>
            <w:noWrap/>
            <w:vAlign w:val="center"/>
            <w:hideMark/>
          </w:tcPr>
          <w:p w14:paraId="7ABC12AE" w14:textId="77777777" w:rsidR="003F5418" w:rsidRDefault="002A6C25">
            <w:pPr>
              <w:pStyle w:val="P68B1DB1-Normal4"/>
              <w:jc w:val="center"/>
              <w:rPr>
                <w:noProof/>
              </w:rPr>
            </w:pPr>
            <w:r>
              <w:rPr>
                <w:noProof/>
              </w:rPr>
              <w:t xml:space="preserve">Beruházás: A kutatási struktúrák megerősítése és a „nemzeti K+F-vezetők” létrehozásának támogatása egyes </w:t>
            </w:r>
            <w:r>
              <w:rPr>
                <w:noProof/>
              </w:rPr>
              <w:t>kulcsfontosságú alaptechnológiákkal kapcsolatban</w:t>
            </w:r>
          </w:p>
        </w:tc>
        <w:tc>
          <w:tcPr>
            <w:tcW w:w="1132" w:type="dxa"/>
            <w:shd w:val="clear" w:color="auto" w:fill="C6EFCE"/>
            <w:noWrap/>
            <w:vAlign w:val="center"/>
            <w:hideMark/>
          </w:tcPr>
          <w:p w14:paraId="1C25A150"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6AAA3687" w14:textId="77777777" w:rsidR="003F5418" w:rsidRDefault="003F5418">
            <w:pPr>
              <w:jc w:val="center"/>
              <w:rPr>
                <w:rFonts w:ascii="Arial Narrow" w:hAnsi="Arial Narrow"/>
                <w:noProof/>
                <w:color w:val="006100"/>
                <w:sz w:val="20"/>
              </w:rPr>
            </w:pPr>
          </w:p>
          <w:p w14:paraId="1EFAC94A" w14:textId="77777777" w:rsidR="003F5418" w:rsidRDefault="002A6C25">
            <w:pPr>
              <w:pStyle w:val="P68B1DB1-Normal4"/>
              <w:jc w:val="center"/>
              <w:rPr>
                <w:noProof/>
              </w:rPr>
            </w:pPr>
            <w:r>
              <w:rPr>
                <w:noProof/>
              </w:rPr>
              <w:t>A nemzeti központok működőképesek és a nemzeti központok által a kulcsfontosságú alaptechnológiák terén végrehajtott tevékenységek</w:t>
            </w:r>
          </w:p>
        </w:tc>
        <w:tc>
          <w:tcPr>
            <w:tcW w:w="1275" w:type="dxa"/>
            <w:shd w:val="clear" w:color="auto" w:fill="C6EFCE"/>
            <w:noWrap/>
            <w:vAlign w:val="center"/>
            <w:hideMark/>
          </w:tcPr>
          <w:p w14:paraId="1608D31C"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6B9787A0"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2F3AF6A5"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0414D29D" w14:textId="77777777" w:rsidR="003F5418" w:rsidRDefault="002A6C25">
            <w:pPr>
              <w:pStyle w:val="P68B1DB1-Normal4"/>
              <w:jc w:val="center"/>
              <w:rPr>
                <w:noProof/>
              </w:rPr>
            </w:pPr>
            <w:r>
              <w:rPr>
                <w:noProof/>
              </w:rPr>
              <w:t>5</w:t>
            </w:r>
          </w:p>
        </w:tc>
        <w:tc>
          <w:tcPr>
            <w:tcW w:w="993" w:type="dxa"/>
            <w:shd w:val="clear" w:color="auto" w:fill="C6EFCE"/>
            <w:noWrap/>
            <w:vAlign w:val="center"/>
            <w:hideMark/>
          </w:tcPr>
          <w:p w14:paraId="2DE08D21"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A92F864" w14:textId="77777777" w:rsidR="003F5418" w:rsidRDefault="002A6C25">
            <w:pPr>
              <w:pStyle w:val="P68B1DB1-Normal4"/>
              <w:jc w:val="center"/>
              <w:rPr>
                <w:noProof/>
              </w:rPr>
            </w:pPr>
            <w:r>
              <w:rPr>
                <w:noProof/>
              </w:rPr>
              <w:t>2026</w:t>
            </w:r>
          </w:p>
        </w:tc>
        <w:tc>
          <w:tcPr>
            <w:tcW w:w="3686" w:type="dxa"/>
            <w:shd w:val="clear" w:color="auto" w:fill="C6EFCE"/>
            <w:noWrap/>
            <w:vAlign w:val="center"/>
            <w:hideMark/>
          </w:tcPr>
          <w:p w14:paraId="134FE029" w14:textId="77777777" w:rsidR="003F5418" w:rsidRDefault="002A6C25">
            <w:pPr>
              <w:pStyle w:val="P68B1DB1-Normal4"/>
              <w:ind w:left="30" w:hanging="30"/>
              <w:jc w:val="both"/>
              <w:rPr>
                <w:noProof/>
              </w:rPr>
            </w:pPr>
            <w:r>
              <w:rPr>
                <w:noProof/>
              </w:rPr>
              <w:t xml:space="preserve">Azok a nemzeti központok, amelyek szerződést </w:t>
            </w:r>
            <w:r>
              <w:rPr>
                <w:noProof/>
              </w:rPr>
              <w:t xml:space="preserve">ítéltek oda, és amelyeket az M4C2–19. mérföldkő alapján értékeltek, működőképesek, és befejezték a vonatkozó projektfelhívásban meghatározott tevékenységeiket. </w:t>
            </w:r>
          </w:p>
        </w:tc>
      </w:tr>
      <w:tr w:rsidR="003F5418" w14:paraId="2650459E" w14:textId="77777777">
        <w:trPr>
          <w:trHeight w:val="313"/>
        </w:trPr>
        <w:tc>
          <w:tcPr>
            <w:tcW w:w="1135" w:type="dxa"/>
            <w:shd w:val="clear" w:color="auto" w:fill="C6EFCE"/>
            <w:noWrap/>
            <w:vAlign w:val="center"/>
            <w:hideMark/>
          </w:tcPr>
          <w:p w14:paraId="7E11F214" w14:textId="77777777" w:rsidR="003F5418" w:rsidRDefault="002A6C25">
            <w:pPr>
              <w:pStyle w:val="P68B1DB1-Normal4"/>
              <w:jc w:val="center"/>
              <w:rPr>
                <w:noProof/>
              </w:rPr>
            </w:pPr>
            <w:r>
              <w:rPr>
                <w:noProof/>
              </w:rPr>
              <w:t>M4C2–10</w:t>
            </w:r>
          </w:p>
        </w:tc>
        <w:tc>
          <w:tcPr>
            <w:tcW w:w="1419" w:type="dxa"/>
            <w:shd w:val="clear" w:color="auto" w:fill="C6EFCE"/>
            <w:noWrap/>
            <w:vAlign w:val="center"/>
            <w:hideMark/>
          </w:tcPr>
          <w:p w14:paraId="1180E4AD" w14:textId="77777777" w:rsidR="003F5418" w:rsidRDefault="002A6C25">
            <w:pPr>
              <w:pStyle w:val="P68B1DB1-Normal4"/>
              <w:jc w:val="center"/>
              <w:rPr>
                <w:noProof/>
              </w:rPr>
            </w:pPr>
            <w:r>
              <w:rPr>
                <w:noProof/>
              </w:rPr>
              <w:t>Beruházás: KÖZÖS EURÓPAI ÉRDEKET SZOLGÁLÓ FONTOS PROJEKTEK</w:t>
            </w:r>
          </w:p>
        </w:tc>
        <w:tc>
          <w:tcPr>
            <w:tcW w:w="1132" w:type="dxa"/>
            <w:shd w:val="clear" w:color="auto" w:fill="C6EFCE"/>
            <w:noWrap/>
            <w:vAlign w:val="center"/>
            <w:hideMark/>
          </w:tcPr>
          <w:p w14:paraId="18D17A9F" w14:textId="77777777" w:rsidR="003F5418" w:rsidRDefault="002A6C25">
            <w:pPr>
              <w:pStyle w:val="P68B1DB1-Normal4"/>
              <w:jc w:val="center"/>
              <w:rPr>
                <w:noProof/>
              </w:rPr>
            </w:pPr>
            <w:r>
              <w:rPr>
                <w:noProof/>
              </w:rPr>
              <w:t>Mérföldkő</w:t>
            </w:r>
          </w:p>
        </w:tc>
        <w:tc>
          <w:tcPr>
            <w:tcW w:w="1418" w:type="dxa"/>
            <w:shd w:val="clear" w:color="auto" w:fill="C6EFCE"/>
            <w:noWrap/>
            <w:vAlign w:val="center"/>
            <w:hideMark/>
          </w:tcPr>
          <w:p w14:paraId="3759DAF6" w14:textId="77777777" w:rsidR="003F5418" w:rsidRDefault="002A6C25">
            <w:pPr>
              <w:pStyle w:val="P68B1DB1-Normal4"/>
              <w:jc w:val="center"/>
              <w:rPr>
                <w:noProof/>
              </w:rPr>
            </w:pPr>
            <w:r>
              <w:rPr>
                <w:noProof/>
              </w:rPr>
              <w:t xml:space="preserve">Pályázati </w:t>
            </w:r>
            <w:r>
              <w:rPr>
                <w:noProof/>
              </w:rPr>
              <w:t>felhívás közzététele a nemzeti projektek azonosítására, beleértve a közös európai érdeket szolgáló fontos projektek mikroelektronikai projektjeit is</w:t>
            </w:r>
          </w:p>
        </w:tc>
        <w:tc>
          <w:tcPr>
            <w:tcW w:w="1275" w:type="dxa"/>
            <w:shd w:val="clear" w:color="auto" w:fill="C6EFCE"/>
            <w:noWrap/>
            <w:vAlign w:val="center"/>
            <w:hideMark/>
          </w:tcPr>
          <w:p w14:paraId="0D31E7DC" w14:textId="77777777" w:rsidR="003F5418" w:rsidRDefault="002A6C25">
            <w:pPr>
              <w:pStyle w:val="P68B1DB1-Normal4"/>
              <w:jc w:val="center"/>
              <w:rPr>
                <w:noProof/>
              </w:rPr>
            </w:pPr>
            <w:r>
              <w:rPr>
                <w:noProof/>
              </w:rPr>
              <w:t>A részvételi szándék kifejezésére való felhívást közzétesszük.</w:t>
            </w:r>
          </w:p>
        </w:tc>
        <w:tc>
          <w:tcPr>
            <w:tcW w:w="1134" w:type="dxa"/>
            <w:shd w:val="clear" w:color="auto" w:fill="C6EFCE"/>
            <w:noWrap/>
            <w:vAlign w:val="center"/>
            <w:hideMark/>
          </w:tcPr>
          <w:p w14:paraId="4E98AA41"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51C85674"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0DA98DFD"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3CB8E153"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BA912C2" w14:textId="77777777" w:rsidR="003F5418" w:rsidRDefault="002A6C25">
            <w:pPr>
              <w:pStyle w:val="P68B1DB1-Normal4"/>
              <w:jc w:val="center"/>
              <w:rPr>
                <w:noProof/>
              </w:rPr>
            </w:pPr>
            <w:r>
              <w:rPr>
                <w:noProof/>
              </w:rPr>
              <w:t>2021</w:t>
            </w:r>
          </w:p>
        </w:tc>
        <w:tc>
          <w:tcPr>
            <w:tcW w:w="3686" w:type="dxa"/>
            <w:shd w:val="clear" w:color="auto" w:fill="C6EFCE"/>
            <w:noWrap/>
            <w:vAlign w:val="center"/>
            <w:hideMark/>
          </w:tcPr>
          <w:p w14:paraId="40415BA4" w14:textId="77777777" w:rsidR="003F5418" w:rsidRDefault="002A6C25">
            <w:pPr>
              <w:pStyle w:val="P68B1DB1-Normal4"/>
              <w:rPr>
                <w:noProof/>
              </w:rPr>
            </w:pPr>
            <w:r>
              <w:rPr>
                <w:noProof/>
              </w:rPr>
              <w:t xml:space="preserve">A támogatandó </w:t>
            </w:r>
            <w:r>
              <w:rPr>
                <w:noProof/>
              </w:rPr>
              <w:t>közös európai érdeket szolgáló fontos projekteket a folyamatban lévő nemzeti közös európai érdeket szolgáló fontos projektek tényleges előrehaladási szakaszától és az állami támogatások bejelentési eljárásának előrehaladási szakaszától függően aktualizálni</w:t>
            </w:r>
            <w:r>
              <w:rPr>
                <w:noProof/>
              </w:rPr>
              <w:t xml:space="preserve"> kell.</w:t>
            </w:r>
          </w:p>
          <w:p w14:paraId="26658124" w14:textId="77777777" w:rsidR="003F5418" w:rsidRDefault="002A6C25">
            <w:pPr>
              <w:pStyle w:val="P68B1DB1-Normal4"/>
              <w:rPr>
                <w:noProof/>
              </w:rPr>
            </w:pPr>
            <w:r>
              <w:rPr>
                <w:noProof/>
              </w:rPr>
              <w:t>A kiválasztott közös európai érdeket szolgáló fontos projekteknek a már azonosított európai értékláncokkal összhangban lévő, innovatív ipari ágazatokat kell figyelembe venniük.</w:t>
            </w:r>
          </w:p>
          <w:p w14:paraId="1F17FE66" w14:textId="77777777" w:rsidR="003F5418" w:rsidRDefault="002A6C25">
            <w:pPr>
              <w:pStyle w:val="P68B1DB1-Normal4"/>
              <w:rPr>
                <w:noProof/>
              </w:rPr>
            </w:pPr>
            <w:r>
              <w:rPr>
                <w:noProof/>
              </w:rPr>
              <w:t>Ez a beavatkozás magában foglalja mind a már jóváhagyott, mind a jövőbel</w:t>
            </w:r>
            <w:r>
              <w:rPr>
                <w:noProof/>
              </w:rPr>
              <w:t>i közös európai érdeket szolgáló fontos projekteket, például a felhőt, az egészségügyet, a soros anyagokat és a kiberbiztonságot.</w:t>
            </w:r>
          </w:p>
          <w:p w14:paraId="76874AFF" w14:textId="77777777" w:rsidR="003F5418" w:rsidRDefault="002A6C25">
            <w:pPr>
              <w:pStyle w:val="P68B1DB1-Normal4"/>
              <w:spacing w:before="120" w:after="120"/>
              <w:rPr>
                <w:noProof/>
              </w:rPr>
            </w:pPr>
            <w:r>
              <w:rPr>
                <w:noProof/>
              </w:rPr>
              <w:t>A felhívás feltételei a következőket foglalják magukban:</w:t>
            </w:r>
          </w:p>
          <w:p w14:paraId="3F54FE77" w14:textId="77777777" w:rsidR="003F5418" w:rsidRDefault="002A6C25">
            <w:pPr>
              <w:pStyle w:val="P68B1DB1-paragraph18"/>
              <w:spacing w:before="0" w:beforeAutospacing="0" w:after="0" w:afterAutospacing="0"/>
              <w:textAlignment w:val="baseline"/>
              <w:rPr>
                <w:noProof/>
              </w:rPr>
            </w:pPr>
            <w:r>
              <w:rPr>
                <w:noProof/>
              </w:rPr>
              <w:t xml:space="preserve">a) támogathatósági kritériumok, amelyek egy kizárási lista, valamint </w:t>
            </w:r>
            <w:r>
              <w:rPr>
                <w:noProof/>
              </w:rPr>
              <w:t>a vonatkozó uniós és nemzeti környezetvédelmi jogszabályoknak való megfelelés követelménye révén biztosítják, hogy a kiválasztott projektek megfeleljenek a jelentős károkozás elkerülését célzó technikai iránymutatásnak (2021/C58/01).</w:t>
            </w:r>
          </w:p>
          <w:p w14:paraId="3AB2EF60" w14:textId="77777777" w:rsidR="003F5418" w:rsidRDefault="002A6C25">
            <w:pPr>
              <w:pStyle w:val="P68B1DB1-paragraph18"/>
              <w:spacing w:before="0" w:beforeAutospacing="0" w:after="0" w:afterAutospacing="0"/>
              <w:textAlignment w:val="baseline"/>
              <w:rPr>
                <w:noProof/>
              </w:rPr>
            </w:pPr>
            <w:r>
              <w:rPr>
                <w:noProof/>
              </w:rPr>
              <w:t>b) Kötelezettségvállal</w:t>
            </w:r>
            <w:r>
              <w:rPr>
                <w:noProof/>
              </w:rPr>
              <w:t>ás arra, hogy a beruházás éghajlat-politikai hozzájárulása az (EU) 2021/241 rendelet VI. mellékletében szereplő módszertan szerint a Helyreállítási és Rezilienciaépítési Eszközből támogatott beruházás összköltségének legalább 40%-át teszi ki.</w:t>
            </w:r>
          </w:p>
          <w:p w14:paraId="7D960F09" w14:textId="77777777" w:rsidR="003F5418" w:rsidRDefault="002A6C25">
            <w:pPr>
              <w:pStyle w:val="P68B1DB1-paragraph18"/>
              <w:spacing w:before="0" w:beforeAutospacing="0" w:after="0" w:afterAutospacing="0"/>
              <w:textAlignment w:val="baseline"/>
              <w:rPr>
                <w:noProof/>
              </w:rPr>
            </w:pPr>
            <w:r>
              <w:rPr>
                <w:noProof/>
              </w:rPr>
              <w:t>C) Kötelezett</w:t>
            </w:r>
            <w:r>
              <w:rPr>
                <w:noProof/>
              </w:rPr>
              <w:t>ségvállalás arra, hogy a beruházásnak az (EU) 2021/241 rendelet VII. mellékletében szereplő módszertan szerinti digitális hozzájárulása a Helyreállítási és Rezilienciaépítési Eszközből támogatott beruházás összköltségének legalább 60%-át teszi ki.</w:t>
            </w:r>
          </w:p>
          <w:p w14:paraId="00CBD252" w14:textId="77777777" w:rsidR="003F5418" w:rsidRDefault="002A6C25">
            <w:pPr>
              <w:pStyle w:val="P68B1DB1-paragraph18"/>
              <w:spacing w:before="0" w:beforeAutospacing="0" w:after="0" w:afterAutospacing="0"/>
              <w:textAlignment w:val="baseline"/>
              <w:rPr>
                <w:noProof/>
              </w:rPr>
            </w:pPr>
            <w:r>
              <w:rPr>
                <w:noProof/>
              </w:rPr>
              <w:t>d) Kötel</w:t>
            </w:r>
            <w:r>
              <w:rPr>
                <w:noProof/>
              </w:rPr>
              <w:t>ezettségvállalás arra, hogy jelentést tesznek az intézkedés végrehajtásáról a program időtartamának félidejében és a program végén.</w:t>
            </w:r>
          </w:p>
        </w:tc>
      </w:tr>
      <w:tr w:rsidR="003F5418" w14:paraId="39B8231D" w14:textId="77777777">
        <w:trPr>
          <w:trHeight w:val="313"/>
        </w:trPr>
        <w:tc>
          <w:tcPr>
            <w:tcW w:w="1135" w:type="dxa"/>
            <w:shd w:val="clear" w:color="auto" w:fill="C6EFCE"/>
            <w:noWrap/>
            <w:vAlign w:val="center"/>
            <w:hideMark/>
          </w:tcPr>
          <w:p w14:paraId="708B9038" w14:textId="77777777" w:rsidR="003F5418" w:rsidRDefault="002A6C25">
            <w:pPr>
              <w:pStyle w:val="P68B1DB1-Normal4"/>
              <w:jc w:val="center"/>
              <w:rPr>
                <w:noProof/>
              </w:rPr>
            </w:pPr>
            <w:r>
              <w:rPr>
                <w:noProof/>
              </w:rPr>
              <w:t>M4C2–11</w:t>
            </w:r>
          </w:p>
        </w:tc>
        <w:tc>
          <w:tcPr>
            <w:tcW w:w="1419" w:type="dxa"/>
            <w:shd w:val="clear" w:color="auto" w:fill="C6EFCE"/>
            <w:noWrap/>
            <w:vAlign w:val="center"/>
            <w:hideMark/>
          </w:tcPr>
          <w:p w14:paraId="3528A72C" w14:textId="77777777" w:rsidR="003F5418" w:rsidRDefault="002A6C25">
            <w:pPr>
              <w:pStyle w:val="P68B1DB1-Normal4"/>
              <w:jc w:val="center"/>
              <w:rPr>
                <w:noProof/>
              </w:rPr>
            </w:pPr>
            <w:r>
              <w:rPr>
                <w:noProof/>
              </w:rPr>
              <w:t>Beruházás: KÖZÖS EURÓPAI ÉRDEKET SZOLGÁLÓ FONTOS PROJEKTEK</w:t>
            </w:r>
          </w:p>
        </w:tc>
        <w:tc>
          <w:tcPr>
            <w:tcW w:w="1132" w:type="dxa"/>
            <w:shd w:val="clear" w:color="auto" w:fill="C6EFCE"/>
            <w:noWrap/>
            <w:vAlign w:val="center"/>
            <w:hideMark/>
          </w:tcPr>
          <w:p w14:paraId="73A217BA" w14:textId="77777777" w:rsidR="003F5418" w:rsidRDefault="002A6C25">
            <w:pPr>
              <w:pStyle w:val="P68B1DB1-Normal4"/>
              <w:jc w:val="center"/>
              <w:rPr>
                <w:noProof/>
              </w:rPr>
            </w:pPr>
            <w:r>
              <w:rPr>
                <w:noProof/>
              </w:rPr>
              <w:t>Mérföldkő</w:t>
            </w:r>
          </w:p>
        </w:tc>
        <w:tc>
          <w:tcPr>
            <w:tcW w:w="1418" w:type="dxa"/>
            <w:shd w:val="clear" w:color="auto" w:fill="C6EFCE"/>
            <w:noWrap/>
            <w:vAlign w:val="center"/>
            <w:hideMark/>
          </w:tcPr>
          <w:p w14:paraId="2C75251F" w14:textId="77777777" w:rsidR="003F5418" w:rsidRDefault="002A6C25">
            <w:pPr>
              <w:pStyle w:val="P68B1DB1-Normal4"/>
              <w:jc w:val="center"/>
              <w:rPr>
                <w:noProof/>
              </w:rPr>
            </w:pPr>
            <w:r>
              <w:rPr>
                <w:noProof/>
              </w:rPr>
              <w:t xml:space="preserve">A projekt résztvevőinek támogatásához </w:t>
            </w:r>
            <w:r>
              <w:rPr>
                <w:noProof/>
              </w:rPr>
              <w:t>szükséges finanszírozást biztosító nemzeti jogi aktus hatálybalépése.</w:t>
            </w:r>
          </w:p>
        </w:tc>
        <w:tc>
          <w:tcPr>
            <w:tcW w:w="1275" w:type="dxa"/>
            <w:shd w:val="clear" w:color="auto" w:fill="C6EFCE"/>
            <w:noWrap/>
            <w:vAlign w:val="center"/>
            <w:hideMark/>
          </w:tcPr>
          <w:p w14:paraId="251DD521" w14:textId="77777777" w:rsidR="003F5418" w:rsidRDefault="002A6C25">
            <w:pPr>
              <w:pStyle w:val="P68B1DB1-Normal4"/>
              <w:jc w:val="center"/>
              <w:rPr>
                <w:noProof/>
              </w:rPr>
            </w:pPr>
            <w:r>
              <w:rPr>
                <w:noProof/>
              </w:rPr>
              <w:t>A nemzeti törvénynek a törvény hatálybalépését feltüntető rendelkezése</w:t>
            </w:r>
          </w:p>
        </w:tc>
        <w:tc>
          <w:tcPr>
            <w:tcW w:w="1134" w:type="dxa"/>
            <w:shd w:val="clear" w:color="auto" w:fill="C6EFCE"/>
            <w:noWrap/>
            <w:vAlign w:val="center"/>
            <w:hideMark/>
          </w:tcPr>
          <w:p w14:paraId="048615AE"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26FA5AA7"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6D74731C"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2770ED16"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32443ED5" w14:textId="77777777" w:rsidR="003F5418" w:rsidRDefault="002A6C25">
            <w:pPr>
              <w:pStyle w:val="P68B1DB1-Normal4"/>
              <w:jc w:val="center"/>
              <w:rPr>
                <w:noProof/>
              </w:rPr>
            </w:pPr>
            <w:r>
              <w:rPr>
                <w:noProof/>
              </w:rPr>
              <w:t>2022</w:t>
            </w:r>
          </w:p>
        </w:tc>
        <w:tc>
          <w:tcPr>
            <w:tcW w:w="3686" w:type="dxa"/>
            <w:shd w:val="clear" w:color="auto" w:fill="C6EFCE"/>
            <w:noWrap/>
            <w:vAlign w:val="center"/>
            <w:hideMark/>
          </w:tcPr>
          <w:p w14:paraId="7F2B430C" w14:textId="77777777" w:rsidR="003F5418" w:rsidRDefault="002A6C25">
            <w:pPr>
              <w:pStyle w:val="P68B1DB1-Normal4"/>
              <w:rPr>
                <w:noProof/>
              </w:rPr>
            </w:pPr>
            <w:r>
              <w:rPr>
                <w:noProof/>
              </w:rPr>
              <w:t xml:space="preserve">A nemzeti törvény meghatározza a projektek benyújtására vonatkozó eljárásokat és </w:t>
            </w:r>
            <w:r>
              <w:rPr>
                <w:noProof/>
              </w:rPr>
              <w:t>határidőket, valamint a potenciális kedvezményezettek hozzáférési követelményeit.</w:t>
            </w:r>
          </w:p>
        </w:tc>
      </w:tr>
      <w:tr w:rsidR="003F5418" w14:paraId="2AD353BA" w14:textId="77777777">
        <w:trPr>
          <w:trHeight w:val="313"/>
        </w:trPr>
        <w:tc>
          <w:tcPr>
            <w:tcW w:w="1135" w:type="dxa"/>
            <w:shd w:val="clear" w:color="auto" w:fill="C6EFCE"/>
            <w:noWrap/>
            <w:vAlign w:val="center"/>
            <w:hideMark/>
          </w:tcPr>
          <w:p w14:paraId="6827DDD5" w14:textId="77777777" w:rsidR="003F5418" w:rsidRDefault="002A6C25">
            <w:pPr>
              <w:pStyle w:val="P68B1DB1-Normal4"/>
              <w:jc w:val="center"/>
              <w:rPr>
                <w:noProof/>
              </w:rPr>
            </w:pPr>
            <w:r>
              <w:rPr>
                <w:noProof/>
              </w:rPr>
              <w:t>M4C2–12</w:t>
            </w:r>
          </w:p>
        </w:tc>
        <w:tc>
          <w:tcPr>
            <w:tcW w:w="1419" w:type="dxa"/>
            <w:shd w:val="clear" w:color="auto" w:fill="C6EFCE"/>
            <w:noWrap/>
            <w:vAlign w:val="center"/>
            <w:hideMark/>
          </w:tcPr>
          <w:p w14:paraId="5C762D76" w14:textId="77777777" w:rsidR="003F5418" w:rsidRDefault="002A6C25">
            <w:pPr>
              <w:pStyle w:val="P68B1DB1-Normal4"/>
              <w:jc w:val="center"/>
              <w:rPr>
                <w:noProof/>
              </w:rPr>
            </w:pPr>
            <w:r>
              <w:rPr>
                <w:noProof/>
              </w:rPr>
              <w:t>Beruházás: KÖZÖS EURÓPAI ÉRDEKET SZOLGÁLÓ FONTOS PROJEKTEK</w:t>
            </w:r>
          </w:p>
        </w:tc>
        <w:tc>
          <w:tcPr>
            <w:tcW w:w="1132" w:type="dxa"/>
            <w:shd w:val="clear" w:color="auto" w:fill="C6EFCE"/>
            <w:noWrap/>
            <w:vAlign w:val="center"/>
            <w:hideMark/>
          </w:tcPr>
          <w:p w14:paraId="3CBAF616" w14:textId="77777777" w:rsidR="003F5418" w:rsidRDefault="002A6C25">
            <w:pPr>
              <w:pStyle w:val="P68B1DB1-Normal4"/>
              <w:jc w:val="center"/>
              <w:rPr>
                <w:noProof/>
              </w:rPr>
            </w:pPr>
            <w:r>
              <w:rPr>
                <w:noProof/>
              </w:rPr>
              <w:t>Mérföldkő</w:t>
            </w:r>
          </w:p>
        </w:tc>
        <w:tc>
          <w:tcPr>
            <w:tcW w:w="1418" w:type="dxa"/>
            <w:shd w:val="clear" w:color="auto" w:fill="C6EFCE"/>
            <w:noWrap/>
            <w:vAlign w:val="center"/>
            <w:hideMark/>
          </w:tcPr>
          <w:p w14:paraId="6B7F8B3F" w14:textId="77777777" w:rsidR="003F5418" w:rsidRDefault="002A6C25">
            <w:pPr>
              <w:pStyle w:val="P68B1DB1-Normal4"/>
              <w:jc w:val="center"/>
              <w:rPr>
                <w:noProof/>
              </w:rPr>
            </w:pPr>
            <w:r>
              <w:rPr>
                <w:noProof/>
              </w:rPr>
              <w:t xml:space="preserve">A közös európai érdeket szolgáló fontos projektek résztvevőinek listáját 2023. június 30-ig </w:t>
            </w:r>
            <w:r>
              <w:rPr>
                <w:noProof/>
              </w:rPr>
              <w:t>véglegesítik.</w:t>
            </w:r>
          </w:p>
        </w:tc>
        <w:tc>
          <w:tcPr>
            <w:tcW w:w="1275" w:type="dxa"/>
            <w:shd w:val="clear" w:color="auto" w:fill="C6EFCE"/>
            <w:noWrap/>
            <w:vAlign w:val="center"/>
            <w:hideMark/>
          </w:tcPr>
          <w:p w14:paraId="170DE740" w14:textId="77777777" w:rsidR="003F5418" w:rsidRDefault="002A6C25">
            <w:pPr>
              <w:pStyle w:val="P68B1DB1-Normal4"/>
              <w:jc w:val="center"/>
              <w:rPr>
                <w:noProof/>
              </w:rPr>
            </w:pPr>
            <w:r>
              <w:rPr>
                <w:noProof/>
              </w:rPr>
              <w:t>A résztvevők listájának közzététele</w:t>
            </w:r>
          </w:p>
        </w:tc>
        <w:tc>
          <w:tcPr>
            <w:tcW w:w="1134" w:type="dxa"/>
            <w:shd w:val="clear" w:color="auto" w:fill="C6EFCE"/>
            <w:noWrap/>
            <w:vAlign w:val="center"/>
            <w:hideMark/>
          </w:tcPr>
          <w:p w14:paraId="0B6D435E"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79BE1AB4"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0D135604"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39D79D36"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FB6FE94" w14:textId="77777777" w:rsidR="003F5418" w:rsidRDefault="002A6C25">
            <w:pPr>
              <w:pStyle w:val="P68B1DB1-Normal4"/>
              <w:jc w:val="center"/>
              <w:rPr>
                <w:noProof/>
              </w:rPr>
            </w:pPr>
            <w:r>
              <w:rPr>
                <w:noProof/>
              </w:rPr>
              <w:t>2023</w:t>
            </w:r>
          </w:p>
        </w:tc>
        <w:tc>
          <w:tcPr>
            <w:tcW w:w="3686" w:type="dxa"/>
            <w:shd w:val="clear" w:color="auto" w:fill="C6EFCE"/>
            <w:noWrap/>
            <w:vAlign w:val="center"/>
            <w:hideMark/>
          </w:tcPr>
          <w:p w14:paraId="4A514510" w14:textId="77777777" w:rsidR="003F5418" w:rsidRDefault="002A6C25">
            <w:pPr>
              <w:pStyle w:val="P68B1DB1-Normal4"/>
              <w:rPr>
                <w:noProof/>
              </w:rPr>
            </w:pPr>
            <w:r>
              <w:rPr>
                <w:noProof/>
              </w:rPr>
              <w:t xml:space="preserve">A lista tartalmazza a közös európai érdeket szolgáló fontos projektekben részt vevő, befogadott alanyokat, a bemutatott projektek ellenőrzését és értékelését követően, amelyeket a </w:t>
            </w:r>
            <w:r>
              <w:rPr>
                <w:noProof/>
              </w:rPr>
              <w:t>jelentős károkozás elkerülését célzó technikai iránymutatásnak (2021/C58/01) megfelelően kell elvégezni egy kizárási lista, valamint a vonatkozó uniós és nemzeti környezetvédelmi követelményeknek való megfelelés követelménye révén.</w:t>
            </w:r>
          </w:p>
        </w:tc>
      </w:tr>
      <w:tr w:rsidR="003F5418" w14:paraId="042BB513" w14:textId="77777777">
        <w:trPr>
          <w:trHeight w:val="313"/>
        </w:trPr>
        <w:tc>
          <w:tcPr>
            <w:tcW w:w="1135" w:type="dxa"/>
            <w:shd w:val="clear" w:color="auto" w:fill="C6EFCE"/>
            <w:noWrap/>
            <w:vAlign w:val="center"/>
            <w:hideMark/>
          </w:tcPr>
          <w:p w14:paraId="083FC30B" w14:textId="77777777" w:rsidR="003F5418" w:rsidRDefault="002A6C25">
            <w:pPr>
              <w:pStyle w:val="P68B1DB1-Normal4"/>
              <w:jc w:val="center"/>
              <w:rPr>
                <w:noProof/>
              </w:rPr>
            </w:pPr>
            <w:r>
              <w:rPr>
                <w:noProof/>
              </w:rPr>
              <w:t>M4C2–13</w:t>
            </w:r>
          </w:p>
        </w:tc>
        <w:tc>
          <w:tcPr>
            <w:tcW w:w="1419" w:type="dxa"/>
            <w:shd w:val="clear" w:color="auto" w:fill="C6EFCE"/>
            <w:noWrap/>
            <w:vAlign w:val="center"/>
            <w:hideMark/>
          </w:tcPr>
          <w:p w14:paraId="112A2084" w14:textId="77777777" w:rsidR="003F5418" w:rsidRDefault="002A6C25">
            <w:pPr>
              <w:pStyle w:val="P68B1DB1-Normal4"/>
              <w:jc w:val="center"/>
              <w:rPr>
                <w:noProof/>
              </w:rPr>
            </w:pPr>
            <w:r>
              <w:rPr>
                <w:noProof/>
              </w:rPr>
              <w:t xml:space="preserve">Beruházás: A </w:t>
            </w:r>
            <w:r>
              <w:rPr>
                <w:noProof/>
              </w:rPr>
              <w:t>technológiaátadási központok megerősítése és ágazati/területi bővítése ipari szegmensek szerint</w:t>
            </w:r>
          </w:p>
        </w:tc>
        <w:tc>
          <w:tcPr>
            <w:tcW w:w="1132" w:type="dxa"/>
            <w:shd w:val="clear" w:color="auto" w:fill="C6EFCE"/>
            <w:noWrap/>
            <w:vAlign w:val="center"/>
            <w:hideMark/>
          </w:tcPr>
          <w:p w14:paraId="182E1F2E"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3C6ED62B" w14:textId="77777777" w:rsidR="003F5418" w:rsidRDefault="002A6C25">
            <w:pPr>
              <w:pStyle w:val="P68B1DB1-Normal4"/>
              <w:jc w:val="center"/>
              <w:rPr>
                <w:noProof/>
              </w:rPr>
            </w:pPr>
            <w:r>
              <w:rPr>
                <w:noProof/>
              </w:rPr>
              <w:t>A létrehozandó új központok száma</w:t>
            </w:r>
          </w:p>
        </w:tc>
        <w:tc>
          <w:tcPr>
            <w:tcW w:w="1275" w:type="dxa"/>
            <w:shd w:val="clear" w:color="auto" w:fill="C6EFCE"/>
            <w:noWrap/>
            <w:vAlign w:val="center"/>
            <w:hideMark/>
          </w:tcPr>
          <w:p w14:paraId="031AFAC7"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3D135EE3"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2B2C05F5" w14:textId="77777777" w:rsidR="003F5418" w:rsidRDefault="002A6C25">
            <w:pPr>
              <w:pStyle w:val="P68B1DB1-Normal4"/>
              <w:jc w:val="center"/>
              <w:rPr>
                <w:noProof/>
              </w:rPr>
            </w:pPr>
            <w:r>
              <w:rPr>
                <w:noProof/>
              </w:rPr>
              <w:t>8</w:t>
            </w:r>
          </w:p>
        </w:tc>
        <w:tc>
          <w:tcPr>
            <w:tcW w:w="1275" w:type="dxa"/>
            <w:shd w:val="clear" w:color="auto" w:fill="C6EFCE"/>
            <w:noWrap/>
            <w:vAlign w:val="center"/>
            <w:hideMark/>
          </w:tcPr>
          <w:p w14:paraId="52ED4A2A" w14:textId="77777777" w:rsidR="003F5418" w:rsidRDefault="002A6C25">
            <w:pPr>
              <w:pStyle w:val="P68B1DB1-Normal4"/>
              <w:jc w:val="center"/>
              <w:rPr>
                <w:noProof/>
              </w:rPr>
            </w:pPr>
            <w:r>
              <w:rPr>
                <w:noProof/>
              </w:rPr>
              <w:t>35</w:t>
            </w:r>
          </w:p>
        </w:tc>
        <w:tc>
          <w:tcPr>
            <w:tcW w:w="993" w:type="dxa"/>
            <w:shd w:val="clear" w:color="auto" w:fill="C6EFCE"/>
            <w:noWrap/>
            <w:vAlign w:val="center"/>
            <w:hideMark/>
          </w:tcPr>
          <w:p w14:paraId="74431601" w14:textId="77777777" w:rsidR="003F5418" w:rsidRDefault="002A6C25">
            <w:pPr>
              <w:pStyle w:val="P68B1DB1-Normal4"/>
              <w:jc w:val="center"/>
              <w:rPr>
                <w:noProof/>
              </w:rPr>
            </w:pPr>
            <w:r>
              <w:rPr>
                <w:noProof/>
              </w:rPr>
              <w:t>Q4</w:t>
            </w:r>
          </w:p>
        </w:tc>
        <w:tc>
          <w:tcPr>
            <w:tcW w:w="708" w:type="dxa"/>
            <w:shd w:val="clear" w:color="auto" w:fill="C6EFCE"/>
            <w:noWrap/>
            <w:vAlign w:val="center"/>
            <w:hideMark/>
          </w:tcPr>
          <w:p w14:paraId="4CB02205" w14:textId="77777777" w:rsidR="003F5418" w:rsidRDefault="002A6C25">
            <w:pPr>
              <w:pStyle w:val="P68B1DB1-Normal4"/>
              <w:jc w:val="center"/>
              <w:rPr>
                <w:noProof/>
              </w:rPr>
            </w:pPr>
            <w:r>
              <w:rPr>
                <w:noProof/>
              </w:rPr>
              <w:t>2025</w:t>
            </w:r>
          </w:p>
        </w:tc>
        <w:tc>
          <w:tcPr>
            <w:tcW w:w="3686" w:type="dxa"/>
            <w:shd w:val="clear" w:color="auto" w:fill="C6EFCE"/>
            <w:noWrap/>
            <w:vAlign w:val="center"/>
            <w:hideMark/>
          </w:tcPr>
          <w:p w14:paraId="1C15E4D2" w14:textId="77777777" w:rsidR="003F5418" w:rsidRDefault="002A6C25">
            <w:pPr>
              <w:pStyle w:val="P68B1DB1-Normal4"/>
              <w:rPr>
                <w:noProof/>
              </w:rPr>
            </w:pPr>
            <w:r>
              <w:rPr>
                <w:noProof/>
              </w:rPr>
              <w:t xml:space="preserve">27 új csomópont üzembe helyezése az intézkedés első beavatkozási vonalában.  </w:t>
            </w:r>
          </w:p>
          <w:p w14:paraId="0EF81F50" w14:textId="77777777" w:rsidR="003F5418" w:rsidRDefault="002A6C25">
            <w:pPr>
              <w:pStyle w:val="P68B1DB1-Normal4"/>
              <w:rPr>
                <w:noProof/>
              </w:rPr>
            </w:pPr>
            <w:r>
              <w:rPr>
                <w:noProof/>
              </w:rPr>
              <w:t xml:space="preserve">A cél a központok </w:t>
            </w:r>
            <w:r>
              <w:rPr>
                <w:noProof/>
              </w:rPr>
              <w:t>három típusára összpontosít:</w:t>
            </w:r>
          </w:p>
          <w:p w14:paraId="5FD5FD6D" w14:textId="77777777" w:rsidR="003F5418" w:rsidRDefault="002A6C25">
            <w:pPr>
              <w:pStyle w:val="P68B1DB1-ListParagraph5"/>
              <w:numPr>
                <w:ilvl w:val="0"/>
                <w:numId w:val="50"/>
              </w:numPr>
              <w:jc w:val="left"/>
              <w:rPr>
                <w:noProof/>
              </w:rPr>
            </w:pPr>
            <w:r>
              <w:rPr>
                <w:noProof/>
              </w:rPr>
              <w:t>Kompetenciaközpontok</w:t>
            </w:r>
          </w:p>
          <w:p w14:paraId="2F6835BC" w14:textId="77777777" w:rsidR="003F5418" w:rsidRDefault="002A6C25">
            <w:pPr>
              <w:pStyle w:val="P68B1DB1-ListParagraph5"/>
              <w:numPr>
                <w:ilvl w:val="0"/>
                <w:numId w:val="50"/>
              </w:numPr>
              <w:jc w:val="left"/>
              <w:rPr>
                <w:noProof/>
              </w:rPr>
            </w:pPr>
            <w:r>
              <w:rPr>
                <w:noProof/>
              </w:rPr>
              <w:t>Kiválósági pecsét</w:t>
            </w:r>
          </w:p>
          <w:p w14:paraId="41B62810" w14:textId="18B29FA4" w:rsidR="003F5418" w:rsidRDefault="002A6C25">
            <w:pPr>
              <w:pStyle w:val="P68B1DB1-ListParagraph5"/>
              <w:numPr>
                <w:ilvl w:val="0"/>
                <w:numId w:val="50"/>
              </w:numPr>
              <w:jc w:val="left"/>
              <w:rPr>
                <w:noProof/>
              </w:rPr>
            </w:pPr>
            <w:r>
              <w:rPr>
                <w:noProof/>
              </w:rPr>
              <w:t>Helyszíni innovációs központok hálózata.</w:t>
            </w:r>
          </w:p>
        </w:tc>
      </w:tr>
      <w:tr w:rsidR="003F5418" w14:paraId="3F82A36F" w14:textId="77777777">
        <w:trPr>
          <w:trHeight w:val="313"/>
        </w:trPr>
        <w:tc>
          <w:tcPr>
            <w:tcW w:w="1135" w:type="dxa"/>
            <w:shd w:val="clear" w:color="auto" w:fill="C6EFCE"/>
            <w:noWrap/>
            <w:vAlign w:val="center"/>
            <w:hideMark/>
          </w:tcPr>
          <w:p w14:paraId="1BCE436A" w14:textId="77777777" w:rsidR="003F5418" w:rsidRDefault="002A6C25">
            <w:pPr>
              <w:pStyle w:val="P68B1DB1-Normal4"/>
              <w:jc w:val="center"/>
              <w:rPr>
                <w:noProof/>
              </w:rPr>
            </w:pPr>
            <w:r>
              <w:rPr>
                <w:noProof/>
              </w:rPr>
              <w:t>M4C2–14</w:t>
            </w:r>
          </w:p>
        </w:tc>
        <w:tc>
          <w:tcPr>
            <w:tcW w:w="1419" w:type="dxa"/>
            <w:shd w:val="clear" w:color="auto" w:fill="C6EFCE"/>
            <w:noWrap/>
            <w:vAlign w:val="center"/>
            <w:hideMark/>
          </w:tcPr>
          <w:p w14:paraId="52FD051C" w14:textId="77777777" w:rsidR="003F5418" w:rsidRDefault="002A6C25">
            <w:pPr>
              <w:pStyle w:val="P68B1DB1-Normal4"/>
              <w:jc w:val="center"/>
              <w:rPr>
                <w:noProof/>
              </w:rPr>
            </w:pPr>
            <w:r>
              <w:rPr>
                <w:noProof/>
              </w:rPr>
              <w:t>Beruházás: A technológiaátadási központok megerősítése és ágazati/területi bővítése ipari szegmensek szerint</w:t>
            </w:r>
          </w:p>
        </w:tc>
        <w:tc>
          <w:tcPr>
            <w:tcW w:w="1132" w:type="dxa"/>
            <w:shd w:val="clear" w:color="auto" w:fill="C6EFCE"/>
            <w:noWrap/>
            <w:vAlign w:val="center"/>
            <w:hideMark/>
          </w:tcPr>
          <w:p w14:paraId="4FB9E793"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29F5DB87" w14:textId="77777777" w:rsidR="003F5418" w:rsidRDefault="002A6C25">
            <w:pPr>
              <w:pStyle w:val="P68B1DB1-Normal4"/>
              <w:jc w:val="center"/>
              <w:rPr>
                <w:noProof/>
              </w:rPr>
            </w:pPr>
            <w:r>
              <w:rPr>
                <w:noProof/>
              </w:rPr>
              <w:t xml:space="preserve">307 000 000 EUR pénzügyi </w:t>
            </w:r>
            <w:r>
              <w:rPr>
                <w:noProof/>
              </w:rPr>
              <w:t>érték kifizetése</w:t>
            </w:r>
          </w:p>
        </w:tc>
        <w:tc>
          <w:tcPr>
            <w:tcW w:w="1275" w:type="dxa"/>
            <w:shd w:val="clear" w:color="auto" w:fill="C6EFCE"/>
            <w:noWrap/>
            <w:vAlign w:val="center"/>
            <w:hideMark/>
          </w:tcPr>
          <w:p w14:paraId="57F39DD0"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37FA1140" w14:textId="77777777" w:rsidR="003F5418" w:rsidRDefault="002A6C25">
            <w:pPr>
              <w:pStyle w:val="P68B1DB1-Normal4"/>
              <w:jc w:val="center"/>
              <w:rPr>
                <w:noProof/>
              </w:rPr>
            </w:pPr>
            <w:r>
              <w:rPr>
                <w:noProof/>
              </w:rPr>
              <w:t>EUR</w:t>
            </w:r>
          </w:p>
        </w:tc>
        <w:tc>
          <w:tcPr>
            <w:tcW w:w="993" w:type="dxa"/>
            <w:shd w:val="clear" w:color="auto" w:fill="C6EFCE"/>
            <w:noWrap/>
            <w:vAlign w:val="center"/>
            <w:hideMark/>
          </w:tcPr>
          <w:p w14:paraId="0F74922E"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06189E98" w14:textId="19D4D5C4" w:rsidR="003F5418" w:rsidRDefault="002A6C25">
            <w:pPr>
              <w:pStyle w:val="P68B1DB1-Normal4"/>
              <w:jc w:val="center"/>
              <w:rPr>
                <w:noProof/>
              </w:rPr>
            </w:pPr>
            <w:r>
              <w:rPr>
                <w:noProof/>
              </w:rPr>
              <w:t>307 000 000</w:t>
            </w:r>
          </w:p>
        </w:tc>
        <w:tc>
          <w:tcPr>
            <w:tcW w:w="993" w:type="dxa"/>
            <w:shd w:val="clear" w:color="auto" w:fill="C6EFCE"/>
            <w:noWrap/>
            <w:vAlign w:val="center"/>
            <w:hideMark/>
          </w:tcPr>
          <w:p w14:paraId="7988E350"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38579D0" w14:textId="77777777" w:rsidR="003F5418" w:rsidRDefault="002A6C25">
            <w:pPr>
              <w:pStyle w:val="P68B1DB1-Normal4"/>
              <w:jc w:val="center"/>
              <w:rPr>
                <w:noProof/>
              </w:rPr>
            </w:pPr>
            <w:r>
              <w:rPr>
                <w:noProof/>
              </w:rPr>
              <w:t>2026</w:t>
            </w:r>
          </w:p>
        </w:tc>
        <w:tc>
          <w:tcPr>
            <w:tcW w:w="3686" w:type="dxa"/>
            <w:shd w:val="clear" w:color="auto" w:fill="C6EFCE"/>
            <w:noWrap/>
            <w:vAlign w:val="center"/>
            <w:hideMark/>
          </w:tcPr>
          <w:p w14:paraId="029EDCE2" w14:textId="77777777" w:rsidR="003F5418" w:rsidRPr="00152815" w:rsidRDefault="002A6C25">
            <w:pPr>
              <w:pStyle w:val="P68B1DB1-Normal6"/>
              <w:jc w:val="both"/>
              <w:rPr>
                <w:noProof/>
                <w:color w:val="006100"/>
              </w:rPr>
            </w:pPr>
            <w:r w:rsidRPr="00152815">
              <w:rPr>
                <w:noProof/>
                <w:color w:val="006100"/>
              </w:rPr>
              <w:t xml:space="preserve">Az intézkedés első beavatkozási sora keretében 307 000 000 EUR-t kell folyósítani a nemzeti hálózat megerősítése és a vállalkozásoknak történő szolgáltatásnyújtás céljából a technológiaátadási központok számára.  </w:t>
            </w:r>
          </w:p>
          <w:p w14:paraId="238C860C" w14:textId="77777777" w:rsidR="003F5418" w:rsidRDefault="002A6C25">
            <w:pPr>
              <w:pStyle w:val="P68B1DB1-Normal4"/>
              <w:spacing w:before="120" w:after="120"/>
              <w:rPr>
                <w:noProof/>
              </w:rPr>
            </w:pPr>
            <w:r>
              <w:rPr>
                <w:noProof/>
              </w:rPr>
              <w:t xml:space="preserve">A nyújtandó szolgáltatások a következőket </w:t>
            </w:r>
            <w:r>
              <w:rPr>
                <w:noProof/>
              </w:rPr>
              <w:t>foglalják magukban:</w:t>
            </w:r>
          </w:p>
          <w:p w14:paraId="60FF39D3" w14:textId="77777777" w:rsidR="003F5418" w:rsidRDefault="002A6C25">
            <w:pPr>
              <w:pStyle w:val="P68B1DB1-ListParagraph5"/>
              <w:numPr>
                <w:ilvl w:val="0"/>
                <w:numId w:val="49"/>
              </w:numPr>
              <w:jc w:val="left"/>
              <w:rPr>
                <w:noProof/>
              </w:rPr>
            </w:pPr>
            <w:r>
              <w:rPr>
                <w:noProof/>
              </w:rPr>
              <w:t xml:space="preserve">i. digitális értékelés, ii. beruházás előtti tesztelés, iii. képzés; </w:t>
            </w:r>
          </w:p>
          <w:p w14:paraId="3A5A3EBA" w14:textId="77777777" w:rsidR="003F5418" w:rsidRDefault="002A6C25">
            <w:pPr>
              <w:pStyle w:val="P68B1DB1-ListParagraph5"/>
              <w:numPr>
                <w:ilvl w:val="0"/>
                <w:numId w:val="49"/>
              </w:numPr>
              <w:jc w:val="left"/>
              <w:rPr>
                <w:noProof/>
              </w:rPr>
            </w:pPr>
            <w:r>
              <w:rPr>
                <w:noProof/>
              </w:rPr>
              <w:t>a finanszírozáshoz való hozzáférés;</w:t>
            </w:r>
          </w:p>
          <w:p w14:paraId="33252EB4" w14:textId="359938FF" w:rsidR="003F5418" w:rsidRDefault="002A6C25">
            <w:pPr>
              <w:pStyle w:val="P68B1DB1-ListParagraph5"/>
              <w:numPr>
                <w:ilvl w:val="0"/>
                <w:numId w:val="49"/>
              </w:numPr>
              <w:jc w:val="left"/>
              <w:rPr>
                <w:noProof/>
              </w:rPr>
            </w:pPr>
            <w:r>
              <w:rPr>
                <w:noProof/>
              </w:rPr>
              <w:t xml:space="preserve">az innovációs projektek fejlesztéséhez nyújtott pénzügyi és működési támogatás (TRL több mint 5); </w:t>
            </w:r>
          </w:p>
          <w:p w14:paraId="347D6DA8" w14:textId="77777777" w:rsidR="003F5418" w:rsidRDefault="002A6C25">
            <w:pPr>
              <w:pStyle w:val="P68B1DB1-ListParagraph5"/>
              <w:numPr>
                <w:ilvl w:val="0"/>
                <w:numId w:val="49"/>
              </w:numPr>
              <w:jc w:val="left"/>
              <w:rPr>
                <w:noProof/>
              </w:rPr>
            </w:pPr>
            <w:r>
              <w:rPr>
                <w:noProof/>
              </w:rPr>
              <w:t>technológiai közvetítői tevéken</w:t>
            </w:r>
            <w:r>
              <w:rPr>
                <w:noProof/>
              </w:rPr>
              <w:t xml:space="preserve">ység </w:t>
            </w:r>
          </w:p>
          <w:p w14:paraId="4AE49DB2" w14:textId="77777777" w:rsidR="003F5418" w:rsidRDefault="002A6C25">
            <w:pPr>
              <w:pStyle w:val="P68B1DB1-ListParagraph5"/>
              <w:numPr>
                <w:ilvl w:val="0"/>
                <w:numId w:val="49"/>
              </w:numPr>
              <w:jc w:val="left"/>
              <w:rPr>
                <w:noProof/>
              </w:rPr>
            </w:pPr>
            <w:r>
              <w:rPr>
                <w:noProof/>
              </w:rPr>
              <w:t>figyelemfelkeltés helyi szinten.</w:t>
            </w:r>
          </w:p>
        </w:tc>
      </w:tr>
      <w:tr w:rsidR="003F5418" w14:paraId="2B123D24" w14:textId="77777777">
        <w:trPr>
          <w:trHeight w:val="313"/>
        </w:trPr>
        <w:tc>
          <w:tcPr>
            <w:tcW w:w="1135" w:type="dxa"/>
            <w:shd w:val="clear" w:color="auto" w:fill="C6EFCE"/>
            <w:noWrap/>
            <w:vAlign w:val="center"/>
            <w:hideMark/>
          </w:tcPr>
          <w:p w14:paraId="11C4B723" w14:textId="77777777" w:rsidR="003F5418" w:rsidRDefault="002A6C25">
            <w:pPr>
              <w:pStyle w:val="P68B1DB1-Normal4"/>
              <w:jc w:val="center"/>
              <w:rPr>
                <w:noProof/>
              </w:rPr>
            </w:pPr>
            <w:r>
              <w:rPr>
                <w:noProof/>
              </w:rPr>
              <w:t>M4C2–15</w:t>
            </w:r>
          </w:p>
        </w:tc>
        <w:tc>
          <w:tcPr>
            <w:tcW w:w="1419" w:type="dxa"/>
            <w:shd w:val="clear" w:color="auto" w:fill="C6EFCE"/>
            <w:noWrap/>
            <w:vAlign w:val="center"/>
            <w:hideMark/>
          </w:tcPr>
          <w:p w14:paraId="42B27D13" w14:textId="77777777" w:rsidR="003F5418" w:rsidRDefault="002A6C25">
            <w:pPr>
              <w:pStyle w:val="P68B1DB1-Normal4"/>
              <w:jc w:val="center"/>
              <w:rPr>
                <w:noProof/>
              </w:rPr>
            </w:pPr>
            <w:r>
              <w:rPr>
                <w:noProof/>
              </w:rPr>
              <w:t>Beruházás: A technológiaátadási központok megerősítése és ágazati/területi bővítése ipari szegmensek szerint</w:t>
            </w:r>
          </w:p>
        </w:tc>
        <w:tc>
          <w:tcPr>
            <w:tcW w:w="1132" w:type="dxa"/>
            <w:shd w:val="clear" w:color="auto" w:fill="C6EFCE"/>
            <w:noWrap/>
            <w:vAlign w:val="center"/>
            <w:hideMark/>
          </w:tcPr>
          <w:p w14:paraId="5475270E"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2D68262B" w14:textId="77777777" w:rsidR="003F5418" w:rsidRDefault="002A6C25">
            <w:pPr>
              <w:pStyle w:val="P68B1DB1-Normal4"/>
              <w:rPr>
                <w:noProof/>
              </w:rPr>
            </w:pPr>
            <w:r>
              <w:rPr>
                <w:noProof/>
              </w:rPr>
              <w:t>Támogatott kkv-k száma</w:t>
            </w:r>
          </w:p>
        </w:tc>
        <w:tc>
          <w:tcPr>
            <w:tcW w:w="1275" w:type="dxa"/>
            <w:shd w:val="clear" w:color="auto" w:fill="C6EFCE"/>
            <w:noWrap/>
            <w:vAlign w:val="center"/>
            <w:hideMark/>
          </w:tcPr>
          <w:p w14:paraId="0F8D108C"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31C084EE"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41B86F89"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5B9BA2C6" w14:textId="03749A80" w:rsidR="003F5418" w:rsidRDefault="002A6C25">
            <w:pPr>
              <w:pStyle w:val="P68B1DB1-Normal4"/>
              <w:jc w:val="center"/>
              <w:rPr>
                <w:noProof/>
              </w:rPr>
            </w:pPr>
            <w:r>
              <w:rPr>
                <w:noProof/>
              </w:rPr>
              <w:t>5 000</w:t>
            </w:r>
          </w:p>
        </w:tc>
        <w:tc>
          <w:tcPr>
            <w:tcW w:w="993" w:type="dxa"/>
            <w:shd w:val="clear" w:color="auto" w:fill="C6EFCE"/>
            <w:noWrap/>
            <w:vAlign w:val="center"/>
            <w:hideMark/>
          </w:tcPr>
          <w:p w14:paraId="7CC0751F"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7E5A1560" w14:textId="77777777" w:rsidR="003F5418" w:rsidRDefault="002A6C25">
            <w:pPr>
              <w:pStyle w:val="P68B1DB1-Normal4"/>
              <w:jc w:val="center"/>
              <w:rPr>
                <w:noProof/>
              </w:rPr>
            </w:pPr>
            <w:r>
              <w:rPr>
                <w:noProof/>
              </w:rPr>
              <w:t>2026</w:t>
            </w:r>
          </w:p>
        </w:tc>
        <w:tc>
          <w:tcPr>
            <w:tcW w:w="3686" w:type="dxa"/>
            <w:shd w:val="clear" w:color="auto" w:fill="C6EFCE"/>
            <w:noWrap/>
            <w:vAlign w:val="center"/>
            <w:hideMark/>
          </w:tcPr>
          <w:p w14:paraId="60F31276" w14:textId="6246BCAE" w:rsidR="003F5418" w:rsidRDefault="002A6C25">
            <w:pPr>
              <w:pStyle w:val="P68B1DB1-Normal4"/>
              <w:rPr>
                <w:noProof/>
              </w:rPr>
            </w:pPr>
            <w:r>
              <w:rPr>
                <w:noProof/>
              </w:rPr>
              <w:t xml:space="preserve">Legalább 5000 kkv-t támogatnak nemzeti </w:t>
            </w:r>
            <w:r>
              <w:rPr>
                <w:noProof/>
              </w:rPr>
              <w:t>finanszírozású központok (kompetenciaközpontok; Kiválósági pecsét; Nemzeti digitális innovációs központok) az intézkedés első beavatkozási vonalához tartozó szolgáltatások nyújtása révén, amelyek a következőket foglalják magukban:</w:t>
            </w:r>
          </w:p>
          <w:p w14:paraId="68182C2E" w14:textId="77777777" w:rsidR="003F5418" w:rsidRDefault="002A6C25">
            <w:pPr>
              <w:pStyle w:val="P68B1DB1-ListParagraph5"/>
              <w:numPr>
                <w:ilvl w:val="0"/>
                <w:numId w:val="55"/>
              </w:numPr>
              <w:spacing w:before="0" w:after="200" w:line="276" w:lineRule="auto"/>
              <w:jc w:val="left"/>
              <w:rPr>
                <w:noProof/>
              </w:rPr>
            </w:pPr>
            <w:r>
              <w:rPr>
                <w:noProof/>
              </w:rPr>
              <w:t xml:space="preserve">Digitális értékelés </w:t>
            </w:r>
          </w:p>
          <w:p w14:paraId="0263CF76" w14:textId="77777777" w:rsidR="003F5418" w:rsidRDefault="002A6C25">
            <w:pPr>
              <w:pStyle w:val="P68B1DB1-ListParagraph5"/>
              <w:numPr>
                <w:ilvl w:val="0"/>
                <w:numId w:val="55"/>
              </w:numPr>
              <w:spacing w:before="0" w:after="200" w:line="276" w:lineRule="auto"/>
              <w:jc w:val="left"/>
              <w:rPr>
                <w:noProof/>
              </w:rPr>
            </w:pPr>
            <w:r>
              <w:rPr>
                <w:noProof/>
              </w:rPr>
              <w:t>A be</w:t>
            </w:r>
            <w:r>
              <w:rPr>
                <w:noProof/>
              </w:rPr>
              <w:t xml:space="preserve">ruházás előtti tesztelés, </w:t>
            </w:r>
          </w:p>
          <w:p w14:paraId="4A1A80D0" w14:textId="77777777" w:rsidR="003F5418" w:rsidRDefault="002A6C25">
            <w:pPr>
              <w:pStyle w:val="P68B1DB1-ListParagraph5"/>
              <w:numPr>
                <w:ilvl w:val="0"/>
                <w:numId w:val="55"/>
              </w:numPr>
              <w:spacing w:before="0" w:after="200" w:line="276" w:lineRule="auto"/>
              <w:jc w:val="left"/>
              <w:rPr>
                <w:noProof/>
              </w:rPr>
            </w:pPr>
            <w:r>
              <w:rPr>
                <w:noProof/>
              </w:rPr>
              <w:t xml:space="preserve">képzés; </w:t>
            </w:r>
          </w:p>
          <w:p w14:paraId="75CC8613" w14:textId="77777777" w:rsidR="003F5418" w:rsidRDefault="002A6C25">
            <w:pPr>
              <w:pStyle w:val="P68B1DB1-ListParagraph5"/>
              <w:numPr>
                <w:ilvl w:val="0"/>
                <w:numId w:val="55"/>
              </w:numPr>
              <w:spacing w:before="0" w:after="200" w:line="276" w:lineRule="auto"/>
              <w:jc w:val="left"/>
              <w:rPr>
                <w:noProof/>
              </w:rPr>
            </w:pPr>
            <w:r>
              <w:rPr>
                <w:noProof/>
              </w:rPr>
              <w:t xml:space="preserve">forráshoz jutás; </w:t>
            </w:r>
          </w:p>
          <w:p w14:paraId="424087EE" w14:textId="77777777" w:rsidR="003F5418" w:rsidRDefault="002A6C25">
            <w:pPr>
              <w:pStyle w:val="P68B1DB1-ListParagraph5"/>
              <w:numPr>
                <w:ilvl w:val="0"/>
                <w:numId w:val="55"/>
              </w:numPr>
              <w:spacing w:before="0" w:after="200" w:line="276" w:lineRule="auto"/>
              <w:jc w:val="left"/>
              <w:rPr>
                <w:noProof/>
              </w:rPr>
            </w:pPr>
            <w:r>
              <w:rPr>
                <w:noProof/>
              </w:rPr>
              <w:t xml:space="preserve">innovációs projektek fejlesztéséhez nyújtott pénzügyi és működési támogatás (5-nél több TRL); </w:t>
            </w:r>
          </w:p>
          <w:p w14:paraId="40AB8735" w14:textId="77777777" w:rsidR="003F5418" w:rsidRDefault="002A6C25">
            <w:pPr>
              <w:pStyle w:val="P68B1DB1-ListParagraph5"/>
              <w:numPr>
                <w:ilvl w:val="0"/>
                <w:numId w:val="55"/>
              </w:numPr>
              <w:spacing w:before="0" w:after="200" w:line="276" w:lineRule="auto"/>
              <w:jc w:val="left"/>
              <w:rPr>
                <w:noProof/>
              </w:rPr>
            </w:pPr>
            <w:r>
              <w:rPr>
                <w:noProof/>
              </w:rPr>
              <w:t xml:space="preserve">technológiai közvetítői tevékenység </w:t>
            </w:r>
          </w:p>
          <w:p w14:paraId="0F6EDC9D" w14:textId="77777777" w:rsidR="003F5418" w:rsidRDefault="002A6C25">
            <w:pPr>
              <w:pStyle w:val="P68B1DB1-ListParagraph5"/>
              <w:numPr>
                <w:ilvl w:val="0"/>
                <w:numId w:val="55"/>
              </w:numPr>
              <w:spacing w:before="0" w:after="200" w:line="276" w:lineRule="auto"/>
              <w:jc w:val="left"/>
              <w:rPr>
                <w:noProof/>
              </w:rPr>
            </w:pPr>
            <w:r>
              <w:rPr>
                <w:noProof/>
              </w:rPr>
              <w:t>helyi szintű figyelemfelkeltés.</w:t>
            </w:r>
          </w:p>
        </w:tc>
      </w:tr>
      <w:tr w:rsidR="003F5418" w14:paraId="02BD6A88" w14:textId="77777777">
        <w:trPr>
          <w:trHeight w:val="313"/>
        </w:trPr>
        <w:tc>
          <w:tcPr>
            <w:tcW w:w="1135" w:type="dxa"/>
            <w:shd w:val="clear" w:color="auto" w:fill="C6EFCE"/>
            <w:noWrap/>
            <w:vAlign w:val="center"/>
          </w:tcPr>
          <w:p w14:paraId="75C05A34" w14:textId="77777777" w:rsidR="003F5418" w:rsidRDefault="002A6C25">
            <w:pPr>
              <w:pStyle w:val="P68B1DB1-Normal4"/>
              <w:jc w:val="center"/>
              <w:rPr>
                <w:noProof/>
              </w:rPr>
            </w:pPr>
            <w:r>
              <w:rPr>
                <w:noProof/>
              </w:rPr>
              <w:t>M4C2–15a</w:t>
            </w:r>
          </w:p>
        </w:tc>
        <w:tc>
          <w:tcPr>
            <w:tcW w:w="1419" w:type="dxa"/>
            <w:shd w:val="clear" w:color="auto" w:fill="C6EFCE"/>
            <w:noWrap/>
            <w:vAlign w:val="center"/>
          </w:tcPr>
          <w:p w14:paraId="6F516BB5" w14:textId="77777777" w:rsidR="003F5418" w:rsidRDefault="002A6C25">
            <w:pPr>
              <w:pStyle w:val="P68B1DB1-Normal4"/>
              <w:jc w:val="center"/>
              <w:rPr>
                <w:noProof/>
              </w:rPr>
            </w:pPr>
            <w:r>
              <w:rPr>
                <w:noProof/>
              </w:rPr>
              <w:t xml:space="preserve">Beruházás: A </w:t>
            </w:r>
            <w:r>
              <w:rPr>
                <w:noProof/>
              </w:rPr>
              <w:t>technológiaátadási központok megerősítése és ágazati/területi bővítése ipari szegmensek szerint</w:t>
            </w:r>
          </w:p>
        </w:tc>
        <w:tc>
          <w:tcPr>
            <w:tcW w:w="1132" w:type="dxa"/>
            <w:shd w:val="clear" w:color="auto" w:fill="C6EFCE"/>
            <w:noWrap/>
            <w:vAlign w:val="center"/>
          </w:tcPr>
          <w:p w14:paraId="219DF179" w14:textId="77777777" w:rsidR="003F5418" w:rsidRDefault="002A6C25">
            <w:pPr>
              <w:pStyle w:val="P68B1DB1-Normal4"/>
              <w:jc w:val="center"/>
              <w:rPr>
                <w:noProof/>
              </w:rPr>
            </w:pPr>
            <w:r>
              <w:rPr>
                <w:noProof/>
              </w:rPr>
              <w:t>Mérföldkő</w:t>
            </w:r>
          </w:p>
        </w:tc>
        <w:tc>
          <w:tcPr>
            <w:tcW w:w="1418" w:type="dxa"/>
            <w:shd w:val="clear" w:color="auto" w:fill="C6EFCE"/>
            <w:noWrap/>
            <w:vAlign w:val="center"/>
          </w:tcPr>
          <w:p w14:paraId="43456608" w14:textId="77777777" w:rsidR="003F5418" w:rsidRDefault="002A6C25">
            <w:pPr>
              <w:pStyle w:val="P68B1DB1-Normal4"/>
              <w:jc w:val="center"/>
              <w:rPr>
                <w:noProof/>
              </w:rPr>
            </w:pPr>
            <w:r>
              <w:rPr>
                <w:noProof/>
              </w:rPr>
              <w:t>Az európai digitális innovációs központ és a TEF-munkacsomagok lezárása</w:t>
            </w:r>
          </w:p>
        </w:tc>
        <w:tc>
          <w:tcPr>
            <w:tcW w:w="1275" w:type="dxa"/>
            <w:shd w:val="clear" w:color="auto" w:fill="C6EFCE"/>
            <w:noWrap/>
            <w:vAlign w:val="center"/>
          </w:tcPr>
          <w:p w14:paraId="586807CA" w14:textId="77777777" w:rsidR="003F5418" w:rsidRDefault="002A6C25">
            <w:pPr>
              <w:pStyle w:val="P68B1DB1-Normal4"/>
              <w:jc w:val="center"/>
              <w:rPr>
                <w:noProof/>
              </w:rPr>
            </w:pPr>
            <w:r>
              <w:rPr>
                <w:noProof/>
              </w:rPr>
              <w:t>Az európai digitális innovációs központ (EDIH) és a tesztelési és</w:t>
            </w:r>
            <w:r>
              <w:rPr>
                <w:noProof/>
              </w:rPr>
              <w:t xml:space="preserve"> kísérleti létesítmények (TEF) munkacsomagjai lezárultak</w:t>
            </w:r>
          </w:p>
        </w:tc>
        <w:tc>
          <w:tcPr>
            <w:tcW w:w="1134" w:type="dxa"/>
            <w:shd w:val="clear" w:color="auto" w:fill="C6EFCE"/>
            <w:noWrap/>
            <w:vAlign w:val="center"/>
          </w:tcPr>
          <w:p w14:paraId="29FFA3C8" w14:textId="77777777" w:rsidR="003F5418" w:rsidRDefault="002A6C25">
            <w:pPr>
              <w:pStyle w:val="P68B1DB1-Normal4"/>
              <w:jc w:val="center"/>
              <w:rPr>
                <w:noProof/>
              </w:rPr>
            </w:pPr>
            <w:r>
              <w:rPr>
                <w:noProof/>
              </w:rPr>
              <w:t>NINCS</w:t>
            </w:r>
          </w:p>
        </w:tc>
        <w:tc>
          <w:tcPr>
            <w:tcW w:w="993" w:type="dxa"/>
            <w:shd w:val="clear" w:color="auto" w:fill="C6EFCE"/>
            <w:noWrap/>
            <w:vAlign w:val="center"/>
          </w:tcPr>
          <w:p w14:paraId="4F3AE980" w14:textId="77777777" w:rsidR="003F5418" w:rsidRDefault="002A6C25">
            <w:pPr>
              <w:pStyle w:val="P68B1DB1-Normal4"/>
              <w:jc w:val="center"/>
              <w:rPr>
                <w:noProof/>
              </w:rPr>
            </w:pPr>
            <w:r>
              <w:rPr>
                <w:noProof/>
              </w:rPr>
              <w:t>NINCS</w:t>
            </w:r>
          </w:p>
        </w:tc>
        <w:tc>
          <w:tcPr>
            <w:tcW w:w="1275" w:type="dxa"/>
            <w:shd w:val="clear" w:color="auto" w:fill="C6EFCE"/>
            <w:noWrap/>
            <w:vAlign w:val="center"/>
          </w:tcPr>
          <w:p w14:paraId="221CB608" w14:textId="77777777" w:rsidR="003F5418" w:rsidRDefault="002A6C25">
            <w:pPr>
              <w:pStyle w:val="P68B1DB1-Normal4"/>
              <w:jc w:val="center"/>
              <w:rPr>
                <w:noProof/>
              </w:rPr>
            </w:pPr>
            <w:r>
              <w:rPr>
                <w:noProof/>
              </w:rPr>
              <w:t>NINCS</w:t>
            </w:r>
          </w:p>
        </w:tc>
        <w:tc>
          <w:tcPr>
            <w:tcW w:w="993" w:type="dxa"/>
            <w:shd w:val="clear" w:color="auto" w:fill="C6EFCE"/>
            <w:noWrap/>
            <w:vAlign w:val="center"/>
          </w:tcPr>
          <w:p w14:paraId="42802547"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4922DC80" w14:textId="77777777" w:rsidR="003F5418" w:rsidRDefault="002A6C25">
            <w:pPr>
              <w:pStyle w:val="P68B1DB1-Normal4"/>
              <w:jc w:val="center"/>
              <w:rPr>
                <w:noProof/>
              </w:rPr>
            </w:pPr>
            <w:r>
              <w:rPr>
                <w:noProof/>
              </w:rPr>
              <w:t>2026</w:t>
            </w:r>
          </w:p>
        </w:tc>
        <w:tc>
          <w:tcPr>
            <w:tcW w:w="3686" w:type="dxa"/>
            <w:shd w:val="clear" w:color="auto" w:fill="C6EFCE"/>
            <w:noWrap/>
            <w:vAlign w:val="center"/>
          </w:tcPr>
          <w:p w14:paraId="5971EDD2" w14:textId="77777777" w:rsidR="003F5418" w:rsidRDefault="002A6C25">
            <w:pPr>
              <w:pStyle w:val="P68B1DB1-Normal4"/>
              <w:spacing w:after="120"/>
              <w:jc w:val="both"/>
              <w:rPr>
                <w:noProof/>
              </w:rPr>
            </w:pPr>
            <w:r>
              <w:rPr>
                <w:noProof/>
              </w:rPr>
              <w:t>A 13 európai digitális innovációs központ és két tesztelési és kísérleti létesítmény valamennyi munkacsomagjának befejezése az intézkedés második beavatkozási vonala keretéb</w:t>
            </w:r>
            <w:r>
              <w:rPr>
                <w:noProof/>
              </w:rPr>
              <w:t>en, kivéve a Digitális Európa program által finanszírozott munkacsomagokat.</w:t>
            </w:r>
          </w:p>
        </w:tc>
      </w:tr>
      <w:tr w:rsidR="003F5418" w14:paraId="3E7E2DD3" w14:textId="77777777">
        <w:trPr>
          <w:trHeight w:val="313"/>
        </w:trPr>
        <w:tc>
          <w:tcPr>
            <w:tcW w:w="1135" w:type="dxa"/>
            <w:shd w:val="clear" w:color="auto" w:fill="C6EFCE"/>
            <w:noWrap/>
            <w:vAlign w:val="center"/>
            <w:hideMark/>
          </w:tcPr>
          <w:p w14:paraId="37ACA3B2" w14:textId="77777777" w:rsidR="003F5418" w:rsidRDefault="002A6C25">
            <w:pPr>
              <w:pStyle w:val="P68B1DB1-Normal4"/>
              <w:jc w:val="center"/>
              <w:rPr>
                <w:noProof/>
              </w:rPr>
            </w:pPr>
            <w:r>
              <w:rPr>
                <w:noProof/>
              </w:rPr>
              <w:t>M4C2–16</w:t>
            </w:r>
          </w:p>
        </w:tc>
        <w:tc>
          <w:tcPr>
            <w:tcW w:w="1419" w:type="dxa"/>
            <w:shd w:val="clear" w:color="auto" w:fill="C6EFCE"/>
            <w:noWrap/>
            <w:vAlign w:val="center"/>
            <w:hideMark/>
          </w:tcPr>
          <w:p w14:paraId="7510B7A8" w14:textId="77777777" w:rsidR="003F5418" w:rsidRDefault="002A6C25">
            <w:pPr>
              <w:pStyle w:val="P68B1DB1-Normal4"/>
              <w:jc w:val="center"/>
              <w:rPr>
                <w:noProof/>
              </w:rPr>
            </w:pPr>
            <w:r>
              <w:rPr>
                <w:noProof/>
              </w:rPr>
              <w:t>Beruházás: A kutatási és innovációs infrastruktúrák integrált rendszerének megépítésére szolgáló alap</w:t>
            </w:r>
          </w:p>
        </w:tc>
        <w:tc>
          <w:tcPr>
            <w:tcW w:w="1132" w:type="dxa"/>
            <w:shd w:val="clear" w:color="auto" w:fill="C6EFCE"/>
            <w:noWrap/>
            <w:vAlign w:val="center"/>
            <w:hideMark/>
          </w:tcPr>
          <w:p w14:paraId="1D62B0A1"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6E1EC90F" w14:textId="77777777" w:rsidR="003F5418" w:rsidRDefault="002A6C25">
            <w:pPr>
              <w:pStyle w:val="P68B1DB1-Normal4"/>
              <w:jc w:val="center"/>
              <w:rPr>
                <w:noProof/>
              </w:rPr>
            </w:pPr>
            <w:r>
              <w:rPr>
                <w:noProof/>
              </w:rPr>
              <w:t>A finanszírozott infrastruktúrák száma</w:t>
            </w:r>
          </w:p>
        </w:tc>
        <w:tc>
          <w:tcPr>
            <w:tcW w:w="1275" w:type="dxa"/>
            <w:shd w:val="clear" w:color="auto" w:fill="C6EFCE"/>
            <w:noWrap/>
            <w:vAlign w:val="center"/>
            <w:hideMark/>
          </w:tcPr>
          <w:p w14:paraId="2E14239C"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55A6E585"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7EC014F3"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29F0B53A" w14:textId="77777777" w:rsidR="003F5418" w:rsidRDefault="002A6C25">
            <w:pPr>
              <w:pStyle w:val="P68B1DB1-Normal4"/>
              <w:jc w:val="center"/>
              <w:rPr>
                <w:noProof/>
              </w:rPr>
            </w:pPr>
            <w:r>
              <w:rPr>
                <w:noProof/>
              </w:rPr>
              <w:t>30</w:t>
            </w:r>
          </w:p>
        </w:tc>
        <w:tc>
          <w:tcPr>
            <w:tcW w:w="993" w:type="dxa"/>
            <w:shd w:val="clear" w:color="auto" w:fill="C6EFCE"/>
            <w:noWrap/>
            <w:vAlign w:val="center"/>
            <w:hideMark/>
          </w:tcPr>
          <w:p w14:paraId="12652ACB"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4E27747A" w14:textId="77777777" w:rsidR="003F5418" w:rsidRDefault="002A6C25">
            <w:pPr>
              <w:pStyle w:val="P68B1DB1-Normal4"/>
              <w:jc w:val="center"/>
              <w:rPr>
                <w:noProof/>
              </w:rPr>
            </w:pPr>
            <w:r>
              <w:rPr>
                <w:noProof/>
              </w:rPr>
              <w:t>2023</w:t>
            </w:r>
          </w:p>
        </w:tc>
        <w:tc>
          <w:tcPr>
            <w:tcW w:w="3686" w:type="dxa"/>
            <w:shd w:val="clear" w:color="auto" w:fill="C6EFCE"/>
            <w:noWrap/>
            <w:vAlign w:val="center"/>
            <w:hideMark/>
          </w:tcPr>
          <w:p w14:paraId="5AAC5824" w14:textId="77777777" w:rsidR="003F5418" w:rsidRDefault="002A6C25">
            <w:pPr>
              <w:spacing w:after="120"/>
              <w:jc w:val="both"/>
              <w:rPr>
                <w:rFonts w:ascii="Arial Narrow" w:hAnsi="Arial Narrow"/>
                <w:noProof/>
                <w:color w:val="006100"/>
                <w:sz w:val="20"/>
              </w:rPr>
            </w:pPr>
            <w:r>
              <w:rPr>
                <w:rFonts w:ascii="Arial Narrow" w:hAnsi="Arial Narrow"/>
                <w:noProof/>
                <w:color w:val="006100"/>
                <w:sz w:val="20"/>
              </w:rPr>
              <w:t>Legalább 30, a kutatási és innovációs infrastruktúra integrált rendszeréhez finanszírozott infrastruktúra.</w:t>
            </w:r>
            <w:r>
              <w:rPr>
                <w:rFonts w:ascii="Arial Narrow" w:hAnsi="Arial Narrow"/>
                <w:noProof/>
              </w:rPr>
              <w:t xml:space="preserve"> </w:t>
            </w:r>
            <w:r>
              <w:rPr>
                <w:noProof/>
              </w:rPr>
              <w:t xml:space="preserve"> </w:t>
            </w:r>
            <w:r>
              <w:rPr>
                <w:noProof/>
              </w:rPr>
              <w:br/>
            </w:r>
            <w:r>
              <w:rPr>
                <w:rFonts w:ascii="Arial Narrow" w:hAnsi="Arial Narrow"/>
                <w:noProof/>
                <w:color w:val="006100"/>
                <w:sz w:val="20"/>
              </w:rPr>
              <w:t>Az innovációs infrastruktúra olyan többcélú infrastruktúrákat foglal magában, amelyek képesek legalább három témakört lefedni: i. kvantum, ii. fejl</w:t>
            </w:r>
            <w:r>
              <w:rPr>
                <w:rFonts w:ascii="Arial Narrow" w:hAnsi="Arial Narrow"/>
                <w:noProof/>
                <w:color w:val="006100"/>
                <w:sz w:val="20"/>
              </w:rPr>
              <w:t>ett anyagok, iii. fotonika, iv. élettudományok, v. mesterséges intelligencia, vi. energetikai átállás.</w:t>
            </w:r>
          </w:p>
          <w:p w14:paraId="20BE4588" w14:textId="77777777" w:rsidR="003F5418" w:rsidRDefault="002A6C25">
            <w:pPr>
              <w:pStyle w:val="P68B1DB1-Normal4"/>
              <w:spacing w:after="120"/>
              <w:jc w:val="both"/>
              <w:rPr>
                <w:noProof/>
              </w:rPr>
            </w:pPr>
            <w:r>
              <w:rPr>
                <w:noProof/>
              </w:rPr>
              <w:t>A cél kielégítő teljesítése attól is függ, hogy a kutatási és innovációs infrastruktúra integrált rendszeréhez legalább 30 kutatásvezetőt alkalmaznak-e.</w:t>
            </w:r>
          </w:p>
        </w:tc>
      </w:tr>
      <w:tr w:rsidR="003F5418" w14:paraId="3B6CEAC0" w14:textId="77777777">
        <w:trPr>
          <w:trHeight w:val="313"/>
        </w:trPr>
        <w:tc>
          <w:tcPr>
            <w:tcW w:w="1135" w:type="dxa"/>
            <w:shd w:val="clear" w:color="auto" w:fill="C6EFCE"/>
            <w:noWrap/>
            <w:vAlign w:val="center"/>
            <w:hideMark/>
          </w:tcPr>
          <w:p w14:paraId="09B0D312" w14:textId="77777777" w:rsidR="003F5418" w:rsidRDefault="002A6C25">
            <w:pPr>
              <w:pStyle w:val="P68B1DB1-Normal4"/>
              <w:jc w:val="center"/>
              <w:rPr>
                <w:noProof/>
              </w:rPr>
            </w:pPr>
            <w:r>
              <w:rPr>
                <w:noProof/>
              </w:rPr>
              <w:t xml:space="preserve">M4C2–16a </w:t>
            </w:r>
          </w:p>
        </w:tc>
        <w:tc>
          <w:tcPr>
            <w:tcW w:w="1419" w:type="dxa"/>
            <w:shd w:val="clear" w:color="auto" w:fill="C6EFCE"/>
            <w:noWrap/>
            <w:vAlign w:val="center"/>
            <w:hideMark/>
          </w:tcPr>
          <w:p w14:paraId="5F9DFDBA" w14:textId="77777777" w:rsidR="003F5418" w:rsidRDefault="002A6C25">
            <w:pPr>
              <w:pStyle w:val="P68B1DB1-Normal4"/>
              <w:jc w:val="center"/>
              <w:rPr>
                <w:noProof/>
              </w:rPr>
            </w:pPr>
            <w:r>
              <w:rPr>
                <w:noProof/>
              </w:rPr>
              <w:t>Beruházás: A kutatási és innovációs infrastruktúrák integrált rendszerének megépítésére szolgáló alap</w:t>
            </w:r>
          </w:p>
        </w:tc>
        <w:tc>
          <w:tcPr>
            <w:tcW w:w="1132" w:type="dxa"/>
            <w:shd w:val="clear" w:color="auto" w:fill="C6EFCE"/>
            <w:noWrap/>
            <w:vAlign w:val="center"/>
            <w:hideMark/>
          </w:tcPr>
          <w:p w14:paraId="4B1BBE82"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02685753" w14:textId="77777777" w:rsidR="003F5418" w:rsidRDefault="002A6C25">
            <w:pPr>
              <w:pStyle w:val="P68B1DB1-Normal4"/>
              <w:jc w:val="center"/>
              <w:rPr>
                <w:noProof/>
              </w:rPr>
            </w:pPr>
            <w:r>
              <w:rPr>
                <w:noProof/>
              </w:rPr>
              <w:t xml:space="preserve">A létrehozott vagy a tevékenységüket befejező kutatási és innovációs infrastruktúrák száma </w:t>
            </w:r>
          </w:p>
        </w:tc>
        <w:tc>
          <w:tcPr>
            <w:tcW w:w="1275" w:type="dxa"/>
            <w:shd w:val="clear" w:color="auto" w:fill="C6EFCE"/>
            <w:noWrap/>
            <w:vAlign w:val="center"/>
            <w:hideMark/>
          </w:tcPr>
          <w:p w14:paraId="77EAB350" w14:textId="77777777" w:rsidR="003F5418" w:rsidRDefault="002A6C25">
            <w:pPr>
              <w:pStyle w:val="P68B1DB1-Normal4"/>
              <w:jc w:val="center"/>
              <w:rPr>
                <w:noProof/>
              </w:rPr>
            </w:pPr>
            <w:r>
              <w:rPr>
                <w:noProof/>
              </w:rPr>
              <w:t>TÁRGYTALAN.</w:t>
            </w:r>
          </w:p>
        </w:tc>
        <w:tc>
          <w:tcPr>
            <w:tcW w:w="1134" w:type="dxa"/>
            <w:shd w:val="clear" w:color="auto" w:fill="C6EFCE"/>
            <w:noWrap/>
            <w:vAlign w:val="center"/>
            <w:hideMark/>
          </w:tcPr>
          <w:p w14:paraId="01EDEBB2"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1F77B7CD" w14:textId="77777777" w:rsidR="003F5418" w:rsidRDefault="002A6C25">
            <w:pPr>
              <w:pStyle w:val="P68B1DB1-Normal4"/>
              <w:jc w:val="center"/>
              <w:rPr>
                <w:noProof/>
              </w:rPr>
            </w:pPr>
            <w:r>
              <w:rPr>
                <w:noProof/>
              </w:rPr>
              <w:t>0</w:t>
            </w:r>
          </w:p>
        </w:tc>
        <w:tc>
          <w:tcPr>
            <w:tcW w:w="1275" w:type="dxa"/>
            <w:shd w:val="clear" w:color="auto" w:fill="C6EFCE"/>
            <w:noWrap/>
            <w:vAlign w:val="center"/>
            <w:hideMark/>
          </w:tcPr>
          <w:p w14:paraId="4ED2E66D" w14:textId="77777777" w:rsidR="003F5418" w:rsidRDefault="002A6C25">
            <w:pPr>
              <w:pStyle w:val="P68B1DB1-Normal4"/>
              <w:jc w:val="center"/>
              <w:rPr>
                <w:noProof/>
              </w:rPr>
            </w:pPr>
            <w:r>
              <w:rPr>
                <w:noProof/>
              </w:rPr>
              <w:t>30</w:t>
            </w:r>
          </w:p>
        </w:tc>
        <w:tc>
          <w:tcPr>
            <w:tcW w:w="993" w:type="dxa"/>
            <w:shd w:val="clear" w:color="auto" w:fill="C6EFCE"/>
            <w:noWrap/>
            <w:vAlign w:val="center"/>
            <w:hideMark/>
          </w:tcPr>
          <w:p w14:paraId="0BDEC1DC"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7BBFDBBA" w14:textId="77777777" w:rsidR="003F5418" w:rsidRDefault="002A6C25">
            <w:pPr>
              <w:pStyle w:val="P68B1DB1-Normal4"/>
              <w:jc w:val="center"/>
              <w:rPr>
                <w:noProof/>
              </w:rPr>
            </w:pPr>
            <w:r>
              <w:rPr>
                <w:noProof/>
              </w:rPr>
              <w:t>2026</w:t>
            </w:r>
          </w:p>
        </w:tc>
        <w:tc>
          <w:tcPr>
            <w:tcW w:w="3686" w:type="dxa"/>
            <w:shd w:val="clear" w:color="auto" w:fill="C6EFCE"/>
            <w:noWrap/>
            <w:vAlign w:val="center"/>
            <w:hideMark/>
          </w:tcPr>
          <w:p w14:paraId="0A5D615D" w14:textId="77777777" w:rsidR="003F5418" w:rsidRDefault="002A6C25">
            <w:pPr>
              <w:pStyle w:val="P68B1DB1-Normal4"/>
              <w:jc w:val="both"/>
              <w:rPr>
                <w:noProof/>
              </w:rPr>
            </w:pPr>
            <w:r>
              <w:rPr>
                <w:noProof/>
              </w:rPr>
              <w:t xml:space="preserve">Legalább 30 létrehozott vagy befejezett kutatási és innovációs infrastruktúra a vonatkozó projektfelhívásnak megfelelően. </w:t>
            </w:r>
          </w:p>
        </w:tc>
      </w:tr>
      <w:tr w:rsidR="003F5418" w14:paraId="2B6EBB70" w14:textId="77777777">
        <w:trPr>
          <w:trHeight w:val="313"/>
        </w:trPr>
        <w:tc>
          <w:tcPr>
            <w:tcW w:w="1135" w:type="dxa"/>
            <w:shd w:val="clear" w:color="auto" w:fill="C6EFCE"/>
            <w:noWrap/>
            <w:vAlign w:val="center"/>
            <w:hideMark/>
          </w:tcPr>
          <w:p w14:paraId="5C76A9E8" w14:textId="77777777" w:rsidR="003F5418" w:rsidRDefault="002A6C25">
            <w:pPr>
              <w:pStyle w:val="P68B1DB1-Normal4"/>
              <w:jc w:val="center"/>
              <w:rPr>
                <w:noProof/>
              </w:rPr>
            </w:pPr>
            <w:r>
              <w:rPr>
                <w:noProof/>
              </w:rPr>
              <w:t>M4C2–17</w:t>
            </w:r>
          </w:p>
        </w:tc>
        <w:tc>
          <w:tcPr>
            <w:tcW w:w="1419" w:type="dxa"/>
            <w:shd w:val="clear" w:color="auto" w:fill="C6EFCE"/>
            <w:noWrap/>
            <w:vAlign w:val="center"/>
            <w:hideMark/>
          </w:tcPr>
          <w:p w14:paraId="4F61012C" w14:textId="77777777" w:rsidR="003F5418" w:rsidRDefault="002A6C25">
            <w:pPr>
              <w:pStyle w:val="P68B1DB1-Normal4"/>
              <w:jc w:val="center"/>
              <w:rPr>
                <w:noProof/>
              </w:rPr>
            </w:pPr>
            <w:r>
              <w:rPr>
                <w:noProof/>
              </w:rPr>
              <w:t>Beruházás: A kutatási és innovációs infrastruktúrák integrált rendszerének kiépítésére szolgáló alap; Beruházás</w:t>
            </w:r>
          </w:p>
        </w:tc>
        <w:tc>
          <w:tcPr>
            <w:tcW w:w="1132" w:type="dxa"/>
            <w:shd w:val="clear" w:color="auto" w:fill="C6EFCE"/>
            <w:noWrap/>
            <w:vAlign w:val="center"/>
            <w:hideMark/>
          </w:tcPr>
          <w:p w14:paraId="5776D14C" w14:textId="77777777" w:rsidR="003F5418" w:rsidRDefault="002A6C25">
            <w:pPr>
              <w:pStyle w:val="P68B1DB1-Normal4"/>
              <w:jc w:val="center"/>
              <w:rPr>
                <w:noProof/>
              </w:rPr>
            </w:pPr>
            <w:r>
              <w:rPr>
                <w:noProof/>
              </w:rPr>
              <w:t>Mérföldkő</w:t>
            </w:r>
          </w:p>
        </w:tc>
        <w:tc>
          <w:tcPr>
            <w:tcW w:w="1418" w:type="dxa"/>
            <w:shd w:val="clear" w:color="auto" w:fill="C6EFCE"/>
            <w:noWrap/>
            <w:vAlign w:val="center"/>
            <w:hideMark/>
          </w:tcPr>
          <w:p w14:paraId="0448220F" w14:textId="77777777" w:rsidR="003F5418" w:rsidRDefault="002A6C25">
            <w:pPr>
              <w:pStyle w:val="P68B1DB1-Normal4"/>
              <w:jc w:val="center"/>
              <w:rPr>
                <w:noProof/>
              </w:rPr>
            </w:pPr>
            <w:r>
              <w:rPr>
                <w:noProof/>
              </w:rPr>
              <w:t xml:space="preserve">A </w:t>
            </w:r>
            <w:r>
              <w:rPr>
                <w:noProof/>
              </w:rPr>
              <w:t>következő projektekre vonatkozó szerződések odaítélése: a kutatási és innovációs infrastruktúrák integrált rendszere</w:t>
            </w:r>
          </w:p>
        </w:tc>
        <w:tc>
          <w:tcPr>
            <w:tcW w:w="1275" w:type="dxa"/>
            <w:shd w:val="clear" w:color="auto" w:fill="C6EFCE"/>
            <w:noWrap/>
            <w:vAlign w:val="center"/>
            <w:hideMark/>
          </w:tcPr>
          <w:p w14:paraId="5E4F5DEF" w14:textId="77777777" w:rsidR="003F5418" w:rsidRDefault="002A6C25">
            <w:pPr>
              <w:pStyle w:val="P68B1DB1-Normal4"/>
              <w:jc w:val="center"/>
              <w:rPr>
                <w:noProof/>
              </w:rPr>
            </w:pPr>
            <w:r>
              <w:rPr>
                <w:noProof/>
              </w:rPr>
              <w:t>Értesítés a szerződések odaítéléséről</w:t>
            </w:r>
          </w:p>
        </w:tc>
        <w:tc>
          <w:tcPr>
            <w:tcW w:w="1134" w:type="dxa"/>
            <w:shd w:val="clear" w:color="auto" w:fill="C6EFCE"/>
            <w:noWrap/>
            <w:vAlign w:val="center"/>
            <w:hideMark/>
          </w:tcPr>
          <w:p w14:paraId="25D3746A"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3C25D123"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11D50243"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33C46FF3"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2078C2E" w14:textId="77777777" w:rsidR="003F5418" w:rsidRDefault="002A6C25">
            <w:pPr>
              <w:pStyle w:val="P68B1DB1-Normal4"/>
              <w:jc w:val="center"/>
              <w:rPr>
                <w:noProof/>
              </w:rPr>
            </w:pPr>
            <w:r>
              <w:rPr>
                <w:noProof/>
              </w:rPr>
              <w:t>2022</w:t>
            </w:r>
          </w:p>
        </w:tc>
        <w:tc>
          <w:tcPr>
            <w:tcW w:w="3686" w:type="dxa"/>
            <w:shd w:val="clear" w:color="auto" w:fill="C6EFCE"/>
            <w:noWrap/>
            <w:vAlign w:val="center"/>
            <w:hideMark/>
          </w:tcPr>
          <w:p w14:paraId="46997E74" w14:textId="77777777" w:rsidR="003F5418" w:rsidRDefault="002A6C25">
            <w:pPr>
              <w:pStyle w:val="P68B1DB1-Normal4"/>
              <w:spacing w:after="120"/>
              <w:jc w:val="both"/>
              <w:rPr>
                <w:noProof/>
              </w:rPr>
            </w:pPr>
            <w:r>
              <w:rPr>
                <w:noProof/>
              </w:rPr>
              <w:t>Értesítés a versenypályázati felhívások keretében kiválasztott projekteknek</w:t>
            </w:r>
            <w:r>
              <w:rPr>
                <w:noProof/>
              </w:rPr>
              <w:t xml:space="preserve"> a szerződések odaítéléséről a jelentős károkozás elkerülését célzó technikai iránymutatásnak (2021/C58/01) megfelelően, kizárási lista, valamint a vonatkozó uniós és nemzeti környezetvédelmi jogszabályoknak való megfelelés követelménye révén.</w:t>
            </w:r>
          </w:p>
          <w:p w14:paraId="0994F565" w14:textId="77777777" w:rsidR="003F5418" w:rsidRDefault="002A6C25">
            <w:pPr>
              <w:pStyle w:val="P68B1DB1-Normal4"/>
              <w:spacing w:after="120"/>
              <w:jc w:val="both"/>
              <w:rPr>
                <w:noProof/>
              </w:rPr>
            </w:pPr>
            <w:r>
              <w:rPr>
                <w:noProof/>
              </w:rPr>
              <w:t>A pályázatok</w:t>
            </w:r>
            <w:r>
              <w:rPr>
                <w:noProof/>
              </w:rPr>
              <w:t xml:space="preserve">at a következő kritériumok alapján kell kiválasztani: </w:t>
            </w:r>
          </w:p>
          <w:p w14:paraId="3296E195" w14:textId="77777777" w:rsidR="003F5418" w:rsidRDefault="002A6C25">
            <w:pPr>
              <w:pStyle w:val="P68B1DB1-Normal4"/>
              <w:spacing w:after="120"/>
              <w:jc w:val="both"/>
              <w:rPr>
                <w:noProof/>
              </w:rPr>
            </w:pPr>
            <w:r>
              <w:rPr>
                <w:noProof/>
              </w:rPr>
              <w:t>tudományos/technológiai/innovációs vezető szerep, innovációs potenciáljuk (mind a nyílt innováció/nyílt adatok, mind a szellemi tulajdont képező fejlesztések tekintetében), a tematikus területeknek val</w:t>
            </w:r>
            <w:r>
              <w:rPr>
                <w:noProof/>
              </w:rPr>
              <w:t>ó megfelelésük vagy az új forradalmi fejlesztések, transzlációs és innovációs terveik, az ipar által a nyílt innovációban partnerként és/vagy felhasználóként nyújtott támogatás, a vállalkozásfejlesztési tevékenységek ereje, a szellemi tulajdon létrehozása,</w:t>
            </w:r>
            <w:r>
              <w:rPr>
                <w:noProof/>
              </w:rPr>
              <w:t xml:space="preserve"> a nyílt és védett output- és engedélyezési tervek megkülönböztetésére vonatkozó egyértelmű szabályok, az ipari doktori állások fejlesztésére és befogadására való képességük, a vállalkozással vagy más típusú alapokkal való kapcsolat az új induló vállalkozá</w:t>
            </w:r>
            <w:r>
              <w:rPr>
                <w:noProof/>
              </w:rPr>
              <w:t>sok fejlesztésének megkönnyítése érdekében.</w:t>
            </w:r>
          </w:p>
          <w:p w14:paraId="6158EC51" w14:textId="77777777" w:rsidR="003F5418" w:rsidRDefault="002A6C25">
            <w:pPr>
              <w:pStyle w:val="P68B1DB1-Normal4"/>
              <w:spacing w:after="120"/>
              <w:jc w:val="both"/>
              <w:rPr>
                <w:noProof/>
              </w:rPr>
            </w:pPr>
            <w:r>
              <w:rPr>
                <w:noProof/>
              </w:rPr>
              <w:t>A kiválasztási eljáráshoz DNSH-értékelésre és adott esetben stratégiai környezeti vizsgálatra (SKV) van szükség, amennyiben a projekt várhatóan következetes hatást gyakorol a területre.</w:t>
            </w:r>
          </w:p>
        </w:tc>
      </w:tr>
      <w:tr w:rsidR="003F5418" w14:paraId="41EE434F" w14:textId="77777777">
        <w:trPr>
          <w:trHeight w:val="313"/>
        </w:trPr>
        <w:tc>
          <w:tcPr>
            <w:tcW w:w="1135" w:type="dxa"/>
            <w:shd w:val="clear" w:color="auto" w:fill="C6EFCE"/>
            <w:noWrap/>
            <w:vAlign w:val="center"/>
          </w:tcPr>
          <w:p w14:paraId="521993A0" w14:textId="77777777" w:rsidR="003F5418" w:rsidRDefault="002A6C25">
            <w:pPr>
              <w:pStyle w:val="P68B1DB1-Normal4"/>
              <w:spacing w:after="120"/>
              <w:jc w:val="center"/>
              <w:rPr>
                <w:noProof/>
              </w:rPr>
            </w:pPr>
            <w:r>
              <w:rPr>
                <w:noProof/>
              </w:rPr>
              <w:t>M4C2–18</w:t>
            </w:r>
          </w:p>
        </w:tc>
        <w:tc>
          <w:tcPr>
            <w:tcW w:w="1419" w:type="dxa"/>
            <w:shd w:val="clear" w:color="auto" w:fill="C6EFCE"/>
            <w:noWrap/>
            <w:vAlign w:val="center"/>
          </w:tcPr>
          <w:p w14:paraId="3A413618" w14:textId="77777777" w:rsidR="003F5418" w:rsidRDefault="002A6C25">
            <w:pPr>
              <w:pStyle w:val="P68B1DB1-Normal4"/>
              <w:spacing w:after="120"/>
              <w:jc w:val="center"/>
              <w:rPr>
                <w:noProof/>
              </w:rPr>
            </w:pPr>
            <w:r>
              <w:rPr>
                <w:noProof/>
              </w:rPr>
              <w:t xml:space="preserve">Vizsgálat1.5: „A </w:t>
            </w:r>
            <w:r>
              <w:rPr>
                <w:noProof/>
              </w:rPr>
              <w:t>fenntarthatóságot szolgáló innovációs ökoszisztémák” létrehozása és megerősítése, „területi vezető K+F” kiépítése</w:t>
            </w:r>
          </w:p>
        </w:tc>
        <w:tc>
          <w:tcPr>
            <w:tcW w:w="1132" w:type="dxa"/>
            <w:shd w:val="clear" w:color="auto" w:fill="C6EFCE"/>
            <w:noWrap/>
            <w:vAlign w:val="center"/>
          </w:tcPr>
          <w:p w14:paraId="72C50FCE"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0CFC50EB" w14:textId="77777777" w:rsidR="003F5418" w:rsidRDefault="002A6C25">
            <w:pPr>
              <w:pStyle w:val="P68B1DB1-Normal4"/>
              <w:spacing w:after="120"/>
              <w:jc w:val="center"/>
              <w:rPr>
                <w:noProof/>
              </w:rPr>
            </w:pPr>
            <w:r>
              <w:rPr>
                <w:noProof/>
              </w:rPr>
              <w:t>Az innovációs ökoszisztémákkal kapcsolatos projektekre vonatkozó szerződések odaítélése;</w:t>
            </w:r>
          </w:p>
        </w:tc>
        <w:tc>
          <w:tcPr>
            <w:tcW w:w="1275" w:type="dxa"/>
            <w:shd w:val="clear" w:color="auto" w:fill="C6EFCE"/>
            <w:noWrap/>
            <w:vAlign w:val="center"/>
          </w:tcPr>
          <w:p w14:paraId="46B8FD3F" w14:textId="77777777" w:rsidR="003F5418" w:rsidRDefault="002A6C25">
            <w:pPr>
              <w:pStyle w:val="P68B1DB1-Normal4"/>
              <w:spacing w:after="120"/>
              <w:jc w:val="center"/>
              <w:rPr>
                <w:noProof/>
              </w:rPr>
            </w:pPr>
            <w:r>
              <w:rPr>
                <w:noProof/>
              </w:rPr>
              <w:t>Értesítés a szerződések odaítéléséről</w:t>
            </w:r>
          </w:p>
        </w:tc>
        <w:tc>
          <w:tcPr>
            <w:tcW w:w="1134" w:type="dxa"/>
            <w:shd w:val="clear" w:color="auto" w:fill="C6EFCE"/>
            <w:noWrap/>
            <w:vAlign w:val="center"/>
          </w:tcPr>
          <w:p w14:paraId="41D8245E" w14:textId="77777777" w:rsidR="003F5418" w:rsidRDefault="002A6C25">
            <w:pPr>
              <w:pStyle w:val="P68B1DB1-Normal4"/>
              <w:spacing w:after="120"/>
              <w:jc w:val="center"/>
              <w:rPr>
                <w:noProof/>
              </w:rPr>
            </w:pPr>
            <w:r>
              <w:rPr>
                <w:noProof/>
              </w:rPr>
              <w:t>NINCS</w:t>
            </w:r>
          </w:p>
        </w:tc>
        <w:tc>
          <w:tcPr>
            <w:tcW w:w="993" w:type="dxa"/>
            <w:shd w:val="clear" w:color="auto" w:fill="C6EFCE"/>
            <w:noWrap/>
            <w:vAlign w:val="center"/>
          </w:tcPr>
          <w:p w14:paraId="1BF7F2C2" w14:textId="77777777" w:rsidR="003F5418" w:rsidRDefault="002A6C25">
            <w:pPr>
              <w:pStyle w:val="P68B1DB1-Normal4"/>
              <w:spacing w:after="120"/>
              <w:jc w:val="center"/>
              <w:rPr>
                <w:noProof/>
              </w:rPr>
            </w:pPr>
            <w:r>
              <w:rPr>
                <w:noProof/>
              </w:rPr>
              <w:t>NINCS</w:t>
            </w:r>
          </w:p>
        </w:tc>
        <w:tc>
          <w:tcPr>
            <w:tcW w:w="1275" w:type="dxa"/>
            <w:shd w:val="clear" w:color="auto" w:fill="C6EFCE"/>
            <w:noWrap/>
            <w:vAlign w:val="center"/>
          </w:tcPr>
          <w:p w14:paraId="1228B054" w14:textId="77777777" w:rsidR="003F5418" w:rsidRDefault="002A6C25">
            <w:pPr>
              <w:pStyle w:val="P68B1DB1-Normal4"/>
              <w:spacing w:after="120"/>
              <w:jc w:val="center"/>
              <w:rPr>
                <w:noProof/>
              </w:rPr>
            </w:pPr>
            <w:r>
              <w:rPr>
                <w:noProof/>
              </w:rPr>
              <w:t>NINCS</w:t>
            </w:r>
          </w:p>
        </w:tc>
        <w:tc>
          <w:tcPr>
            <w:tcW w:w="993" w:type="dxa"/>
            <w:shd w:val="clear" w:color="auto" w:fill="C6EFCE"/>
            <w:noWrap/>
            <w:vAlign w:val="center"/>
          </w:tcPr>
          <w:p w14:paraId="3E0154AB" w14:textId="77777777" w:rsidR="003F5418" w:rsidRDefault="002A6C25">
            <w:pPr>
              <w:pStyle w:val="P68B1DB1-Normal4"/>
              <w:spacing w:after="120"/>
              <w:jc w:val="center"/>
              <w:rPr>
                <w:noProof/>
              </w:rPr>
            </w:pPr>
            <w:r>
              <w:rPr>
                <w:noProof/>
              </w:rPr>
              <w:t>Q2</w:t>
            </w:r>
          </w:p>
        </w:tc>
        <w:tc>
          <w:tcPr>
            <w:tcW w:w="708" w:type="dxa"/>
            <w:shd w:val="clear" w:color="auto" w:fill="C6EFCE"/>
            <w:noWrap/>
            <w:vAlign w:val="center"/>
          </w:tcPr>
          <w:p w14:paraId="5419E8E8" w14:textId="77777777" w:rsidR="003F5418" w:rsidRDefault="002A6C25">
            <w:pPr>
              <w:pStyle w:val="P68B1DB1-Normal4"/>
              <w:spacing w:after="120"/>
              <w:jc w:val="center"/>
              <w:rPr>
                <w:noProof/>
              </w:rPr>
            </w:pPr>
            <w:r>
              <w:rPr>
                <w:noProof/>
              </w:rPr>
              <w:t>2022</w:t>
            </w:r>
          </w:p>
        </w:tc>
        <w:tc>
          <w:tcPr>
            <w:tcW w:w="3686" w:type="dxa"/>
            <w:shd w:val="clear" w:color="auto" w:fill="C6EFCE"/>
            <w:noWrap/>
            <w:vAlign w:val="center"/>
          </w:tcPr>
          <w:p w14:paraId="0108DC62" w14:textId="77777777" w:rsidR="003F5418" w:rsidRDefault="002A6C25">
            <w:pPr>
              <w:pStyle w:val="P68B1DB1-Normal4"/>
              <w:spacing w:after="120"/>
              <w:jc w:val="both"/>
              <w:rPr>
                <w:noProof/>
              </w:rPr>
            </w:pPr>
            <w:r>
              <w:rPr>
                <w:noProof/>
              </w:rPr>
              <w:t>Értesítés a versenypályázati felhívások keretében kiválasztott projekteknek a szerződések odaítéléséről a jelentős károkozás elkerülését célzó technikai iránymutatásnak (2021/C58/01) megfelelően, kizárási lista, valamint a vonatkozó un</w:t>
            </w:r>
            <w:r>
              <w:rPr>
                <w:noProof/>
              </w:rPr>
              <w:t>iós és nemzeti környezetvédelmi jogszabályoknak való megfelelés követelménye révén.</w:t>
            </w:r>
          </w:p>
          <w:p w14:paraId="4BFB55BF" w14:textId="77777777" w:rsidR="003F5418" w:rsidRDefault="002A6C25">
            <w:pPr>
              <w:pStyle w:val="P68B1DB1-Normal4"/>
              <w:spacing w:after="120"/>
              <w:jc w:val="both"/>
              <w:rPr>
                <w:noProof/>
              </w:rPr>
            </w:pPr>
            <w:r>
              <w:rPr>
                <w:noProof/>
              </w:rPr>
              <w:t>A kiválasztási eljáráshoz DNSH-értékelésre és adott esetben stratégiai környezeti vizsgálatra (SKV) van szükség, amennyiben a projekt várhatóan következetes hatást gyakorol</w:t>
            </w:r>
            <w:r>
              <w:rPr>
                <w:noProof/>
              </w:rPr>
              <w:t xml:space="preserve"> a területre.</w:t>
            </w:r>
          </w:p>
          <w:p w14:paraId="0415586F" w14:textId="77777777" w:rsidR="003F5418" w:rsidRDefault="002A6C25">
            <w:pPr>
              <w:pStyle w:val="P68B1DB1-Normal4"/>
              <w:spacing w:after="120"/>
              <w:jc w:val="both"/>
              <w:rPr>
                <w:noProof/>
              </w:rPr>
            </w:pPr>
            <w:r>
              <w:rPr>
                <w:noProof/>
              </w:rPr>
              <w:t>A nemzeti központokat versenyfelhívást követően kell létrehozni az egyetemeken már jelen lévő világvezető laboratóriumok, valamint az állami és magán kutatóközpontok összevonásával, valamint új egyedi infrastruktúra létrehozásával.</w:t>
            </w:r>
          </w:p>
        </w:tc>
      </w:tr>
      <w:tr w:rsidR="003F5418" w14:paraId="7B533243" w14:textId="77777777">
        <w:trPr>
          <w:trHeight w:val="313"/>
        </w:trPr>
        <w:tc>
          <w:tcPr>
            <w:tcW w:w="1135" w:type="dxa"/>
            <w:shd w:val="clear" w:color="auto" w:fill="C6EFCE"/>
            <w:noWrap/>
            <w:vAlign w:val="center"/>
          </w:tcPr>
          <w:p w14:paraId="6C99153F" w14:textId="77777777" w:rsidR="003F5418" w:rsidRDefault="002A6C25">
            <w:pPr>
              <w:pStyle w:val="P68B1DB1-Normal4"/>
              <w:jc w:val="center"/>
              <w:rPr>
                <w:noProof/>
              </w:rPr>
            </w:pPr>
            <w:r>
              <w:rPr>
                <w:noProof/>
              </w:rPr>
              <w:t xml:space="preserve">M4C2–18 </w:t>
            </w:r>
            <w:r>
              <w:rPr>
                <w:noProof/>
              </w:rPr>
              <w:t>Bis</w:t>
            </w:r>
          </w:p>
        </w:tc>
        <w:tc>
          <w:tcPr>
            <w:tcW w:w="1419" w:type="dxa"/>
            <w:shd w:val="clear" w:color="auto" w:fill="C6EFCE"/>
            <w:noWrap/>
            <w:vAlign w:val="center"/>
          </w:tcPr>
          <w:p w14:paraId="47D11323" w14:textId="77777777" w:rsidR="003F5418" w:rsidRDefault="002A6C25">
            <w:pPr>
              <w:pStyle w:val="P68B1DB1-Normal4"/>
              <w:jc w:val="center"/>
              <w:rPr>
                <w:noProof/>
              </w:rPr>
            </w:pPr>
            <w:r>
              <w:rPr>
                <w:noProof/>
              </w:rPr>
              <w:t>Vizsgálat1.5: „A fenntarthatóságot szolgáló innovációs ökoszisztémák” létrehozása és megerősítése, „területi vezető K+F” kiépítése</w:t>
            </w:r>
          </w:p>
        </w:tc>
        <w:tc>
          <w:tcPr>
            <w:tcW w:w="1132" w:type="dxa"/>
            <w:shd w:val="clear" w:color="auto" w:fill="C6EFCE"/>
            <w:noWrap/>
            <w:vAlign w:val="center"/>
          </w:tcPr>
          <w:p w14:paraId="3AD80C4B" w14:textId="77777777" w:rsidR="003F5418" w:rsidRDefault="002A6C25">
            <w:pPr>
              <w:pStyle w:val="P68B1DB1-Normal4"/>
              <w:jc w:val="center"/>
              <w:rPr>
                <w:noProof/>
              </w:rPr>
            </w:pPr>
            <w:r>
              <w:rPr>
                <w:noProof/>
              </w:rPr>
              <w:t>Cél</w:t>
            </w:r>
          </w:p>
        </w:tc>
        <w:tc>
          <w:tcPr>
            <w:tcW w:w="1418" w:type="dxa"/>
            <w:shd w:val="clear" w:color="auto" w:fill="C6EFCE"/>
            <w:noWrap/>
            <w:vAlign w:val="center"/>
          </w:tcPr>
          <w:p w14:paraId="0D5C6647" w14:textId="77777777" w:rsidR="003F5418" w:rsidRDefault="002A6C25">
            <w:pPr>
              <w:pStyle w:val="P68B1DB1-Normal4"/>
              <w:jc w:val="center"/>
              <w:rPr>
                <w:noProof/>
              </w:rPr>
            </w:pPr>
            <w:r>
              <w:rPr>
                <w:noProof/>
              </w:rPr>
              <w:t>Az innovációs ökoszisztémák által végrehajtott tevékenységek</w:t>
            </w:r>
          </w:p>
        </w:tc>
        <w:tc>
          <w:tcPr>
            <w:tcW w:w="1275" w:type="dxa"/>
            <w:shd w:val="clear" w:color="auto" w:fill="C6EFCE"/>
            <w:noWrap/>
            <w:vAlign w:val="center"/>
          </w:tcPr>
          <w:p w14:paraId="2CCC5AC8" w14:textId="77777777" w:rsidR="003F5418" w:rsidRDefault="002A6C25">
            <w:pPr>
              <w:pStyle w:val="P68B1DB1-Normal4"/>
              <w:jc w:val="center"/>
              <w:rPr>
                <w:noProof/>
              </w:rPr>
            </w:pPr>
            <w:r>
              <w:rPr>
                <w:noProof/>
              </w:rPr>
              <w:t>TÁRGYTALAN.</w:t>
            </w:r>
          </w:p>
        </w:tc>
        <w:tc>
          <w:tcPr>
            <w:tcW w:w="1134" w:type="dxa"/>
            <w:shd w:val="clear" w:color="auto" w:fill="C6EFCE"/>
            <w:noWrap/>
            <w:vAlign w:val="center"/>
          </w:tcPr>
          <w:p w14:paraId="36C36BD8" w14:textId="77777777" w:rsidR="003F5418" w:rsidRDefault="002A6C25">
            <w:pPr>
              <w:pStyle w:val="P68B1DB1-Normal4"/>
              <w:jc w:val="center"/>
              <w:rPr>
                <w:noProof/>
              </w:rPr>
            </w:pPr>
            <w:r>
              <w:rPr>
                <w:noProof/>
              </w:rPr>
              <w:t>Szám</w:t>
            </w:r>
          </w:p>
        </w:tc>
        <w:tc>
          <w:tcPr>
            <w:tcW w:w="993" w:type="dxa"/>
            <w:shd w:val="clear" w:color="auto" w:fill="C6EFCE"/>
            <w:noWrap/>
            <w:vAlign w:val="center"/>
          </w:tcPr>
          <w:p w14:paraId="020D185C" w14:textId="77777777" w:rsidR="003F5418" w:rsidRDefault="002A6C25">
            <w:pPr>
              <w:pStyle w:val="P68B1DB1-Normal4"/>
              <w:jc w:val="center"/>
              <w:rPr>
                <w:noProof/>
              </w:rPr>
            </w:pPr>
            <w:r>
              <w:rPr>
                <w:noProof/>
              </w:rPr>
              <w:t>0</w:t>
            </w:r>
          </w:p>
        </w:tc>
        <w:tc>
          <w:tcPr>
            <w:tcW w:w="1275" w:type="dxa"/>
            <w:shd w:val="clear" w:color="auto" w:fill="C6EFCE"/>
            <w:noWrap/>
            <w:vAlign w:val="center"/>
          </w:tcPr>
          <w:p w14:paraId="4B6C418F" w14:textId="77777777" w:rsidR="003F5418" w:rsidRDefault="002A6C25">
            <w:pPr>
              <w:pStyle w:val="P68B1DB1-Normal4"/>
              <w:jc w:val="center"/>
              <w:rPr>
                <w:noProof/>
              </w:rPr>
            </w:pPr>
            <w:r>
              <w:rPr>
                <w:noProof/>
              </w:rPr>
              <w:t>10</w:t>
            </w:r>
          </w:p>
        </w:tc>
        <w:tc>
          <w:tcPr>
            <w:tcW w:w="993" w:type="dxa"/>
            <w:shd w:val="clear" w:color="auto" w:fill="C6EFCE"/>
            <w:noWrap/>
            <w:vAlign w:val="center"/>
          </w:tcPr>
          <w:p w14:paraId="131BF760"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32EDE1FC" w14:textId="77777777" w:rsidR="003F5418" w:rsidRDefault="002A6C25">
            <w:pPr>
              <w:pStyle w:val="P68B1DB1-Normal4"/>
              <w:jc w:val="center"/>
              <w:rPr>
                <w:noProof/>
              </w:rPr>
            </w:pPr>
            <w:r>
              <w:rPr>
                <w:noProof/>
              </w:rPr>
              <w:t>2026</w:t>
            </w:r>
          </w:p>
        </w:tc>
        <w:tc>
          <w:tcPr>
            <w:tcW w:w="3686" w:type="dxa"/>
            <w:shd w:val="clear" w:color="auto" w:fill="C6EFCE"/>
            <w:noWrap/>
            <w:vAlign w:val="center"/>
          </w:tcPr>
          <w:p w14:paraId="6B035EA8" w14:textId="77777777" w:rsidR="003F5418" w:rsidRDefault="002A6C25">
            <w:pPr>
              <w:pStyle w:val="P68B1DB1-Normal4"/>
              <w:jc w:val="both"/>
              <w:rPr>
                <w:noProof/>
              </w:rPr>
            </w:pPr>
            <w:r>
              <w:rPr>
                <w:noProof/>
              </w:rPr>
              <w:t xml:space="preserve">Legalább 10 innovációs </w:t>
            </w:r>
            <w:r>
              <w:rPr>
                <w:noProof/>
              </w:rPr>
              <w:t>ökoszisztéma befejezte a vonatkozó projektfelhívásban meghatározott tevékenységeit.</w:t>
            </w:r>
          </w:p>
        </w:tc>
      </w:tr>
      <w:tr w:rsidR="003F5418" w14:paraId="51463E3E" w14:textId="77777777">
        <w:trPr>
          <w:trHeight w:val="313"/>
        </w:trPr>
        <w:tc>
          <w:tcPr>
            <w:tcW w:w="1135" w:type="dxa"/>
            <w:shd w:val="clear" w:color="auto" w:fill="C6EFCE"/>
            <w:noWrap/>
            <w:vAlign w:val="center"/>
          </w:tcPr>
          <w:p w14:paraId="41BC2F72" w14:textId="77777777" w:rsidR="003F5418" w:rsidRDefault="002A6C25">
            <w:pPr>
              <w:pStyle w:val="P68B1DB1-Normal4"/>
              <w:jc w:val="center"/>
              <w:rPr>
                <w:noProof/>
              </w:rPr>
            </w:pPr>
            <w:r>
              <w:rPr>
                <w:noProof/>
              </w:rPr>
              <w:t>M4C2–19</w:t>
            </w:r>
          </w:p>
        </w:tc>
        <w:tc>
          <w:tcPr>
            <w:tcW w:w="1419" w:type="dxa"/>
            <w:shd w:val="clear" w:color="auto" w:fill="C6EFCE"/>
            <w:noWrap/>
            <w:vAlign w:val="center"/>
          </w:tcPr>
          <w:p w14:paraId="6B751309" w14:textId="77777777" w:rsidR="003F5418" w:rsidRDefault="002A6C25">
            <w:pPr>
              <w:pStyle w:val="P68B1DB1-Normal4"/>
              <w:jc w:val="center"/>
              <w:rPr>
                <w:noProof/>
              </w:rPr>
            </w:pPr>
            <w:r>
              <w:rPr>
                <w:noProof/>
              </w:rPr>
              <w:t>Beruházás: A kutatási struktúrák megerősítése és a „nemzeti K+F-vezetők” létrehozásának támogatása egyes kulcsfontosságú alaptechnológiákkal kapcsolatban</w:t>
            </w:r>
          </w:p>
        </w:tc>
        <w:tc>
          <w:tcPr>
            <w:tcW w:w="1132" w:type="dxa"/>
            <w:shd w:val="clear" w:color="auto" w:fill="C6EFCE"/>
            <w:noWrap/>
            <w:vAlign w:val="center"/>
          </w:tcPr>
          <w:p w14:paraId="05682C52" w14:textId="77777777" w:rsidR="003F5418" w:rsidRDefault="002A6C25">
            <w:pPr>
              <w:pStyle w:val="P68B1DB1-Normal4"/>
              <w:jc w:val="center"/>
              <w:rPr>
                <w:noProof/>
              </w:rPr>
            </w:pPr>
            <w:r>
              <w:rPr>
                <w:noProof/>
              </w:rPr>
              <w:t>Mérföldkő</w:t>
            </w:r>
          </w:p>
        </w:tc>
        <w:tc>
          <w:tcPr>
            <w:tcW w:w="1418" w:type="dxa"/>
            <w:shd w:val="clear" w:color="auto" w:fill="C6EFCE"/>
            <w:noWrap/>
            <w:vAlign w:val="center"/>
          </w:tcPr>
          <w:p w14:paraId="0878F692" w14:textId="77777777" w:rsidR="003F5418" w:rsidRDefault="002A6C25">
            <w:pPr>
              <w:pStyle w:val="P68B1DB1-Normal4"/>
              <w:jc w:val="center"/>
              <w:rPr>
                <w:noProof/>
              </w:rPr>
            </w:pPr>
            <w:r>
              <w:rPr>
                <w:noProof/>
              </w:rPr>
              <w:t>A kulcsfontosságú alaptechnológiákkal kapcsolatos nemzeti K+F vezetőket érintő projektekre vonatkozó szerződések odaítélése</w:t>
            </w:r>
          </w:p>
        </w:tc>
        <w:tc>
          <w:tcPr>
            <w:tcW w:w="1275" w:type="dxa"/>
            <w:shd w:val="clear" w:color="auto" w:fill="C6EFCE"/>
            <w:noWrap/>
            <w:vAlign w:val="center"/>
          </w:tcPr>
          <w:p w14:paraId="2397FC08" w14:textId="77777777" w:rsidR="003F5418" w:rsidRDefault="002A6C25">
            <w:pPr>
              <w:pStyle w:val="P68B1DB1-Normal4"/>
              <w:jc w:val="center"/>
              <w:rPr>
                <w:noProof/>
              </w:rPr>
            </w:pPr>
            <w:r>
              <w:rPr>
                <w:noProof/>
              </w:rPr>
              <w:t>Értesítés a szerződések odaítéléséről</w:t>
            </w:r>
          </w:p>
        </w:tc>
        <w:tc>
          <w:tcPr>
            <w:tcW w:w="1134" w:type="dxa"/>
            <w:shd w:val="clear" w:color="auto" w:fill="C6EFCE"/>
            <w:noWrap/>
            <w:vAlign w:val="center"/>
          </w:tcPr>
          <w:p w14:paraId="18AC9334" w14:textId="77777777" w:rsidR="003F5418" w:rsidRDefault="002A6C25">
            <w:pPr>
              <w:pStyle w:val="P68B1DB1-Normal4"/>
              <w:jc w:val="center"/>
              <w:rPr>
                <w:noProof/>
              </w:rPr>
            </w:pPr>
            <w:r>
              <w:rPr>
                <w:noProof/>
              </w:rPr>
              <w:t>NINCS</w:t>
            </w:r>
          </w:p>
        </w:tc>
        <w:tc>
          <w:tcPr>
            <w:tcW w:w="993" w:type="dxa"/>
            <w:shd w:val="clear" w:color="auto" w:fill="C6EFCE"/>
            <w:noWrap/>
            <w:vAlign w:val="center"/>
          </w:tcPr>
          <w:p w14:paraId="2F97F2A1" w14:textId="77777777" w:rsidR="003F5418" w:rsidRDefault="002A6C25">
            <w:pPr>
              <w:pStyle w:val="P68B1DB1-Normal4"/>
              <w:jc w:val="center"/>
              <w:rPr>
                <w:noProof/>
              </w:rPr>
            </w:pPr>
            <w:r>
              <w:rPr>
                <w:noProof/>
              </w:rPr>
              <w:t>NINCS</w:t>
            </w:r>
          </w:p>
        </w:tc>
        <w:tc>
          <w:tcPr>
            <w:tcW w:w="1275" w:type="dxa"/>
            <w:shd w:val="clear" w:color="auto" w:fill="C6EFCE"/>
            <w:noWrap/>
            <w:vAlign w:val="center"/>
          </w:tcPr>
          <w:p w14:paraId="7343E1ED" w14:textId="77777777" w:rsidR="003F5418" w:rsidRDefault="002A6C25">
            <w:pPr>
              <w:pStyle w:val="P68B1DB1-Normal4"/>
              <w:jc w:val="center"/>
              <w:rPr>
                <w:noProof/>
              </w:rPr>
            </w:pPr>
            <w:r>
              <w:rPr>
                <w:noProof/>
              </w:rPr>
              <w:t>N</w:t>
            </w:r>
          </w:p>
        </w:tc>
        <w:tc>
          <w:tcPr>
            <w:tcW w:w="993" w:type="dxa"/>
            <w:shd w:val="clear" w:color="auto" w:fill="C6EFCE"/>
            <w:noWrap/>
            <w:vAlign w:val="center"/>
          </w:tcPr>
          <w:p w14:paraId="0E3F4054"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2B939A7A" w14:textId="77777777" w:rsidR="003F5418" w:rsidRDefault="002A6C25">
            <w:pPr>
              <w:pStyle w:val="P68B1DB1-Normal4"/>
              <w:jc w:val="center"/>
              <w:rPr>
                <w:noProof/>
              </w:rPr>
            </w:pPr>
            <w:r>
              <w:rPr>
                <w:noProof/>
              </w:rPr>
              <w:t>2022</w:t>
            </w:r>
          </w:p>
        </w:tc>
        <w:tc>
          <w:tcPr>
            <w:tcW w:w="3686" w:type="dxa"/>
            <w:shd w:val="clear" w:color="auto" w:fill="C6EFCE"/>
            <w:noWrap/>
            <w:vAlign w:val="center"/>
          </w:tcPr>
          <w:p w14:paraId="589A0A7E" w14:textId="77777777" w:rsidR="003F5418" w:rsidRDefault="002A6C25">
            <w:pPr>
              <w:pStyle w:val="P68B1DB1-Normal4"/>
              <w:spacing w:after="120"/>
              <w:jc w:val="both"/>
              <w:rPr>
                <w:noProof/>
              </w:rPr>
            </w:pPr>
            <w:r>
              <w:rPr>
                <w:noProof/>
              </w:rPr>
              <w:t xml:space="preserve">Értesítés a versenypályázati felhívások keretében kiválasztott </w:t>
            </w:r>
            <w:r>
              <w:rPr>
                <w:noProof/>
              </w:rPr>
              <w:t>projekteknek a szerződések odaítéléséről a jelentős károkozás elkerülését célzó technikai iránymutatásnak (2021/C58/01) megfelelően, kizárási lista, valamint a vonatkozó uniós és nemzeti környezetvédelmi jogszabályoknak való megfelelés követelménye révén.</w:t>
            </w:r>
          </w:p>
          <w:p w14:paraId="28916B40" w14:textId="77777777" w:rsidR="003F5418" w:rsidRDefault="002A6C25">
            <w:pPr>
              <w:pStyle w:val="P68B1DB1-Normal4"/>
              <w:spacing w:after="120"/>
              <w:jc w:val="both"/>
              <w:rPr>
                <w:noProof/>
              </w:rPr>
            </w:pPr>
            <w:r>
              <w:rPr>
                <w:noProof/>
              </w:rPr>
              <w:t>A projekteket a források 30%-át „Kutatási és innovációs folyamatok, technológiatranszfer és együttműködés az alacsony szén-dioxid-kibocsátású gazdaságra, az éghajlatváltozáshoz való alkalmazkodásra és az éghajlatváltozáshoz való alkalmazkodásra összpontosí</w:t>
            </w:r>
            <w:r>
              <w:rPr>
                <w:noProof/>
              </w:rPr>
              <w:t>tó vállalkozások között” (IF022) beavatkozásként, a források 15%-át pedig „Kutatási és innovációs folyamatok, technológiatranszfer és együttműködés a körforgásos gazdaságra összpontosító vállalkozások között” (IF023) beavatkozásként kell kiválasztani.</w:t>
            </w:r>
          </w:p>
          <w:p w14:paraId="6DCC4A2B" w14:textId="77777777" w:rsidR="003F5418" w:rsidRDefault="002A6C25">
            <w:pPr>
              <w:pStyle w:val="P68B1DB1-Normal4"/>
              <w:spacing w:after="120"/>
              <w:jc w:val="both"/>
              <w:rPr>
                <w:noProof/>
              </w:rPr>
            </w:pPr>
            <w:r>
              <w:rPr>
                <w:noProof/>
              </w:rPr>
              <w:t>A pr</w:t>
            </w:r>
            <w:r>
              <w:rPr>
                <w:noProof/>
              </w:rPr>
              <w:t>ojekteket megvalósíthatóságuk, fenntarthatóságuk, más forrásokból (például regionális alapokból) való összevonásuk, a termelő ágazat bevonása, a partnerek minősége, valamint a társadalmi és környezeti fenntarthatóságra gyakorolt hatásuk figyelembevételével</w:t>
            </w:r>
            <w:r>
              <w:rPr>
                <w:noProof/>
              </w:rPr>
              <w:t xml:space="preserve"> kell értékelni. A projektek innovációs ökoszisztémaként történő finanszírozására vonatkozó felhívás. A kiválasztási eljáráshoz DNSH-értékelésre és adott esetben stratégiai környezeti vizsgálatra (SKV) van szükség, amennyiben a projekt várhatóan következet</w:t>
            </w:r>
            <w:r>
              <w:rPr>
                <w:noProof/>
              </w:rPr>
              <w:t>es hatást gyakorol a területre.</w:t>
            </w:r>
          </w:p>
        </w:tc>
      </w:tr>
      <w:tr w:rsidR="003F5418" w14:paraId="73A2878D" w14:textId="77777777">
        <w:trPr>
          <w:trHeight w:val="313"/>
        </w:trPr>
        <w:tc>
          <w:tcPr>
            <w:tcW w:w="1135" w:type="dxa"/>
            <w:shd w:val="clear" w:color="auto" w:fill="C6EFCE"/>
            <w:noWrap/>
            <w:vAlign w:val="center"/>
            <w:hideMark/>
          </w:tcPr>
          <w:p w14:paraId="0ECEBCA6" w14:textId="77777777" w:rsidR="003F5418" w:rsidRDefault="002A6C25">
            <w:pPr>
              <w:pStyle w:val="P68B1DB1-Normal4"/>
              <w:jc w:val="center"/>
              <w:rPr>
                <w:noProof/>
              </w:rPr>
            </w:pPr>
            <w:r>
              <w:rPr>
                <w:noProof/>
              </w:rPr>
              <w:t>M4C2–20</w:t>
            </w:r>
          </w:p>
        </w:tc>
        <w:tc>
          <w:tcPr>
            <w:tcW w:w="1419" w:type="dxa"/>
            <w:shd w:val="clear" w:color="auto" w:fill="C6EFCE"/>
            <w:noWrap/>
            <w:vAlign w:val="center"/>
            <w:hideMark/>
          </w:tcPr>
          <w:p w14:paraId="2C27E3E7" w14:textId="77777777" w:rsidR="003F5418" w:rsidRDefault="002A6C25">
            <w:pPr>
              <w:pStyle w:val="P68B1DB1-Normal4"/>
              <w:jc w:val="center"/>
              <w:rPr>
                <w:noProof/>
              </w:rPr>
            </w:pPr>
            <w:r>
              <w:rPr>
                <w:noProof/>
              </w:rPr>
              <w:t>Beruházás: Induló vállalkozások finanszírozása</w:t>
            </w:r>
          </w:p>
        </w:tc>
        <w:tc>
          <w:tcPr>
            <w:tcW w:w="1132" w:type="dxa"/>
            <w:shd w:val="clear" w:color="auto" w:fill="C6EFCE"/>
            <w:noWrap/>
            <w:vAlign w:val="center"/>
            <w:hideMark/>
          </w:tcPr>
          <w:p w14:paraId="115EE638" w14:textId="77777777" w:rsidR="003F5418" w:rsidRDefault="002A6C25">
            <w:pPr>
              <w:pStyle w:val="P68B1DB1-Normal4"/>
              <w:jc w:val="center"/>
              <w:rPr>
                <w:noProof/>
              </w:rPr>
            </w:pPr>
            <w:r>
              <w:rPr>
                <w:noProof/>
              </w:rPr>
              <w:t>Mérföldkő</w:t>
            </w:r>
          </w:p>
        </w:tc>
        <w:tc>
          <w:tcPr>
            <w:tcW w:w="1418" w:type="dxa"/>
            <w:shd w:val="clear" w:color="auto" w:fill="C6EFCE"/>
            <w:noWrap/>
            <w:vAlign w:val="center"/>
            <w:hideMark/>
          </w:tcPr>
          <w:p w14:paraId="00B2A8E5" w14:textId="77777777" w:rsidR="003F5418" w:rsidRDefault="002A6C25">
            <w:pPr>
              <w:pStyle w:val="P68B1DB1-Normal4"/>
              <w:jc w:val="center"/>
              <w:rPr>
                <w:noProof/>
              </w:rPr>
            </w:pPr>
            <w:r>
              <w:rPr>
                <w:noProof/>
              </w:rPr>
              <w:t>Aláírt megállapodás az informatikai kormány és a végrehajtó partner, a Cassa Depositi e Prestiti (CDP) között a pénzügyi eszköz létrehozásáról</w:t>
            </w:r>
          </w:p>
        </w:tc>
        <w:tc>
          <w:tcPr>
            <w:tcW w:w="1275" w:type="dxa"/>
            <w:shd w:val="clear" w:color="auto" w:fill="C6EFCE"/>
            <w:noWrap/>
            <w:vAlign w:val="center"/>
            <w:hideMark/>
          </w:tcPr>
          <w:p w14:paraId="610615A8" w14:textId="77777777" w:rsidR="003F5418" w:rsidRDefault="002A6C25">
            <w:pPr>
              <w:pStyle w:val="P68B1DB1-Normal4"/>
              <w:jc w:val="center"/>
              <w:rPr>
                <w:noProof/>
              </w:rPr>
            </w:pPr>
            <w:r>
              <w:rPr>
                <w:noProof/>
              </w:rPr>
              <w:t>A megállapodást</w:t>
            </w:r>
            <w:r>
              <w:rPr>
                <w:noProof/>
              </w:rPr>
              <w:t xml:space="preserve"> az olasz kormány és a Cassa Depositi e Prestiti írta alá.</w:t>
            </w:r>
          </w:p>
        </w:tc>
        <w:tc>
          <w:tcPr>
            <w:tcW w:w="1134" w:type="dxa"/>
            <w:shd w:val="clear" w:color="auto" w:fill="C6EFCE"/>
            <w:noWrap/>
            <w:vAlign w:val="center"/>
            <w:hideMark/>
          </w:tcPr>
          <w:p w14:paraId="4179BE46"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76856C7A"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779F777B" w14:textId="77777777" w:rsidR="003F5418" w:rsidRDefault="002A6C25">
            <w:pPr>
              <w:pStyle w:val="P68B1DB1-Normal4"/>
              <w:jc w:val="center"/>
              <w:rPr>
                <w:noProof/>
              </w:rPr>
            </w:pPr>
            <w:r>
              <w:rPr>
                <w:noProof/>
              </w:rPr>
              <w:t>NINCS</w:t>
            </w:r>
          </w:p>
        </w:tc>
        <w:tc>
          <w:tcPr>
            <w:tcW w:w="993" w:type="dxa"/>
            <w:shd w:val="clear" w:color="auto" w:fill="C6EFCE"/>
            <w:noWrap/>
            <w:vAlign w:val="center"/>
            <w:hideMark/>
          </w:tcPr>
          <w:p w14:paraId="3BB7B0EE"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110B6F0F" w14:textId="77777777" w:rsidR="003F5418" w:rsidRDefault="002A6C25">
            <w:pPr>
              <w:pStyle w:val="P68B1DB1-Normal4"/>
              <w:jc w:val="center"/>
              <w:rPr>
                <w:noProof/>
              </w:rPr>
            </w:pPr>
            <w:r>
              <w:rPr>
                <w:noProof/>
              </w:rPr>
              <w:t>2022</w:t>
            </w:r>
          </w:p>
        </w:tc>
        <w:tc>
          <w:tcPr>
            <w:tcW w:w="3686" w:type="dxa"/>
            <w:shd w:val="clear" w:color="auto" w:fill="C6EFCE"/>
            <w:noWrap/>
            <w:vAlign w:val="center"/>
            <w:hideMark/>
          </w:tcPr>
          <w:p w14:paraId="7EB048B2" w14:textId="77777777" w:rsidR="003F5418" w:rsidRDefault="002A6C25">
            <w:pPr>
              <w:pStyle w:val="P68B1DB1-Normal4"/>
              <w:jc w:val="both"/>
              <w:rPr>
                <w:noProof/>
              </w:rPr>
            </w:pPr>
            <w:r>
              <w:rPr>
                <w:noProof/>
              </w:rPr>
              <w:t>A pénzügyi eszköz befektetési politikájába/stratégiájába beépítendő elemek a következők:</w:t>
            </w:r>
          </w:p>
          <w:p w14:paraId="4BE1C1FC"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Beruházási célok (az alap mérete, a műveletek száma, a támogatandó összegek </w:t>
            </w:r>
            <w:r>
              <w:rPr>
                <w:rFonts w:ascii="Arial Narrow" w:hAnsi="Arial Narrow"/>
                <w:noProof/>
                <w:color w:val="006100"/>
                <w:sz w:val="20"/>
              </w:rPr>
              <w:t>kedvezményezettek, például kkv-k és közepes piaci tőkeértékű vállalatok/nagyvállalkozások szerinti bontásban)</w:t>
            </w:r>
          </w:p>
          <w:p w14:paraId="2EDBBAFD"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Alkalmazási kör és támogatható kedvezményezettek</w:t>
            </w:r>
          </w:p>
          <w:p w14:paraId="3EA1389A"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Támogatható pénzügyi közvetítők és kiválasztási eljárás</w:t>
            </w:r>
          </w:p>
          <w:p w14:paraId="4A054ABB"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nyújtott támogatás típusa (példáu</w:t>
            </w:r>
            <w:r>
              <w:rPr>
                <w:rFonts w:ascii="Arial Narrow" w:hAnsi="Arial Narrow"/>
                <w:noProof/>
                <w:color w:val="006100"/>
                <w:sz w:val="20"/>
              </w:rPr>
              <w:t>l garanciák, hitelek, saját tőke és kvázi-sajáttőke)</w:t>
            </w:r>
          </w:p>
          <w:p w14:paraId="4810B928"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Célzott kockázat/nyereség az egyes befektetőtípusok esetében</w:t>
            </w:r>
          </w:p>
          <w:p w14:paraId="449C0979"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Kockázati politika és pénzmosás elleni politika</w:t>
            </w:r>
          </w:p>
          <w:p w14:paraId="31244DE9"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Irányítás (partnerek, alapkezelők, igazgatótanács, beruházási bizottság, szerep és felel</w:t>
            </w:r>
            <w:r>
              <w:rPr>
                <w:rFonts w:ascii="Arial Narrow" w:hAnsi="Arial Narrow"/>
                <w:noProof/>
                <w:color w:val="006100"/>
                <w:sz w:val="20"/>
              </w:rPr>
              <w:t>ősségi körök)</w:t>
            </w:r>
          </w:p>
          <w:p w14:paraId="58CDAD26"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Diverzifikáció és koncentrációs határértékek</w:t>
            </w:r>
          </w:p>
          <w:p w14:paraId="65786BE9" w14:textId="77777777" w:rsidR="003F5418" w:rsidRDefault="002A6C25">
            <w:pPr>
              <w:ind w:left="176" w:hanging="176"/>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Sajáttőke-politika, beleértve a tőkebefektetésekre vonatkozó kilépési stratégiát</w:t>
            </w:r>
          </w:p>
          <w:p w14:paraId="57D0B311" w14:textId="77777777" w:rsidR="003F5418" w:rsidRDefault="002A6C25">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DNSH és fenntarthatósági vizsgálat politikája és kizárási lista</w:t>
            </w:r>
          </w:p>
          <w:p w14:paraId="7C7282D1" w14:textId="77777777" w:rsidR="003F5418" w:rsidRDefault="002A6C25">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 xml:space="preserve">A hitelviszonyt megtestesítő befektetésekre </w:t>
            </w:r>
            <w:r>
              <w:rPr>
                <w:rFonts w:ascii="Arial Narrow" w:hAnsi="Arial Narrow"/>
                <w:noProof/>
                <w:color w:val="006100"/>
                <w:sz w:val="20"/>
              </w:rPr>
              <w:t>vonatkozó hitelezési politika, beleértve a szükséges garanciákat és biztosítékokat</w:t>
            </w:r>
          </w:p>
          <w:p w14:paraId="50117E7E" w14:textId="77777777" w:rsidR="003F5418" w:rsidRDefault="002A6C25">
            <w:pPr>
              <w:ind w:left="176" w:hanging="142"/>
              <w:jc w:val="both"/>
              <w:rPr>
                <w:rFonts w:ascii="Arial Narrow" w:hAnsi="Arial Narrow"/>
                <w:noProof/>
                <w:color w:val="006100"/>
                <w:sz w:val="20"/>
              </w:rPr>
            </w:pPr>
            <w:r>
              <w:rPr>
                <w:rFonts w:ascii="Arial Narrow" w:hAnsi="Arial Narrow"/>
                <w:noProof/>
                <w:color w:val="006100"/>
                <w:sz w:val="20"/>
              </w:rPr>
              <w:t>-</w:t>
            </w:r>
            <w:r>
              <w:rPr>
                <w:noProof/>
              </w:rPr>
              <w:t xml:space="preserve"> </w:t>
            </w:r>
            <w:r>
              <w:rPr>
                <w:rFonts w:ascii="Arial Narrow" w:hAnsi="Arial Narrow"/>
                <w:noProof/>
                <w:color w:val="006100"/>
                <w:sz w:val="20"/>
              </w:rPr>
              <w:t>A forrásbevonás és a végrehajtás ütemezése</w:t>
            </w:r>
          </w:p>
          <w:p w14:paraId="4A2E7746" w14:textId="77777777" w:rsidR="003F5418" w:rsidRDefault="003F5418">
            <w:pPr>
              <w:ind w:left="176" w:hanging="142"/>
              <w:jc w:val="both"/>
              <w:rPr>
                <w:rFonts w:ascii="Arial Narrow" w:hAnsi="Arial Narrow"/>
                <w:noProof/>
                <w:color w:val="006100"/>
                <w:sz w:val="20"/>
              </w:rPr>
            </w:pPr>
          </w:p>
        </w:tc>
      </w:tr>
      <w:tr w:rsidR="003F5418" w14:paraId="66A3B634" w14:textId="77777777">
        <w:trPr>
          <w:trHeight w:val="313"/>
        </w:trPr>
        <w:tc>
          <w:tcPr>
            <w:tcW w:w="1135" w:type="dxa"/>
            <w:shd w:val="clear" w:color="auto" w:fill="C6EFCE"/>
            <w:noWrap/>
            <w:hideMark/>
          </w:tcPr>
          <w:p w14:paraId="3D37253B" w14:textId="77777777" w:rsidR="003F5418" w:rsidRDefault="002A6C25">
            <w:pPr>
              <w:pStyle w:val="P68B1DB1-Normal4"/>
              <w:jc w:val="center"/>
              <w:rPr>
                <w:noProof/>
              </w:rPr>
            </w:pPr>
            <w:r>
              <w:rPr>
                <w:noProof/>
              </w:rPr>
              <w:t>M4C2–21a</w:t>
            </w:r>
          </w:p>
        </w:tc>
        <w:tc>
          <w:tcPr>
            <w:tcW w:w="1419" w:type="dxa"/>
            <w:shd w:val="clear" w:color="auto" w:fill="C6EFCE"/>
            <w:noWrap/>
            <w:hideMark/>
          </w:tcPr>
          <w:p w14:paraId="079C2FC3" w14:textId="522C61A8" w:rsidR="003F5418" w:rsidRDefault="002A6C25">
            <w:pPr>
              <w:pStyle w:val="P68B1DB1-Normal4"/>
              <w:jc w:val="center"/>
              <w:rPr>
                <w:noProof/>
              </w:rPr>
            </w:pPr>
            <w:r>
              <w:rPr>
                <w:noProof/>
              </w:rPr>
              <w:t xml:space="preserve">Beruházás – Az induló vállalkozások finanszírozása </w:t>
            </w:r>
          </w:p>
        </w:tc>
        <w:tc>
          <w:tcPr>
            <w:tcW w:w="1132" w:type="dxa"/>
            <w:shd w:val="clear" w:color="auto" w:fill="C6EFCE"/>
            <w:noWrap/>
            <w:hideMark/>
          </w:tcPr>
          <w:p w14:paraId="0DE111D4" w14:textId="77777777" w:rsidR="003F5418" w:rsidRDefault="002A6C25">
            <w:pPr>
              <w:pStyle w:val="P68B1DB1-Normal4"/>
              <w:jc w:val="center"/>
              <w:rPr>
                <w:noProof/>
              </w:rPr>
            </w:pPr>
            <w:r>
              <w:rPr>
                <w:noProof/>
              </w:rPr>
              <w:t>Mérföldkő</w:t>
            </w:r>
          </w:p>
        </w:tc>
        <w:tc>
          <w:tcPr>
            <w:tcW w:w="1418" w:type="dxa"/>
            <w:shd w:val="clear" w:color="auto" w:fill="C6EFCE"/>
            <w:noWrap/>
            <w:hideMark/>
          </w:tcPr>
          <w:p w14:paraId="0E759828" w14:textId="77777777" w:rsidR="003F5418" w:rsidRDefault="002A6C25">
            <w:pPr>
              <w:pStyle w:val="P68B1DB1-Normal4"/>
              <w:jc w:val="center"/>
              <w:rPr>
                <w:noProof/>
              </w:rPr>
            </w:pPr>
            <w:r>
              <w:rPr>
                <w:noProof/>
              </w:rPr>
              <w:t xml:space="preserve">A minisztérium befejezte a CDP Venture Capital SGR </w:t>
            </w:r>
            <w:r>
              <w:rPr>
                <w:noProof/>
              </w:rPr>
              <w:t>részére történő pénzátutalást</w:t>
            </w:r>
          </w:p>
        </w:tc>
        <w:tc>
          <w:tcPr>
            <w:tcW w:w="1275" w:type="dxa"/>
            <w:shd w:val="clear" w:color="auto" w:fill="C6EFCE"/>
            <w:noWrap/>
            <w:hideMark/>
          </w:tcPr>
          <w:p w14:paraId="505AFB77" w14:textId="77777777" w:rsidR="003F5418" w:rsidRDefault="002A6C25">
            <w:pPr>
              <w:pStyle w:val="P68B1DB1-Normal4"/>
              <w:jc w:val="center"/>
              <w:rPr>
                <w:noProof/>
              </w:rPr>
            </w:pPr>
            <w:r>
              <w:rPr>
                <w:noProof/>
              </w:rPr>
              <w:t>Átutalási igazolás</w:t>
            </w:r>
          </w:p>
        </w:tc>
        <w:tc>
          <w:tcPr>
            <w:tcW w:w="1134" w:type="dxa"/>
            <w:shd w:val="clear" w:color="auto" w:fill="C6EFCE"/>
            <w:noWrap/>
            <w:hideMark/>
          </w:tcPr>
          <w:p w14:paraId="4D6DE244" w14:textId="77777777" w:rsidR="003F5418" w:rsidRDefault="003F5418">
            <w:pPr>
              <w:jc w:val="center"/>
              <w:rPr>
                <w:rFonts w:ascii="Arial Narrow" w:hAnsi="Arial Narrow"/>
                <w:noProof/>
                <w:color w:val="006100"/>
                <w:sz w:val="20"/>
              </w:rPr>
            </w:pPr>
          </w:p>
        </w:tc>
        <w:tc>
          <w:tcPr>
            <w:tcW w:w="993" w:type="dxa"/>
            <w:shd w:val="clear" w:color="auto" w:fill="C6EFCE"/>
            <w:noWrap/>
            <w:hideMark/>
          </w:tcPr>
          <w:p w14:paraId="0B8E22F9" w14:textId="77777777" w:rsidR="003F5418" w:rsidRDefault="003F5418">
            <w:pPr>
              <w:jc w:val="center"/>
              <w:rPr>
                <w:rFonts w:ascii="Arial Narrow" w:hAnsi="Arial Narrow"/>
                <w:noProof/>
                <w:color w:val="006100"/>
                <w:sz w:val="20"/>
              </w:rPr>
            </w:pPr>
          </w:p>
        </w:tc>
        <w:tc>
          <w:tcPr>
            <w:tcW w:w="1275" w:type="dxa"/>
            <w:shd w:val="clear" w:color="auto" w:fill="C6EFCE"/>
            <w:noWrap/>
            <w:hideMark/>
          </w:tcPr>
          <w:p w14:paraId="66E05CE2" w14:textId="77777777" w:rsidR="003F5418" w:rsidRDefault="003F5418">
            <w:pPr>
              <w:jc w:val="center"/>
              <w:rPr>
                <w:rFonts w:ascii="Arial Narrow" w:hAnsi="Arial Narrow"/>
                <w:noProof/>
                <w:color w:val="006100"/>
                <w:sz w:val="20"/>
              </w:rPr>
            </w:pPr>
          </w:p>
        </w:tc>
        <w:tc>
          <w:tcPr>
            <w:tcW w:w="993" w:type="dxa"/>
            <w:shd w:val="clear" w:color="auto" w:fill="C6EFCE"/>
            <w:noWrap/>
            <w:hideMark/>
          </w:tcPr>
          <w:p w14:paraId="48582D4E" w14:textId="77777777" w:rsidR="003F5418" w:rsidRDefault="002A6C25">
            <w:pPr>
              <w:pStyle w:val="P68B1DB1-Normal4"/>
              <w:jc w:val="center"/>
              <w:rPr>
                <w:noProof/>
              </w:rPr>
            </w:pPr>
            <w:r>
              <w:rPr>
                <w:noProof/>
              </w:rPr>
              <w:t>Q4</w:t>
            </w:r>
          </w:p>
        </w:tc>
        <w:tc>
          <w:tcPr>
            <w:tcW w:w="708" w:type="dxa"/>
            <w:shd w:val="clear" w:color="auto" w:fill="C6EFCE"/>
            <w:noWrap/>
            <w:hideMark/>
          </w:tcPr>
          <w:p w14:paraId="79CEF60E" w14:textId="77777777" w:rsidR="003F5418" w:rsidRDefault="002A6C25">
            <w:pPr>
              <w:pStyle w:val="P68B1DB1-Normal4"/>
              <w:jc w:val="center"/>
              <w:rPr>
                <w:noProof/>
              </w:rPr>
            </w:pPr>
            <w:r>
              <w:rPr>
                <w:noProof/>
              </w:rPr>
              <w:t>2024</w:t>
            </w:r>
          </w:p>
        </w:tc>
        <w:tc>
          <w:tcPr>
            <w:tcW w:w="3686" w:type="dxa"/>
            <w:shd w:val="clear" w:color="auto" w:fill="C6EFCE"/>
            <w:noWrap/>
            <w:hideMark/>
          </w:tcPr>
          <w:p w14:paraId="13C2666F" w14:textId="32842312" w:rsidR="003F5418" w:rsidRDefault="002A6C25">
            <w:pPr>
              <w:pStyle w:val="P68B1DB1-Normal4"/>
              <w:rPr>
                <w:noProof/>
              </w:rPr>
            </w:pPr>
            <w:r>
              <w:rPr>
                <w:noProof/>
              </w:rPr>
              <w:t>Olaszország 400 000 000 EUR-t utal át a CDP kockázati tőkéjébe az eszköz céljára.</w:t>
            </w:r>
          </w:p>
          <w:p w14:paraId="23E060CE" w14:textId="77777777" w:rsidR="003F5418" w:rsidRDefault="002A6C25">
            <w:pPr>
              <w:pStyle w:val="P68B1DB1-Normal4"/>
              <w:rPr>
                <w:noProof/>
              </w:rPr>
            </w:pPr>
            <w:r>
              <w:rPr>
                <w:noProof/>
              </w:rPr>
              <w:t xml:space="preserve"> </w:t>
            </w:r>
          </w:p>
          <w:p w14:paraId="71EE8651" w14:textId="77777777" w:rsidR="003F5418" w:rsidRDefault="002A6C25">
            <w:pPr>
              <w:pStyle w:val="P68B1DB1-Normal4"/>
              <w:rPr>
                <w:noProof/>
              </w:rPr>
            </w:pPr>
            <w:r>
              <w:rPr>
                <w:noProof/>
              </w:rPr>
              <w:t>A cél kielégítő teljesítéséhez az Olaszország és a CDP Venture</w:t>
            </w:r>
            <w:r>
              <w:rPr>
                <w:noProof/>
              </w:rPr>
              <w:t xml:space="preserve"> Capital SGR és az eszköz belső szabályzata közötti végrehajtási megállapodás módosítására is szükség van, a tanácsi végrehajtási határozatban meghatározott feltételekkel összhangban.</w:t>
            </w:r>
          </w:p>
        </w:tc>
      </w:tr>
      <w:tr w:rsidR="003F5418" w14:paraId="64123520" w14:textId="77777777">
        <w:trPr>
          <w:trHeight w:val="313"/>
        </w:trPr>
        <w:tc>
          <w:tcPr>
            <w:tcW w:w="1135" w:type="dxa"/>
            <w:shd w:val="clear" w:color="auto" w:fill="C6EFCE"/>
            <w:noWrap/>
          </w:tcPr>
          <w:p w14:paraId="3191CE92" w14:textId="77777777" w:rsidR="003F5418" w:rsidRDefault="002A6C25">
            <w:pPr>
              <w:pStyle w:val="P68B1DB1-Normal4"/>
              <w:jc w:val="center"/>
              <w:rPr>
                <w:noProof/>
              </w:rPr>
            </w:pPr>
            <w:r>
              <w:rPr>
                <w:noProof/>
              </w:rPr>
              <w:t>M4C2–21</w:t>
            </w:r>
          </w:p>
        </w:tc>
        <w:tc>
          <w:tcPr>
            <w:tcW w:w="1419" w:type="dxa"/>
            <w:shd w:val="clear" w:color="auto" w:fill="C6EFCE"/>
            <w:noWrap/>
          </w:tcPr>
          <w:p w14:paraId="41AE7D2C" w14:textId="0BAB4DC4" w:rsidR="003F5418" w:rsidRDefault="002A6C25">
            <w:pPr>
              <w:pStyle w:val="P68B1DB1-Normal4"/>
              <w:jc w:val="center"/>
              <w:rPr>
                <w:noProof/>
              </w:rPr>
            </w:pPr>
            <w:r>
              <w:rPr>
                <w:noProof/>
              </w:rPr>
              <w:t>Beruházás – Az induló vállalkozások finanszírozása.</w:t>
            </w:r>
          </w:p>
        </w:tc>
        <w:tc>
          <w:tcPr>
            <w:tcW w:w="1132" w:type="dxa"/>
            <w:shd w:val="clear" w:color="auto" w:fill="C6EFCE"/>
            <w:noWrap/>
          </w:tcPr>
          <w:p w14:paraId="5E04DB6C" w14:textId="77777777" w:rsidR="003F5418" w:rsidRDefault="002A6C25">
            <w:pPr>
              <w:pStyle w:val="P68B1DB1-Normal4"/>
              <w:jc w:val="center"/>
              <w:rPr>
                <w:noProof/>
              </w:rPr>
            </w:pPr>
            <w:r>
              <w:rPr>
                <w:noProof/>
              </w:rPr>
              <w:t>Cél</w:t>
            </w:r>
          </w:p>
        </w:tc>
        <w:tc>
          <w:tcPr>
            <w:tcW w:w="1418" w:type="dxa"/>
            <w:shd w:val="clear" w:color="auto" w:fill="C6EFCE"/>
            <w:noWrap/>
          </w:tcPr>
          <w:p w14:paraId="7B62A149" w14:textId="77777777" w:rsidR="003F5418" w:rsidRDefault="002A6C25">
            <w:pPr>
              <w:pStyle w:val="P68B1DB1-Normal4"/>
              <w:jc w:val="center"/>
              <w:rPr>
                <w:noProof/>
              </w:rPr>
            </w:pPr>
            <w:r>
              <w:rPr>
                <w:noProof/>
              </w:rPr>
              <w:t xml:space="preserve">Induló </w:t>
            </w:r>
            <w:r>
              <w:rPr>
                <w:noProof/>
              </w:rPr>
              <w:t>innovatív vállalkozásokkal vagy kockázatitőke-alapokkal aláírt jogi megállapodások</w:t>
            </w:r>
          </w:p>
        </w:tc>
        <w:tc>
          <w:tcPr>
            <w:tcW w:w="1275" w:type="dxa"/>
            <w:shd w:val="clear" w:color="auto" w:fill="C6EFCE"/>
            <w:noWrap/>
          </w:tcPr>
          <w:p w14:paraId="11D272AC" w14:textId="77777777" w:rsidR="003F5418" w:rsidRDefault="002A6C25">
            <w:pPr>
              <w:pStyle w:val="P68B1DB1-Normal4"/>
              <w:jc w:val="center"/>
              <w:rPr>
                <w:noProof/>
              </w:rPr>
            </w:pPr>
            <w:r>
              <w:rPr>
                <w:noProof/>
              </w:rPr>
              <w:t>A jogi finanszírozási megállapodások hatálybalépése</w:t>
            </w:r>
          </w:p>
        </w:tc>
        <w:tc>
          <w:tcPr>
            <w:tcW w:w="1134" w:type="dxa"/>
            <w:shd w:val="clear" w:color="auto" w:fill="C6EFCE"/>
            <w:noWrap/>
          </w:tcPr>
          <w:p w14:paraId="5185DB6B" w14:textId="77777777" w:rsidR="003F5418" w:rsidRDefault="002A6C25">
            <w:pPr>
              <w:pStyle w:val="P68B1DB1-Normal4"/>
              <w:jc w:val="center"/>
              <w:rPr>
                <w:noProof/>
              </w:rPr>
            </w:pPr>
            <w:r>
              <w:rPr>
                <w:noProof/>
              </w:rPr>
              <w:t>EUR</w:t>
            </w:r>
          </w:p>
        </w:tc>
        <w:tc>
          <w:tcPr>
            <w:tcW w:w="993" w:type="dxa"/>
            <w:shd w:val="clear" w:color="auto" w:fill="C6EFCE"/>
            <w:noWrap/>
          </w:tcPr>
          <w:p w14:paraId="173F74C9" w14:textId="77777777" w:rsidR="003F5418" w:rsidRDefault="002A6C25">
            <w:pPr>
              <w:pStyle w:val="P68B1DB1-Normal4"/>
              <w:jc w:val="center"/>
              <w:rPr>
                <w:noProof/>
              </w:rPr>
            </w:pPr>
            <w:r>
              <w:rPr>
                <w:noProof/>
              </w:rPr>
              <w:t>0</w:t>
            </w:r>
          </w:p>
        </w:tc>
        <w:tc>
          <w:tcPr>
            <w:tcW w:w="1275" w:type="dxa"/>
            <w:shd w:val="clear" w:color="auto" w:fill="C6EFCE"/>
            <w:noWrap/>
          </w:tcPr>
          <w:p w14:paraId="786FFF7C" w14:textId="77777777" w:rsidR="003F5418" w:rsidRDefault="002A6C25">
            <w:pPr>
              <w:pStyle w:val="P68B1DB1-Normal4"/>
              <w:jc w:val="center"/>
              <w:rPr>
                <w:noProof/>
              </w:rPr>
            </w:pPr>
            <w:r>
              <w:rPr>
                <w:noProof/>
              </w:rPr>
              <w:t>100%-OS</w:t>
            </w:r>
          </w:p>
        </w:tc>
        <w:tc>
          <w:tcPr>
            <w:tcW w:w="993" w:type="dxa"/>
            <w:shd w:val="clear" w:color="auto" w:fill="C6EFCE"/>
            <w:noWrap/>
          </w:tcPr>
          <w:p w14:paraId="7BA92849" w14:textId="77777777" w:rsidR="003F5418" w:rsidRDefault="002A6C25">
            <w:pPr>
              <w:pStyle w:val="P68B1DB1-Normal4"/>
              <w:jc w:val="center"/>
              <w:rPr>
                <w:noProof/>
              </w:rPr>
            </w:pPr>
            <w:r>
              <w:rPr>
                <w:noProof/>
              </w:rPr>
              <w:t>Q2</w:t>
            </w:r>
          </w:p>
        </w:tc>
        <w:tc>
          <w:tcPr>
            <w:tcW w:w="708" w:type="dxa"/>
            <w:shd w:val="clear" w:color="auto" w:fill="C6EFCE"/>
            <w:noWrap/>
          </w:tcPr>
          <w:p w14:paraId="237B7C9F" w14:textId="77777777" w:rsidR="003F5418" w:rsidRDefault="002A6C25">
            <w:pPr>
              <w:pStyle w:val="P68B1DB1-Normal4"/>
              <w:jc w:val="center"/>
              <w:rPr>
                <w:noProof/>
              </w:rPr>
            </w:pPr>
            <w:r>
              <w:rPr>
                <w:noProof/>
              </w:rPr>
              <w:t>2026</w:t>
            </w:r>
          </w:p>
        </w:tc>
        <w:tc>
          <w:tcPr>
            <w:tcW w:w="3686" w:type="dxa"/>
            <w:shd w:val="clear" w:color="auto" w:fill="C6EFCE"/>
            <w:noWrap/>
          </w:tcPr>
          <w:p w14:paraId="53689C3A" w14:textId="77777777" w:rsidR="003F5418" w:rsidRDefault="002A6C25">
            <w:pPr>
              <w:pStyle w:val="P68B1DB1-Normal4"/>
              <w:rPr>
                <w:noProof/>
              </w:rPr>
            </w:pPr>
            <w:r>
              <w:rPr>
                <w:noProof/>
              </w:rPr>
              <w:t>A Cassa Depositi e Prestiti Venture</w:t>
            </w:r>
            <w:r>
              <w:rPr>
                <w:noProof/>
              </w:rPr>
              <w:t xml:space="preserve"> Capital jogi finanszírozási megállapodásokat kötött induló innovatív vállalkozásokkal, inkubációs/gyorsító programokkal vagy kockázatitőke-alapokkal a Helyreállítási és Rezilienciaépítési Eszközbe történő beruházás 100%-ának (400 millió EUR) felhasználásá</w:t>
            </w:r>
            <w:r>
              <w:rPr>
                <w:noProof/>
              </w:rPr>
              <w:t>hoz szükséges összegről (beleértve az alap életciklusa során a DTF kezelési díjainak és költségeinek 13%-ában meghatározott átlagos maximális felső határt, valamint a későbbi befektetési fordulókra vonatkozó előzetes feltételeket is, kivéve az érdekeltsége</w:t>
            </w:r>
            <w:r>
              <w:rPr>
                <w:noProof/>
              </w:rPr>
              <w:t>t, a teljesítménydíjakat, valamint a harmadik fél alapokhoz kapcsolódó valamennyi költség- és kezelési díjat).</w:t>
            </w:r>
          </w:p>
          <w:p w14:paraId="6F3E4D4F" w14:textId="77777777" w:rsidR="003F5418" w:rsidRDefault="002A6C25">
            <w:pPr>
              <w:rPr>
                <w:rFonts w:ascii="Arial Narrow" w:hAnsi="Arial Narrow"/>
                <w:noProof/>
                <w:color w:val="006100"/>
                <w:sz w:val="20"/>
              </w:rPr>
            </w:pPr>
            <w:r>
              <w:rPr>
                <w:noProof/>
              </w:rPr>
              <w:t xml:space="preserve"> </w:t>
            </w:r>
            <w:r>
              <w:rPr>
                <w:noProof/>
              </w:rPr>
              <w:br/>
            </w:r>
            <w:r>
              <w:rPr>
                <w:rFonts w:ascii="Arial Narrow" w:hAnsi="Arial Narrow"/>
                <w:noProof/>
                <w:color w:val="006100"/>
                <w:sz w:val="20"/>
              </w:rPr>
              <w:t>A beruházást a következő két beavatkozási sorra kell bontani:</w:t>
            </w:r>
          </w:p>
          <w:p w14:paraId="4428D3A6" w14:textId="77777777" w:rsidR="003F5418" w:rsidRDefault="003F5418">
            <w:pPr>
              <w:jc w:val="center"/>
              <w:rPr>
                <w:rFonts w:ascii="Arial Narrow" w:hAnsi="Arial Narrow"/>
                <w:noProof/>
                <w:color w:val="006100"/>
                <w:sz w:val="20"/>
              </w:rPr>
            </w:pPr>
          </w:p>
          <w:p w14:paraId="6D4C5C32" w14:textId="77777777" w:rsidR="003F5418" w:rsidRDefault="002A6C25">
            <w:pPr>
              <w:pStyle w:val="P68B1DB1-Normal4"/>
              <w:rPr>
                <w:noProof/>
              </w:rPr>
            </w:pPr>
            <w:r>
              <w:rPr>
                <w:noProof/>
              </w:rPr>
              <w:t>– Közvetlen befektetés.</w:t>
            </w:r>
          </w:p>
          <w:p w14:paraId="2579E2A7" w14:textId="77777777" w:rsidR="003F5418" w:rsidRDefault="002A6C25">
            <w:pPr>
              <w:pStyle w:val="P68B1DB1-Normal4"/>
              <w:rPr>
                <w:noProof/>
              </w:rPr>
            </w:pPr>
            <w:r>
              <w:rPr>
                <w:noProof/>
              </w:rPr>
              <w:t>– Közvetett beruházás.</w:t>
            </w:r>
          </w:p>
          <w:p w14:paraId="4FF8D724" w14:textId="77777777" w:rsidR="003F5418" w:rsidRDefault="003F5418">
            <w:pPr>
              <w:rPr>
                <w:rFonts w:ascii="Arial Narrow" w:hAnsi="Arial Narrow"/>
                <w:noProof/>
                <w:color w:val="006100"/>
                <w:sz w:val="20"/>
              </w:rPr>
            </w:pPr>
          </w:p>
          <w:p w14:paraId="18625BF1" w14:textId="77777777" w:rsidR="003F5418" w:rsidRDefault="002A6C25">
            <w:pPr>
              <w:pStyle w:val="P68B1DB1-Normal4"/>
              <w:rPr>
                <w:noProof/>
              </w:rPr>
            </w:pPr>
            <w:r>
              <w:rPr>
                <w:noProof/>
              </w:rPr>
              <w:t>A kockázatitőke-alapokba történő</w:t>
            </w:r>
            <w:r>
              <w:rPr>
                <w:noProof/>
              </w:rPr>
              <w:t xml:space="preserve"> közvetett befektetések esetében a Cassa Depositi e Prestiti Venture Capital jogi finanszírozási megállapodásokat köt a kockázatitőke-alapokkal a Helyreállítási és Rezilienciaépítési Eszközbe történő beruházás mintegy 60%-ának indikatív felhasználásához sz</w:t>
            </w:r>
            <w:r>
              <w:rPr>
                <w:noProof/>
              </w:rPr>
              <w:t>ükséges összegről (kivéve a DTF kezelési díjait és költségeit az alap életciklusa során).</w:t>
            </w:r>
          </w:p>
          <w:p w14:paraId="106DFA8E" w14:textId="77777777" w:rsidR="003F5418" w:rsidRDefault="002A6C25">
            <w:pPr>
              <w:pStyle w:val="P68B1DB1-Normal4"/>
              <w:rPr>
                <w:noProof/>
              </w:rPr>
            </w:pPr>
            <w:r>
              <w:rPr>
                <w:noProof/>
              </w:rPr>
              <w:t>Az induló innovatív vállalkozásokba történő közvetett beruházások esetében a kockázatitőke-alapokkal kötött jogi finanszírozási megállapodásoknak kötelező érvényű köt</w:t>
            </w:r>
            <w:r>
              <w:rPr>
                <w:noProof/>
              </w:rPr>
              <w:t>elezettségvállalást kell tartalmazniuk arra vonatkozóan, hogy az alapok szintjén és az induló vállalkozások szintjén egyaránt legalább 1x1 értékű halmozott tőkeáttételi hatást érnek el az alap teljes élettartama alatt.</w:t>
            </w:r>
          </w:p>
          <w:p w14:paraId="6631D06E" w14:textId="77777777" w:rsidR="003F5418" w:rsidRDefault="003F5418">
            <w:pPr>
              <w:rPr>
                <w:rFonts w:ascii="Arial Narrow" w:hAnsi="Arial Narrow"/>
                <w:noProof/>
                <w:color w:val="006100"/>
                <w:sz w:val="20"/>
              </w:rPr>
            </w:pPr>
          </w:p>
          <w:p w14:paraId="20160AAB" w14:textId="77777777" w:rsidR="003F5418" w:rsidRDefault="002A6C25">
            <w:pPr>
              <w:pStyle w:val="P68B1DB1-Normal4"/>
              <w:rPr>
                <w:noProof/>
              </w:rPr>
            </w:pPr>
            <w:r>
              <w:rPr>
                <w:noProof/>
              </w:rPr>
              <w:t xml:space="preserve">A közvetlen befektetések esetében a </w:t>
            </w:r>
            <w:r>
              <w:rPr>
                <w:noProof/>
              </w:rPr>
              <w:t>CDP kockázatitőke-befektetéseinek jogi finanszírozási megállapodásokat kell kötniük induló innovatív vállalkozásokkal/inkubációs/gyorsítási programokkal, amelyek az RRF-beruházás mintegy 40%-ának (400 millió EUR) indikatív felhasználásához szükségesek (bel</w:t>
            </w:r>
            <w:r>
              <w:rPr>
                <w:noProof/>
              </w:rPr>
              <w:t>eértve az irányítási díjakat és a DTF költségeit az alap életciklusa során).</w:t>
            </w:r>
          </w:p>
          <w:p w14:paraId="08A3FB85" w14:textId="77777777" w:rsidR="003F5418" w:rsidRDefault="002A6C25">
            <w:pPr>
              <w:pStyle w:val="P68B1DB1-Normal4"/>
              <w:rPr>
                <w:noProof/>
              </w:rPr>
            </w:pPr>
            <w:r>
              <w:rPr>
                <w:noProof/>
              </w:rPr>
              <w:t>A közvetlen befektetések esetében az induló innovatív vállalkozásokkal kötött jogi finanszírozási megállapodás előzetes feltételeket is tartalmazhat a későbbi beruházási fordulókr</w:t>
            </w:r>
            <w:r>
              <w:rPr>
                <w:noProof/>
              </w:rPr>
              <w:t>a vonatkozóan. (azaz a Serie B vagy Serie C finanszírozás felszabadításának feltételei).</w:t>
            </w:r>
          </w:p>
          <w:p w14:paraId="15F4D60A" w14:textId="77777777" w:rsidR="003F5418" w:rsidRDefault="003F5418">
            <w:pPr>
              <w:rPr>
                <w:rFonts w:ascii="Arial Narrow" w:hAnsi="Arial Narrow"/>
                <w:noProof/>
                <w:color w:val="006100"/>
                <w:sz w:val="20"/>
              </w:rPr>
            </w:pPr>
          </w:p>
          <w:p w14:paraId="6CC4045D" w14:textId="4B181388" w:rsidR="003F5418" w:rsidRDefault="002A6C25">
            <w:pPr>
              <w:pStyle w:val="P68B1DB1-Normal4"/>
              <w:rPr>
                <w:noProof/>
              </w:rPr>
            </w:pPr>
            <w:r>
              <w:rPr>
                <w:noProof/>
              </w:rPr>
              <w:t>Az ezen intézkedés keretében a végrehajtási megállapodás beruházási politikája módosításainak hatálybalépése előtt és a korábbi M4C2–20 mérföldkő szerinti megállapodá</w:t>
            </w:r>
            <w:r>
              <w:rPr>
                <w:noProof/>
              </w:rPr>
              <w:t xml:space="preserve">snak megfelelően megkötött kötelezettségvállalásokat szintén be kell számítani a cél elérésébe. </w:t>
            </w:r>
          </w:p>
          <w:p w14:paraId="36E84F9C" w14:textId="77777777" w:rsidR="003F5418" w:rsidRDefault="003F5418">
            <w:pPr>
              <w:rPr>
                <w:rFonts w:ascii="Arial Narrow" w:hAnsi="Arial Narrow"/>
                <w:noProof/>
                <w:color w:val="006100"/>
                <w:sz w:val="20"/>
              </w:rPr>
            </w:pPr>
          </w:p>
          <w:p w14:paraId="0942D5D6" w14:textId="77777777" w:rsidR="003F5418" w:rsidRDefault="002A6C25">
            <w:pPr>
              <w:pStyle w:val="P68B1DB1-Normal4"/>
              <w:rPr>
                <w:noProof/>
              </w:rPr>
            </w:pPr>
            <w:r>
              <w:rPr>
                <w:noProof/>
              </w:rPr>
              <w:t>A tanácsi végrehajtási határozat hatálybalépésének időpontjától kezdődően az új kötelezettségvállalások az új tanácsi végrehajtási határozat szerinti új beruh</w:t>
            </w:r>
            <w:r>
              <w:rPr>
                <w:noProof/>
              </w:rPr>
              <w:t>ázási politikát követik.</w:t>
            </w:r>
          </w:p>
        </w:tc>
      </w:tr>
      <w:tr w:rsidR="003F5418" w14:paraId="0D78F813" w14:textId="77777777">
        <w:trPr>
          <w:trHeight w:val="313"/>
        </w:trPr>
        <w:tc>
          <w:tcPr>
            <w:tcW w:w="1135" w:type="dxa"/>
            <w:shd w:val="clear" w:color="auto" w:fill="C6EFCE"/>
            <w:noWrap/>
            <w:vAlign w:val="center"/>
            <w:hideMark/>
          </w:tcPr>
          <w:p w14:paraId="298D0A48" w14:textId="77777777" w:rsidR="003F5418" w:rsidRDefault="002A6C25">
            <w:pPr>
              <w:pStyle w:val="P68B1DB1-Normal4"/>
              <w:jc w:val="center"/>
              <w:rPr>
                <w:noProof/>
              </w:rPr>
            </w:pPr>
            <w:r>
              <w:rPr>
                <w:noProof/>
              </w:rPr>
              <w:t>M4C2–22</w:t>
            </w:r>
          </w:p>
        </w:tc>
        <w:tc>
          <w:tcPr>
            <w:tcW w:w="1419" w:type="dxa"/>
            <w:shd w:val="clear" w:color="auto" w:fill="C6EFCE"/>
            <w:noWrap/>
            <w:vAlign w:val="center"/>
            <w:hideMark/>
          </w:tcPr>
          <w:p w14:paraId="22D03716" w14:textId="77777777" w:rsidR="003F5418" w:rsidRDefault="002A6C25">
            <w:pPr>
              <w:pStyle w:val="P68B1DB1-Normal4"/>
              <w:jc w:val="center"/>
              <w:rPr>
                <w:noProof/>
              </w:rPr>
            </w:pPr>
            <w:r>
              <w:rPr>
                <w:noProof/>
              </w:rPr>
              <w:t>Beruházás: KÖZÖS EURÓPAI ÉRDEKET SZOLGÁLÓ FONTOS PROJEKTEK</w:t>
            </w:r>
          </w:p>
        </w:tc>
        <w:tc>
          <w:tcPr>
            <w:tcW w:w="1132" w:type="dxa"/>
            <w:shd w:val="clear" w:color="auto" w:fill="C6EFCE"/>
            <w:noWrap/>
            <w:vAlign w:val="center"/>
            <w:hideMark/>
          </w:tcPr>
          <w:p w14:paraId="28DE130C" w14:textId="77777777" w:rsidR="003F5418" w:rsidRDefault="002A6C25">
            <w:pPr>
              <w:pStyle w:val="P68B1DB1-Normal4"/>
              <w:jc w:val="center"/>
              <w:rPr>
                <w:noProof/>
              </w:rPr>
            </w:pPr>
            <w:r>
              <w:rPr>
                <w:noProof/>
              </w:rPr>
              <w:t>Cél</w:t>
            </w:r>
          </w:p>
        </w:tc>
        <w:tc>
          <w:tcPr>
            <w:tcW w:w="1418" w:type="dxa"/>
            <w:shd w:val="clear" w:color="auto" w:fill="C6EFCE"/>
            <w:noWrap/>
            <w:vAlign w:val="center"/>
            <w:hideMark/>
          </w:tcPr>
          <w:p w14:paraId="6A8D74D8" w14:textId="77777777" w:rsidR="003F5418" w:rsidRDefault="002A6C25">
            <w:pPr>
              <w:pStyle w:val="P68B1DB1-Normal4"/>
              <w:jc w:val="center"/>
              <w:rPr>
                <w:noProof/>
              </w:rPr>
            </w:pPr>
            <w:r>
              <w:rPr>
                <w:noProof/>
              </w:rPr>
              <w:t>Támogatásban részesült projektek száma</w:t>
            </w:r>
          </w:p>
        </w:tc>
        <w:tc>
          <w:tcPr>
            <w:tcW w:w="1275" w:type="dxa"/>
            <w:shd w:val="clear" w:color="auto" w:fill="C6EFCE"/>
            <w:noWrap/>
            <w:vAlign w:val="center"/>
            <w:hideMark/>
          </w:tcPr>
          <w:p w14:paraId="4FC8793B"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58DFA273" w14:textId="77777777" w:rsidR="003F5418" w:rsidRDefault="002A6C25">
            <w:pPr>
              <w:pStyle w:val="P68B1DB1-Normal4"/>
              <w:jc w:val="center"/>
              <w:rPr>
                <w:noProof/>
              </w:rPr>
            </w:pPr>
            <w:r>
              <w:rPr>
                <w:noProof/>
              </w:rPr>
              <w:t>Szám</w:t>
            </w:r>
          </w:p>
        </w:tc>
        <w:tc>
          <w:tcPr>
            <w:tcW w:w="993" w:type="dxa"/>
            <w:shd w:val="clear" w:color="auto" w:fill="C6EFCE"/>
            <w:noWrap/>
            <w:vAlign w:val="center"/>
            <w:hideMark/>
          </w:tcPr>
          <w:p w14:paraId="166803B3" w14:textId="77777777" w:rsidR="003F5418" w:rsidRDefault="002A6C25">
            <w:pPr>
              <w:pStyle w:val="P68B1DB1-Normal4"/>
              <w:jc w:val="center"/>
              <w:rPr>
                <w:noProof/>
              </w:rPr>
            </w:pPr>
            <w:r>
              <w:rPr>
                <w:noProof/>
              </w:rPr>
              <w:t>1</w:t>
            </w:r>
          </w:p>
        </w:tc>
        <w:tc>
          <w:tcPr>
            <w:tcW w:w="1275" w:type="dxa"/>
            <w:shd w:val="clear" w:color="auto" w:fill="C6EFCE"/>
            <w:noWrap/>
            <w:vAlign w:val="center"/>
            <w:hideMark/>
          </w:tcPr>
          <w:p w14:paraId="2F62AF6A" w14:textId="77777777" w:rsidR="003F5418" w:rsidRDefault="002A6C25">
            <w:pPr>
              <w:pStyle w:val="P68B1DB1-Normal4"/>
              <w:jc w:val="center"/>
              <w:rPr>
                <w:noProof/>
              </w:rPr>
            </w:pPr>
            <w:r>
              <w:rPr>
                <w:noProof/>
              </w:rPr>
              <w:t>20</w:t>
            </w:r>
          </w:p>
        </w:tc>
        <w:tc>
          <w:tcPr>
            <w:tcW w:w="993" w:type="dxa"/>
            <w:shd w:val="clear" w:color="auto" w:fill="C6EFCE"/>
            <w:noWrap/>
            <w:vAlign w:val="center"/>
            <w:hideMark/>
          </w:tcPr>
          <w:p w14:paraId="77F030A0" w14:textId="77777777" w:rsidR="003F5418" w:rsidRDefault="002A6C25">
            <w:pPr>
              <w:pStyle w:val="P68B1DB1-Normal4"/>
              <w:jc w:val="center"/>
              <w:rPr>
                <w:noProof/>
              </w:rPr>
            </w:pPr>
            <w:r>
              <w:rPr>
                <w:noProof/>
              </w:rPr>
              <w:t>Q2</w:t>
            </w:r>
          </w:p>
        </w:tc>
        <w:tc>
          <w:tcPr>
            <w:tcW w:w="708" w:type="dxa"/>
            <w:shd w:val="clear" w:color="auto" w:fill="C6EFCE"/>
            <w:noWrap/>
            <w:vAlign w:val="center"/>
            <w:hideMark/>
          </w:tcPr>
          <w:p w14:paraId="54865007" w14:textId="77777777" w:rsidR="003F5418" w:rsidRDefault="002A6C25">
            <w:pPr>
              <w:pStyle w:val="P68B1DB1-Normal4"/>
              <w:jc w:val="center"/>
              <w:rPr>
                <w:noProof/>
              </w:rPr>
            </w:pPr>
            <w:r>
              <w:rPr>
                <w:noProof/>
              </w:rPr>
              <w:t>2025</w:t>
            </w:r>
          </w:p>
        </w:tc>
        <w:tc>
          <w:tcPr>
            <w:tcW w:w="3686" w:type="dxa"/>
            <w:shd w:val="clear" w:color="auto" w:fill="C6EFCE"/>
            <w:noWrap/>
            <w:vAlign w:val="center"/>
            <w:hideMark/>
          </w:tcPr>
          <w:p w14:paraId="3FB8F795" w14:textId="77777777" w:rsidR="003F5418" w:rsidRDefault="002A6C25">
            <w:pPr>
              <w:pStyle w:val="P68B1DB1-Normal4"/>
              <w:rPr>
                <w:noProof/>
              </w:rPr>
            </w:pPr>
            <w:r>
              <w:rPr>
                <w:noProof/>
              </w:rPr>
              <w:t xml:space="preserve">Legalább 20 projekt részesül támogatásban a közös európai érdeket szolgáló fontos projektek </w:t>
            </w:r>
            <w:r>
              <w:rPr>
                <w:noProof/>
              </w:rPr>
              <w:t>modelljén keresztül;</w:t>
            </w:r>
          </w:p>
          <w:p w14:paraId="35FEDD35" w14:textId="77777777" w:rsidR="003F5418" w:rsidRDefault="002A6C25">
            <w:pPr>
              <w:pStyle w:val="P68B1DB1-Normal4"/>
              <w:rPr>
                <w:noProof/>
              </w:rPr>
            </w:pPr>
            <w:r>
              <w:rPr>
                <w:noProof/>
              </w:rPr>
              <w:t>A célértékek becslése az Olaszországban aktivált, közös európai érdeket szolgáló fontos projektek működési módszerein alapul (Microelectronics 1, elemek, akkumulátorok, 2. elemek).</w:t>
            </w:r>
          </w:p>
        </w:tc>
      </w:tr>
    </w:tbl>
    <w:p w14:paraId="74D19EC1" w14:textId="77777777" w:rsidR="003F5418" w:rsidRDefault="003F5418">
      <w:pPr>
        <w:rPr>
          <w:noProof/>
        </w:rPr>
        <w:sectPr w:rsidR="003F5418">
          <w:headerReference w:type="even" r:id="rId296"/>
          <w:headerReference w:type="default" r:id="rId297"/>
          <w:footerReference w:type="even" r:id="rId298"/>
          <w:footerReference w:type="default" r:id="rId299"/>
          <w:headerReference w:type="first" r:id="rId300"/>
          <w:footerReference w:type="first" r:id="rId301"/>
          <w:pgSz w:w="16839" w:h="11907" w:orient="landscape"/>
          <w:pgMar w:top="1440" w:right="1440" w:bottom="1440" w:left="1440" w:header="567" w:footer="567" w:gutter="0"/>
          <w:cols w:space="720"/>
          <w:docGrid w:linePitch="360"/>
        </w:sectPr>
      </w:pPr>
    </w:p>
    <w:p w14:paraId="28C4589C" w14:textId="77777777" w:rsidR="003F5418" w:rsidRDefault="002A6C25">
      <w:pPr>
        <w:pStyle w:val="Heading2"/>
        <w:numPr>
          <w:ilvl w:val="1"/>
          <w:numId w:val="0"/>
        </w:numPr>
        <w:ind w:left="850" w:hanging="850"/>
        <w:rPr>
          <w:noProof/>
          <w:u w:val="single"/>
        </w:rPr>
      </w:pPr>
      <w:r>
        <w:rPr>
          <w:noProof/>
        </w:rPr>
        <w:t xml:space="preserve">L. 5. KÜLDETÉS: 1. KOMPONENS: </w:t>
      </w:r>
      <w:r>
        <w:rPr>
          <w:noProof/>
          <w:u w:val="single"/>
        </w:rPr>
        <w:t>Foglalkoztatáspolitika</w:t>
      </w:r>
    </w:p>
    <w:p w14:paraId="0F883450" w14:textId="77777777" w:rsidR="003F5418" w:rsidRDefault="002A6C25">
      <w:pPr>
        <w:spacing w:before="120" w:after="120"/>
        <w:jc w:val="both"/>
        <w:rPr>
          <w:rFonts w:eastAsia="Calibri"/>
          <w:noProof/>
        </w:rPr>
      </w:pPr>
      <w:r>
        <w:rPr>
          <w:noProof/>
        </w:rPr>
        <w:t xml:space="preserve">Az </w:t>
      </w:r>
      <w:r>
        <w:rPr>
          <w:noProof/>
          <w:color w:val="000000" w:themeColor="text1"/>
        </w:rPr>
        <w:t xml:space="preserve">olasz helyreállítási és rezilienciaépítési terv </w:t>
      </w:r>
      <w:r>
        <w:rPr>
          <w:noProof/>
        </w:rPr>
        <w:t>ezen komponense alá tartozó intézkedések az aktív munkaerőpiaci politikák és a szakképzés átfogó és integrált reformját vezetik be. Az aktív munkaerőpia</w:t>
      </w:r>
      <w:r>
        <w:rPr>
          <w:noProof/>
        </w:rPr>
        <w:t>ci intézkedések megerősítése és az állami foglalkoztatási szolgálatok kapacitásépítésének javítása – beleértve az oktatási és képzési szolgáltatókkal és a magánszereplőkkel való integrációjukat is – várhatóan növelni fogja a szolgáltatások hatékonyságát. E</w:t>
      </w:r>
      <w:r>
        <w:rPr>
          <w:noProof/>
        </w:rPr>
        <w:t>zen túlmenően az ezen alkotóelemhez tartozó intézkedések célja a sokkhatásokkal szembeni társadalmi sebezhetőség csökkentése, különösen a be nem jelentett munkavégzés valamennyi formájának és ágazatának kezelése révén, hatékonyabb szankciók, valamint a leg</w:t>
      </w:r>
      <w:r>
        <w:rPr>
          <w:noProof/>
        </w:rPr>
        <w:t>ális munkavállalás erőteljesebb ösztönzése révén. Ezen túlmenően ez az összetevő előmozdítja a nemek közötti egyenlőséget (egyenlő díjazás) a nemek közötti egyenlőség tanúsítási rendszerén keresztül. Beruház továbbá a fiatalokba azáltal, hogy növeli a képz</w:t>
      </w:r>
      <w:r>
        <w:rPr>
          <w:noProof/>
        </w:rPr>
        <w:t>ési programok mennyiségét és minőségét, például az egyetemes közszolgálati programban való részvétel révén.</w:t>
      </w:r>
    </w:p>
    <w:p w14:paraId="774B9A28" w14:textId="77777777" w:rsidR="003F5418" w:rsidRDefault="002A6C25">
      <w:pPr>
        <w:spacing w:before="120" w:after="120"/>
        <w:jc w:val="both"/>
        <w:rPr>
          <w:noProof/>
        </w:rPr>
      </w:pPr>
      <w:r>
        <w:rPr>
          <w:noProof/>
        </w:rPr>
        <w:t>Ezen intézkedések végrehajtása várhatóan hozzájárul a munkaerőpiacról szóló, 2020. évi 2. országspecifikus ajánlás által lefedett kihívások kezelésé</w:t>
      </w:r>
      <w:r>
        <w:rPr>
          <w:noProof/>
        </w:rPr>
        <w:t xml:space="preserve">hez, amelyben Olaszországot arra sürgetik, hogy „a foglalkoztatás aktív támogatása révén mérsékelje a válság foglalkoztatásra gyakorolt hatását”, a 2020. évi 2. országspecifikus ajánlás „a készségek (...), beleértve a digitális készségeket is”, valamint a </w:t>
      </w:r>
      <w:r>
        <w:rPr>
          <w:noProof/>
        </w:rPr>
        <w:t>2019. évi 2. országspecifikus ajánlás hatálya alá tartozó kihívásokat, amelynek értelmében „fokozni kell a be nem jelentett munkavégzés kezelésére irányuló erőfeszítéseket, és biztosítani kell, hogy az aktív munkaerőpiaci és szociális politikák (...) elérj</w:t>
      </w:r>
      <w:r>
        <w:rPr>
          <w:noProof/>
        </w:rPr>
        <w:t>ék különösen a fiatalokat és a kiszolgáltatott csoportokat. A nők munkaerőpiaci részvételének támogatása”, valamint a 2019. évi 2. országspecifikus ajánlás „a készségfejlesztés előmozdítása, többek között a digitális készségek megerősítése révén”.</w:t>
      </w:r>
    </w:p>
    <w:p w14:paraId="2A65DA1B"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L.1. </w:t>
      </w:r>
      <w:r>
        <w:rPr>
          <w:noProof/>
        </w:rPr>
        <w:t xml:space="preserve"> </w:t>
      </w:r>
      <w:r>
        <w:rPr>
          <w:b/>
          <w:i w:val="0"/>
          <w:noProof/>
          <w:u w:val="single"/>
        </w:rPr>
        <w:t>Vi</w:t>
      </w:r>
      <w:r>
        <w:rPr>
          <w:b/>
          <w:i w:val="0"/>
          <w:noProof/>
          <w:u w:val="single"/>
        </w:rPr>
        <w:t>ssza nem térítendő pénzügyi támogatás – a reformok és beruházások ismertetése</w:t>
      </w:r>
    </w:p>
    <w:p w14:paraId="206D151A" w14:textId="0B505BB7" w:rsidR="003F5418" w:rsidRDefault="00152815">
      <w:pPr>
        <w:pStyle w:val="P68B1DB1-Normal2"/>
        <w:spacing w:before="120" w:after="120"/>
        <w:jc w:val="both"/>
        <w:rPr>
          <w:noProof/>
          <w:color w:val="006100"/>
        </w:rPr>
      </w:pPr>
      <w:r>
        <w:rPr>
          <w:noProof/>
        </w:rPr>
        <w:t>1</w:t>
      </w:r>
      <w:r w:rsidRPr="00B07E42">
        <w:rPr>
          <w:noProof/>
        </w:rPr>
        <w:t>.</w:t>
      </w:r>
      <w:r>
        <w:rPr>
          <w:noProof/>
        </w:rPr>
        <w:t xml:space="preserve"> Reform – Az aktív munkaerőpiaci politikák és a szakképzés </w:t>
      </w:r>
    </w:p>
    <w:p w14:paraId="13CF5160" w14:textId="77777777" w:rsidR="003F5418" w:rsidRDefault="002A6C25">
      <w:pPr>
        <w:spacing w:before="120" w:after="120"/>
        <w:jc w:val="both"/>
        <w:rPr>
          <w:noProof/>
          <w:color w:val="000000" w:themeColor="text1"/>
        </w:rPr>
      </w:pPr>
      <w:r>
        <w:rPr>
          <w:noProof/>
        </w:rPr>
        <w:t>E reform célja egy hatékonyabb aktív munkaerőpiaci rendszer előmozdítása konkrét foglalkoztatási szolgáltatások és s</w:t>
      </w:r>
      <w:r>
        <w:rPr>
          <w:noProof/>
        </w:rPr>
        <w:t xml:space="preserve">zemélyre szabott munkaerőpiaci aktivizálási tervek biztosítása révén. A munkavállalók </w:t>
      </w:r>
      <w:r>
        <w:rPr>
          <w:b/>
          <w:noProof/>
          <w:color w:val="000000" w:themeColor="text1"/>
        </w:rPr>
        <w:t>garantált foglalkoztathatóságára vonatkozó nemzeti program</w:t>
      </w:r>
      <w:r>
        <w:rPr>
          <w:noProof/>
          <w:color w:val="000000" w:themeColor="text1"/>
        </w:rPr>
        <w:t>(GOL</w:t>
      </w:r>
      <w:r>
        <w:rPr>
          <w:b/>
          <w:noProof/>
          <w:color w:val="000000" w:themeColor="text1"/>
        </w:rPr>
        <w:t>) létrehozása lehetővé teszi a munkanélküliek számára testreszabott szolgáltatások nyújtását, ezáltal erősít</w:t>
      </w:r>
      <w:r>
        <w:rPr>
          <w:b/>
          <w:noProof/>
          <w:color w:val="000000" w:themeColor="text1"/>
        </w:rPr>
        <w:t>ve aktivizálási pályájukat. A GOL-programot az Új Készségek Nemzeti Tervének és a szakképzési intézkedések alapvető nemzeti szintjeinek meghatározása kíséri. Az olaszországi szakképzési rendszert az oktatási, képzési és foglalkoztatási szolgálatok területi</w:t>
      </w:r>
      <w:r>
        <w:rPr>
          <w:b/>
          <w:noProof/>
          <w:color w:val="000000" w:themeColor="text1"/>
        </w:rPr>
        <w:t xml:space="preserve"> hálózatának előmozdításával, valamint egy inkluzív, egész életen át tartó tanulási rendszer és innovatív továbbképzési és átképzési pályák kialakításával kell megerősíteni. </w:t>
      </w:r>
    </w:p>
    <w:p w14:paraId="13719BEE" w14:textId="51587867" w:rsidR="003F5418" w:rsidRDefault="00152815">
      <w:pPr>
        <w:pStyle w:val="P68B1DB1-Normal2"/>
        <w:spacing w:before="120" w:after="120"/>
        <w:jc w:val="both"/>
        <w:rPr>
          <w:noProof/>
        </w:rPr>
      </w:pPr>
      <w:r>
        <w:rPr>
          <w:noProof/>
        </w:rPr>
        <w:t>1</w:t>
      </w:r>
      <w:r w:rsidRPr="00B07E42">
        <w:rPr>
          <w:noProof/>
        </w:rPr>
        <w:t>.</w:t>
      </w:r>
      <w:r>
        <w:rPr>
          <w:noProof/>
        </w:rPr>
        <w:t xml:space="preserve"> </w:t>
      </w:r>
      <w:r>
        <w:rPr>
          <w:noProof/>
          <w:color w:val="000000" w:themeColor="text1"/>
        </w:rPr>
        <w:t xml:space="preserve">Beruházás – </w:t>
      </w:r>
      <w:r>
        <w:rPr>
          <w:noProof/>
        </w:rPr>
        <w:t>Az állami foglalkoztatási szolgálatok (ÁFSZ-ek) megerősítése</w:t>
      </w:r>
    </w:p>
    <w:p w14:paraId="0877BAF4" w14:textId="77777777" w:rsidR="003F5418" w:rsidRDefault="002A6C25">
      <w:pPr>
        <w:pStyle w:val="P68B1DB1-Normal12"/>
        <w:spacing w:before="120" w:after="120"/>
        <w:jc w:val="both"/>
        <w:rPr>
          <w:noProof/>
        </w:rPr>
      </w:pPr>
      <w:r>
        <w:rPr>
          <w:noProof/>
        </w:rPr>
        <w:t>E ber</w:t>
      </w:r>
      <w:r>
        <w:rPr>
          <w:noProof/>
        </w:rPr>
        <w:t xml:space="preserve">uházás célja, hogy lehetővé tegye a hatékony foglalkoztatási és képzési szolgáltatások nyújtását. Ez az intézkedés infrastrukturális beruházásokat, a regionális munkaerőpiaci megfigyelőközpontok fejlesztését, a regionális és nemzeti információs rendszerek </w:t>
      </w:r>
      <w:r>
        <w:rPr>
          <w:noProof/>
        </w:rPr>
        <w:t>közötti interoperabilitás fejlesztését, valamint a munkaügyi tanácsadók készségeinek naprakésszé tételét célzó képzési beavatkozások megtervezését és végrehajtását foglalja magában. Az intézkedés a kínált szolgáltatások tartalmának és kommunikációs csatorn</w:t>
      </w:r>
      <w:r>
        <w:rPr>
          <w:noProof/>
        </w:rPr>
        <w:t>áinak kialakítását és megvalósítását is előirányozta.</w:t>
      </w:r>
    </w:p>
    <w:p w14:paraId="744BCCAC" w14:textId="2641E3BE" w:rsidR="003F5418" w:rsidRDefault="00152815">
      <w:pPr>
        <w:pStyle w:val="P68B1DB1-Normal17"/>
        <w:spacing w:before="120" w:after="120"/>
        <w:jc w:val="both"/>
        <w:rPr>
          <w:noProof/>
        </w:rPr>
      </w:pPr>
      <w:r>
        <w:rPr>
          <w:noProof/>
        </w:rPr>
        <w:t>2</w:t>
      </w:r>
      <w:r w:rsidRPr="00B07E42">
        <w:rPr>
          <w:noProof/>
        </w:rPr>
        <w:t>.</w:t>
      </w:r>
      <w:r>
        <w:rPr>
          <w:noProof/>
        </w:rPr>
        <w:t xml:space="preserve"> Reform – A be nem jelentett munkavégzés kezelésére irányuló nemzeti terv</w:t>
      </w:r>
    </w:p>
    <w:p w14:paraId="1AF7DEDE" w14:textId="77777777" w:rsidR="003F5418" w:rsidRDefault="002A6C25">
      <w:pPr>
        <w:pStyle w:val="P68B1DB1-Normal12"/>
        <w:spacing w:before="120" w:after="120"/>
        <w:jc w:val="both"/>
        <w:rPr>
          <w:noProof/>
        </w:rPr>
      </w:pPr>
      <w:r>
        <w:rPr>
          <w:noProof/>
        </w:rPr>
        <w:t xml:space="preserve">Ezen intézkedés célja a munka minőségének és a munkavállalók körülményeinek javítása. Ez az intézkedés olyan intézkedéseket </w:t>
      </w:r>
      <w:r>
        <w:rPr>
          <w:noProof/>
        </w:rPr>
        <w:t xml:space="preserve">foglal magában, amelyek célja a </w:t>
      </w:r>
      <w:r>
        <w:rPr>
          <w:b/>
          <w:noProof/>
        </w:rPr>
        <w:t>be nem jelentett munkavégzés, a munkaerő-kizsákmányolás (Caporalato) és az illegális munkavégzés egyéb formáinak megelőzése és kezelése</w:t>
      </w:r>
      <w:r>
        <w:rPr>
          <w:noProof/>
        </w:rPr>
        <w:t>. A reform a következőket foglalja magában: Közvetlen és közvetett intézkedések bevezetés</w:t>
      </w:r>
      <w:r>
        <w:rPr>
          <w:noProof/>
        </w:rPr>
        <w:t>e a be nem jelentett munkavégzés bejelentett munkavégzéssé való átalakítására annak biztosítása révén, hogy a bejelentett gazdaságban való működés előnyei meghaladják a be nem jelentett gazdaságban való munkavégzés költségeit; A Nemzeti Munkaügyi Felügyele</w:t>
      </w:r>
      <w:r>
        <w:rPr>
          <w:noProof/>
        </w:rPr>
        <w:t>t ellenőrzési kapacitásának megerősítése; A be nem jelentett munkavégzésre vonatkozó részletes adatok előállításának, gyűjtésének és időben történő terjesztésének javítása; A be nem jelentett munkavégzés rendszeres munkavégzéssé való átalakításának támogat</w:t>
      </w:r>
      <w:r>
        <w:rPr>
          <w:noProof/>
        </w:rPr>
        <w:t>ása, az elrettentési intézkedések és a rendszeres munkavégzést ösztönző intézkedések elfogadásának támogatása; V. kommunikációs kampányok, tájékoztató és figyelemfelkeltő tevékenységek végzése; V. a be nem jelentett munkavégzés elleni küzdelem irányítási r</w:t>
      </w:r>
      <w:r>
        <w:rPr>
          <w:noProof/>
        </w:rPr>
        <w:t xml:space="preserve">endszerének megerősítése nemzeti és helyi szinten. </w:t>
      </w:r>
    </w:p>
    <w:p w14:paraId="322DB235" w14:textId="1F8A6BBE" w:rsidR="003F5418" w:rsidRDefault="00152815">
      <w:pPr>
        <w:pStyle w:val="P68B1DB1-Normal17"/>
        <w:spacing w:before="120" w:after="120"/>
        <w:jc w:val="both"/>
        <w:rPr>
          <w:noProof/>
        </w:rPr>
      </w:pPr>
      <w:r>
        <w:rPr>
          <w:noProof/>
        </w:rPr>
        <w:t>2</w:t>
      </w:r>
      <w:r w:rsidRPr="00B07E42">
        <w:rPr>
          <w:noProof/>
        </w:rPr>
        <w:t>.</w:t>
      </w:r>
      <w:r>
        <w:rPr>
          <w:noProof/>
        </w:rPr>
        <w:t xml:space="preserve"> Beruházás – A nemek közötti egyenlőség tanúsítási rendszere</w:t>
      </w:r>
    </w:p>
    <w:p w14:paraId="1E1A60A4" w14:textId="77777777" w:rsidR="003F5418" w:rsidRDefault="002A6C25">
      <w:pPr>
        <w:spacing w:before="120" w:after="120"/>
        <w:jc w:val="both"/>
        <w:rPr>
          <w:noProof/>
        </w:rPr>
      </w:pPr>
      <w:r>
        <w:rPr>
          <w:noProof/>
          <w:color w:val="000000" w:themeColor="text1"/>
        </w:rPr>
        <w:t>Ezen intézkedés célja, hogy biztosítsa a</w:t>
      </w:r>
      <w:r>
        <w:rPr>
          <w:noProof/>
        </w:rPr>
        <w:t>nők újbóli munkaerőpiaci részvételét</w:t>
      </w:r>
      <w:r>
        <w:rPr>
          <w:noProof/>
          <w:color w:val="000000" w:themeColor="text1"/>
        </w:rPr>
        <w:t xml:space="preserve"> és csökkentse a nemek közötti bérszakadékot. Ez </w:t>
      </w:r>
      <w:r>
        <w:rPr>
          <w:noProof/>
        </w:rPr>
        <w:t>a beruházás magá</w:t>
      </w:r>
      <w:r>
        <w:rPr>
          <w:noProof/>
        </w:rPr>
        <w:t xml:space="preserve">ban foglalja a </w:t>
      </w:r>
      <w:r>
        <w:rPr>
          <w:b/>
          <w:noProof/>
        </w:rPr>
        <w:t xml:space="preserve">nemek közötti egyenlőségre vonatkozó nemzeti tanúsítási rendszer </w:t>
      </w:r>
      <w:r>
        <w:rPr>
          <w:noProof/>
        </w:rPr>
        <w:t>végrehajtását és érvényesítését a munkaerőpiac és az üzleti folyamatok átláthatóságának előmozdítása érdekében, valamint közép- és hosszú távon hozzájárul a nők munkakörülménye</w:t>
      </w:r>
      <w:r>
        <w:rPr>
          <w:noProof/>
        </w:rPr>
        <w:t>inek javításához a minőség, a javadalmazás és a társadalmi szerepvállalás tekintetében.</w:t>
      </w:r>
    </w:p>
    <w:p w14:paraId="74FA2EB2" w14:textId="25689867" w:rsidR="003F5418" w:rsidRDefault="00152815">
      <w:pPr>
        <w:pStyle w:val="P68B1DB1-Normal2"/>
        <w:spacing w:before="120" w:after="120"/>
        <w:jc w:val="both"/>
        <w:rPr>
          <w:noProof/>
          <w:color w:val="000000" w:themeColor="text1"/>
        </w:rPr>
      </w:pPr>
      <w:r>
        <w:rPr>
          <w:noProof/>
        </w:rPr>
        <w:t>3</w:t>
      </w:r>
      <w:r w:rsidRPr="00B07E42">
        <w:rPr>
          <w:noProof/>
        </w:rPr>
        <w:t>.</w:t>
      </w:r>
      <w:r>
        <w:rPr>
          <w:noProof/>
        </w:rPr>
        <w:t xml:space="preserve"> Beruházás – A kettős rendszer megerősítése</w:t>
      </w:r>
    </w:p>
    <w:p w14:paraId="3CDE4891" w14:textId="77777777" w:rsidR="003F5418" w:rsidRDefault="002A6C25">
      <w:pPr>
        <w:spacing w:before="120" w:after="120"/>
        <w:jc w:val="both"/>
        <w:rPr>
          <w:noProof/>
        </w:rPr>
      </w:pPr>
      <w:r>
        <w:rPr>
          <w:noProof/>
        </w:rPr>
        <w:t>Ezen intézkedés célja, hogy támogassa a középfokú oktatással nem rendelkező fiatalokat és felnőtteket a foglalkoztatási le</w:t>
      </w:r>
      <w:r>
        <w:rPr>
          <w:noProof/>
        </w:rPr>
        <w:t>hetőségekhez való hozzáférésben azáltal, hogy a duális rendszeren keresztül növeli a formális oktatásban, valamint a szakképzésben – többek között a tanulószerződéses gyakorlati képzésben – részt vevők számát. E beruházásnak hozzá kell járulnia ahhoz, hogy</w:t>
      </w:r>
      <w:r>
        <w:rPr>
          <w:noProof/>
        </w:rPr>
        <w:t xml:space="preserve"> az oktatási és képzési rendszerek szinergikusabbá váljanak a munkaerőpiaccal, valamint hogy a digitális és zöld átállással összhangban, a munkahelyi tanulással összhangban új kompetenciák elsajátítása révén növeljék a fiatalok foglalkoztathatóságát. Hozzá</w:t>
      </w:r>
      <w:r>
        <w:rPr>
          <w:noProof/>
        </w:rPr>
        <w:t>járul a következőkhöz: Az oktatási és képzési rendszer korszerűsítése a munkahelyi tanulás létrehozásának támogatásával és a vállalkozásokkal folytatott párbeszéd megerősítésével; Meg kell erősíteni a marginalizált területeken nyújtott képzésekre szánt pén</w:t>
      </w:r>
      <w:r>
        <w:rPr>
          <w:noProof/>
        </w:rPr>
        <w:t xml:space="preserve">zügyi előirányzatokat; Robusztus és inkluzív irányítás kialakítása, amelybe a gazdasági és szociális partnerek is beletartoznak. </w:t>
      </w:r>
    </w:p>
    <w:p w14:paraId="3692BDB7" w14:textId="0D28A47C" w:rsidR="003F5418" w:rsidRDefault="00152815">
      <w:pPr>
        <w:pStyle w:val="P68B1DB1-Normal2"/>
        <w:spacing w:before="120" w:after="120"/>
        <w:jc w:val="both"/>
        <w:rPr>
          <w:noProof/>
          <w:color w:val="000000" w:themeColor="text1"/>
        </w:rPr>
      </w:pPr>
      <w:r>
        <w:rPr>
          <w:noProof/>
        </w:rPr>
        <w:t>4</w:t>
      </w:r>
      <w:r w:rsidRPr="00B07E42">
        <w:rPr>
          <w:noProof/>
        </w:rPr>
        <w:t>.</w:t>
      </w:r>
      <w:r>
        <w:rPr>
          <w:noProof/>
        </w:rPr>
        <w:t xml:space="preserve"> Beruházás –</w:t>
      </w:r>
      <w:r>
        <w:rPr>
          <w:noProof/>
          <w:color w:val="000000" w:themeColor="text1"/>
        </w:rPr>
        <w:t>Az egyetemes közszolgálat megerősítése</w:t>
      </w:r>
    </w:p>
    <w:p w14:paraId="3684E38F" w14:textId="77777777" w:rsidR="003F5418" w:rsidRDefault="002A6C25">
      <w:pPr>
        <w:spacing w:before="120" w:after="120"/>
        <w:jc w:val="both"/>
        <w:rPr>
          <w:noProof/>
          <w:color w:val="000000" w:themeColor="text1"/>
        </w:rPr>
      </w:pPr>
      <w:r>
        <w:rPr>
          <w:noProof/>
        </w:rPr>
        <w:t>Ezen intézkedés célja az egyetemes közszolgálat megerősítése, a nem formá</w:t>
      </w:r>
      <w:r>
        <w:rPr>
          <w:noProof/>
        </w:rPr>
        <w:t xml:space="preserve">lis tanulásban részt vevő fiatalok számának növelése, valamint tudásuk és készségeik fejlesztése. Ez a beruházás olyan intézkedéseket foglal magában, amelyek felhívják a figyelmet az aktív polgári szerepvállalás fontosságára, előmozdítják a </w:t>
      </w:r>
      <w:r>
        <w:rPr>
          <w:noProof/>
          <w:color w:val="000000" w:themeColor="text1"/>
        </w:rPr>
        <w:t>fiatalok foglal</w:t>
      </w:r>
      <w:r>
        <w:rPr>
          <w:noProof/>
          <w:color w:val="000000" w:themeColor="text1"/>
        </w:rPr>
        <w:t>koztathatóságát és a társadalmi kohéziót, különös tekintettel a zöld és digitális átállásra.</w:t>
      </w:r>
    </w:p>
    <w:p w14:paraId="231AA2C4" w14:textId="77777777" w:rsidR="003F5418" w:rsidRDefault="002A6C25">
      <w:pPr>
        <w:pStyle w:val="Heading3"/>
        <w:numPr>
          <w:ilvl w:val="0"/>
          <w:numId w:val="0"/>
        </w:numPr>
        <w:ind w:left="850" w:hanging="850"/>
        <w:rPr>
          <w:b/>
          <w:i w:val="0"/>
          <w:noProof/>
          <w:u w:val="single"/>
        </w:rPr>
      </w:pPr>
      <w:r>
        <w:rPr>
          <w:b/>
          <w:i w:val="0"/>
          <w:noProof/>
          <w:u w:val="single"/>
        </w:rPr>
        <w:t xml:space="preserve">L.2. </w:t>
      </w:r>
      <w:r>
        <w:rPr>
          <w:noProof/>
        </w:rPr>
        <w:t xml:space="preserve"> </w:t>
      </w:r>
      <w:r>
        <w:rPr>
          <w:b/>
          <w:i w:val="0"/>
          <w:noProof/>
          <w:u w:val="single"/>
        </w:rPr>
        <w:t>Vissza nem térítendő pénzügyi támogatás – a végrehajtáshoz és a nyomon követéshez kapcsolódó mérföldkövek, célok, mutatók és ütemterv</w:t>
      </w:r>
    </w:p>
    <w:p w14:paraId="4FE30D6C" w14:textId="77777777" w:rsidR="003F5418" w:rsidRDefault="003F5418">
      <w:pPr>
        <w:spacing w:before="120" w:after="120"/>
        <w:ind w:left="709"/>
        <w:jc w:val="both"/>
        <w:rPr>
          <w:noProof/>
        </w:rPr>
        <w:sectPr w:rsidR="003F5418">
          <w:headerReference w:type="even" r:id="rId302"/>
          <w:headerReference w:type="default" r:id="rId303"/>
          <w:footerReference w:type="even" r:id="rId304"/>
          <w:footerReference w:type="default" r:id="rId305"/>
          <w:headerReference w:type="first" r:id="rId306"/>
          <w:footerReference w:type="first" r:id="rId307"/>
          <w:pgSz w:w="11907" w:h="16839"/>
          <w:pgMar w:top="1440" w:right="1440" w:bottom="1440" w:left="1440" w:header="567" w:footer="567" w:gutter="0"/>
          <w:cols w:space="720"/>
          <w:docGrid w:linePitch="360"/>
        </w:sectPr>
      </w:pP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513"/>
        <w:gridCol w:w="1281"/>
        <w:gridCol w:w="1597"/>
        <w:gridCol w:w="1470"/>
        <w:gridCol w:w="1275"/>
        <w:gridCol w:w="1134"/>
        <w:gridCol w:w="1134"/>
        <w:gridCol w:w="851"/>
        <w:gridCol w:w="709"/>
        <w:gridCol w:w="2835"/>
      </w:tblGrid>
      <w:tr w:rsidR="003F5418" w14:paraId="0EA14165" w14:textId="77777777">
        <w:trPr>
          <w:trHeight w:val="633"/>
          <w:tblHeader/>
          <w:jc w:val="center"/>
        </w:trPr>
        <w:tc>
          <w:tcPr>
            <w:tcW w:w="1364" w:type="dxa"/>
            <w:vMerge w:val="restart"/>
            <w:shd w:val="clear" w:color="auto" w:fill="BDD7EE"/>
            <w:vAlign w:val="center"/>
            <w:hideMark/>
          </w:tcPr>
          <w:p w14:paraId="5486C85E" w14:textId="77777777" w:rsidR="003F5418" w:rsidRDefault="002A6C25">
            <w:pPr>
              <w:pStyle w:val="P68B1DB1-Normal3"/>
              <w:jc w:val="center"/>
              <w:rPr>
                <w:noProof/>
              </w:rPr>
            </w:pPr>
            <w:r>
              <w:rPr>
                <w:noProof/>
              </w:rPr>
              <w:t>Sorszám</w:t>
            </w:r>
          </w:p>
        </w:tc>
        <w:tc>
          <w:tcPr>
            <w:tcW w:w="1513" w:type="dxa"/>
            <w:vMerge w:val="restart"/>
            <w:shd w:val="clear" w:color="auto" w:fill="BDD7EE"/>
            <w:vAlign w:val="center"/>
            <w:hideMark/>
          </w:tcPr>
          <w:p w14:paraId="51C199B6" w14:textId="77777777" w:rsidR="003F5418" w:rsidRDefault="002A6C25">
            <w:pPr>
              <w:pStyle w:val="P68B1DB1-Normal3"/>
              <w:jc w:val="center"/>
              <w:rPr>
                <w:noProof/>
              </w:rPr>
            </w:pPr>
            <w:r>
              <w:rPr>
                <w:noProof/>
              </w:rPr>
              <w:t>Kapcsolódó intézkedés (reform vagy beruházás)</w:t>
            </w:r>
          </w:p>
        </w:tc>
        <w:tc>
          <w:tcPr>
            <w:tcW w:w="1281" w:type="dxa"/>
            <w:vMerge w:val="restart"/>
            <w:shd w:val="clear" w:color="auto" w:fill="BDD7EE"/>
            <w:vAlign w:val="center"/>
            <w:hideMark/>
          </w:tcPr>
          <w:p w14:paraId="0B32B39C" w14:textId="77777777" w:rsidR="003F5418" w:rsidRDefault="002A6C25">
            <w:pPr>
              <w:pStyle w:val="P68B1DB1-Normal3"/>
              <w:jc w:val="center"/>
              <w:rPr>
                <w:noProof/>
              </w:rPr>
            </w:pPr>
            <w:r>
              <w:rPr>
                <w:noProof/>
              </w:rPr>
              <w:t>Mérföldkő/cél</w:t>
            </w:r>
          </w:p>
        </w:tc>
        <w:tc>
          <w:tcPr>
            <w:tcW w:w="1597" w:type="dxa"/>
            <w:vMerge w:val="restart"/>
            <w:shd w:val="clear" w:color="auto" w:fill="BDD7EE"/>
            <w:vAlign w:val="center"/>
            <w:hideMark/>
          </w:tcPr>
          <w:p w14:paraId="33212F01" w14:textId="77777777" w:rsidR="003F5418" w:rsidRDefault="002A6C25">
            <w:pPr>
              <w:pStyle w:val="P68B1DB1-Normal3"/>
              <w:jc w:val="center"/>
              <w:rPr>
                <w:noProof/>
              </w:rPr>
            </w:pPr>
            <w:r>
              <w:rPr>
                <w:noProof/>
              </w:rPr>
              <w:t>Név</w:t>
            </w:r>
          </w:p>
        </w:tc>
        <w:tc>
          <w:tcPr>
            <w:tcW w:w="1470" w:type="dxa"/>
            <w:vMerge w:val="restart"/>
            <w:shd w:val="clear" w:color="auto" w:fill="BDD7EE"/>
            <w:vAlign w:val="center"/>
            <w:hideMark/>
          </w:tcPr>
          <w:p w14:paraId="1B151035"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3543" w:type="dxa"/>
            <w:gridSpan w:val="3"/>
            <w:shd w:val="clear" w:color="auto" w:fill="BDD7EE"/>
            <w:vAlign w:val="center"/>
            <w:hideMark/>
          </w:tcPr>
          <w:p w14:paraId="121B88BD"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(célok esetében)</w:t>
            </w:r>
          </w:p>
        </w:tc>
        <w:tc>
          <w:tcPr>
            <w:tcW w:w="1560" w:type="dxa"/>
            <w:gridSpan w:val="2"/>
            <w:shd w:val="clear" w:color="auto" w:fill="BDD7EE"/>
            <w:vAlign w:val="center"/>
            <w:hideMark/>
          </w:tcPr>
          <w:p w14:paraId="45597913" w14:textId="77777777" w:rsidR="003F5418" w:rsidRDefault="002A6C25">
            <w:pPr>
              <w:pStyle w:val="P68B1DB1-Normal3"/>
              <w:jc w:val="center"/>
              <w:rPr>
                <w:noProof/>
              </w:rPr>
            </w:pPr>
            <w:r>
              <w:rPr>
                <w:noProof/>
              </w:rPr>
              <w:t>A végrehajtás indikatív ütemterve</w:t>
            </w:r>
          </w:p>
        </w:tc>
        <w:tc>
          <w:tcPr>
            <w:tcW w:w="2835" w:type="dxa"/>
            <w:vMerge w:val="restart"/>
            <w:shd w:val="clear" w:color="auto" w:fill="BDD7EE"/>
            <w:vAlign w:val="center"/>
            <w:hideMark/>
          </w:tcPr>
          <w:p w14:paraId="1486B382" w14:textId="77777777" w:rsidR="003F5418" w:rsidRDefault="002A6C25">
            <w:pPr>
              <w:pStyle w:val="P68B1DB1-Normal3"/>
              <w:jc w:val="center"/>
              <w:rPr>
                <w:noProof/>
              </w:rPr>
            </w:pPr>
            <w:r>
              <w:rPr>
                <w:noProof/>
              </w:rPr>
              <w:t xml:space="preserve">Az egyes </w:t>
            </w:r>
            <w:r>
              <w:rPr>
                <w:noProof/>
              </w:rPr>
              <w:t>mérföldkövek és célértékek leírása</w:t>
            </w:r>
          </w:p>
        </w:tc>
      </w:tr>
      <w:tr w:rsidR="003F5418" w14:paraId="234C9056" w14:textId="77777777">
        <w:trPr>
          <w:trHeight w:val="632"/>
          <w:jc w:val="center"/>
        </w:trPr>
        <w:tc>
          <w:tcPr>
            <w:tcW w:w="1364" w:type="dxa"/>
            <w:vMerge/>
            <w:vAlign w:val="center"/>
          </w:tcPr>
          <w:p w14:paraId="5B5677E3" w14:textId="77777777" w:rsidR="003F5418" w:rsidRDefault="003F5418">
            <w:pPr>
              <w:jc w:val="center"/>
              <w:rPr>
                <w:rFonts w:ascii="Arial Narrow" w:hAnsi="Arial Narrow"/>
                <w:b/>
                <w:noProof/>
                <w:sz w:val="20"/>
              </w:rPr>
            </w:pPr>
          </w:p>
        </w:tc>
        <w:tc>
          <w:tcPr>
            <w:tcW w:w="1513" w:type="dxa"/>
            <w:vMerge/>
            <w:vAlign w:val="center"/>
          </w:tcPr>
          <w:p w14:paraId="1F422226" w14:textId="77777777" w:rsidR="003F5418" w:rsidRDefault="003F5418">
            <w:pPr>
              <w:jc w:val="center"/>
              <w:rPr>
                <w:rFonts w:ascii="Arial Narrow" w:hAnsi="Arial Narrow"/>
                <w:b/>
                <w:noProof/>
                <w:sz w:val="20"/>
              </w:rPr>
            </w:pPr>
          </w:p>
        </w:tc>
        <w:tc>
          <w:tcPr>
            <w:tcW w:w="1281" w:type="dxa"/>
            <w:vMerge/>
            <w:vAlign w:val="center"/>
          </w:tcPr>
          <w:p w14:paraId="4724C7BF" w14:textId="77777777" w:rsidR="003F5418" w:rsidRDefault="003F5418">
            <w:pPr>
              <w:jc w:val="center"/>
              <w:rPr>
                <w:rFonts w:ascii="Arial Narrow" w:hAnsi="Arial Narrow"/>
                <w:b/>
                <w:noProof/>
                <w:sz w:val="20"/>
              </w:rPr>
            </w:pPr>
          </w:p>
        </w:tc>
        <w:tc>
          <w:tcPr>
            <w:tcW w:w="1597" w:type="dxa"/>
            <w:vMerge/>
            <w:vAlign w:val="center"/>
          </w:tcPr>
          <w:p w14:paraId="690FD036" w14:textId="77777777" w:rsidR="003F5418" w:rsidRDefault="003F5418">
            <w:pPr>
              <w:jc w:val="center"/>
              <w:rPr>
                <w:rFonts w:ascii="Arial Narrow" w:hAnsi="Arial Narrow"/>
                <w:b/>
                <w:noProof/>
                <w:sz w:val="20"/>
              </w:rPr>
            </w:pPr>
          </w:p>
        </w:tc>
        <w:tc>
          <w:tcPr>
            <w:tcW w:w="1470" w:type="dxa"/>
            <w:vMerge/>
            <w:vAlign w:val="center"/>
          </w:tcPr>
          <w:p w14:paraId="1EB3A20D" w14:textId="77777777" w:rsidR="003F5418" w:rsidRDefault="003F5418">
            <w:pPr>
              <w:jc w:val="center"/>
              <w:rPr>
                <w:rFonts w:ascii="Arial Narrow" w:hAnsi="Arial Narrow"/>
                <w:b/>
                <w:noProof/>
                <w:sz w:val="20"/>
              </w:rPr>
            </w:pPr>
          </w:p>
        </w:tc>
        <w:tc>
          <w:tcPr>
            <w:tcW w:w="1275" w:type="dxa"/>
            <w:shd w:val="clear" w:color="auto" w:fill="BDD7EE"/>
            <w:vAlign w:val="center"/>
          </w:tcPr>
          <w:p w14:paraId="6C5C9EEB" w14:textId="77777777" w:rsidR="003F5418" w:rsidRDefault="002A6C25">
            <w:pPr>
              <w:pStyle w:val="P68B1DB1-Normal3"/>
              <w:jc w:val="center"/>
              <w:rPr>
                <w:noProof/>
              </w:rPr>
            </w:pPr>
            <w:r>
              <w:rPr>
                <w:noProof/>
              </w:rPr>
              <w:t>Mértékegység</w:t>
            </w:r>
          </w:p>
        </w:tc>
        <w:tc>
          <w:tcPr>
            <w:tcW w:w="1134" w:type="dxa"/>
            <w:shd w:val="clear" w:color="auto" w:fill="BDD7EE"/>
            <w:vAlign w:val="center"/>
          </w:tcPr>
          <w:p w14:paraId="3849812D" w14:textId="77777777" w:rsidR="003F5418" w:rsidRDefault="002A6C25">
            <w:pPr>
              <w:pStyle w:val="P68B1DB1-Normal3"/>
              <w:jc w:val="center"/>
              <w:rPr>
                <w:noProof/>
              </w:rPr>
            </w:pPr>
            <w:r>
              <w:rPr>
                <w:noProof/>
              </w:rPr>
              <w:t>Kiindulási</w:t>
            </w:r>
          </w:p>
        </w:tc>
        <w:tc>
          <w:tcPr>
            <w:tcW w:w="1134" w:type="dxa"/>
            <w:shd w:val="clear" w:color="auto" w:fill="BDD7EE"/>
            <w:vAlign w:val="center"/>
          </w:tcPr>
          <w:p w14:paraId="76ED7316" w14:textId="77777777" w:rsidR="003F5418" w:rsidRDefault="002A6C25">
            <w:pPr>
              <w:pStyle w:val="P68B1DB1-Normal3"/>
              <w:jc w:val="center"/>
              <w:rPr>
                <w:noProof/>
              </w:rPr>
            </w:pPr>
            <w:r>
              <w:rPr>
                <w:noProof/>
              </w:rPr>
              <w:t>Cél</w:t>
            </w:r>
          </w:p>
        </w:tc>
        <w:tc>
          <w:tcPr>
            <w:tcW w:w="851" w:type="dxa"/>
            <w:shd w:val="clear" w:color="auto" w:fill="BDD7EE"/>
            <w:vAlign w:val="center"/>
          </w:tcPr>
          <w:p w14:paraId="0E6507BC" w14:textId="77777777" w:rsidR="003F5418" w:rsidRDefault="002A6C25">
            <w:pPr>
              <w:pStyle w:val="P68B1DB1-Normal3"/>
              <w:jc w:val="center"/>
              <w:rPr>
                <w:noProof/>
              </w:rPr>
            </w:pPr>
            <w:r>
              <w:rPr>
                <w:noProof/>
              </w:rPr>
              <w:t>Negyedév</w:t>
            </w:r>
          </w:p>
        </w:tc>
        <w:tc>
          <w:tcPr>
            <w:tcW w:w="709" w:type="dxa"/>
            <w:shd w:val="clear" w:color="auto" w:fill="BDD7EE"/>
            <w:vAlign w:val="center"/>
          </w:tcPr>
          <w:p w14:paraId="54E66AC6" w14:textId="77777777" w:rsidR="003F5418" w:rsidRDefault="002A6C25">
            <w:pPr>
              <w:pStyle w:val="P68B1DB1-Normal3"/>
              <w:jc w:val="center"/>
              <w:rPr>
                <w:noProof/>
              </w:rPr>
            </w:pPr>
            <w:r>
              <w:rPr>
                <w:noProof/>
              </w:rPr>
              <w:t>Éve</w:t>
            </w:r>
          </w:p>
        </w:tc>
        <w:tc>
          <w:tcPr>
            <w:tcW w:w="2835" w:type="dxa"/>
            <w:vMerge/>
            <w:vAlign w:val="center"/>
          </w:tcPr>
          <w:p w14:paraId="269AFF9A" w14:textId="77777777" w:rsidR="003F5418" w:rsidRDefault="003F5418">
            <w:pPr>
              <w:jc w:val="center"/>
              <w:rPr>
                <w:rFonts w:ascii="Arial Narrow" w:hAnsi="Arial Narrow"/>
                <w:b/>
                <w:noProof/>
                <w:sz w:val="20"/>
              </w:rPr>
            </w:pPr>
          </w:p>
        </w:tc>
      </w:tr>
      <w:tr w:rsidR="003F5418" w14:paraId="22AC461E" w14:textId="77777777">
        <w:trPr>
          <w:trHeight w:val="309"/>
          <w:jc w:val="center"/>
        </w:trPr>
        <w:tc>
          <w:tcPr>
            <w:tcW w:w="1364" w:type="dxa"/>
            <w:shd w:val="clear" w:color="auto" w:fill="C6EFCE"/>
            <w:noWrap/>
            <w:vAlign w:val="center"/>
            <w:hideMark/>
          </w:tcPr>
          <w:p w14:paraId="4B4A0178" w14:textId="77777777" w:rsidR="003F5418" w:rsidRDefault="002A6C25">
            <w:pPr>
              <w:pStyle w:val="P68B1DB1-Normal4"/>
              <w:jc w:val="center"/>
              <w:rPr>
                <w:noProof/>
              </w:rPr>
            </w:pPr>
            <w:r>
              <w:rPr>
                <w:noProof/>
              </w:rPr>
              <w:t xml:space="preserve">M5C1–1 </w:t>
            </w:r>
          </w:p>
        </w:tc>
        <w:tc>
          <w:tcPr>
            <w:tcW w:w="1513" w:type="dxa"/>
            <w:shd w:val="clear" w:color="auto" w:fill="C6EFCE"/>
            <w:noWrap/>
            <w:vAlign w:val="center"/>
            <w:hideMark/>
          </w:tcPr>
          <w:p w14:paraId="71272458" w14:textId="77777777" w:rsidR="003F5418" w:rsidRDefault="002A6C25">
            <w:pPr>
              <w:pStyle w:val="P68B1DB1-Normal4"/>
              <w:jc w:val="center"/>
              <w:rPr>
                <w:noProof/>
              </w:rPr>
            </w:pPr>
            <w:r>
              <w:rPr>
                <w:noProof/>
              </w:rPr>
              <w:t>Reform – aktív munkaerőpiaci intézkedések és szakképzés</w:t>
            </w:r>
          </w:p>
        </w:tc>
        <w:tc>
          <w:tcPr>
            <w:tcW w:w="1281" w:type="dxa"/>
            <w:shd w:val="clear" w:color="auto" w:fill="C6EFCE"/>
            <w:noWrap/>
            <w:vAlign w:val="center"/>
            <w:hideMark/>
          </w:tcPr>
          <w:p w14:paraId="05AA3650" w14:textId="77777777" w:rsidR="003F5418" w:rsidRDefault="002A6C25">
            <w:pPr>
              <w:pStyle w:val="P68B1DB1-Normal4"/>
              <w:jc w:val="center"/>
              <w:rPr>
                <w:noProof/>
              </w:rPr>
            </w:pPr>
            <w:r>
              <w:rPr>
                <w:noProof/>
              </w:rPr>
              <w:t>Mérföldkő</w:t>
            </w:r>
          </w:p>
        </w:tc>
        <w:tc>
          <w:tcPr>
            <w:tcW w:w="1597" w:type="dxa"/>
            <w:shd w:val="clear" w:color="auto" w:fill="C6EFCE"/>
            <w:noWrap/>
            <w:vAlign w:val="center"/>
            <w:hideMark/>
          </w:tcPr>
          <w:p w14:paraId="6DF255BB" w14:textId="77777777" w:rsidR="003F5418" w:rsidRDefault="002A6C25">
            <w:pPr>
              <w:pStyle w:val="P68B1DB1-Normal4"/>
              <w:jc w:val="center"/>
              <w:rPr>
                <w:noProof/>
              </w:rPr>
            </w:pPr>
            <w:r>
              <w:rPr>
                <w:noProof/>
              </w:rPr>
              <w:t xml:space="preserve">A munkavállalók garantált foglalkoztathatóságára vonatkozó nemzeti program (GOL) létrehozásáról </w:t>
            </w:r>
            <w:r>
              <w:rPr>
                <w:noProof/>
              </w:rPr>
              <w:t>szóló tárcaközi rendelet és az új készségekre vonatkozó nemzeti tervet létrehozó tárcaközi rendelet hatálybalépése</w:t>
            </w:r>
          </w:p>
        </w:tc>
        <w:tc>
          <w:tcPr>
            <w:tcW w:w="1470" w:type="dxa"/>
            <w:shd w:val="clear" w:color="auto" w:fill="C6EFCE"/>
            <w:noWrap/>
            <w:vAlign w:val="center"/>
            <w:hideMark/>
          </w:tcPr>
          <w:p w14:paraId="04CFC965" w14:textId="77777777" w:rsidR="003F5418" w:rsidRDefault="002A6C25">
            <w:pPr>
              <w:pStyle w:val="P68B1DB1-Normal4"/>
              <w:jc w:val="center"/>
              <w:rPr>
                <w:noProof/>
              </w:rPr>
            </w:pPr>
            <w:r>
              <w:rPr>
                <w:noProof/>
              </w:rPr>
              <w:t xml:space="preserve">A minisztériumközi rendeletek azon rendelkezése, amely a GOL programról és az új készségek nemzeti tervéről szóló állam-régiók konferencián </w:t>
            </w:r>
            <w:r>
              <w:rPr>
                <w:noProof/>
              </w:rPr>
              <w:t>született megállapodásokat követően a két tárcaközi rendelet hatálybalépését jelzi</w:t>
            </w:r>
          </w:p>
        </w:tc>
        <w:tc>
          <w:tcPr>
            <w:tcW w:w="1275" w:type="dxa"/>
            <w:shd w:val="clear" w:color="auto" w:fill="C6EFCE"/>
            <w:noWrap/>
            <w:vAlign w:val="center"/>
            <w:hideMark/>
          </w:tcPr>
          <w:p w14:paraId="326DCEE1"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39A66781"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3FDD8A91" w14:textId="77777777" w:rsidR="003F5418" w:rsidRDefault="002A6C25">
            <w:pPr>
              <w:pStyle w:val="P68B1DB1-Normal4"/>
              <w:jc w:val="center"/>
              <w:rPr>
                <w:noProof/>
              </w:rPr>
            </w:pPr>
            <w:r>
              <w:rPr>
                <w:noProof/>
              </w:rPr>
              <w:t>NINCS</w:t>
            </w:r>
          </w:p>
        </w:tc>
        <w:tc>
          <w:tcPr>
            <w:tcW w:w="851" w:type="dxa"/>
            <w:shd w:val="clear" w:color="auto" w:fill="C6EFCE"/>
            <w:noWrap/>
            <w:vAlign w:val="center"/>
            <w:hideMark/>
          </w:tcPr>
          <w:p w14:paraId="3119BA30" w14:textId="77777777" w:rsidR="003F5418" w:rsidRDefault="002A6C25">
            <w:pPr>
              <w:pStyle w:val="P68B1DB1-Normal4"/>
              <w:jc w:val="center"/>
              <w:rPr>
                <w:rFonts w:eastAsia="Calibri"/>
                <w:noProof/>
              </w:rPr>
            </w:pPr>
            <w:r>
              <w:rPr>
                <w:noProof/>
              </w:rPr>
              <w:t>Q4</w:t>
            </w:r>
          </w:p>
        </w:tc>
        <w:tc>
          <w:tcPr>
            <w:tcW w:w="709" w:type="dxa"/>
            <w:shd w:val="clear" w:color="auto" w:fill="C6EFCE"/>
            <w:noWrap/>
            <w:vAlign w:val="center"/>
            <w:hideMark/>
          </w:tcPr>
          <w:p w14:paraId="4308914A" w14:textId="77777777" w:rsidR="003F5418" w:rsidRDefault="002A6C25">
            <w:pPr>
              <w:pStyle w:val="P68B1DB1-Normal4"/>
              <w:jc w:val="center"/>
              <w:rPr>
                <w:noProof/>
              </w:rPr>
            </w:pPr>
            <w:r>
              <w:rPr>
                <w:noProof/>
              </w:rPr>
              <w:t>2021</w:t>
            </w:r>
          </w:p>
        </w:tc>
        <w:tc>
          <w:tcPr>
            <w:tcW w:w="2835" w:type="dxa"/>
            <w:shd w:val="clear" w:color="auto" w:fill="C6EFCE"/>
            <w:noWrap/>
            <w:vAlign w:val="center"/>
            <w:hideMark/>
          </w:tcPr>
          <w:p w14:paraId="3ABA9328" w14:textId="77777777" w:rsidR="003F5418" w:rsidRDefault="002A6C25">
            <w:pPr>
              <w:pStyle w:val="P68B1DB1-Normal4"/>
              <w:rPr>
                <w:rFonts w:eastAsia="Calibri"/>
                <w:noProof/>
              </w:rPr>
            </w:pPr>
            <w:r>
              <w:rPr>
                <w:noProof/>
              </w:rPr>
              <w:t xml:space="preserve">A GOL-ra vonatkozó cselekményeknek legalább: i. az állami foglalkoztatási szolgálatok (ÁFSZ-ek) alapvető elemeinek és szabványainak meghatározása, </w:t>
            </w:r>
            <w:r>
              <w:rPr>
                <w:noProof/>
              </w:rPr>
              <w:t>beleértve a készség-előrejelzést, a személyre szabott képzési terveket, a pályaorientációt és a munkahelyi tanácsadást annak biztosítása érdekében, hogy a személyre szabott foglalkoztatási szolgáltatások hatékony nyújtása az ország egész területén biztosít</w:t>
            </w:r>
            <w:r>
              <w:rPr>
                <w:noProof/>
              </w:rPr>
              <w:t>ott legyen, ii. annak biztosítása, hogy az állami foglalkoztatási szolgálatok által nyújtott továbbképzési és átképzési tevékenységek teljes mértékben összhangban legyenek az új készségekre vonatkozó nemzeti tervvel, beleértve a digitális készségeket is; i</w:t>
            </w:r>
            <w:r>
              <w:rPr>
                <w:noProof/>
              </w:rPr>
              <w:t>ii. annak biztosítása, hogy az állami foglalkoztatási szolgálatok (ÁFSZ-ek) a kedvezményezettek igényeihez igazodjanak; iv. annak biztosítása, hogy az állami foglalkoztatási szolgálatok (ÁFSZ-ek) prioritásként a legkiszolgáltatottabbakat célozzák meg; v. c</w:t>
            </w:r>
            <w:r>
              <w:rPr>
                <w:noProof/>
              </w:rPr>
              <w:t>élul tűzzék ki, hogy a munkavállalók garantált foglalkoztathatóságára vonatkozó programok kedvezményezettjeinek legalább 25%-a megfelelő képzésben részesüljön, különös tekintettel a digitális készségekre, és prioritásként kezelve a legkiszolgáltatottabbaka</w:t>
            </w:r>
            <w:r>
              <w:rPr>
                <w:noProof/>
              </w:rPr>
              <w:t>t; vi. olyan új mechanizmusok létrehozása, amelyek megerősítik és strukturálják az állami és magánrendszerek közötti együttműködést, többek között a releváns készségigények azonosítása és az állásajánlatok biztosítása tekintetében. A rendelet előírja, hogy</w:t>
            </w:r>
            <w:r>
              <w:rPr>
                <w:noProof/>
              </w:rPr>
              <w:t xml:space="preserve"> a szociális védőhálók igénybevevői a szociális védőhálóhoz való jog lejártától számított 4 hónapon belül igénybe vehetik a Munkavállalók garantált foglalkoztathatóságára vonatkozó nemzeti program keretében nyújtott szolgáltatásokat. Az új készségekre vona</w:t>
            </w:r>
            <w:r>
              <w:rPr>
                <w:noProof/>
              </w:rPr>
              <w:t>tkozó nemzeti terv jogi aktusai legalább: i. meghatározza a szakképzés közös normáit és alapvető szintjeit az ország egész területén, ii. mind a foglalkoztatottakat, mind a munkanélkülieket és a személyeket célozza meg digitális készségeik fejlesztése és a</w:t>
            </w:r>
            <w:r>
              <w:rPr>
                <w:noProof/>
              </w:rPr>
              <w:t>z egész életen át tartó tanulás ösztönzése céljából. iii. a készségek és a vonatkozó normák meghatározása a köz- és a magánrendszerek közötti együttműködés alapján, iv. figyelembe veszi a figyelembe vett célcsoportok különböző igényeit, amelyek magukban fo</w:t>
            </w:r>
            <w:r>
              <w:rPr>
                <w:noProof/>
              </w:rPr>
              <w:t>glalják legalább a legsérülékenyebbeket, v. magukban foglalják az átfogó megközelítést szolgáló valamennyi releváns ágazati stratégiát, beleértve a felnőttek kompetenciáira vonatkozó nemzeti stratégiai tervet is. vi. a munkaerőpiacon rövid és középtávon sz</w:t>
            </w:r>
            <w:r>
              <w:rPr>
                <w:noProof/>
              </w:rPr>
              <w:t>ükséges új kompetenciák előrejelzésére szolgáló rendszer kidolgozására vonatkozó rendelkezést.</w:t>
            </w:r>
          </w:p>
        </w:tc>
      </w:tr>
      <w:tr w:rsidR="003F5418" w14:paraId="6031D842" w14:textId="77777777">
        <w:trPr>
          <w:trHeight w:val="309"/>
          <w:jc w:val="center"/>
        </w:trPr>
        <w:tc>
          <w:tcPr>
            <w:tcW w:w="1364" w:type="dxa"/>
            <w:shd w:val="clear" w:color="auto" w:fill="C6EFCE"/>
            <w:noWrap/>
            <w:vAlign w:val="center"/>
            <w:hideMark/>
          </w:tcPr>
          <w:p w14:paraId="460AA58B" w14:textId="77777777" w:rsidR="003F5418" w:rsidRDefault="002A6C25">
            <w:pPr>
              <w:pStyle w:val="P68B1DB1-Normal4"/>
              <w:jc w:val="center"/>
              <w:rPr>
                <w:noProof/>
              </w:rPr>
            </w:pPr>
            <w:r>
              <w:rPr>
                <w:noProof/>
              </w:rPr>
              <w:t xml:space="preserve">M5C1–2 </w:t>
            </w:r>
          </w:p>
        </w:tc>
        <w:tc>
          <w:tcPr>
            <w:tcW w:w="1513" w:type="dxa"/>
            <w:shd w:val="clear" w:color="auto" w:fill="C6EFCE"/>
            <w:noWrap/>
            <w:vAlign w:val="center"/>
            <w:hideMark/>
          </w:tcPr>
          <w:p w14:paraId="217DABA0" w14:textId="77777777" w:rsidR="003F5418" w:rsidRDefault="002A6C25">
            <w:pPr>
              <w:pStyle w:val="P68B1DB1-Normal4"/>
              <w:jc w:val="center"/>
              <w:rPr>
                <w:noProof/>
              </w:rPr>
            </w:pPr>
            <w:r>
              <w:rPr>
                <w:noProof/>
              </w:rPr>
              <w:t>Reform – aktív munkaerőpiaci intézkedések és szakképzés</w:t>
            </w:r>
          </w:p>
        </w:tc>
        <w:tc>
          <w:tcPr>
            <w:tcW w:w="1281" w:type="dxa"/>
            <w:shd w:val="clear" w:color="auto" w:fill="C6EFCE"/>
            <w:noWrap/>
            <w:vAlign w:val="center"/>
            <w:hideMark/>
          </w:tcPr>
          <w:p w14:paraId="6D2DE2B4" w14:textId="77777777" w:rsidR="003F5418" w:rsidRDefault="002A6C25">
            <w:pPr>
              <w:pStyle w:val="P68B1DB1-Normal4"/>
              <w:jc w:val="center"/>
              <w:rPr>
                <w:noProof/>
              </w:rPr>
            </w:pPr>
            <w:r>
              <w:rPr>
                <w:noProof/>
              </w:rPr>
              <w:t>Mérföldkő</w:t>
            </w:r>
          </w:p>
        </w:tc>
        <w:tc>
          <w:tcPr>
            <w:tcW w:w="1597" w:type="dxa"/>
            <w:shd w:val="clear" w:color="auto" w:fill="C6EFCE"/>
            <w:noWrap/>
            <w:vAlign w:val="center"/>
            <w:hideMark/>
          </w:tcPr>
          <w:p w14:paraId="145EFB78" w14:textId="77777777" w:rsidR="003F5418" w:rsidRDefault="002A6C25">
            <w:pPr>
              <w:pStyle w:val="P68B1DB1-Normal4"/>
              <w:jc w:val="center"/>
              <w:rPr>
                <w:noProof/>
              </w:rPr>
            </w:pPr>
            <w:r>
              <w:rPr>
                <w:noProof/>
              </w:rPr>
              <w:t xml:space="preserve">Az állami foglalkoztatási szolgálatok (ÁFSZ-ek) valamennyi tervének hatálybalépése regionális szinten  </w:t>
            </w:r>
          </w:p>
        </w:tc>
        <w:tc>
          <w:tcPr>
            <w:tcW w:w="1470" w:type="dxa"/>
            <w:shd w:val="clear" w:color="auto" w:fill="C6EFCE"/>
            <w:noWrap/>
            <w:vAlign w:val="center"/>
            <w:hideMark/>
          </w:tcPr>
          <w:p w14:paraId="1AE1E99C" w14:textId="77777777" w:rsidR="003F5418" w:rsidRDefault="002A6C25">
            <w:pPr>
              <w:pStyle w:val="P68B1DB1-Normal4"/>
              <w:jc w:val="center"/>
              <w:rPr>
                <w:noProof/>
              </w:rPr>
            </w:pPr>
            <w:r>
              <w:rPr>
                <w:noProof/>
              </w:rPr>
              <w:t>A régiók által elfogadott tervek hatálybalépését és a végrehajtott tevékenységeket feltüntető rendelkezés</w:t>
            </w:r>
          </w:p>
        </w:tc>
        <w:tc>
          <w:tcPr>
            <w:tcW w:w="1275" w:type="dxa"/>
            <w:shd w:val="clear" w:color="auto" w:fill="C6EFCE"/>
            <w:noWrap/>
            <w:vAlign w:val="center"/>
            <w:hideMark/>
          </w:tcPr>
          <w:p w14:paraId="67CBD64B"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11E8E62C"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2ED2E12E" w14:textId="77777777" w:rsidR="003F5418" w:rsidRDefault="002A6C25">
            <w:pPr>
              <w:pStyle w:val="P68B1DB1-Normal4"/>
              <w:jc w:val="center"/>
              <w:rPr>
                <w:noProof/>
              </w:rPr>
            </w:pPr>
            <w:r>
              <w:rPr>
                <w:noProof/>
              </w:rPr>
              <w:t>NINCS</w:t>
            </w:r>
          </w:p>
        </w:tc>
        <w:tc>
          <w:tcPr>
            <w:tcW w:w="851" w:type="dxa"/>
            <w:shd w:val="clear" w:color="auto" w:fill="C6EFCE"/>
            <w:noWrap/>
            <w:vAlign w:val="center"/>
            <w:hideMark/>
          </w:tcPr>
          <w:p w14:paraId="6B156837" w14:textId="77777777" w:rsidR="003F5418" w:rsidRDefault="002A6C25">
            <w:pPr>
              <w:pStyle w:val="P68B1DB1-Normal4"/>
              <w:jc w:val="center"/>
              <w:rPr>
                <w:rFonts w:eastAsia="Calibri"/>
                <w:noProof/>
              </w:rPr>
            </w:pPr>
            <w:r>
              <w:rPr>
                <w:noProof/>
              </w:rPr>
              <w:t>Q4</w:t>
            </w:r>
          </w:p>
        </w:tc>
        <w:tc>
          <w:tcPr>
            <w:tcW w:w="709" w:type="dxa"/>
            <w:shd w:val="clear" w:color="auto" w:fill="C6EFCE"/>
            <w:noWrap/>
            <w:vAlign w:val="center"/>
            <w:hideMark/>
          </w:tcPr>
          <w:p w14:paraId="2F4C0343" w14:textId="77777777" w:rsidR="003F5418" w:rsidRDefault="002A6C25">
            <w:pPr>
              <w:pStyle w:val="P68B1DB1-Normal4"/>
              <w:jc w:val="center"/>
              <w:rPr>
                <w:noProof/>
              </w:rPr>
            </w:pPr>
            <w:r>
              <w:rPr>
                <w:noProof/>
              </w:rPr>
              <w:t>2022</w:t>
            </w:r>
          </w:p>
        </w:tc>
        <w:tc>
          <w:tcPr>
            <w:tcW w:w="2835" w:type="dxa"/>
            <w:shd w:val="clear" w:color="auto" w:fill="C6EFCE"/>
            <w:noWrap/>
            <w:vAlign w:val="center"/>
            <w:hideMark/>
          </w:tcPr>
          <w:p w14:paraId="1225EFCB" w14:textId="77777777" w:rsidR="003F5418" w:rsidRDefault="002A6C25">
            <w:pPr>
              <w:pStyle w:val="P68B1DB1-Normal4"/>
              <w:rPr>
                <w:rFonts w:eastAsia="Calibri"/>
                <w:noProof/>
              </w:rPr>
            </w:pPr>
            <w:r>
              <w:rPr>
                <w:noProof/>
              </w:rPr>
              <w:t xml:space="preserve">A munkavállalók </w:t>
            </w:r>
            <w:r>
              <w:rPr>
                <w:noProof/>
              </w:rPr>
              <w:t>garantált foglalkoztathatósága (GOL) program nemzeti szabályozása előirányozza a program végrehajtásához szükséges operatív tevékenységek regionális szintű meghatározását. A nemzeti szabályozás és a regionális végrehajtás közötti koherencia biztosítása érd</w:t>
            </w:r>
            <w:r>
              <w:rPr>
                <w:noProof/>
              </w:rPr>
              <w:t xml:space="preserve">ekében az állami foglalkoztatási szolgálatok (ÁFSZ-ek) regionális terveit kell elfogadni. </w:t>
            </w:r>
          </w:p>
          <w:p w14:paraId="546CF90A" w14:textId="77777777" w:rsidR="003F5418" w:rsidRDefault="003F5418">
            <w:pPr>
              <w:rPr>
                <w:rFonts w:ascii="Arial Narrow" w:eastAsia="Calibri" w:hAnsi="Arial Narrow"/>
                <w:noProof/>
                <w:color w:val="006100"/>
                <w:sz w:val="20"/>
              </w:rPr>
            </w:pPr>
          </w:p>
          <w:p w14:paraId="739ADA9B" w14:textId="325551E6" w:rsidR="003F5418" w:rsidRDefault="002A6C25">
            <w:pPr>
              <w:pStyle w:val="P68B1DB1-Normal4"/>
              <w:rPr>
                <w:rFonts w:eastAsia="Calibri"/>
                <w:noProof/>
              </w:rPr>
            </w:pPr>
            <w:r>
              <w:rPr>
                <w:noProof/>
              </w:rPr>
              <w:t xml:space="preserve">A tervek elfogadása mellett a régiók a tervek alapján hajtják végre a tevékenységeket, elérve a program tervezett kedvezményezettjeinek legalább 10%-át (végső cél: </w:t>
            </w:r>
            <w:r>
              <w:rPr>
                <w:noProof/>
              </w:rPr>
              <w:t>3000000 fő).</w:t>
            </w:r>
          </w:p>
          <w:p w14:paraId="16C174AE" w14:textId="77777777" w:rsidR="003F5418" w:rsidRDefault="003F5418">
            <w:pPr>
              <w:rPr>
                <w:rFonts w:ascii="Arial Narrow" w:hAnsi="Arial Narrow"/>
                <w:noProof/>
                <w:color w:val="006100"/>
                <w:sz w:val="20"/>
              </w:rPr>
            </w:pPr>
          </w:p>
          <w:p w14:paraId="16A6012B" w14:textId="77777777" w:rsidR="003F5418" w:rsidRDefault="002A6C25">
            <w:pPr>
              <w:pStyle w:val="P68B1DB1-Normal4"/>
              <w:rPr>
                <w:noProof/>
              </w:rPr>
            </w:pPr>
            <w:r>
              <w:rPr>
                <w:noProof/>
              </w:rPr>
              <w:t>Az állami foglalkoztatási szolgálatokra vonatkozó tervek hatálybalépésének lehetővé kell tennie a munkavállalók garantált foglalkoztathatóságára vonatkozó program (GOL) teljes körű végrehajtását.</w:t>
            </w:r>
          </w:p>
          <w:p w14:paraId="79878CCF" w14:textId="77777777" w:rsidR="003F5418" w:rsidRDefault="003F5418">
            <w:pPr>
              <w:rPr>
                <w:rFonts w:ascii="Arial Narrow" w:eastAsia="Calibri" w:hAnsi="Arial Narrow"/>
                <w:noProof/>
                <w:color w:val="006100"/>
                <w:sz w:val="20"/>
              </w:rPr>
            </w:pPr>
          </w:p>
        </w:tc>
      </w:tr>
      <w:tr w:rsidR="003F5418" w14:paraId="6EB0D5B7" w14:textId="77777777">
        <w:trPr>
          <w:trHeight w:val="309"/>
          <w:jc w:val="center"/>
        </w:trPr>
        <w:tc>
          <w:tcPr>
            <w:tcW w:w="1364" w:type="dxa"/>
            <w:shd w:val="clear" w:color="auto" w:fill="C6EFCE"/>
            <w:noWrap/>
            <w:vAlign w:val="center"/>
            <w:hideMark/>
          </w:tcPr>
          <w:p w14:paraId="73424DF1" w14:textId="77777777" w:rsidR="003F5418" w:rsidRDefault="002A6C25">
            <w:pPr>
              <w:pStyle w:val="P68B1DB1-Normal4"/>
              <w:jc w:val="center"/>
              <w:rPr>
                <w:noProof/>
              </w:rPr>
            </w:pPr>
            <w:r>
              <w:rPr>
                <w:noProof/>
              </w:rPr>
              <w:t xml:space="preserve">M5C1–3 </w:t>
            </w:r>
          </w:p>
        </w:tc>
        <w:tc>
          <w:tcPr>
            <w:tcW w:w="1513" w:type="dxa"/>
            <w:shd w:val="clear" w:color="auto" w:fill="C6EFCE"/>
            <w:noWrap/>
            <w:vAlign w:val="center"/>
            <w:hideMark/>
          </w:tcPr>
          <w:p w14:paraId="51B4FAF4" w14:textId="77777777" w:rsidR="003F5418" w:rsidRDefault="002A6C25">
            <w:pPr>
              <w:pStyle w:val="P68B1DB1-Normal4"/>
              <w:jc w:val="center"/>
              <w:rPr>
                <w:noProof/>
              </w:rPr>
            </w:pPr>
            <w:r>
              <w:rPr>
                <w:noProof/>
              </w:rPr>
              <w:t xml:space="preserve">Reform – aktív munkaerőpiaci </w:t>
            </w:r>
            <w:r>
              <w:rPr>
                <w:noProof/>
              </w:rPr>
              <w:t>intézkedések és szakképzés</w:t>
            </w:r>
          </w:p>
        </w:tc>
        <w:tc>
          <w:tcPr>
            <w:tcW w:w="1281" w:type="dxa"/>
            <w:shd w:val="clear" w:color="auto" w:fill="C6EFCE"/>
            <w:noWrap/>
            <w:vAlign w:val="center"/>
            <w:hideMark/>
          </w:tcPr>
          <w:p w14:paraId="270C4BC4" w14:textId="77777777" w:rsidR="003F5418" w:rsidRDefault="002A6C25">
            <w:pPr>
              <w:pStyle w:val="P68B1DB1-Normal4"/>
              <w:jc w:val="center"/>
              <w:rPr>
                <w:noProof/>
              </w:rPr>
            </w:pPr>
            <w:r>
              <w:rPr>
                <w:noProof/>
              </w:rPr>
              <w:t>Cél</w:t>
            </w:r>
          </w:p>
        </w:tc>
        <w:tc>
          <w:tcPr>
            <w:tcW w:w="1597" w:type="dxa"/>
            <w:shd w:val="clear" w:color="auto" w:fill="C6EFCE"/>
            <w:noWrap/>
            <w:vAlign w:val="center"/>
            <w:hideMark/>
          </w:tcPr>
          <w:p w14:paraId="1DC371FA" w14:textId="77777777" w:rsidR="003F5418" w:rsidRDefault="002A6C25">
            <w:pPr>
              <w:pStyle w:val="P68B1DB1-Normal4"/>
              <w:jc w:val="center"/>
              <w:rPr>
                <w:rFonts w:eastAsia="Calibri"/>
                <w:noProof/>
              </w:rPr>
            </w:pPr>
            <w:r>
              <w:rPr>
                <w:noProof/>
              </w:rPr>
              <w:t>A munkavállalók garantált foglalkoztathatósága (GOL) program hatálya alá tartozó személyek</w:t>
            </w:r>
          </w:p>
        </w:tc>
        <w:tc>
          <w:tcPr>
            <w:tcW w:w="1470" w:type="dxa"/>
            <w:shd w:val="clear" w:color="auto" w:fill="C6EFCE"/>
            <w:noWrap/>
            <w:vAlign w:val="center"/>
            <w:hideMark/>
          </w:tcPr>
          <w:p w14:paraId="6DF83A24"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66DB6B5D" w14:textId="77777777" w:rsidR="003F5418" w:rsidRDefault="002A6C25">
            <w:pPr>
              <w:pStyle w:val="P68B1DB1-Normal4"/>
              <w:jc w:val="center"/>
              <w:rPr>
                <w:rFonts w:eastAsia="Calibri"/>
                <w:noProof/>
              </w:rPr>
            </w:pPr>
            <w:r>
              <w:rPr>
                <w:noProof/>
              </w:rPr>
              <w:t xml:space="preserve">Szám </w:t>
            </w:r>
          </w:p>
        </w:tc>
        <w:tc>
          <w:tcPr>
            <w:tcW w:w="1134" w:type="dxa"/>
            <w:shd w:val="clear" w:color="auto" w:fill="C6EFCE"/>
            <w:noWrap/>
            <w:vAlign w:val="center"/>
            <w:hideMark/>
          </w:tcPr>
          <w:p w14:paraId="0AB2CB65" w14:textId="7238B911" w:rsidR="003F5418" w:rsidRDefault="002A6C25">
            <w:pPr>
              <w:pStyle w:val="P68B1DB1-Normal4"/>
              <w:jc w:val="center"/>
              <w:rPr>
                <w:noProof/>
              </w:rPr>
            </w:pPr>
            <w:r>
              <w:rPr>
                <w:noProof/>
              </w:rPr>
              <w:t>300 000</w:t>
            </w:r>
          </w:p>
        </w:tc>
        <w:tc>
          <w:tcPr>
            <w:tcW w:w="1134" w:type="dxa"/>
            <w:shd w:val="clear" w:color="auto" w:fill="C6EFCE"/>
            <w:noWrap/>
            <w:vAlign w:val="center"/>
            <w:hideMark/>
          </w:tcPr>
          <w:p w14:paraId="083197CB" w14:textId="53006B76" w:rsidR="003F5418" w:rsidRDefault="002A6C25">
            <w:pPr>
              <w:pStyle w:val="P68B1DB1-Normal4"/>
              <w:jc w:val="center"/>
              <w:rPr>
                <w:noProof/>
              </w:rPr>
            </w:pPr>
            <w:r>
              <w:rPr>
                <w:noProof/>
              </w:rPr>
              <w:t>3 000 000</w:t>
            </w:r>
          </w:p>
        </w:tc>
        <w:tc>
          <w:tcPr>
            <w:tcW w:w="851" w:type="dxa"/>
            <w:shd w:val="clear" w:color="auto" w:fill="C6EFCE"/>
            <w:noWrap/>
            <w:vAlign w:val="center"/>
            <w:hideMark/>
          </w:tcPr>
          <w:p w14:paraId="7198FFC4" w14:textId="77777777" w:rsidR="003F5418" w:rsidRDefault="002A6C25">
            <w:pPr>
              <w:pStyle w:val="P68B1DB1-Normal4"/>
              <w:jc w:val="center"/>
              <w:rPr>
                <w:noProof/>
              </w:rPr>
            </w:pPr>
            <w:r>
              <w:rPr>
                <w:noProof/>
              </w:rPr>
              <w:t>Q4</w:t>
            </w:r>
          </w:p>
        </w:tc>
        <w:tc>
          <w:tcPr>
            <w:tcW w:w="709" w:type="dxa"/>
            <w:shd w:val="clear" w:color="auto" w:fill="C6EFCE"/>
            <w:noWrap/>
            <w:vAlign w:val="center"/>
            <w:hideMark/>
          </w:tcPr>
          <w:p w14:paraId="1598E4D0" w14:textId="77777777" w:rsidR="003F5418" w:rsidRDefault="002A6C25">
            <w:pPr>
              <w:pStyle w:val="P68B1DB1-Normal4"/>
              <w:jc w:val="center"/>
              <w:rPr>
                <w:rFonts w:eastAsia="Calibri"/>
                <w:noProof/>
              </w:rPr>
            </w:pPr>
            <w:r>
              <w:rPr>
                <w:noProof/>
              </w:rPr>
              <w:t>2025</w:t>
            </w:r>
          </w:p>
        </w:tc>
        <w:tc>
          <w:tcPr>
            <w:tcW w:w="2835" w:type="dxa"/>
            <w:shd w:val="clear" w:color="auto" w:fill="C6EFCE"/>
            <w:noWrap/>
            <w:vAlign w:val="center"/>
            <w:hideMark/>
          </w:tcPr>
          <w:p w14:paraId="258EB48A" w14:textId="2F3000E7" w:rsidR="003F5418" w:rsidRDefault="002A6C25">
            <w:pPr>
              <w:pStyle w:val="P68B1DB1-Normal4"/>
              <w:rPr>
                <w:rFonts w:eastAsia="Calibri"/>
                <w:noProof/>
              </w:rPr>
            </w:pPr>
            <w:r>
              <w:rPr>
                <w:noProof/>
              </w:rPr>
              <w:t xml:space="preserve">Legalább 3000000 ember részesül a „Munkavállalók garantált foglalkoztathatósága” (GOL) program </w:t>
            </w:r>
            <w:r>
              <w:rPr>
                <w:noProof/>
              </w:rPr>
              <w:t>előnyeiből. A cél kielégítő teljesítése a másodlagos cél kielégítő teljesítésétől is függ: a kedvezményezettek legalább 75%-a nő, tartósan munkanélküli, fogyatékkal élő vagy 30 év alatti vagy 55 év feletti személy.</w:t>
            </w:r>
          </w:p>
        </w:tc>
      </w:tr>
      <w:tr w:rsidR="003F5418" w14:paraId="265967A3" w14:textId="77777777">
        <w:trPr>
          <w:trHeight w:val="309"/>
          <w:jc w:val="center"/>
        </w:trPr>
        <w:tc>
          <w:tcPr>
            <w:tcW w:w="1364" w:type="dxa"/>
            <w:shd w:val="clear" w:color="auto" w:fill="C6EFCE"/>
            <w:noWrap/>
            <w:vAlign w:val="center"/>
            <w:hideMark/>
          </w:tcPr>
          <w:p w14:paraId="1103C78B" w14:textId="77777777" w:rsidR="003F5418" w:rsidRDefault="002A6C25">
            <w:pPr>
              <w:pStyle w:val="P68B1DB1-Normal4"/>
              <w:jc w:val="center"/>
              <w:rPr>
                <w:noProof/>
              </w:rPr>
            </w:pPr>
            <w:r>
              <w:rPr>
                <w:noProof/>
              </w:rPr>
              <w:t xml:space="preserve">M5C1–4 </w:t>
            </w:r>
          </w:p>
        </w:tc>
        <w:tc>
          <w:tcPr>
            <w:tcW w:w="1513" w:type="dxa"/>
            <w:shd w:val="clear" w:color="auto" w:fill="C6EFCE"/>
            <w:noWrap/>
            <w:vAlign w:val="center"/>
            <w:hideMark/>
          </w:tcPr>
          <w:p w14:paraId="590ACEED" w14:textId="77777777" w:rsidR="003F5418" w:rsidRDefault="002A6C25">
            <w:pPr>
              <w:pStyle w:val="P68B1DB1-Normal4"/>
              <w:jc w:val="center"/>
              <w:rPr>
                <w:rFonts w:eastAsia="Calibri"/>
                <w:noProof/>
              </w:rPr>
            </w:pPr>
            <w:r>
              <w:rPr>
                <w:noProof/>
              </w:rPr>
              <w:t xml:space="preserve">Reform – aktív munkaerőpiaci </w:t>
            </w:r>
            <w:r>
              <w:rPr>
                <w:noProof/>
              </w:rPr>
              <w:t>intézkedések és szakképzés</w:t>
            </w:r>
          </w:p>
        </w:tc>
        <w:tc>
          <w:tcPr>
            <w:tcW w:w="1281" w:type="dxa"/>
            <w:shd w:val="clear" w:color="auto" w:fill="C6EFCE"/>
            <w:noWrap/>
            <w:vAlign w:val="center"/>
            <w:hideMark/>
          </w:tcPr>
          <w:p w14:paraId="0EB1331E" w14:textId="77777777" w:rsidR="003F5418" w:rsidRDefault="002A6C25">
            <w:pPr>
              <w:pStyle w:val="P68B1DB1-Normal4"/>
              <w:jc w:val="center"/>
              <w:rPr>
                <w:noProof/>
              </w:rPr>
            </w:pPr>
            <w:r>
              <w:rPr>
                <w:noProof/>
              </w:rPr>
              <w:t>Cél</w:t>
            </w:r>
          </w:p>
        </w:tc>
        <w:tc>
          <w:tcPr>
            <w:tcW w:w="1597" w:type="dxa"/>
            <w:shd w:val="clear" w:color="auto" w:fill="C6EFCE"/>
            <w:noWrap/>
            <w:vAlign w:val="center"/>
            <w:hideMark/>
          </w:tcPr>
          <w:p w14:paraId="3F02B148" w14:textId="77777777" w:rsidR="003F5418" w:rsidRDefault="002A6C25">
            <w:pPr>
              <w:pStyle w:val="P68B1DB1-Normal4"/>
              <w:jc w:val="center"/>
              <w:rPr>
                <w:noProof/>
              </w:rPr>
            </w:pPr>
            <w:r>
              <w:rPr>
                <w:noProof/>
              </w:rPr>
              <w:t>A munkavállalók kedvezményezettjeinek garantált foglalkoztathatósága szakképzésben vett részt</w:t>
            </w:r>
          </w:p>
        </w:tc>
        <w:tc>
          <w:tcPr>
            <w:tcW w:w="1470" w:type="dxa"/>
            <w:shd w:val="clear" w:color="auto" w:fill="C6EFCE"/>
            <w:noWrap/>
            <w:vAlign w:val="center"/>
            <w:hideMark/>
          </w:tcPr>
          <w:p w14:paraId="6557F783"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7ABF4D0E" w14:textId="77777777" w:rsidR="003F5418" w:rsidRDefault="002A6C25">
            <w:pPr>
              <w:pStyle w:val="P68B1DB1-Normal4"/>
              <w:jc w:val="center"/>
              <w:rPr>
                <w:rFonts w:eastAsia="Calibri"/>
                <w:noProof/>
              </w:rPr>
            </w:pPr>
            <w:r>
              <w:rPr>
                <w:noProof/>
              </w:rPr>
              <w:t xml:space="preserve">Szám </w:t>
            </w:r>
          </w:p>
        </w:tc>
        <w:tc>
          <w:tcPr>
            <w:tcW w:w="1134" w:type="dxa"/>
            <w:shd w:val="clear" w:color="auto" w:fill="C6EFCE"/>
            <w:noWrap/>
            <w:vAlign w:val="center"/>
            <w:hideMark/>
          </w:tcPr>
          <w:p w14:paraId="17FC0494" w14:textId="77777777" w:rsidR="003F5418" w:rsidRDefault="002A6C25">
            <w:pPr>
              <w:pStyle w:val="P68B1DB1-Normal4"/>
              <w:jc w:val="center"/>
              <w:rPr>
                <w:rFonts w:eastAsia="Calibri"/>
                <w:noProof/>
              </w:rPr>
            </w:pPr>
            <w:r>
              <w:rPr>
                <w:noProof/>
              </w:rPr>
              <w:t>0</w:t>
            </w:r>
          </w:p>
        </w:tc>
        <w:tc>
          <w:tcPr>
            <w:tcW w:w="1134" w:type="dxa"/>
            <w:shd w:val="clear" w:color="auto" w:fill="C6EFCE"/>
            <w:noWrap/>
            <w:vAlign w:val="center"/>
            <w:hideMark/>
          </w:tcPr>
          <w:p w14:paraId="3A486A39" w14:textId="1ED56E29" w:rsidR="003F5418" w:rsidRDefault="002A6C25">
            <w:pPr>
              <w:pStyle w:val="P68B1DB1-Normal4"/>
              <w:jc w:val="center"/>
              <w:rPr>
                <w:rFonts w:eastAsia="Calibri"/>
                <w:noProof/>
              </w:rPr>
            </w:pPr>
            <w:r>
              <w:rPr>
                <w:noProof/>
              </w:rPr>
              <w:t>800 000</w:t>
            </w:r>
          </w:p>
        </w:tc>
        <w:tc>
          <w:tcPr>
            <w:tcW w:w="851" w:type="dxa"/>
            <w:shd w:val="clear" w:color="auto" w:fill="C6EFCE"/>
            <w:noWrap/>
            <w:vAlign w:val="center"/>
            <w:hideMark/>
          </w:tcPr>
          <w:p w14:paraId="071FD8FD" w14:textId="77777777" w:rsidR="003F5418" w:rsidRDefault="002A6C25">
            <w:pPr>
              <w:pStyle w:val="P68B1DB1-Normal4"/>
              <w:jc w:val="center"/>
              <w:rPr>
                <w:rFonts w:eastAsia="Calibri"/>
                <w:noProof/>
              </w:rPr>
            </w:pPr>
            <w:r>
              <w:rPr>
                <w:noProof/>
              </w:rPr>
              <w:t>Q4</w:t>
            </w:r>
          </w:p>
        </w:tc>
        <w:tc>
          <w:tcPr>
            <w:tcW w:w="709" w:type="dxa"/>
            <w:shd w:val="clear" w:color="auto" w:fill="C6EFCE"/>
            <w:noWrap/>
            <w:vAlign w:val="center"/>
            <w:hideMark/>
          </w:tcPr>
          <w:p w14:paraId="6BD411F0" w14:textId="77777777" w:rsidR="003F5418" w:rsidRDefault="002A6C25">
            <w:pPr>
              <w:pStyle w:val="P68B1DB1-Normal4"/>
              <w:jc w:val="center"/>
              <w:rPr>
                <w:rFonts w:eastAsia="Calibri"/>
                <w:noProof/>
              </w:rPr>
            </w:pPr>
            <w:r>
              <w:rPr>
                <w:noProof/>
              </w:rPr>
              <w:t>2025</w:t>
            </w:r>
          </w:p>
        </w:tc>
        <w:tc>
          <w:tcPr>
            <w:tcW w:w="2835" w:type="dxa"/>
            <w:shd w:val="clear" w:color="auto" w:fill="C6EFCE"/>
            <w:noWrap/>
            <w:vAlign w:val="center"/>
            <w:hideMark/>
          </w:tcPr>
          <w:p w14:paraId="41C10E96" w14:textId="24D711B0" w:rsidR="003F5418" w:rsidRDefault="002A6C25">
            <w:pPr>
              <w:pStyle w:val="P68B1DB1-Normal4"/>
              <w:rPr>
                <w:noProof/>
              </w:rPr>
            </w:pPr>
            <w:r>
              <w:rPr>
                <w:noProof/>
              </w:rPr>
              <w:t xml:space="preserve">A szakképzés az aktív munkaerőpiaci intézkedések kedvezményezettjei közül öt év alatt 800000 </w:t>
            </w:r>
            <w:r>
              <w:rPr>
                <w:noProof/>
              </w:rPr>
              <w:t>kedvezményezettre vonatkozó program részét képezi. Ezért a munkavállalók garantált foglalkoztathatósága (GOL) 3000000 kedvezményezettje közül legalább 800000 vett részt szakképzésben. A cél kielégítő teljesítése a másodlagos cél kielégítő teljesítésétől is</w:t>
            </w:r>
            <w:r>
              <w:rPr>
                <w:noProof/>
              </w:rPr>
              <w:t xml:space="preserve"> függ: e kedvezményezettek közül legalább 300000 vett részt digitális készségekkel kapcsolatos képzéseken.</w:t>
            </w:r>
          </w:p>
        </w:tc>
      </w:tr>
      <w:tr w:rsidR="003F5418" w14:paraId="5CDC2E39" w14:textId="77777777">
        <w:trPr>
          <w:trHeight w:val="309"/>
          <w:jc w:val="center"/>
        </w:trPr>
        <w:tc>
          <w:tcPr>
            <w:tcW w:w="1364" w:type="dxa"/>
            <w:shd w:val="clear" w:color="auto" w:fill="C6EFCE"/>
            <w:noWrap/>
            <w:vAlign w:val="center"/>
            <w:hideMark/>
          </w:tcPr>
          <w:p w14:paraId="4EE99535" w14:textId="77777777" w:rsidR="003F5418" w:rsidRDefault="002A6C25">
            <w:pPr>
              <w:pStyle w:val="P68B1DB1-Normal4"/>
              <w:jc w:val="center"/>
              <w:rPr>
                <w:noProof/>
              </w:rPr>
            </w:pPr>
            <w:r>
              <w:rPr>
                <w:noProof/>
              </w:rPr>
              <w:t xml:space="preserve">M5C1–5 </w:t>
            </w:r>
          </w:p>
        </w:tc>
        <w:tc>
          <w:tcPr>
            <w:tcW w:w="1513" w:type="dxa"/>
            <w:shd w:val="clear" w:color="auto" w:fill="C6EFCE"/>
            <w:noWrap/>
            <w:vAlign w:val="center"/>
            <w:hideMark/>
          </w:tcPr>
          <w:p w14:paraId="720DE68C" w14:textId="77777777" w:rsidR="003F5418" w:rsidRDefault="002A6C25">
            <w:pPr>
              <w:pStyle w:val="P68B1DB1-Normal4"/>
              <w:jc w:val="center"/>
              <w:rPr>
                <w:noProof/>
              </w:rPr>
            </w:pPr>
            <w:r>
              <w:rPr>
                <w:noProof/>
              </w:rPr>
              <w:t>Reform – aktív munkaerőpiaci intézkedések és szakképzés</w:t>
            </w:r>
          </w:p>
        </w:tc>
        <w:tc>
          <w:tcPr>
            <w:tcW w:w="1281" w:type="dxa"/>
            <w:shd w:val="clear" w:color="auto" w:fill="C6EFCE"/>
            <w:noWrap/>
            <w:vAlign w:val="center"/>
            <w:hideMark/>
          </w:tcPr>
          <w:p w14:paraId="1A526FF7" w14:textId="77777777" w:rsidR="003F5418" w:rsidRDefault="002A6C25">
            <w:pPr>
              <w:pStyle w:val="P68B1DB1-Normal4"/>
              <w:jc w:val="center"/>
              <w:rPr>
                <w:noProof/>
              </w:rPr>
            </w:pPr>
            <w:r>
              <w:rPr>
                <w:noProof/>
              </w:rPr>
              <w:t>Cél</w:t>
            </w:r>
          </w:p>
        </w:tc>
        <w:tc>
          <w:tcPr>
            <w:tcW w:w="1597" w:type="dxa"/>
            <w:shd w:val="clear" w:color="auto" w:fill="C6EFCE"/>
            <w:noWrap/>
            <w:vAlign w:val="center"/>
            <w:hideMark/>
          </w:tcPr>
          <w:p w14:paraId="679E07CE" w14:textId="77777777" w:rsidR="003F5418" w:rsidRDefault="002A6C25">
            <w:pPr>
              <w:pStyle w:val="P68B1DB1-Normal4"/>
              <w:jc w:val="center"/>
              <w:rPr>
                <w:rFonts w:eastAsia="Calibri"/>
                <w:noProof/>
              </w:rPr>
            </w:pPr>
            <w:r>
              <w:rPr>
                <w:noProof/>
              </w:rPr>
              <w:t xml:space="preserve"> Az állami foglalkoztatási szolgálatok (ÁFSZ-ek) minden régióban megfeleltek az ÁFSZ-szolgáltatások alapvető szintjére vonatkozó kritériumoknak, amelyeket a munkavállalók garantált foglalkoztathatósága (GOL) program határoz meg</w:t>
            </w:r>
          </w:p>
        </w:tc>
        <w:tc>
          <w:tcPr>
            <w:tcW w:w="1470" w:type="dxa"/>
            <w:shd w:val="clear" w:color="auto" w:fill="C6EFCE"/>
            <w:noWrap/>
            <w:vAlign w:val="center"/>
            <w:hideMark/>
          </w:tcPr>
          <w:p w14:paraId="349E6911"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3C3174FD" w14:textId="77777777" w:rsidR="003F5418" w:rsidRDefault="002A6C25">
            <w:pPr>
              <w:pStyle w:val="P68B1DB1-Normal4"/>
              <w:jc w:val="center"/>
              <w:rPr>
                <w:noProof/>
              </w:rPr>
            </w:pPr>
            <w:r>
              <w:rPr>
                <w:noProof/>
              </w:rPr>
              <w:t xml:space="preserve">Százalék </w:t>
            </w:r>
          </w:p>
        </w:tc>
        <w:tc>
          <w:tcPr>
            <w:tcW w:w="1134" w:type="dxa"/>
            <w:shd w:val="clear" w:color="auto" w:fill="C6EFCE"/>
            <w:noWrap/>
            <w:vAlign w:val="center"/>
            <w:hideMark/>
          </w:tcPr>
          <w:p w14:paraId="5061D025" w14:textId="77777777" w:rsidR="003F5418" w:rsidRDefault="002A6C25">
            <w:pPr>
              <w:pStyle w:val="P68B1DB1-Normal4"/>
              <w:jc w:val="center"/>
              <w:rPr>
                <w:noProof/>
              </w:rPr>
            </w:pPr>
            <w:r>
              <w:rPr>
                <w:noProof/>
              </w:rPr>
              <w:t>0</w:t>
            </w:r>
          </w:p>
        </w:tc>
        <w:tc>
          <w:tcPr>
            <w:tcW w:w="1134" w:type="dxa"/>
            <w:shd w:val="clear" w:color="auto" w:fill="C6EFCE"/>
            <w:noWrap/>
            <w:vAlign w:val="center"/>
            <w:hideMark/>
          </w:tcPr>
          <w:p w14:paraId="537B0B29" w14:textId="77777777" w:rsidR="003F5418" w:rsidRDefault="002A6C25">
            <w:pPr>
              <w:pStyle w:val="P68B1DB1-Normal4"/>
              <w:jc w:val="center"/>
              <w:rPr>
                <w:rFonts w:eastAsia="Calibri"/>
                <w:noProof/>
              </w:rPr>
            </w:pPr>
            <w:r>
              <w:rPr>
                <w:noProof/>
              </w:rPr>
              <w:t>80</w:t>
            </w:r>
          </w:p>
        </w:tc>
        <w:tc>
          <w:tcPr>
            <w:tcW w:w="851" w:type="dxa"/>
            <w:shd w:val="clear" w:color="auto" w:fill="C6EFCE"/>
            <w:noWrap/>
            <w:vAlign w:val="center"/>
            <w:hideMark/>
          </w:tcPr>
          <w:p w14:paraId="3267F711" w14:textId="77777777" w:rsidR="003F5418" w:rsidRDefault="002A6C25">
            <w:pPr>
              <w:pStyle w:val="P68B1DB1-Normal4"/>
              <w:jc w:val="center"/>
              <w:rPr>
                <w:rFonts w:eastAsia="Calibri"/>
                <w:noProof/>
              </w:rPr>
            </w:pPr>
            <w:r>
              <w:rPr>
                <w:noProof/>
              </w:rPr>
              <w:t>Q4</w:t>
            </w:r>
          </w:p>
        </w:tc>
        <w:tc>
          <w:tcPr>
            <w:tcW w:w="709" w:type="dxa"/>
            <w:shd w:val="clear" w:color="auto" w:fill="C6EFCE"/>
            <w:noWrap/>
            <w:vAlign w:val="center"/>
            <w:hideMark/>
          </w:tcPr>
          <w:p w14:paraId="597E127A" w14:textId="77777777" w:rsidR="003F5418" w:rsidRDefault="002A6C25">
            <w:pPr>
              <w:pStyle w:val="P68B1DB1-Normal4"/>
              <w:jc w:val="center"/>
              <w:rPr>
                <w:rFonts w:eastAsia="Calibri"/>
                <w:noProof/>
              </w:rPr>
            </w:pPr>
            <w:r>
              <w:rPr>
                <w:noProof/>
              </w:rPr>
              <w:t>2025</w:t>
            </w:r>
          </w:p>
        </w:tc>
        <w:tc>
          <w:tcPr>
            <w:tcW w:w="2835" w:type="dxa"/>
            <w:shd w:val="clear" w:color="auto" w:fill="C6EFCE"/>
            <w:noWrap/>
            <w:vAlign w:val="center"/>
            <w:hideMark/>
          </w:tcPr>
          <w:p w14:paraId="5497C137" w14:textId="77777777" w:rsidR="003F5418" w:rsidRDefault="002A6C25">
            <w:pPr>
              <w:pStyle w:val="P68B1DB1-Normal4"/>
              <w:rPr>
                <w:rFonts w:eastAsia="Calibri"/>
                <w:noProof/>
              </w:rPr>
            </w:pPr>
            <w:r>
              <w:rPr>
                <w:noProof/>
              </w:rPr>
              <w:t>A GOL program egyik alapvető eleme az ALMPS-ek kedvezményezettjei számára nyújtandó szolgáltatások alapvető szintjének meghatározása, a legkiszolgáltatottabbaktól kezdve. 2025 végéig az egyes régiókban az állami foglalkoztatási szolgálatok (ÁFSZ-ek) legal</w:t>
            </w:r>
            <w:r>
              <w:rPr>
                <w:noProof/>
              </w:rPr>
              <w:t>ább 80%-a teljesítette az ÁFSZ-szolgáltatások alapvető szintjére vonatkozó kritériumokat, a munkavállalók garantált foglalkoztathatósága (GOL) programban meghatározottak szerint.</w:t>
            </w:r>
          </w:p>
        </w:tc>
      </w:tr>
      <w:tr w:rsidR="003F5418" w14:paraId="6A1A4546" w14:textId="77777777">
        <w:trPr>
          <w:trHeight w:val="309"/>
          <w:jc w:val="center"/>
        </w:trPr>
        <w:tc>
          <w:tcPr>
            <w:tcW w:w="1364" w:type="dxa"/>
            <w:shd w:val="clear" w:color="auto" w:fill="C6EFCE"/>
            <w:noWrap/>
            <w:vAlign w:val="center"/>
            <w:hideMark/>
          </w:tcPr>
          <w:p w14:paraId="05E63958" w14:textId="77777777" w:rsidR="003F5418" w:rsidRDefault="002A6C25">
            <w:pPr>
              <w:pStyle w:val="P68B1DB1-Normal4"/>
              <w:spacing w:before="120" w:after="120"/>
              <w:jc w:val="center"/>
              <w:rPr>
                <w:noProof/>
              </w:rPr>
            </w:pPr>
            <w:r>
              <w:rPr>
                <w:noProof/>
              </w:rPr>
              <w:t>M5C1–6</w:t>
            </w:r>
          </w:p>
        </w:tc>
        <w:tc>
          <w:tcPr>
            <w:tcW w:w="1513" w:type="dxa"/>
            <w:shd w:val="clear" w:color="auto" w:fill="C6EFCE"/>
            <w:noWrap/>
            <w:vAlign w:val="center"/>
            <w:hideMark/>
          </w:tcPr>
          <w:p w14:paraId="6C32A960" w14:textId="77777777" w:rsidR="003F5418" w:rsidRDefault="002A6C25">
            <w:pPr>
              <w:pStyle w:val="P68B1DB1-Normal4"/>
              <w:spacing w:before="120" w:after="120"/>
              <w:jc w:val="center"/>
              <w:rPr>
                <w:rFonts w:eastAsia="Calibri"/>
                <w:noProof/>
              </w:rPr>
            </w:pPr>
            <w:r>
              <w:rPr>
                <w:noProof/>
              </w:rPr>
              <w:t xml:space="preserve">Beruházás – Az állami foglalkoztatási szolgálatok (ÁFSZ-ek) </w:t>
            </w:r>
            <w:r>
              <w:rPr>
                <w:noProof/>
              </w:rPr>
              <w:t>megerősítése</w:t>
            </w:r>
          </w:p>
        </w:tc>
        <w:tc>
          <w:tcPr>
            <w:tcW w:w="1281" w:type="dxa"/>
            <w:shd w:val="clear" w:color="auto" w:fill="C6EFCE"/>
            <w:noWrap/>
            <w:vAlign w:val="center"/>
            <w:hideMark/>
          </w:tcPr>
          <w:p w14:paraId="6E98C1DB"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7551E3AB" w14:textId="77777777" w:rsidR="003F5418" w:rsidRDefault="002A6C25">
            <w:pPr>
              <w:pStyle w:val="P68B1DB1-Normal4"/>
              <w:spacing w:before="120" w:after="120"/>
              <w:jc w:val="center"/>
              <w:rPr>
                <w:rFonts w:eastAsia="Calibri"/>
                <w:noProof/>
              </w:rPr>
            </w:pPr>
            <w:r>
              <w:rPr>
                <w:noProof/>
              </w:rPr>
              <w:t xml:space="preserve"> Az állami foglalkoztatási szolgálatok a 2021–2023-as hároméves időszakban hajtják végre a megerősítési tervben előirányzott tevékenységeket</w:t>
            </w:r>
          </w:p>
        </w:tc>
        <w:tc>
          <w:tcPr>
            <w:tcW w:w="1470" w:type="dxa"/>
            <w:shd w:val="clear" w:color="auto" w:fill="C6EFCE"/>
            <w:noWrap/>
            <w:vAlign w:val="center"/>
            <w:hideMark/>
          </w:tcPr>
          <w:p w14:paraId="619813BA"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2239A31C" w14:textId="77777777" w:rsidR="003F5418" w:rsidRDefault="002A6C25">
            <w:pPr>
              <w:pStyle w:val="P68B1DB1-Normal4"/>
              <w:spacing w:before="120" w:after="120"/>
              <w:jc w:val="center"/>
              <w:rPr>
                <w:rFonts w:eastAsia="Calibri"/>
                <w:noProof/>
              </w:rPr>
            </w:pPr>
            <w:r>
              <w:rPr>
                <w:noProof/>
              </w:rPr>
              <w:t>Szám</w:t>
            </w:r>
          </w:p>
        </w:tc>
        <w:tc>
          <w:tcPr>
            <w:tcW w:w="1134" w:type="dxa"/>
            <w:shd w:val="clear" w:color="auto" w:fill="C6EFCE"/>
            <w:noWrap/>
            <w:vAlign w:val="center"/>
            <w:hideMark/>
          </w:tcPr>
          <w:p w14:paraId="1833292A" w14:textId="77777777" w:rsidR="003F5418" w:rsidRDefault="002A6C25">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7DBEE860" w14:textId="77777777" w:rsidR="003F5418" w:rsidRDefault="002A6C25">
            <w:pPr>
              <w:pStyle w:val="P68B1DB1-Normal4"/>
              <w:spacing w:before="120" w:after="120"/>
              <w:jc w:val="center"/>
              <w:rPr>
                <w:rFonts w:eastAsia="Calibri"/>
                <w:noProof/>
              </w:rPr>
            </w:pPr>
            <w:r>
              <w:rPr>
                <w:noProof/>
              </w:rPr>
              <w:t>250</w:t>
            </w:r>
          </w:p>
        </w:tc>
        <w:tc>
          <w:tcPr>
            <w:tcW w:w="851" w:type="dxa"/>
            <w:shd w:val="clear" w:color="auto" w:fill="C6EFCE"/>
            <w:noWrap/>
            <w:vAlign w:val="center"/>
            <w:hideMark/>
          </w:tcPr>
          <w:p w14:paraId="1FE5ACF4" w14:textId="77777777" w:rsidR="003F5418" w:rsidRDefault="002A6C25">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4928CCB4" w14:textId="77777777" w:rsidR="003F5418" w:rsidRDefault="002A6C25">
            <w:pPr>
              <w:pStyle w:val="P68B1DB1-Normal4"/>
              <w:spacing w:before="120" w:after="120"/>
              <w:jc w:val="center"/>
              <w:rPr>
                <w:rFonts w:eastAsia="Calibri"/>
                <w:noProof/>
              </w:rPr>
            </w:pPr>
            <w:r>
              <w:rPr>
                <w:noProof/>
              </w:rPr>
              <w:t>2022</w:t>
            </w:r>
          </w:p>
        </w:tc>
        <w:tc>
          <w:tcPr>
            <w:tcW w:w="2835" w:type="dxa"/>
            <w:shd w:val="clear" w:color="auto" w:fill="C6EFCE"/>
            <w:noWrap/>
            <w:vAlign w:val="center"/>
            <w:hideMark/>
          </w:tcPr>
          <w:p w14:paraId="3D41FAD8" w14:textId="77777777" w:rsidR="003F5418" w:rsidRDefault="002A6C25">
            <w:pPr>
              <w:pStyle w:val="P68B1DB1-Normal4"/>
              <w:spacing w:before="120" w:after="120"/>
              <w:rPr>
                <w:rFonts w:eastAsia="Calibri"/>
                <w:noProof/>
              </w:rPr>
            </w:pPr>
            <w:r>
              <w:rPr>
                <w:noProof/>
              </w:rPr>
              <w:t xml:space="preserve">A 2021–2023-as hároméves időszakban legalább 250 állami foglalkoztatási </w:t>
            </w:r>
            <w:r>
              <w:rPr>
                <w:noProof/>
              </w:rPr>
              <w:t>szolgálat (ÁFSZ) végezte el a „megerősítési tervben” előirányzott tevékenységek legalább 50%-át.</w:t>
            </w:r>
          </w:p>
          <w:p w14:paraId="27410810" w14:textId="77777777" w:rsidR="003F5418" w:rsidRDefault="002A6C25">
            <w:pPr>
              <w:pStyle w:val="P68B1DB1-Normal4"/>
              <w:spacing w:before="120" w:after="120"/>
              <w:rPr>
                <w:rFonts w:eastAsia="Calibri"/>
                <w:noProof/>
              </w:rPr>
            </w:pPr>
            <w:r>
              <w:rPr>
                <w:noProof/>
              </w:rPr>
              <w:t>Ezek a tevékenységek összhangban vannak a központi megerősítési tervvel, és regionális szinten kerülnek meghatározásra, a szükségletek elemzése és az elkülönít</w:t>
            </w:r>
            <w:r>
              <w:rPr>
                <w:noProof/>
              </w:rPr>
              <w:t>ett források alapján.</w:t>
            </w:r>
          </w:p>
          <w:p w14:paraId="04DF0E41" w14:textId="4B663474" w:rsidR="003F5418" w:rsidRDefault="002A6C25">
            <w:pPr>
              <w:pStyle w:val="P68B1DB1-Normal4"/>
              <w:spacing w:before="120" w:after="120"/>
              <w:rPr>
                <w:rFonts w:eastAsia="Calibri"/>
                <w:noProof/>
              </w:rPr>
            </w:pPr>
            <w:r>
              <w:rPr>
                <w:noProof/>
              </w:rPr>
              <w:t xml:space="preserve">Ezek a tevékenységek a következőket tartalmazzák: I. az állami foglalkoztatási szolgálatok jelenlegi helyszíneinek felújítása és felújítása, valamint újak beszerzése; </w:t>
            </w:r>
            <w:r w:rsidR="00AF4CCB">
              <w:rPr>
                <w:noProof/>
              </w:rPr>
              <w:t>i</w:t>
            </w:r>
            <w:r>
              <w:rPr>
                <w:noProof/>
              </w:rPr>
              <w:t>i. az informatikai rendszer további megvalósítása a nemzeti intero</w:t>
            </w:r>
            <w:r>
              <w:rPr>
                <w:noProof/>
              </w:rPr>
              <w:t xml:space="preserve">perabilitás szempontjából; </w:t>
            </w:r>
            <w:r w:rsidR="00AF4CCB">
              <w:rPr>
                <w:noProof/>
              </w:rPr>
              <w:t>i</w:t>
            </w:r>
            <w:r>
              <w:rPr>
                <w:noProof/>
              </w:rPr>
              <w:t xml:space="preserve">ii. a személyzet szakmai képzése; </w:t>
            </w:r>
            <w:r w:rsidR="00AF4CCB">
              <w:rPr>
                <w:noProof/>
              </w:rPr>
              <w:t>i</w:t>
            </w:r>
            <w:r>
              <w:rPr>
                <w:noProof/>
              </w:rPr>
              <w:t xml:space="preserve">v. a helyi munkaerőpiacok regionális megfigyelőközpontjainak intézménye; V. intézményi kommunikáció és tájékoztatás. </w:t>
            </w:r>
          </w:p>
          <w:p w14:paraId="7C328F2E" w14:textId="77777777" w:rsidR="003F5418" w:rsidRDefault="002A6C25">
            <w:pPr>
              <w:pStyle w:val="P68B1DB1-Normal4"/>
              <w:spacing w:before="120" w:after="120"/>
              <w:rPr>
                <w:rFonts w:eastAsia="Calibri"/>
                <w:noProof/>
              </w:rPr>
            </w:pPr>
            <w:r>
              <w:rPr>
                <w:noProof/>
              </w:rPr>
              <w:t>Ez a cél nem terjed ki az infrastrukturális tevékenységekre.</w:t>
            </w:r>
          </w:p>
          <w:p w14:paraId="3AABC110" w14:textId="77777777" w:rsidR="003F5418" w:rsidRDefault="002A6C25">
            <w:pPr>
              <w:pStyle w:val="P68B1DB1-Normal4"/>
              <w:spacing w:before="120" w:after="120"/>
              <w:rPr>
                <w:rFonts w:eastAsia="Calibri"/>
                <w:noProof/>
              </w:rPr>
            </w:pPr>
            <w:r>
              <w:rPr>
                <w:noProof/>
              </w:rPr>
              <w:t>A területi elo</w:t>
            </w:r>
            <w:r>
              <w:rPr>
                <w:noProof/>
              </w:rPr>
              <w:t>szlás tekintetében (északi, közép- és dél) egyenlő egyensúlyt biztosítanak a cél elérése tekintetében.</w:t>
            </w:r>
          </w:p>
        </w:tc>
      </w:tr>
      <w:tr w:rsidR="003F5418" w14:paraId="55BFE76F" w14:textId="77777777">
        <w:trPr>
          <w:trHeight w:val="309"/>
          <w:jc w:val="center"/>
        </w:trPr>
        <w:tc>
          <w:tcPr>
            <w:tcW w:w="1364" w:type="dxa"/>
            <w:shd w:val="clear" w:color="auto" w:fill="C6EFCE"/>
            <w:noWrap/>
            <w:vAlign w:val="center"/>
            <w:hideMark/>
          </w:tcPr>
          <w:p w14:paraId="0CE06CB1" w14:textId="77777777" w:rsidR="003F5418" w:rsidRDefault="002A6C25">
            <w:pPr>
              <w:pStyle w:val="P68B1DB1-Normal4"/>
              <w:spacing w:before="120" w:after="120"/>
              <w:jc w:val="center"/>
              <w:rPr>
                <w:rFonts w:eastAsia="Calibri"/>
                <w:noProof/>
              </w:rPr>
            </w:pPr>
            <w:r>
              <w:rPr>
                <w:noProof/>
              </w:rPr>
              <w:t>M5C1–7</w:t>
            </w:r>
          </w:p>
        </w:tc>
        <w:tc>
          <w:tcPr>
            <w:tcW w:w="1513" w:type="dxa"/>
            <w:shd w:val="clear" w:color="auto" w:fill="C6EFCE"/>
            <w:noWrap/>
            <w:vAlign w:val="center"/>
            <w:hideMark/>
          </w:tcPr>
          <w:p w14:paraId="18B6891C" w14:textId="77777777" w:rsidR="003F5418" w:rsidRDefault="002A6C25">
            <w:pPr>
              <w:pStyle w:val="P68B1DB1-Normal4"/>
              <w:spacing w:before="120" w:after="120"/>
              <w:jc w:val="center"/>
              <w:rPr>
                <w:rFonts w:eastAsia="Calibri"/>
                <w:noProof/>
              </w:rPr>
            </w:pPr>
            <w:r>
              <w:rPr>
                <w:noProof/>
              </w:rPr>
              <w:t>Beruházás – Az állami foglalkoztatási szolgálatok (ÁFSZ-ek) megerősítése</w:t>
            </w:r>
          </w:p>
        </w:tc>
        <w:tc>
          <w:tcPr>
            <w:tcW w:w="1281" w:type="dxa"/>
            <w:shd w:val="clear" w:color="auto" w:fill="C6EFCE"/>
            <w:noWrap/>
            <w:vAlign w:val="center"/>
            <w:hideMark/>
          </w:tcPr>
          <w:p w14:paraId="2DB6C39A"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577AA8E9" w14:textId="77777777" w:rsidR="003F5418" w:rsidRDefault="002A6C25">
            <w:pPr>
              <w:pStyle w:val="P68B1DB1-Normal4"/>
              <w:spacing w:before="120" w:after="120"/>
              <w:jc w:val="center"/>
              <w:rPr>
                <w:rFonts w:eastAsia="Calibri"/>
                <w:noProof/>
              </w:rPr>
            </w:pPr>
            <w:r>
              <w:rPr>
                <w:noProof/>
              </w:rPr>
              <w:t xml:space="preserve">Az állami foglalkoztatási szolgálatok befejezték a megerősítési </w:t>
            </w:r>
            <w:r>
              <w:rPr>
                <w:noProof/>
              </w:rPr>
              <w:t>tervben előirányzott tevékenységeket</w:t>
            </w:r>
          </w:p>
        </w:tc>
        <w:tc>
          <w:tcPr>
            <w:tcW w:w="1470" w:type="dxa"/>
            <w:shd w:val="clear" w:color="auto" w:fill="C6EFCE"/>
            <w:noWrap/>
            <w:vAlign w:val="center"/>
            <w:hideMark/>
          </w:tcPr>
          <w:p w14:paraId="17AED4CE"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2926945E" w14:textId="77777777" w:rsidR="003F5418" w:rsidRDefault="002A6C25">
            <w:pPr>
              <w:pStyle w:val="P68B1DB1-Normal4"/>
              <w:spacing w:before="120" w:after="120"/>
              <w:jc w:val="center"/>
              <w:rPr>
                <w:rFonts w:eastAsia="Calibri"/>
                <w:noProof/>
              </w:rPr>
            </w:pPr>
            <w:r>
              <w:rPr>
                <w:noProof/>
              </w:rPr>
              <w:t xml:space="preserve">Szám </w:t>
            </w:r>
          </w:p>
        </w:tc>
        <w:tc>
          <w:tcPr>
            <w:tcW w:w="1134" w:type="dxa"/>
            <w:shd w:val="clear" w:color="auto" w:fill="C6EFCE"/>
            <w:noWrap/>
            <w:vAlign w:val="center"/>
            <w:hideMark/>
          </w:tcPr>
          <w:p w14:paraId="48169019" w14:textId="77777777" w:rsidR="003F5418" w:rsidRDefault="002A6C25">
            <w:pPr>
              <w:pStyle w:val="P68B1DB1-Normal4"/>
              <w:spacing w:before="120" w:after="120"/>
              <w:jc w:val="center"/>
              <w:rPr>
                <w:rFonts w:eastAsia="Calibri"/>
                <w:noProof/>
              </w:rPr>
            </w:pPr>
            <w:r>
              <w:rPr>
                <w:noProof/>
              </w:rPr>
              <w:t>250</w:t>
            </w:r>
          </w:p>
        </w:tc>
        <w:tc>
          <w:tcPr>
            <w:tcW w:w="1134" w:type="dxa"/>
            <w:shd w:val="clear" w:color="auto" w:fill="C6EFCE"/>
            <w:noWrap/>
            <w:vAlign w:val="center"/>
            <w:hideMark/>
          </w:tcPr>
          <w:p w14:paraId="24A2E088" w14:textId="77777777" w:rsidR="003F5418" w:rsidRDefault="002A6C25">
            <w:pPr>
              <w:pStyle w:val="P68B1DB1-Normal4"/>
              <w:spacing w:before="120" w:after="120"/>
              <w:jc w:val="center"/>
              <w:rPr>
                <w:noProof/>
              </w:rPr>
            </w:pPr>
            <w:r>
              <w:rPr>
                <w:noProof/>
              </w:rPr>
              <w:t>500</w:t>
            </w:r>
          </w:p>
        </w:tc>
        <w:tc>
          <w:tcPr>
            <w:tcW w:w="851" w:type="dxa"/>
            <w:shd w:val="clear" w:color="auto" w:fill="C6EFCE"/>
            <w:noWrap/>
            <w:vAlign w:val="center"/>
            <w:hideMark/>
          </w:tcPr>
          <w:p w14:paraId="178C85E5" w14:textId="77777777" w:rsidR="003F5418" w:rsidRDefault="002A6C25">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04F9566C" w14:textId="77777777" w:rsidR="003F5418" w:rsidRDefault="002A6C25">
            <w:pPr>
              <w:pStyle w:val="P68B1DB1-Normal4"/>
              <w:spacing w:before="120" w:after="120"/>
              <w:jc w:val="center"/>
              <w:rPr>
                <w:rFonts w:eastAsia="Calibri"/>
                <w:noProof/>
              </w:rPr>
            </w:pPr>
            <w:r>
              <w:rPr>
                <w:noProof/>
              </w:rPr>
              <w:t>2025</w:t>
            </w:r>
          </w:p>
        </w:tc>
        <w:tc>
          <w:tcPr>
            <w:tcW w:w="2835" w:type="dxa"/>
            <w:shd w:val="clear" w:color="auto" w:fill="C6EFCE"/>
            <w:noWrap/>
            <w:vAlign w:val="center"/>
            <w:hideMark/>
          </w:tcPr>
          <w:p w14:paraId="6C75117F" w14:textId="77777777" w:rsidR="003F5418" w:rsidRDefault="002A6C25">
            <w:pPr>
              <w:pStyle w:val="P68B1DB1-Normal4"/>
              <w:spacing w:after="120"/>
              <w:rPr>
                <w:rFonts w:eastAsia="Calibri"/>
                <w:noProof/>
              </w:rPr>
            </w:pPr>
            <w:r>
              <w:rPr>
                <w:noProof/>
              </w:rPr>
              <w:t>Az állami foglalkoztatási központok (Pani</w:t>
            </w:r>
            <w:r>
              <w:rPr>
                <w:i/>
                <w:noProof/>
              </w:rPr>
              <w:t xml:space="preserve">regionali di potenziamento dei centri per l’impiego) fejlesztésére vonatkozó regionális tervekben előirányzott tevékenységek 100%-át legalább 500 </w:t>
            </w:r>
            <w:r>
              <w:rPr>
                <w:i/>
                <w:noProof/>
              </w:rPr>
              <w:t>állami foglalkoztatási szolgálat (ÁFSZ) végezte</w:t>
            </w:r>
            <w:r>
              <w:rPr>
                <w:noProof/>
              </w:rPr>
              <w:t>el.</w:t>
            </w:r>
          </w:p>
          <w:p w14:paraId="622D320A" w14:textId="77777777" w:rsidR="003F5418" w:rsidRDefault="002A6C25">
            <w:pPr>
              <w:pStyle w:val="P68B1DB1-Normal4"/>
              <w:spacing w:before="120" w:after="120"/>
              <w:rPr>
                <w:rFonts w:eastAsia="Calibri"/>
                <w:noProof/>
              </w:rPr>
            </w:pPr>
            <w:r>
              <w:rPr>
                <w:noProof/>
              </w:rPr>
              <w:t>Ezek a tevékenységek összhangban vannak a központi megerősítési tervvel, és regionális szinten kerülnek meghatározásra, a szükségletek elemzése és az elkülönített források alapján.</w:t>
            </w:r>
          </w:p>
          <w:p w14:paraId="7AE5A20A" w14:textId="77777777" w:rsidR="003F5418" w:rsidRDefault="002A6C25">
            <w:pPr>
              <w:spacing w:before="120" w:after="120"/>
              <w:rPr>
                <w:rFonts w:ascii="Arial Narrow" w:eastAsia="Calibri" w:hAnsi="Arial Narrow"/>
                <w:noProof/>
                <w:color w:val="006100"/>
                <w:sz w:val="20"/>
              </w:rPr>
            </w:pPr>
            <w:r>
              <w:rPr>
                <w:rFonts w:ascii="Arial Narrow" w:hAnsi="Arial Narrow"/>
                <w:noProof/>
                <w:color w:val="006100"/>
                <w:sz w:val="20"/>
              </w:rPr>
              <w:t>Ezek a tevékenységek a k</w:t>
            </w:r>
            <w:r>
              <w:rPr>
                <w:rFonts w:ascii="Arial Narrow" w:hAnsi="Arial Narrow"/>
                <w:noProof/>
                <w:color w:val="006100"/>
                <w:sz w:val="20"/>
              </w:rPr>
              <w:t xml:space="preserve">övetkezőket tartalmazzák: I. az informatikai rendszer további megvalósítása, tekintettel a nemzeti interoperabilitásra; Ii. a személyzet szakmai képzése; </w:t>
            </w:r>
            <w:r>
              <w:rPr>
                <w:noProof/>
              </w:rPr>
              <w:t xml:space="preserve"> </w:t>
            </w:r>
            <w:r>
              <w:rPr>
                <w:noProof/>
              </w:rPr>
              <w:br/>
            </w:r>
            <w:r>
              <w:rPr>
                <w:rFonts w:ascii="Arial Narrow" w:hAnsi="Arial Narrow"/>
                <w:noProof/>
                <w:color w:val="006100"/>
                <w:sz w:val="20"/>
              </w:rPr>
              <w:t xml:space="preserve">A helyi munkaerőpiacok regionális megfigyelőközpontjainak létrehozása; Intézményi kommunikáció és </w:t>
            </w:r>
            <w:r>
              <w:rPr>
                <w:rFonts w:ascii="Arial Narrow" w:hAnsi="Arial Narrow"/>
                <w:noProof/>
                <w:color w:val="006100"/>
                <w:sz w:val="20"/>
              </w:rPr>
              <w:t>tájékoztatás.</w:t>
            </w:r>
          </w:p>
          <w:p w14:paraId="568655DD" w14:textId="77777777" w:rsidR="003F5418" w:rsidRDefault="002A6C25">
            <w:pPr>
              <w:pStyle w:val="P68B1DB1-Normal4"/>
              <w:spacing w:before="120" w:after="120"/>
              <w:rPr>
                <w:rFonts w:eastAsia="Calibri"/>
                <w:noProof/>
              </w:rPr>
            </w:pPr>
            <w:r>
              <w:rPr>
                <w:noProof/>
              </w:rPr>
              <w:t xml:space="preserve">Ez a cél nem terjed ki az infrastrukturális tevékenységekre. </w:t>
            </w:r>
          </w:p>
          <w:p w14:paraId="7A98DF6A" w14:textId="77777777" w:rsidR="003F5418" w:rsidRDefault="002A6C25">
            <w:pPr>
              <w:pStyle w:val="P68B1DB1-Normal4"/>
              <w:spacing w:before="120" w:after="120"/>
              <w:rPr>
                <w:rFonts w:eastAsia="Calibri"/>
                <w:noProof/>
              </w:rPr>
            </w:pPr>
            <w:r>
              <w:rPr>
                <w:noProof/>
              </w:rPr>
              <w:t>A cél elérésekor – többek között szubszidiaritási beavatkozások révén – biztosított a területi eloszlás egyensúlya (északi, közép- és dél).</w:t>
            </w:r>
          </w:p>
        </w:tc>
      </w:tr>
      <w:tr w:rsidR="003F5418" w14:paraId="0510FCB8" w14:textId="77777777">
        <w:trPr>
          <w:trHeight w:val="309"/>
          <w:jc w:val="center"/>
        </w:trPr>
        <w:tc>
          <w:tcPr>
            <w:tcW w:w="1364" w:type="dxa"/>
            <w:shd w:val="clear" w:color="auto" w:fill="C6EFCE"/>
            <w:noWrap/>
            <w:vAlign w:val="center"/>
          </w:tcPr>
          <w:p w14:paraId="3E1E65F7" w14:textId="77777777" w:rsidR="003F5418" w:rsidRDefault="002A6C25">
            <w:pPr>
              <w:pStyle w:val="P68B1DB1-Normal4"/>
              <w:jc w:val="center"/>
              <w:rPr>
                <w:noProof/>
              </w:rPr>
            </w:pPr>
            <w:r>
              <w:rPr>
                <w:noProof/>
              </w:rPr>
              <w:t>M5C1–7a</w:t>
            </w:r>
          </w:p>
        </w:tc>
        <w:tc>
          <w:tcPr>
            <w:tcW w:w="1513" w:type="dxa"/>
            <w:shd w:val="clear" w:color="auto" w:fill="C6EFCE"/>
            <w:noWrap/>
            <w:vAlign w:val="center"/>
          </w:tcPr>
          <w:p w14:paraId="2F3A8A00" w14:textId="77777777" w:rsidR="003F5418" w:rsidRDefault="002A6C25">
            <w:pPr>
              <w:pStyle w:val="P68B1DB1-Normal4"/>
              <w:spacing w:before="120" w:after="120"/>
              <w:jc w:val="center"/>
              <w:rPr>
                <w:rFonts w:eastAsia="Calibri"/>
                <w:noProof/>
              </w:rPr>
            </w:pPr>
            <w:r>
              <w:rPr>
                <w:noProof/>
              </w:rPr>
              <w:t xml:space="preserve">Beruházás – Az állami </w:t>
            </w:r>
            <w:r>
              <w:rPr>
                <w:noProof/>
              </w:rPr>
              <w:t>foglalkoztatási szolgálatok (ÁFSZ-ek) megerősítése</w:t>
            </w:r>
          </w:p>
        </w:tc>
        <w:tc>
          <w:tcPr>
            <w:tcW w:w="1281" w:type="dxa"/>
            <w:shd w:val="clear" w:color="auto" w:fill="C6EFCE"/>
            <w:noWrap/>
            <w:vAlign w:val="center"/>
          </w:tcPr>
          <w:p w14:paraId="73CCF099" w14:textId="77777777" w:rsidR="003F5418" w:rsidRDefault="002A6C25">
            <w:pPr>
              <w:pStyle w:val="P68B1DB1-Normal4"/>
              <w:jc w:val="center"/>
              <w:rPr>
                <w:rFonts w:eastAsia="Calibri"/>
                <w:noProof/>
              </w:rPr>
            </w:pPr>
            <w:r>
              <w:rPr>
                <w:noProof/>
              </w:rPr>
              <w:t>Cél</w:t>
            </w:r>
          </w:p>
        </w:tc>
        <w:tc>
          <w:tcPr>
            <w:tcW w:w="1597" w:type="dxa"/>
            <w:shd w:val="clear" w:color="auto" w:fill="C6EFCE"/>
            <w:noWrap/>
            <w:vAlign w:val="center"/>
          </w:tcPr>
          <w:p w14:paraId="18370C2E" w14:textId="77777777" w:rsidR="003F5418" w:rsidRDefault="002A6C25">
            <w:pPr>
              <w:pStyle w:val="P68B1DB1-Normal4"/>
              <w:jc w:val="center"/>
              <w:rPr>
                <w:noProof/>
              </w:rPr>
            </w:pPr>
            <w:r>
              <w:rPr>
                <w:noProof/>
              </w:rPr>
              <w:t>Az állami foglalkoztatási szolgálatok befejezték a megerősítési tervben előirányzott tevékenységeket</w:t>
            </w:r>
          </w:p>
        </w:tc>
        <w:tc>
          <w:tcPr>
            <w:tcW w:w="1470" w:type="dxa"/>
            <w:shd w:val="clear" w:color="auto" w:fill="C6EFCE"/>
            <w:noWrap/>
            <w:vAlign w:val="center"/>
          </w:tcPr>
          <w:p w14:paraId="12DAF816" w14:textId="77777777" w:rsidR="003F5418" w:rsidRDefault="002A6C25">
            <w:pPr>
              <w:pStyle w:val="P68B1DB1-Normal4"/>
              <w:jc w:val="center"/>
              <w:rPr>
                <w:rFonts w:eastAsia="Calibri"/>
                <w:noProof/>
              </w:rPr>
            </w:pPr>
            <w:r>
              <w:rPr>
                <w:noProof/>
              </w:rPr>
              <w:t>NINCS</w:t>
            </w:r>
          </w:p>
        </w:tc>
        <w:tc>
          <w:tcPr>
            <w:tcW w:w="1275" w:type="dxa"/>
            <w:shd w:val="clear" w:color="auto" w:fill="C6EFCE"/>
            <w:noWrap/>
            <w:vAlign w:val="center"/>
          </w:tcPr>
          <w:p w14:paraId="756C2062" w14:textId="77777777" w:rsidR="003F5418" w:rsidRDefault="002A6C25">
            <w:pPr>
              <w:pStyle w:val="P68B1DB1-Normal4"/>
              <w:jc w:val="center"/>
              <w:rPr>
                <w:rFonts w:eastAsia="Calibri"/>
                <w:noProof/>
              </w:rPr>
            </w:pPr>
            <w:r>
              <w:rPr>
                <w:noProof/>
              </w:rPr>
              <w:t xml:space="preserve">Szám </w:t>
            </w:r>
          </w:p>
        </w:tc>
        <w:tc>
          <w:tcPr>
            <w:tcW w:w="1134" w:type="dxa"/>
            <w:shd w:val="clear" w:color="auto" w:fill="C6EFCE"/>
            <w:noWrap/>
            <w:vAlign w:val="center"/>
          </w:tcPr>
          <w:p w14:paraId="502338E0" w14:textId="77777777" w:rsidR="003F5418" w:rsidRDefault="002A6C25">
            <w:pPr>
              <w:pStyle w:val="P68B1DB1-Normal4"/>
              <w:jc w:val="center"/>
              <w:rPr>
                <w:rFonts w:eastAsia="Calibri"/>
                <w:noProof/>
              </w:rPr>
            </w:pPr>
            <w:r>
              <w:rPr>
                <w:noProof/>
              </w:rPr>
              <w:t>0</w:t>
            </w:r>
          </w:p>
        </w:tc>
        <w:tc>
          <w:tcPr>
            <w:tcW w:w="1134" w:type="dxa"/>
            <w:shd w:val="clear" w:color="auto" w:fill="C6EFCE"/>
            <w:noWrap/>
            <w:vAlign w:val="center"/>
          </w:tcPr>
          <w:p w14:paraId="7249CB27" w14:textId="77777777" w:rsidR="003F5418" w:rsidRDefault="002A6C25">
            <w:pPr>
              <w:pStyle w:val="P68B1DB1-Normal4"/>
              <w:jc w:val="center"/>
              <w:rPr>
                <w:rFonts w:eastAsia="Calibri"/>
                <w:noProof/>
              </w:rPr>
            </w:pPr>
            <w:r>
              <w:rPr>
                <w:noProof/>
              </w:rPr>
              <w:t>500</w:t>
            </w:r>
          </w:p>
        </w:tc>
        <w:tc>
          <w:tcPr>
            <w:tcW w:w="851" w:type="dxa"/>
            <w:shd w:val="clear" w:color="auto" w:fill="C6EFCE"/>
            <w:noWrap/>
            <w:vAlign w:val="center"/>
          </w:tcPr>
          <w:p w14:paraId="140398F2" w14:textId="77777777" w:rsidR="003F5418" w:rsidRDefault="002A6C25">
            <w:pPr>
              <w:pStyle w:val="P68B1DB1-Normal4"/>
              <w:jc w:val="center"/>
              <w:rPr>
                <w:rFonts w:eastAsia="Calibri"/>
                <w:noProof/>
              </w:rPr>
            </w:pPr>
            <w:r>
              <w:rPr>
                <w:noProof/>
              </w:rPr>
              <w:t>Q2</w:t>
            </w:r>
          </w:p>
        </w:tc>
        <w:tc>
          <w:tcPr>
            <w:tcW w:w="709" w:type="dxa"/>
            <w:shd w:val="clear" w:color="auto" w:fill="C6EFCE"/>
            <w:noWrap/>
            <w:vAlign w:val="center"/>
          </w:tcPr>
          <w:p w14:paraId="690F4677" w14:textId="77777777" w:rsidR="003F5418" w:rsidRDefault="002A6C25">
            <w:pPr>
              <w:pStyle w:val="P68B1DB1-Normal4"/>
              <w:jc w:val="center"/>
              <w:rPr>
                <w:rFonts w:eastAsia="Calibri"/>
                <w:noProof/>
              </w:rPr>
            </w:pPr>
            <w:r>
              <w:rPr>
                <w:noProof/>
              </w:rPr>
              <w:t>2026</w:t>
            </w:r>
          </w:p>
        </w:tc>
        <w:tc>
          <w:tcPr>
            <w:tcW w:w="2835" w:type="dxa"/>
            <w:shd w:val="clear" w:color="auto" w:fill="C6EFCE"/>
            <w:noWrap/>
            <w:vAlign w:val="center"/>
          </w:tcPr>
          <w:p w14:paraId="0A0F392C" w14:textId="77777777" w:rsidR="003F5418" w:rsidRDefault="002A6C25">
            <w:pPr>
              <w:pStyle w:val="P68B1DB1-Normal4"/>
              <w:spacing w:before="120" w:after="120"/>
              <w:rPr>
                <w:rFonts w:eastAsia="Calibri"/>
                <w:noProof/>
              </w:rPr>
            </w:pPr>
            <w:r>
              <w:rPr>
                <w:noProof/>
              </w:rPr>
              <w:t xml:space="preserve">Legalább 500 állami foglalkoztatási szolgálat (ÁFSZ) végezte el az állami foglalkoztatási központok </w:t>
            </w:r>
            <w:r>
              <w:rPr>
                <w:i/>
                <w:noProof/>
              </w:rPr>
              <w:t xml:space="preserve">(Piani regionali di potenziamento dei centri per l’impiego) </w:t>
            </w:r>
            <w:r>
              <w:rPr>
                <w:noProof/>
              </w:rPr>
              <w:t>fejlesztésére vonatkozó regionális tervekben előirányzott tevékenységek 100%-át az állami foglal</w:t>
            </w:r>
            <w:r>
              <w:rPr>
                <w:noProof/>
              </w:rPr>
              <w:t>koztatási szolgálatok (ÁFSZ-ek) és a regionális ügynökségek jelenlegi épületeinek felújítására és felújítására, valamint újak megvásárlására vonatkozóan, a Munkaügyi és Szociálpolitikai Minisztérium főtitkárának 123/2020. sz. rendeletében leírtak szerint.</w:t>
            </w:r>
          </w:p>
        </w:tc>
      </w:tr>
      <w:tr w:rsidR="003F5418" w14:paraId="288D6117" w14:textId="77777777">
        <w:trPr>
          <w:trHeight w:val="309"/>
          <w:jc w:val="center"/>
        </w:trPr>
        <w:tc>
          <w:tcPr>
            <w:tcW w:w="1364" w:type="dxa"/>
            <w:shd w:val="clear" w:color="auto" w:fill="C6EFCE"/>
            <w:noWrap/>
            <w:vAlign w:val="center"/>
            <w:hideMark/>
          </w:tcPr>
          <w:p w14:paraId="77BBC701" w14:textId="77777777" w:rsidR="003F5418" w:rsidRDefault="002A6C25">
            <w:pPr>
              <w:pStyle w:val="P68B1DB1-Normal4"/>
              <w:jc w:val="center"/>
              <w:rPr>
                <w:rFonts w:eastAsia="Calibri"/>
                <w:noProof/>
              </w:rPr>
            </w:pPr>
            <w:r>
              <w:rPr>
                <w:noProof/>
              </w:rPr>
              <w:t>M5C1–8</w:t>
            </w:r>
          </w:p>
        </w:tc>
        <w:tc>
          <w:tcPr>
            <w:tcW w:w="1513" w:type="dxa"/>
            <w:shd w:val="clear" w:color="auto" w:fill="C6EFCE"/>
            <w:noWrap/>
            <w:vAlign w:val="center"/>
            <w:hideMark/>
          </w:tcPr>
          <w:p w14:paraId="79CE58FC" w14:textId="77777777" w:rsidR="003F5418" w:rsidRDefault="002A6C25">
            <w:pPr>
              <w:pStyle w:val="P68B1DB1-Normal4"/>
              <w:jc w:val="center"/>
              <w:rPr>
                <w:rFonts w:eastAsia="Calibri"/>
                <w:noProof/>
              </w:rPr>
            </w:pPr>
            <w:r>
              <w:rPr>
                <w:noProof/>
              </w:rPr>
              <w:t>Reform – Be nem jelentett munka</w:t>
            </w:r>
          </w:p>
        </w:tc>
        <w:tc>
          <w:tcPr>
            <w:tcW w:w="1281" w:type="dxa"/>
            <w:shd w:val="clear" w:color="auto" w:fill="C6EFCE"/>
            <w:noWrap/>
            <w:vAlign w:val="center"/>
            <w:hideMark/>
          </w:tcPr>
          <w:p w14:paraId="7C38C3D7" w14:textId="77777777" w:rsidR="003F5418" w:rsidRDefault="002A6C25">
            <w:pPr>
              <w:pStyle w:val="P68B1DB1-Normal4"/>
              <w:jc w:val="center"/>
              <w:rPr>
                <w:rFonts w:eastAsia="Calibri"/>
                <w:noProof/>
              </w:rPr>
            </w:pPr>
            <w:r>
              <w:rPr>
                <w:noProof/>
              </w:rPr>
              <w:t>Mérföldkő</w:t>
            </w:r>
          </w:p>
        </w:tc>
        <w:tc>
          <w:tcPr>
            <w:tcW w:w="1597" w:type="dxa"/>
            <w:shd w:val="clear" w:color="auto" w:fill="C6EFCE"/>
            <w:noWrap/>
            <w:vAlign w:val="center"/>
            <w:hideMark/>
          </w:tcPr>
          <w:p w14:paraId="28BDF888" w14:textId="77777777" w:rsidR="003F5418" w:rsidRDefault="002A6C25">
            <w:pPr>
              <w:pStyle w:val="P68B1DB1-Normal4"/>
              <w:jc w:val="center"/>
              <w:rPr>
                <w:noProof/>
              </w:rPr>
            </w:pPr>
            <w:r>
              <w:rPr>
                <w:noProof/>
              </w:rPr>
              <w:t>A be nem jelentett munkavégzés elleni küzdelemre irányuló nemzeti terv és végrehajtási ütemterv hatálybalépése valamennyi gazdasági ágazatban.</w:t>
            </w:r>
          </w:p>
        </w:tc>
        <w:tc>
          <w:tcPr>
            <w:tcW w:w="1470" w:type="dxa"/>
            <w:shd w:val="clear" w:color="auto" w:fill="C6EFCE"/>
            <w:noWrap/>
            <w:vAlign w:val="center"/>
            <w:hideMark/>
          </w:tcPr>
          <w:p w14:paraId="1AF442C3" w14:textId="77777777" w:rsidR="003F5418" w:rsidRDefault="002A6C25">
            <w:pPr>
              <w:pStyle w:val="P68B1DB1-Normal4"/>
              <w:jc w:val="center"/>
              <w:rPr>
                <w:rFonts w:eastAsia="Calibri"/>
                <w:noProof/>
              </w:rPr>
            </w:pPr>
            <w:r>
              <w:rPr>
                <w:noProof/>
              </w:rPr>
              <w:t>A Nemzeti Terv hatálybalépését és a Nemzeti Terv és Végrehajtás</w:t>
            </w:r>
            <w:r>
              <w:rPr>
                <w:noProof/>
              </w:rPr>
              <w:t>i Útterv kidolgozásáért felelős intézményközi munkacsoport létrehozását előíró jogszabályi rendelkezések</w:t>
            </w:r>
          </w:p>
        </w:tc>
        <w:tc>
          <w:tcPr>
            <w:tcW w:w="1275" w:type="dxa"/>
            <w:shd w:val="clear" w:color="auto" w:fill="C6EFCE"/>
            <w:noWrap/>
            <w:vAlign w:val="center"/>
            <w:hideMark/>
          </w:tcPr>
          <w:p w14:paraId="27B20603"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739D6C64"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79542738" w14:textId="77777777" w:rsidR="003F5418" w:rsidRDefault="002A6C25">
            <w:pPr>
              <w:pStyle w:val="P68B1DB1-Normal4"/>
              <w:jc w:val="center"/>
              <w:rPr>
                <w:rFonts w:eastAsia="Calibri"/>
                <w:noProof/>
              </w:rPr>
            </w:pPr>
            <w:r>
              <w:rPr>
                <w:noProof/>
              </w:rPr>
              <w:t>NINCS</w:t>
            </w:r>
          </w:p>
        </w:tc>
        <w:tc>
          <w:tcPr>
            <w:tcW w:w="851" w:type="dxa"/>
            <w:shd w:val="clear" w:color="auto" w:fill="C6EFCE"/>
            <w:noWrap/>
            <w:vAlign w:val="center"/>
            <w:hideMark/>
          </w:tcPr>
          <w:p w14:paraId="2C7188F4" w14:textId="77777777" w:rsidR="003F5418" w:rsidRDefault="002A6C25">
            <w:pPr>
              <w:pStyle w:val="P68B1DB1-Normal4"/>
              <w:jc w:val="center"/>
              <w:rPr>
                <w:rFonts w:eastAsia="Calibri"/>
                <w:noProof/>
              </w:rPr>
            </w:pPr>
            <w:r>
              <w:rPr>
                <w:noProof/>
              </w:rPr>
              <w:t>Q4</w:t>
            </w:r>
          </w:p>
        </w:tc>
        <w:tc>
          <w:tcPr>
            <w:tcW w:w="709" w:type="dxa"/>
            <w:shd w:val="clear" w:color="auto" w:fill="C6EFCE"/>
            <w:noWrap/>
            <w:vAlign w:val="center"/>
            <w:hideMark/>
          </w:tcPr>
          <w:p w14:paraId="1A9FCAFD" w14:textId="77777777" w:rsidR="003F5418" w:rsidRDefault="002A6C25">
            <w:pPr>
              <w:pStyle w:val="P68B1DB1-Normal4"/>
              <w:jc w:val="center"/>
              <w:rPr>
                <w:rFonts w:eastAsia="Calibri"/>
                <w:noProof/>
              </w:rPr>
            </w:pPr>
            <w:r>
              <w:rPr>
                <w:noProof/>
              </w:rPr>
              <w:t>2022</w:t>
            </w:r>
          </w:p>
        </w:tc>
        <w:tc>
          <w:tcPr>
            <w:tcW w:w="2835" w:type="dxa"/>
            <w:shd w:val="clear" w:color="auto" w:fill="C6EFCE"/>
            <w:noWrap/>
            <w:vAlign w:val="center"/>
            <w:hideMark/>
          </w:tcPr>
          <w:p w14:paraId="7F3B1749" w14:textId="77777777" w:rsidR="003F5418" w:rsidRDefault="002A6C25">
            <w:pPr>
              <w:rPr>
                <w:rFonts w:ascii="Arial Narrow" w:eastAsia="Calibri" w:hAnsi="Arial Narrow"/>
                <w:noProof/>
                <w:color w:val="006100"/>
                <w:sz w:val="20"/>
              </w:rPr>
            </w:pPr>
            <w:r>
              <w:rPr>
                <w:noProof/>
              </w:rPr>
              <w:t>Nemzeti terv</w:t>
            </w:r>
            <w:r>
              <w:rPr>
                <w:rFonts w:ascii="Arial Narrow" w:hAnsi="Arial Narrow"/>
                <w:noProof/>
                <w:color w:val="006100"/>
                <w:sz w:val="20"/>
              </w:rPr>
              <w:t xml:space="preserve">elfogadása és határidőhöz kötött (egy éves) végrehajtási ütemterv a be nem jelentett munkavégzés elleni küzdelem </w:t>
            </w:r>
            <w:r>
              <w:rPr>
                <w:rFonts w:ascii="Arial Narrow" w:hAnsi="Arial Narrow"/>
                <w:noProof/>
                <w:color w:val="006100"/>
                <w:sz w:val="20"/>
              </w:rPr>
              <w:t>érdekében valamennyi gazdasági ágazatban. A nemzeti terv a be nem jelentett munkavégzés elleni küzdelemre irányuló általános stratégiára és a mezőgazdasági ágazatban a munkaerő-kizsákmányolás elleni nemzeti terv – „Piano triennale diverseo allo sfruttament</w:t>
            </w:r>
            <w:r>
              <w:rPr>
                <w:rFonts w:ascii="Arial Narrow" w:hAnsi="Arial Narrow"/>
                <w:noProof/>
                <w:color w:val="006100"/>
                <w:sz w:val="20"/>
              </w:rPr>
              <w:t xml:space="preserve">o lavorativo in agricoltura e al caporalato (2020–2022)” elfogadására használt többszereplős megközelítésre épül. A nemzeti tervnek és a végrehajtási ütemtervnek legalább a következőket kell tartalmaznia: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A be nem jelentett munkavégzésre vonatkozó részl</w:t>
            </w:r>
            <w:r>
              <w:rPr>
                <w:rFonts w:ascii="Arial Narrow" w:hAnsi="Arial Narrow"/>
                <w:noProof/>
                <w:color w:val="006100"/>
                <w:sz w:val="20"/>
              </w:rPr>
              <w:t xml:space="preserve">etes adatok előállításának, gyűjtésének és időben történő terjesztésének javítását célzó intézkedések;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Közvetlen és közvetett intézkedések bevezetése a be nem jelentett munkavégzés bejelentett munkavégzéssé való átalakítására annak biztosítása révén, ho</w:t>
            </w:r>
            <w:r>
              <w:rPr>
                <w:rFonts w:ascii="Arial Narrow" w:hAnsi="Arial Narrow"/>
                <w:noProof/>
                <w:color w:val="006100"/>
                <w:sz w:val="20"/>
              </w:rPr>
              <w:t>gy a bejelentett gazdaságban való működés előnyei meghaladják a be nem jelentett gazdaságban való munkavégzés költségeit. Például a) visszatartó erejű intézkedések, például az ellenőrzés és a szankciók megerősítése, valamint a bejelentett munka előmozdítás</w:t>
            </w:r>
            <w:r>
              <w:rPr>
                <w:rFonts w:ascii="Arial Narrow" w:hAnsi="Arial Narrow"/>
                <w:noProof/>
                <w:color w:val="006100"/>
                <w:sz w:val="20"/>
              </w:rPr>
              <w:t xml:space="preserve">át célzó megelőző intézkedések, például célzott pénzügyi ösztönzők, többek között a meglévők felülvizsgálata és észszerűsítése révén; a foglalkoztatás- és szociálpolitikával való kapcsolat erősítése;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xml:space="preserve">A munkáltatóknak és a munkavállalóknak szóló nemzeti </w:t>
            </w:r>
            <w:r>
              <w:rPr>
                <w:rFonts w:ascii="Arial Narrow" w:hAnsi="Arial Narrow"/>
                <w:noProof/>
                <w:color w:val="006100"/>
                <w:sz w:val="20"/>
              </w:rPr>
              <w:t xml:space="preserve">tájékoztató kampány a be nem jelentett munkavégzés „fogyatkozásáról”, a szociális partnerek aktív bevonásával;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xml:space="preserve">Az intézkedések hatékony végrehajtását biztosító irányítási struktúra; </w:t>
            </w:r>
          </w:p>
          <w:p w14:paraId="2D4E1BCD" w14:textId="69CE5A30" w:rsidR="003F5418" w:rsidRDefault="002A6C25">
            <w:pPr>
              <w:pStyle w:val="P68B1DB1-Normal4"/>
              <w:rPr>
                <w:rFonts w:eastAsia="Calibri"/>
                <w:noProof/>
              </w:rPr>
            </w:pPr>
            <w:r>
              <w:rPr>
                <w:noProof/>
              </w:rPr>
              <w:t xml:space="preserve">V. a mezőgazdasági munkaerő-kizsákmányolás elleni küzdelem érdekében </w:t>
            </w:r>
            <w:r>
              <w:rPr>
                <w:noProof/>
              </w:rPr>
              <w:t>az illegális telepek felszámolására irányuló intézkedések.</w:t>
            </w:r>
          </w:p>
        </w:tc>
      </w:tr>
      <w:tr w:rsidR="003F5418" w14:paraId="0AD3C0EE" w14:textId="77777777">
        <w:trPr>
          <w:trHeight w:val="309"/>
          <w:jc w:val="center"/>
        </w:trPr>
        <w:tc>
          <w:tcPr>
            <w:tcW w:w="1364" w:type="dxa"/>
            <w:shd w:val="clear" w:color="auto" w:fill="C6EFCE"/>
            <w:noWrap/>
            <w:vAlign w:val="center"/>
            <w:hideMark/>
          </w:tcPr>
          <w:p w14:paraId="52D26C1F" w14:textId="77777777" w:rsidR="003F5418" w:rsidRDefault="002A6C25">
            <w:pPr>
              <w:pStyle w:val="P68B1DB1-Normal4"/>
              <w:jc w:val="center"/>
              <w:rPr>
                <w:rFonts w:eastAsia="Calibri"/>
                <w:noProof/>
              </w:rPr>
            </w:pPr>
            <w:r>
              <w:rPr>
                <w:noProof/>
              </w:rPr>
              <w:t>M5C1–9</w:t>
            </w:r>
          </w:p>
        </w:tc>
        <w:tc>
          <w:tcPr>
            <w:tcW w:w="1513" w:type="dxa"/>
            <w:shd w:val="clear" w:color="auto" w:fill="C6EFCE"/>
            <w:noWrap/>
            <w:vAlign w:val="center"/>
            <w:hideMark/>
          </w:tcPr>
          <w:p w14:paraId="6D8AC703" w14:textId="77777777" w:rsidR="003F5418" w:rsidRDefault="002A6C25">
            <w:pPr>
              <w:pStyle w:val="P68B1DB1-Normal4"/>
              <w:jc w:val="center"/>
              <w:rPr>
                <w:rFonts w:eastAsia="Calibri"/>
                <w:noProof/>
              </w:rPr>
            </w:pPr>
            <w:r>
              <w:rPr>
                <w:noProof/>
              </w:rPr>
              <w:t>Reform – Be nem jelentett munka</w:t>
            </w:r>
          </w:p>
        </w:tc>
        <w:tc>
          <w:tcPr>
            <w:tcW w:w="1281" w:type="dxa"/>
            <w:shd w:val="clear" w:color="auto" w:fill="C6EFCE"/>
            <w:noWrap/>
            <w:vAlign w:val="center"/>
            <w:hideMark/>
          </w:tcPr>
          <w:p w14:paraId="0001B18F" w14:textId="77777777" w:rsidR="003F5418" w:rsidRDefault="002A6C25">
            <w:pPr>
              <w:pStyle w:val="P68B1DB1-Normal4"/>
              <w:jc w:val="center"/>
              <w:rPr>
                <w:rFonts w:eastAsia="Calibri"/>
                <w:noProof/>
              </w:rPr>
            </w:pPr>
            <w:r>
              <w:rPr>
                <w:noProof/>
              </w:rPr>
              <w:t>Mérföldkő</w:t>
            </w:r>
          </w:p>
        </w:tc>
        <w:tc>
          <w:tcPr>
            <w:tcW w:w="1597" w:type="dxa"/>
            <w:shd w:val="clear" w:color="auto" w:fill="C6EFCE"/>
            <w:noWrap/>
            <w:vAlign w:val="center"/>
            <w:hideMark/>
          </w:tcPr>
          <w:p w14:paraId="5C056AFA" w14:textId="77777777" w:rsidR="003F5418" w:rsidRDefault="002A6C25">
            <w:pPr>
              <w:pStyle w:val="P68B1DB1-Normal4"/>
              <w:jc w:val="center"/>
              <w:rPr>
                <w:noProof/>
              </w:rPr>
            </w:pPr>
            <w:r>
              <w:rPr>
                <w:noProof/>
              </w:rPr>
              <w:t>A nemzeti tervben foglalt intézkedések teljes körű végrehajtása az ütemtervvel összhangban</w:t>
            </w:r>
          </w:p>
        </w:tc>
        <w:tc>
          <w:tcPr>
            <w:tcW w:w="1470" w:type="dxa"/>
            <w:shd w:val="clear" w:color="auto" w:fill="C6EFCE"/>
            <w:noWrap/>
            <w:vAlign w:val="center"/>
            <w:hideMark/>
          </w:tcPr>
          <w:p w14:paraId="56E5E338" w14:textId="77777777" w:rsidR="003F5418" w:rsidRDefault="002A6C25">
            <w:pPr>
              <w:pStyle w:val="P68B1DB1-Normal4"/>
              <w:jc w:val="center"/>
              <w:rPr>
                <w:noProof/>
              </w:rPr>
            </w:pPr>
            <w:r>
              <w:rPr>
                <w:noProof/>
              </w:rPr>
              <w:t>A nemzeti terv végrehajtott intézkedései</w:t>
            </w:r>
          </w:p>
        </w:tc>
        <w:tc>
          <w:tcPr>
            <w:tcW w:w="1275" w:type="dxa"/>
            <w:shd w:val="clear" w:color="auto" w:fill="C6EFCE"/>
            <w:noWrap/>
            <w:vAlign w:val="center"/>
            <w:hideMark/>
          </w:tcPr>
          <w:p w14:paraId="4C4AC059"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6AC1EA79" w14:textId="77777777" w:rsidR="003F5418" w:rsidRDefault="002A6C25">
            <w:pPr>
              <w:pStyle w:val="P68B1DB1-Normal4"/>
              <w:jc w:val="center"/>
              <w:rPr>
                <w:rFonts w:eastAsia="Calibri"/>
                <w:noProof/>
              </w:rPr>
            </w:pPr>
            <w:r>
              <w:rPr>
                <w:noProof/>
              </w:rPr>
              <w:t>NINCS</w:t>
            </w:r>
          </w:p>
        </w:tc>
        <w:tc>
          <w:tcPr>
            <w:tcW w:w="1134" w:type="dxa"/>
            <w:shd w:val="clear" w:color="auto" w:fill="C6EFCE"/>
            <w:noWrap/>
            <w:vAlign w:val="center"/>
            <w:hideMark/>
          </w:tcPr>
          <w:p w14:paraId="2C4D237D" w14:textId="77777777" w:rsidR="003F5418" w:rsidRDefault="002A6C25">
            <w:pPr>
              <w:pStyle w:val="P68B1DB1-Normal4"/>
              <w:jc w:val="center"/>
              <w:rPr>
                <w:rFonts w:eastAsia="Calibri"/>
                <w:noProof/>
              </w:rPr>
            </w:pPr>
            <w:r>
              <w:rPr>
                <w:noProof/>
              </w:rPr>
              <w:t>NINCS</w:t>
            </w:r>
          </w:p>
        </w:tc>
        <w:tc>
          <w:tcPr>
            <w:tcW w:w="851" w:type="dxa"/>
            <w:shd w:val="clear" w:color="auto" w:fill="C6EFCE"/>
            <w:noWrap/>
            <w:vAlign w:val="center"/>
            <w:hideMark/>
          </w:tcPr>
          <w:p w14:paraId="26572BBB" w14:textId="77777777" w:rsidR="003F5418" w:rsidRDefault="002A6C25">
            <w:pPr>
              <w:pStyle w:val="P68B1DB1-Normal4"/>
              <w:jc w:val="center"/>
              <w:rPr>
                <w:rFonts w:eastAsia="Calibri"/>
                <w:noProof/>
              </w:rPr>
            </w:pPr>
            <w:r>
              <w:rPr>
                <w:noProof/>
              </w:rPr>
              <w:t>Q1</w:t>
            </w:r>
          </w:p>
        </w:tc>
        <w:tc>
          <w:tcPr>
            <w:tcW w:w="709" w:type="dxa"/>
            <w:shd w:val="clear" w:color="auto" w:fill="C6EFCE"/>
            <w:noWrap/>
            <w:vAlign w:val="center"/>
            <w:hideMark/>
          </w:tcPr>
          <w:p w14:paraId="79357D0C" w14:textId="77777777" w:rsidR="003F5418" w:rsidRDefault="002A6C25">
            <w:pPr>
              <w:pStyle w:val="P68B1DB1-Normal4"/>
              <w:jc w:val="center"/>
              <w:rPr>
                <w:rFonts w:eastAsia="Calibri"/>
                <w:noProof/>
              </w:rPr>
            </w:pPr>
            <w:r>
              <w:rPr>
                <w:noProof/>
              </w:rPr>
              <w:t>2024</w:t>
            </w:r>
          </w:p>
        </w:tc>
        <w:tc>
          <w:tcPr>
            <w:tcW w:w="2835" w:type="dxa"/>
            <w:shd w:val="clear" w:color="auto" w:fill="C6EFCE"/>
            <w:noWrap/>
            <w:vAlign w:val="center"/>
            <w:hideMark/>
          </w:tcPr>
          <w:p w14:paraId="140B2694" w14:textId="77777777" w:rsidR="003F5418" w:rsidRDefault="002A6C25">
            <w:pPr>
              <w:pStyle w:val="P68B1DB1-Normal4"/>
              <w:rPr>
                <w:rFonts w:eastAsia="Calibri"/>
                <w:noProof/>
              </w:rPr>
            </w:pPr>
            <w:r>
              <w:rPr>
                <w:noProof/>
              </w:rPr>
              <w:t>A nemzeti tervben foglalt valamennyi intézkedés teljes körű végrehajtása az ütemtervvel összhangban.</w:t>
            </w:r>
          </w:p>
        </w:tc>
      </w:tr>
      <w:tr w:rsidR="003F5418" w14:paraId="251A0A1A" w14:textId="77777777">
        <w:trPr>
          <w:trHeight w:val="309"/>
          <w:jc w:val="center"/>
        </w:trPr>
        <w:tc>
          <w:tcPr>
            <w:tcW w:w="1364" w:type="dxa"/>
            <w:shd w:val="clear" w:color="auto" w:fill="C6EFCE"/>
            <w:noWrap/>
            <w:vAlign w:val="center"/>
            <w:hideMark/>
          </w:tcPr>
          <w:p w14:paraId="789D10AC" w14:textId="77777777" w:rsidR="003F5418" w:rsidRDefault="002A6C25">
            <w:pPr>
              <w:pStyle w:val="P68B1DB1-Normal4"/>
              <w:jc w:val="center"/>
              <w:rPr>
                <w:noProof/>
              </w:rPr>
            </w:pPr>
            <w:r>
              <w:rPr>
                <w:noProof/>
              </w:rPr>
              <w:t xml:space="preserve">M5C1–10 </w:t>
            </w:r>
          </w:p>
        </w:tc>
        <w:tc>
          <w:tcPr>
            <w:tcW w:w="1513" w:type="dxa"/>
            <w:shd w:val="clear" w:color="auto" w:fill="C6EFCE"/>
            <w:noWrap/>
            <w:vAlign w:val="center"/>
            <w:hideMark/>
          </w:tcPr>
          <w:p w14:paraId="3C9588C0" w14:textId="77777777" w:rsidR="003F5418" w:rsidRDefault="002A6C25">
            <w:pPr>
              <w:pStyle w:val="P68B1DB1-Normal4"/>
              <w:jc w:val="center"/>
              <w:rPr>
                <w:rFonts w:eastAsia="Calibri"/>
                <w:noProof/>
              </w:rPr>
            </w:pPr>
            <w:r>
              <w:rPr>
                <w:noProof/>
              </w:rPr>
              <w:t>Reform – Be nem jelentett munka</w:t>
            </w:r>
          </w:p>
        </w:tc>
        <w:tc>
          <w:tcPr>
            <w:tcW w:w="1281" w:type="dxa"/>
            <w:shd w:val="clear" w:color="auto" w:fill="C6EFCE"/>
            <w:noWrap/>
            <w:vAlign w:val="center"/>
            <w:hideMark/>
          </w:tcPr>
          <w:p w14:paraId="4FAC07BD" w14:textId="77777777" w:rsidR="003F5418" w:rsidRDefault="002A6C25">
            <w:pPr>
              <w:pStyle w:val="P68B1DB1-Normal4"/>
              <w:jc w:val="center"/>
              <w:rPr>
                <w:rFonts w:eastAsia="Calibri"/>
                <w:noProof/>
              </w:rPr>
            </w:pPr>
            <w:r>
              <w:rPr>
                <w:noProof/>
              </w:rPr>
              <w:t>Cél</w:t>
            </w:r>
          </w:p>
        </w:tc>
        <w:tc>
          <w:tcPr>
            <w:tcW w:w="1597" w:type="dxa"/>
            <w:shd w:val="clear" w:color="auto" w:fill="C6EFCE"/>
            <w:noWrap/>
            <w:vAlign w:val="center"/>
            <w:hideMark/>
          </w:tcPr>
          <w:p w14:paraId="15B1BD46" w14:textId="77777777" w:rsidR="003F5418" w:rsidRDefault="002A6C25">
            <w:pPr>
              <w:pStyle w:val="P68B1DB1-Normal4"/>
              <w:jc w:val="center"/>
              <w:rPr>
                <w:rFonts w:eastAsia="Calibri"/>
                <w:noProof/>
              </w:rPr>
            </w:pPr>
            <w:r>
              <w:rPr>
                <w:noProof/>
              </w:rPr>
              <w:t>A munkaügyi ellenőrzések számának növekedése</w:t>
            </w:r>
          </w:p>
        </w:tc>
        <w:tc>
          <w:tcPr>
            <w:tcW w:w="1470" w:type="dxa"/>
            <w:shd w:val="clear" w:color="auto" w:fill="C6EFCE"/>
            <w:noWrap/>
            <w:vAlign w:val="center"/>
            <w:hideMark/>
          </w:tcPr>
          <w:p w14:paraId="5EB6D136" w14:textId="77777777" w:rsidR="003F5418" w:rsidRDefault="002A6C25">
            <w:pPr>
              <w:pStyle w:val="P68B1DB1-Normal4"/>
              <w:jc w:val="center"/>
              <w:rPr>
                <w:rFonts w:eastAsia="Calibri"/>
                <w:noProof/>
              </w:rPr>
            </w:pPr>
            <w:r>
              <w:rPr>
                <w:noProof/>
              </w:rPr>
              <w:t>NINCS</w:t>
            </w:r>
          </w:p>
        </w:tc>
        <w:tc>
          <w:tcPr>
            <w:tcW w:w="1275" w:type="dxa"/>
            <w:shd w:val="clear" w:color="auto" w:fill="C6EFCE"/>
            <w:noWrap/>
            <w:vAlign w:val="center"/>
            <w:hideMark/>
          </w:tcPr>
          <w:p w14:paraId="2684F9F5" w14:textId="77777777" w:rsidR="003F5418" w:rsidRDefault="002A6C25">
            <w:pPr>
              <w:pStyle w:val="P68B1DB1-Normal4"/>
              <w:jc w:val="center"/>
              <w:rPr>
                <w:noProof/>
              </w:rPr>
            </w:pPr>
            <w:r>
              <w:rPr>
                <w:noProof/>
              </w:rPr>
              <w:t xml:space="preserve">Százalék </w:t>
            </w:r>
          </w:p>
        </w:tc>
        <w:tc>
          <w:tcPr>
            <w:tcW w:w="1134" w:type="dxa"/>
            <w:shd w:val="clear" w:color="auto" w:fill="C6EFCE"/>
            <w:noWrap/>
            <w:vAlign w:val="center"/>
            <w:hideMark/>
          </w:tcPr>
          <w:p w14:paraId="5675F0B6" w14:textId="77777777" w:rsidR="003F5418" w:rsidRDefault="002A6C25">
            <w:pPr>
              <w:pStyle w:val="P68B1DB1-Normal4"/>
              <w:jc w:val="center"/>
              <w:rPr>
                <w:noProof/>
              </w:rPr>
            </w:pPr>
            <w:r>
              <w:rPr>
                <w:noProof/>
              </w:rPr>
              <w:t>0</w:t>
            </w:r>
          </w:p>
        </w:tc>
        <w:tc>
          <w:tcPr>
            <w:tcW w:w="1134" w:type="dxa"/>
            <w:shd w:val="clear" w:color="auto" w:fill="C6EFCE"/>
            <w:noWrap/>
            <w:vAlign w:val="center"/>
            <w:hideMark/>
          </w:tcPr>
          <w:p w14:paraId="05A0659D" w14:textId="77777777" w:rsidR="003F5418" w:rsidRDefault="002A6C25">
            <w:pPr>
              <w:pStyle w:val="P68B1DB1-Normal4"/>
              <w:jc w:val="center"/>
              <w:rPr>
                <w:noProof/>
              </w:rPr>
            </w:pPr>
            <w:r>
              <w:rPr>
                <w:noProof/>
              </w:rPr>
              <w:t>20</w:t>
            </w:r>
          </w:p>
        </w:tc>
        <w:tc>
          <w:tcPr>
            <w:tcW w:w="851" w:type="dxa"/>
            <w:shd w:val="clear" w:color="auto" w:fill="C6EFCE"/>
            <w:noWrap/>
            <w:vAlign w:val="center"/>
            <w:hideMark/>
          </w:tcPr>
          <w:p w14:paraId="7566F64C" w14:textId="77777777" w:rsidR="003F5418" w:rsidRDefault="002A6C25">
            <w:pPr>
              <w:pStyle w:val="P68B1DB1-Normal4"/>
              <w:jc w:val="center"/>
              <w:rPr>
                <w:rFonts w:eastAsia="Calibri"/>
                <w:noProof/>
              </w:rPr>
            </w:pPr>
            <w:r>
              <w:rPr>
                <w:noProof/>
              </w:rPr>
              <w:t>Q2</w:t>
            </w:r>
          </w:p>
        </w:tc>
        <w:tc>
          <w:tcPr>
            <w:tcW w:w="709" w:type="dxa"/>
            <w:shd w:val="clear" w:color="auto" w:fill="C6EFCE"/>
            <w:noWrap/>
            <w:vAlign w:val="center"/>
            <w:hideMark/>
          </w:tcPr>
          <w:p w14:paraId="0A03BFA4" w14:textId="77777777" w:rsidR="003F5418" w:rsidRDefault="002A6C25">
            <w:pPr>
              <w:pStyle w:val="P68B1DB1-Normal4"/>
              <w:jc w:val="center"/>
              <w:rPr>
                <w:rFonts w:eastAsia="Calibri"/>
                <w:noProof/>
              </w:rPr>
            </w:pPr>
            <w:r>
              <w:rPr>
                <w:noProof/>
              </w:rPr>
              <w:t>2025</w:t>
            </w:r>
          </w:p>
        </w:tc>
        <w:tc>
          <w:tcPr>
            <w:tcW w:w="2835" w:type="dxa"/>
            <w:shd w:val="clear" w:color="auto" w:fill="C6EFCE"/>
            <w:noWrap/>
            <w:vAlign w:val="center"/>
            <w:hideMark/>
          </w:tcPr>
          <w:p w14:paraId="4CDBBE22" w14:textId="7E07AC7C" w:rsidR="003F5418" w:rsidRDefault="002A6C25">
            <w:pPr>
              <w:pStyle w:val="P68B1DB1-Normal4"/>
              <w:rPr>
                <w:noProof/>
              </w:rPr>
            </w:pPr>
            <w:r>
              <w:rPr>
                <w:noProof/>
              </w:rPr>
              <w:t>Az ellenőrzések számának legalább + 20%-os növekedése a 2019–2021-es időszakhoz képest. A 2019–2020-as kétéves időszakban a munkaügyi ellenőrzések átlagosan mintegy 85000 főt tettek ki.</w:t>
            </w:r>
          </w:p>
        </w:tc>
      </w:tr>
      <w:tr w:rsidR="003F5418" w14:paraId="41961FFF" w14:textId="77777777">
        <w:trPr>
          <w:trHeight w:val="309"/>
          <w:jc w:val="center"/>
        </w:trPr>
        <w:tc>
          <w:tcPr>
            <w:tcW w:w="1364" w:type="dxa"/>
            <w:shd w:val="clear" w:color="auto" w:fill="C6EFCE"/>
            <w:noWrap/>
            <w:vAlign w:val="center"/>
            <w:hideMark/>
          </w:tcPr>
          <w:p w14:paraId="73024290" w14:textId="77777777" w:rsidR="003F5418" w:rsidRDefault="002A6C25">
            <w:pPr>
              <w:pStyle w:val="P68B1DB1-Normal4"/>
              <w:jc w:val="center"/>
              <w:rPr>
                <w:rFonts w:eastAsia="Calibri"/>
                <w:noProof/>
              </w:rPr>
            </w:pPr>
            <w:r>
              <w:rPr>
                <w:noProof/>
              </w:rPr>
              <w:t xml:space="preserve">M5C1–11 </w:t>
            </w:r>
          </w:p>
        </w:tc>
        <w:tc>
          <w:tcPr>
            <w:tcW w:w="1513" w:type="dxa"/>
            <w:shd w:val="clear" w:color="auto" w:fill="C6EFCE"/>
            <w:noWrap/>
            <w:vAlign w:val="center"/>
            <w:hideMark/>
          </w:tcPr>
          <w:p w14:paraId="38C07437" w14:textId="77777777" w:rsidR="003F5418" w:rsidRDefault="002A6C25">
            <w:pPr>
              <w:pStyle w:val="P68B1DB1-Normal4"/>
              <w:jc w:val="center"/>
              <w:rPr>
                <w:rFonts w:eastAsia="Calibri"/>
                <w:noProof/>
              </w:rPr>
            </w:pPr>
            <w:r>
              <w:rPr>
                <w:noProof/>
              </w:rPr>
              <w:t>Reform – Be nem jelentett munka</w:t>
            </w:r>
          </w:p>
        </w:tc>
        <w:tc>
          <w:tcPr>
            <w:tcW w:w="1281" w:type="dxa"/>
            <w:shd w:val="clear" w:color="auto" w:fill="C6EFCE"/>
            <w:noWrap/>
            <w:vAlign w:val="center"/>
            <w:hideMark/>
          </w:tcPr>
          <w:p w14:paraId="4A373D05" w14:textId="77777777" w:rsidR="003F5418" w:rsidRDefault="002A6C25">
            <w:pPr>
              <w:pStyle w:val="P68B1DB1-Normal4"/>
              <w:jc w:val="center"/>
              <w:rPr>
                <w:rFonts w:eastAsia="Calibri"/>
                <w:noProof/>
              </w:rPr>
            </w:pPr>
            <w:r>
              <w:rPr>
                <w:noProof/>
              </w:rPr>
              <w:t>Cél</w:t>
            </w:r>
          </w:p>
        </w:tc>
        <w:tc>
          <w:tcPr>
            <w:tcW w:w="1597" w:type="dxa"/>
            <w:shd w:val="clear" w:color="auto" w:fill="C6EFCE"/>
            <w:noWrap/>
            <w:vAlign w:val="center"/>
            <w:hideMark/>
          </w:tcPr>
          <w:p w14:paraId="442CB6E4" w14:textId="77777777" w:rsidR="003F5418" w:rsidRDefault="002A6C25">
            <w:pPr>
              <w:pStyle w:val="P68B1DB1-Normal4"/>
              <w:jc w:val="center"/>
              <w:rPr>
                <w:rFonts w:eastAsia="Calibri"/>
                <w:noProof/>
              </w:rPr>
            </w:pPr>
            <w:r>
              <w:rPr>
                <w:noProof/>
              </w:rPr>
              <w:t xml:space="preserve">A be nem jelentett </w:t>
            </w:r>
            <w:r>
              <w:rPr>
                <w:noProof/>
              </w:rPr>
              <w:t>munkavégzés előfordulásának csökkenése</w:t>
            </w:r>
          </w:p>
        </w:tc>
        <w:tc>
          <w:tcPr>
            <w:tcW w:w="1470" w:type="dxa"/>
            <w:shd w:val="clear" w:color="auto" w:fill="C6EFCE"/>
            <w:noWrap/>
            <w:vAlign w:val="center"/>
            <w:hideMark/>
          </w:tcPr>
          <w:p w14:paraId="02712D03" w14:textId="77777777" w:rsidR="003F5418" w:rsidRDefault="002A6C25">
            <w:pPr>
              <w:pStyle w:val="P68B1DB1-Normal4"/>
              <w:jc w:val="center"/>
              <w:rPr>
                <w:noProof/>
              </w:rPr>
            </w:pPr>
            <w:r>
              <w:rPr>
                <w:noProof/>
              </w:rPr>
              <w:t>NINCS</w:t>
            </w:r>
          </w:p>
        </w:tc>
        <w:tc>
          <w:tcPr>
            <w:tcW w:w="1275" w:type="dxa"/>
            <w:shd w:val="clear" w:color="auto" w:fill="C6EFCE"/>
            <w:noWrap/>
            <w:vAlign w:val="center"/>
            <w:hideMark/>
          </w:tcPr>
          <w:p w14:paraId="4AD879F2" w14:textId="77777777" w:rsidR="003F5418" w:rsidRDefault="002A6C25">
            <w:pPr>
              <w:pStyle w:val="P68B1DB1-Normal4"/>
              <w:jc w:val="center"/>
              <w:rPr>
                <w:noProof/>
              </w:rPr>
            </w:pPr>
            <w:r>
              <w:rPr>
                <w:noProof/>
              </w:rPr>
              <w:t xml:space="preserve">Százalék </w:t>
            </w:r>
          </w:p>
        </w:tc>
        <w:tc>
          <w:tcPr>
            <w:tcW w:w="1134" w:type="dxa"/>
            <w:shd w:val="clear" w:color="auto" w:fill="C6EFCE"/>
            <w:noWrap/>
            <w:vAlign w:val="center"/>
            <w:hideMark/>
          </w:tcPr>
          <w:p w14:paraId="6DCB190C" w14:textId="77777777" w:rsidR="003F5418" w:rsidRDefault="002A6C25">
            <w:pPr>
              <w:pStyle w:val="P68B1DB1-Normal4"/>
              <w:jc w:val="center"/>
              <w:rPr>
                <w:rFonts w:eastAsia="Calibri"/>
                <w:noProof/>
              </w:rPr>
            </w:pPr>
            <w:r>
              <w:rPr>
                <w:noProof/>
              </w:rPr>
              <w:t>0</w:t>
            </w:r>
          </w:p>
        </w:tc>
        <w:tc>
          <w:tcPr>
            <w:tcW w:w="1134" w:type="dxa"/>
            <w:shd w:val="clear" w:color="auto" w:fill="C6EFCE"/>
            <w:noWrap/>
            <w:vAlign w:val="center"/>
            <w:hideMark/>
          </w:tcPr>
          <w:p w14:paraId="238CD3ED" w14:textId="77777777" w:rsidR="003F5418" w:rsidRDefault="002A6C25">
            <w:pPr>
              <w:pStyle w:val="P68B1DB1-Normal4"/>
              <w:jc w:val="center"/>
              <w:rPr>
                <w:noProof/>
              </w:rPr>
            </w:pPr>
            <w:r>
              <w:rPr>
                <w:noProof/>
              </w:rPr>
              <w:t>2</w:t>
            </w:r>
          </w:p>
        </w:tc>
        <w:tc>
          <w:tcPr>
            <w:tcW w:w="851" w:type="dxa"/>
            <w:shd w:val="clear" w:color="auto" w:fill="C6EFCE"/>
            <w:noWrap/>
            <w:vAlign w:val="center"/>
            <w:hideMark/>
          </w:tcPr>
          <w:p w14:paraId="6CAAFA98" w14:textId="77777777" w:rsidR="003F5418" w:rsidRDefault="002A6C25">
            <w:pPr>
              <w:pStyle w:val="P68B1DB1-Normal4"/>
              <w:jc w:val="center"/>
              <w:rPr>
                <w:rFonts w:eastAsia="Calibri"/>
                <w:noProof/>
              </w:rPr>
            </w:pPr>
            <w:r>
              <w:rPr>
                <w:noProof/>
              </w:rPr>
              <w:t>Q1</w:t>
            </w:r>
          </w:p>
        </w:tc>
        <w:tc>
          <w:tcPr>
            <w:tcW w:w="709" w:type="dxa"/>
            <w:shd w:val="clear" w:color="auto" w:fill="C6EFCE"/>
            <w:noWrap/>
            <w:vAlign w:val="center"/>
            <w:hideMark/>
          </w:tcPr>
          <w:p w14:paraId="765C8EB4" w14:textId="77777777" w:rsidR="003F5418" w:rsidRDefault="002A6C25">
            <w:pPr>
              <w:pStyle w:val="P68B1DB1-Normal4"/>
              <w:jc w:val="center"/>
              <w:rPr>
                <w:rFonts w:eastAsia="Calibri"/>
                <w:noProof/>
              </w:rPr>
            </w:pPr>
            <w:r>
              <w:rPr>
                <w:noProof/>
              </w:rPr>
              <w:t>2026</w:t>
            </w:r>
          </w:p>
        </w:tc>
        <w:tc>
          <w:tcPr>
            <w:tcW w:w="2835" w:type="dxa"/>
            <w:shd w:val="clear" w:color="auto" w:fill="C6EFCE"/>
            <w:noWrap/>
            <w:vAlign w:val="center"/>
            <w:hideMark/>
          </w:tcPr>
          <w:p w14:paraId="57DB8866" w14:textId="77777777" w:rsidR="003F5418" w:rsidRDefault="002A6C25">
            <w:pPr>
              <w:pStyle w:val="P68B1DB1-Normal4"/>
              <w:rPr>
                <w:noProof/>
              </w:rPr>
            </w:pPr>
            <w:r>
              <w:rPr>
                <w:noProof/>
              </w:rPr>
              <w:t xml:space="preserve">A be nem jelentett munkavégzés előfordulásának csökkentése a megcélzott ágazatoktól függően legalább 2 százalékponttal. </w:t>
            </w:r>
          </w:p>
          <w:p w14:paraId="2A3EAD96" w14:textId="0771136D" w:rsidR="003F5418" w:rsidRDefault="002A6C25">
            <w:pPr>
              <w:pStyle w:val="P68B1DB1-Normal4"/>
              <w:rPr>
                <w:noProof/>
              </w:rPr>
            </w:pPr>
            <w:r>
              <w:rPr>
                <w:noProof/>
              </w:rPr>
              <w:t xml:space="preserve">A cél fő célja a 2022-ig elfogadandó nemzeti terv ambíciószintjének </w:t>
            </w:r>
            <w:r>
              <w:rPr>
                <w:noProof/>
              </w:rPr>
              <w:t>meghatározása. Ebben az összefüggésben analitikai specifikációkat kell megadni, és meg kell határozni a releváns és megvalósítható mutatókat.</w:t>
            </w:r>
          </w:p>
        </w:tc>
      </w:tr>
      <w:tr w:rsidR="003F5418" w14:paraId="27C50516" w14:textId="77777777">
        <w:trPr>
          <w:trHeight w:val="309"/>
          <w:jc w:val="center"/>
        </w:trPr>
        <w:tc>
          <w:tcPr>
            <w:tcW w:w="1364" w:type="dxa"/>
            <w:shd w:val="clear" w:color="auto" w:fill="C6EFCE"/>
            <w:noWrap/>
            <w:vAlign w:val="center"/>
            <w:hideMark/>
          </w:tcPr>
          <w:p w14:paraId="37563E92" w14:textId="77777777" w:rsidR="003F5418" w:rsidRDefault="002A6C25">
            <w:pPr>
              <w:pStyle w:val="P68B1DB1-Normal4"/>
              <w:spacing w:before="120" w:after="120"/>
              <w:jc w:val="center"/>
              <w:rPr>
                <w:rFonts w:eastAsia="Calibri"/>
                <w:noProof/>
              </w:rPr>
            </w:pPr>
            <w:r>
              <w:rPr>
                <w:noProof/>
              </w:rPr>
              <w:t>M5C1–12</w:t>
            </w:r>
          </w:p>
        </w:tc>
        <w:tc>
          <w:tcPr>
            <w:tcW w:w="1513" w:type="dxa"/>
            <w:shd w:val="clear" w:color="auto" w:fill="C6EFCE"/>
            <w:noWrap/>
            <w:vAlign w:val="center"/>
            <w:hideMark/>
          </w:tcPr>
          <w:p w14:paraId="02AB4514" w14:textId="77777777" w:rsidR="003F5418" w:rsidRDefault="002A6C25">
            <w:pPr>
              <w:pStyle w:val="P68B1DB1-Normal4"/>
              <w:spacing w:before="120" w:after="120"/>
              <w:jc w:val="center"/>
              <w:rPr>
                <w:noProof/>
              </w:rPr>
            </w:pPr>
            <w:r>
              <w:rPr>
                <w:noProof/>
              </w:rPr>
              <w:t>Beruházás – A nemek közötti egyenlőség tanúsítási rendszere</w:t>
            </w:r>
          </w:p>
        </w:tc>
        <w:tc>
          <w:tcPr>
            <w:tcW w:w="1281" w:type="dxa"/>
            <w:shd w:val="clear" w:color="auto" w:fill="C6EFCE"/>
            <w:noWrap/>
            <w:vAlign w:val="center"/>
            <w:hideMark/>
          </w:tcPr>
          <w:p w14:paraId="7F85C22A" w14:textId="77777777" w:rsidR="003F5418" w:rsidRDefault="002A6C25">
            <w:pPr>
              <w:pStyle w:val="P68B1DB1-Normal4"/>
              <w:spacing w:before="120" w:after="120"/>
              <w:jc w:val="center"/>
              <w:rPr>
                <w:rFonts w:eastAsia="Calibri"/>
                <w:noProof/>
              </w:rPr>
            </w:pPr>
            <w:r>
              <w:rPr>
                <w:noProof/>
              </w:rPr>
              <w:t>Mérföldkő</w:t>
            </w:r>
          </w:p>
        </w:tc>
        <w:tc>
          <w:tcPr>
            <w:tcW w:w="1597" w:type="dxa"/>
            <w:shd w:val="clear" w:color="auto" w:fill="C6EFCE"/>
            <w:noWrap/>
            <w:vAlign w:val="center"/>
            <w:hideMark/>
          </w:tcPr>
          <w:p w14:paraId="4976C46A" w14:textId="77777777" w:rsidR="003F5418" w:rsidRDefault="002A6C25">
            <w:pPr>
              <w:pStyle w:val="P68B1DB1-Normal4"/>
              <w:spacing w:before="120" w:after="120"/>
              <w:jc w:val="center"/>
              <w:rPr>
                <w:rFonts w:eastAsia="Calibri"/>
                <w:noProof/>
              </w:rPr>
            </w:pPr>
            <w:r>
              <w:rPr>
                <w:noProof/>
              </w:rPr>
              <w:t xml:space="preserve">A nemek közötti egyenlőségre vonatkozó tanúsítási rendszer és az azt kísérő ösztönző mechanizmusok hatálybalépése a vállalatok számára </w:t>
            </w:r>
          </w:p>
        </w:tc>
        <w:tc>
          <w:tcPr>
            <w:tcW w:w="1470" w:type="dxa"/>
            <w:shd w:val="clear" w:color="auto" w:fill="C6EFCE"/>
            <w:noWrap/>
            <w:vAlign w:val="center"/>
            <w:hideMark/>
          </w:tcPr>
          <w:p w14:paraId="6C59EA5A" w14:textId="77777777" w:rsidR="003F5418" w:rsidRDefault="002A6C25">
            <w:pPr>
              <w:pStyle w:val="P68B1DB1-Normal4"/>
              <w:spacing w:before="120" w:after="120"/>
              <w:jc w:val="center"/>
              <w:rPr>
                <w:rFonts w:eastAsia="Calibri"/>
                <w:noProof/>
              </w:rPr>
            </w:pPr>
            <w:r>
              <w:rPr>
                <w:noProof/>
              </w:rPr>
              <w:t xml:space="preserve">A tanúsítási rendszer meghatározását szabályozó jogalkotási aktusok és végrehajtási intézkedések hatálybalépését </w:t>
            </w:r>
            <w:r>
              <w:rPr>
                <w:noProof/>
              </w:rPr>
              <w:t>feltüntető törvényi rendelkezések</w:t>
            </w:r>
          </w:p>
        </w:tc>
        <w:tc>
          <w:tcPr>
            <w:tcW w:w="1275" w:type="dxa"/>
            <w:shd w:val="clear" w:color="auto" w:fill="C6EFCE"/>
            <w:noWrap/>
            <w:vAlign w:val="center"/>
            <w:hideMark/>
          </w:tcPr>
          <w:p w14:paraId="50806259" w14:textId="77777777" w:rsidR="003F5418" w:rsidRDefault="002A6C25">
            <w:pPr>
              <w:pStyle w:val="P68B1DB1-Normal4"/>
              <w:spacing w:before="120" w:after="120"/>
              <w:jc w:val="center"/>
              <w:rPr>
                <w:rFonts w:eastAsia="Calibri"/>
                <w:noProof/>
              </w:rPr>
            </w:pPr>
            <w:r>
              <w:rPr>
                <w:noProof/>
              </w:rPr>
              <w:t>NINCS</w:t>
            </w:r>
          </w:p>
        </w:tc>
        <w:tc>
          <w:tcPr>
            <w:tcW w:w="1134" w:type="dxa"/>
            <w:shd w:val="clear" w:color="auto" w:fill="C6EFCE"/>
            <w:noWrap/>
            <w:vAlign w:val="center"/>
            <w:hideMark/>
          </w:tcPr>
          <w:p w14:paraId="6849E0A6" w14:textId="77777777" w:rsidR="003F5418" w:rsidRDefault="002A6C25">
            <w:pPr>
              <w:pStyle w:val="P68B1DB1-Normal4"/>
              <w:spacing w:before="120" w:after="120"/>
              <w:jc w:val="center"/>
              <w:rPr>
                <w:rFonts w:eastAsia="Calibri"/>
                <w:noProof/>
              </w:rPr>
            </w:pPr>
            <w:r>
              <w:rPr>
                <w:noProof/>
              </w:rPr>
              <w:t>NINCS</w:t>
            </w:r>
          </w:p>
        </w:tc>
        <w:tc>
          <w:tcPr>
            <w:tcW w:w="1134" w:type="dxa"/>
            <w:shd w:val="clear" w:color="auto" w:fill="C6EFCE"/>
            <w:noWrap/>
            <w:vAlign w:val="center"/>
            <w:hideMark/>
          </w:tcPr>
          <w:p w14:paraId="753C24DB" w14:textId="77777777" w:rsidR="003F5418" w:rsidRDefault="002A6C25">
            <w:pPr>
              <w:pStyle w:val="P68B1DB1-Normal4"/>
              <w:spacing w:before="120" w:after="120"/>
              <w:jc w:val="center"/>
              <w:rPr>
                <w:rFonts w:eastAsia="Calibri"/>
                <w:noProof/>
              </w:rPr>
            </w:pPr>
            <w:r>
              <w:rPr>
                <w:noProof/>
              </w:rPr>
              <w:t>NINCS</w:t>
            </w:r>
          </w:p>
        </w:tc>
        <w:tc>
          <w:tcPr>
            <w:tcW w:w="851" w:type="dxa"/>
            <w:shd w:val="clear" w:color="auto" w:fill="C6EFCE"/>
            <w:noWrap/>
            <w:vAlign w:val="center"/>
            <w:hideMark/>
          </w:tcPr>
          <w:p w14:paraId="1F5EDC9F" w14:textId="77777777" w:rsidR="003F5418" w:rsidRDefault="002A6C25">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15428B5E" w14:textId="77777777" w:rsidR="003F5418" w:rsidRDefault="002A6C25">
            <w:pPr>
              <w:pStyle w:val="P68B1DB1-Normal4"/>
              <w:spacing w:before="120" w:after="120"/>
              <w:jc w:val="center"/>
              <w:rPr>
                <w:rFonts w:eastAsia="Calibri"/>
                <w:noProof/>
              </w:rPr>
            </w:pPr>
            <w:r>
              <w:rPr>
                <w:noProof/>
              </w:rPr>
              <w:t>2022</w:t>
            </w:r>
          </w:p>
        </w:tc>
        <w:tc>
          <w:tcPr>
            <w:tcW w:w="2835" w:type="dxa"/>
            <w:shd w:val="clear" w:color="auto" w:fill="C6EFCE"/>
            <w:noWrap/>
            <w:vAlign w:val="center"/>
            <w:hideMark/>
          </w:tcPr>
          <w:p w14:paraId="34E95331" w14:textId="77777777" w:rsidR="003F5418" w:rsidRDefault="002A6C25">
            <w:pPr>
              <w:pStyle w:val="P68B1DB1-Normal4"/>
              <w:spacing w:before="120" w:after="120"/>
              <w:rPr>
                <w:rFonts w:eastAsia="Calibri"/>
                <w:noProof/>
              </w:rPr>
            </w:pPr>
            <w:r>
              <w:rPr>
                <w:noProof/>
              </w:rPr>
              <w:t>A nemek közötti egyenlőségre vonatkozó tanúsítási rendszernek és a vállalatokra vonatkozó kísérő ösztönző mechanizmusoknak legalább a következő dimenziókra kell kiterjedniük: a nők növekedési lehe</w:t>
            </w:r>
            <w:r>
              <w:rPr>
                <w:noProof/>
              </w:rPr>
              <w:t>tőségei, az egyenlő munkáért járó egyenlő díjazás, a nemi sokszínűséggel kapcsolatos irányítási politikák, az anyaság védelme.</w:t>
            </w:r>
          </w:p>
          <w:p w14:paraId="7629418F" w14:textId="77777777" w:rsidR="003F5418" w:rsidRDefault="002A6C25">
            <w:pPr>
              <w:pStyle w:val="P68B1DB1-Normal4"/>
              <w:spacing w:before="120" w:after="120"/>
              <w:rPr>
                <w:rFonts w:eastAsia="Calibri"/>
                <w:noProof/>
              </w:rPr>
            </w:pPr>
            <w:r>
              <w:rPr>
                <w:noProof/>
              </w:rPr>
              <w:t>A tanúsítási eljárást végző szervezetekre vonatkozó ösztönző mechanizmusok és a technikai iránymutatás meghatározása. Ebből: I. a</w:t>
            </w:r>
            <w:r>
              <w:rPr>
                <w:noProof/>
              </w:rPr>
              <w:t xml:space="preserve"> vállalatokra vonatkozó nemi tanúsítási rendszer technikai standardjainak kidolgozása; Ii. az ösztönző mechanizmus azonosítása; Iii. az intézkedést informatikai rendszer létrehozásának kell kísérnie.</w:t>
            </w:r>
          </w:p>
        </w:tc>
      </w:tr>
      <w:tr w:rsidR="003F5418" w14:paraId="4CCD51F6" w14:textId="77777777">
        <w:trPr>
          <w:trHeight w:val="309"/>
          <w:jc w:val="center"/>
        </w:trPr>
        <w:tc>
          <w:tcPr>
            <w:tcW w:w="1364" w:type="dxa"/>
            <w:shd w:val="clear" w:color="auto" w:fill="C6EFCE"/>
            <w:noWrap/>
            <w:vAlign w:val="center"/>
            <w:hideMark/>
          </w:tcPr>
          <w:p w14:paraId="4C60D377" w14:textId="77777777" w:rsidR="003F5418" w:rsidRDefault="002A6C25">
            <w:pPr>
              <w:pStyle w:val="P68B1DB1-Normal4"/>
              <w:spacing w:before="120" w:after="120"/>
              <w:jc w:val="center"/>
              <w:rPr>
                <w:rFonts w:eastAsia="Calibri"/>
                <w:noProof/>
              </w:rPr>
            </w:pPr>
            <w:r>
              <w:rPr>
                <w:noProof/>
              </w:rPr>
              <w:t>M5C1–13</w:t>
            </w:r>
          </w:p>
        </w:tc>
        <w:tc>
          <w:tcPr>
            <w:tcW w:w="1513" w:type="dxa"/>
            <w:shd w:val="clear" w:color="auto" w:fill="C6EFCE"/>
            <w:noWrap/>
            <w:vAlign w:val="center"/>
            <w:hideMark/>
          </w:tcPr>
          <w:p w14:paraId="399D5818" w14:textId="77777777" w:rsidR="003F5418" w:rsidRDefault="002A6C25">
            <w:pPr>
              <w:pStyle w:val="P68B1DB1-Normal4"/>
              <w:spacing w:before="120" w:after="120"/>
              <w:jc w:val="center"/>
              <w:rPr>
                <w:noProof/>
              </w:rPr>
            </w:pPr>
            <w:r>
              <w:rPr>
                <w:noProof/>
              </w:rPr>
              <w:t xml:space="preserve">Beruházás – A nemek közötti egyenlőség </w:t>
            </w:r>
            <w:r>
              <w:rPr>
                <w:noProof/>
              </w:rPr>
              <w:t>tanúsítási rendszere</w:t>
            </w:r>
          </w:p>
        </w:tc>
        <w:tc>
          <w:tcPr>
            <w:tcW w:w="1281" w:type="dxa"/>
            <w:shd w:val="clear" w:color="auto" w:fill="C6EFCE"/>
            <w:noWrap/>
            <w:vAlign w:val="center"/>
            <w:hideMark/>
          </w:tcPr>
          <w:p w14:paraId="64495EB8"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6DC3960D" w14:textId="77777777" w:rsidR="003F5418" w:rsidRDefault="002A6C25">
            <w:pPr>
              <w:pStyle w:val="P68B1DB1-Normal4"/>
              <w:spacing w:before="120" w:after="120"/>
              <w:jc w:val="center"/>
              <w:rPr>
                <w:rFonts w:eastAsia="Calibri"/>
                <w:noProof/>
              </w:rPr>
            </w:pPr>
            <w:r>
              <w:rPr>
                <w:noProof/>
              </w:rPr>
              <w:t>A vállalatok megszerezték a nemek közötti egyenlőségről szóló tanúsítványt</w:t>
            </w:r>
          </w:p>
        </w:tc>
        <w:tc>
          <w:tcPr>
            <w:tcW w:w="1470" w:type="dxa"/>
            <w:shd w:val="clear" w:color="auto" w:fill="C6EFCE"/>
            <w:noWrap/>
            <w:vAlign w:val="center"/>
            <w:hideMark/>
          </w:tcPr>
          <w:p w14:paraId="03606F6E"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259F886F" w14:textId="77777777" w:rsidR="003F5418" w:rsidRDefault="002A6C25">
            <w:pPr>
              <w:pStyle w:val="P68B1DB1-Normal4"/>
              <w:spacing w:before="120" w:after="120"/>
              <w:jc w:val="center"/>
              <w:rPr>
                <w:rFonts w:eastAsia="Calibri"/>
                <w:noProof/>
              </w:rPr>
            </w:pPr>
            <w:r>
              <w:rPr>
                <w:noProof/>
              </w:rPr>
              <w:t xml:space="preserve">Szám </w:t>
            </w:r>
          </w:p>
        </w:tc>
        <w:tc>
          <w:tcPr>
            <w:tcW w:w="1134" w:type="dxa"/>
            <w:shd w:val="clear" w:color="auto" w:fill="C6EFCE"/>
            <w:noWrap/>
            <w:vAlign w:val="center"/>
            <w:hideMark/>
          </w:tcPr>
          <w:p w14:paraId="7441CA03" w14:textId="77777777" w:rsidR="003F5418" w:rsidRDefault="002A6C25">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1AEFBE11" w14:textId="77777777" w:rsidR="003F5418" w:rsidRDefault="002A6C25">
            <w:pPr>
              <w:pStyle w:val="P68B1DB1-Normal4"/>
              <w:spacing w:before="120" w:after="120"/>
              <w:jc w:val="center"/>
              <w:rPr>
                <w:rFonts w:eastAsia="Calibri"/>
                <w:noProof/>
              </w:rPr>
            </w:pPr>
            <w:r>
              <w:rPr>
                <w:noProof/>
              </w:rPr>
              <w:t>800</w:t>
            </w:r>
          </w:p>
        </w:tc>
        <w:tc>
          <w:tcPr>
            <w:tcW w:w="851" w:type="dxa"/>
            <w:shd w:val="clear" w:color="auto" w:fill="C6EFCE"/>
            <w:noWrap/>
            <w:vAlign w:val="center"/>
            <w:hideMark/>
          </w:tcPr>
          <w:p w14:paraId="7A5B5815" w14:textId="77777777" w:rsidR="003F5418" w:rsidRDefault="002A6C25">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1D4F0987" w14:textId="77777777" w:rsidR="003F5418" w:rsidRDefault="002A6C25">
            <w:pPr>
              <w:pStyle w:val="P68B1DB1-Normal4"/>
              <w:spacing w:before="120" w:after="120"/>
              <w:jc w:val="center"/>
              <w:rPr>
                <w:rFonts w:eastAsia="Calibri"/>
                <w:noProof/>
              </w:rPr>
            </w:pPr>
            <w:r>
              <w:rPr>
                <w:noProof/>
              </w:rPr>
              <w:t>2026</w:t>
            </w:r>
          </w:p>
        </w:tc>
        <w:tc>
          <w:tcPr>
            <w:tcW w:w="2835" w:type="dxa"/>
            <w:shd w:val="clear" w:color="auto" w:fill="C6EFCE"/>
            <w:noWrap/>
            <w:vAlign w:val="center"/>
            <w:hideMark/>
          </w:tcPr>
          <w:p w14:paraId="7C2D4918" w14:textId="77777777" w:rsidR="003F5418" w:rsidRDefault="002A6C25">
            <w:pPr>
              <w:pStyle w:val="P68B1DB1-Normal4"/>
              <w:spacing w:before="120" w:after="120"/>
              <w:rPr>
                <w:rFonts w:eastAsia="Calibri"/>
                <w:noProof/>
              </w:rPr>
            </w:pPr>
            <w:r>
              <w:rPr>
                <w:noProof/>
              </w:rPr>
              <w:t>Legalább 800 vállalat (ebből 450 kkv) szerezte meg a nemek közötti egyenlőségre vonatkozó tanúsítványt.</w:t>
            </w:r>
          </w:p>
          <w:p w14:paraId="705A21BD" w14:textId="77777777" w:rsidR="003F5418" w:rsidRDefault="002A6C25">
            <w:pPr>
              <w:pStyle w:val="P68B1DB1-Normal4"/>
              <w:spacing w:before="120" w:after="120"/>
              <w:rPr>
                <w:rFonts w:eastAsia="Calibri"/>
                <w:noProof/>
              </w:rPr>
            </w:pPr>
            <w:r>
              <w:rPr>
                <w:noProof/>
              </w:rPr>
              <w:t xml:space="preserve">A társaságok maguk viselik a tanúsítási eljárás költségeit.  </w:t>
            </w:r>
          </w:p>
        </w:tc>
      </w:tr>
      <w:tr w:rsidR="003F5418" w14:paraId="0F6CF31F" w14:textId="77777777">
        <w:trPr>
          <w:trHeight w:val="309"/>
          <w:jc w:val="center"/>
        </w:trPr>
        <w:tc>
          <w:tcPr>
            <w:tcW w:w="1364" w:type="dxa"/>
            <w:shd w:val="clear" w:color="auto" w:fill="C6EFCE"/>
            <w:noWrap/>
            <w:vAlign w:val="center"/>
            <w:hideMark/>
          </w:tcPr>
          <w:p w14:paraId="7BCE1F68" w14:textId="77777777" w:rsidR="003F5418" w:rsidRDefault="002A6C25">
            <w:pPr>
              <w:pStyle w:val="P68B1DB1-Normal4"/>
              <w:spacing w:before="120" w:after="120"/>
              <w:jc w:val="center"/>
              <w:rPr>
                <w:noProof/>
              </w:rPr>
            </w:pPr>
            <w:r>
              <w:rPr>
                <w:noProof/>
              </w:rPr>
              <w:t>M5C1–14</w:t>
            </w:r>
          </w:p>
        </w:tc>
        <w:tc>
          <w:tcPr>
            <w:tcW w:w="1513" w:type="dxa"/>
            <w:shd w:val="clear" w:color="auto" w:fill="C6EFCE"/>
            <w:noWrap/>
            <w:vAlign w:val="center"/>
            <w:hideMark/>
          </w:tcPr>
          <w:p w14:paraId="2D97DF34" w14:textId="77777777" w:rsidR="003F5418" w:rsidRDefault="002A6C25">
            <w:pPr>
              <w:pStyle w:val="P68B1DB1-Normal4"/>
              <w:spacing w:before="120" w:after="120"/>
              <w:jc w:val="center"/>
              <w:rPr>
                <w:rFonts w:eastAsia="Calibri"/>
                <w:noProof/>
              </w:rPr>
            </w:pPr>
            <w:r>
              <w:rPr>
                <w:noProof/>
              </w:rPr>
              <w:t>Beruházás – A nemek közötti egyenlőség tanúsítási rendszere</w:t>
            </w:r>
          </w:p>
        </w:tc>
        <w:tc>
          <w:tcPr>
            <w:tcW w:w="1281" w:type="dxa"/>
            <w:shd w:val="clear" w:color="auto" w:fill="C6EFCE"/>
            <w:noWrap/>
            <w:vAlign w:val="center"/>
            <w:hideMark/>
          </w:tcPr>
          <w:p w14:paraId="365AA2A3"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4E1E0B66" w14:textId="77777777" w:rsidR="003F5418" w:rsidRDefault="002A6C25">
            <w:pPr>
              <w:pStyle w:val="P68B1DB1-Normal4"/>
              <w:spacing w:before="120" w:after="120"/>
              <w:jc w:val="center"/>
              <w:rPr>
                <w:rFonts w:eastAsia="Calibri"/>
                <w:noProof/>
              </w:rPr>
            </w:pPr>
            <w:r>
              <w:rPr>
                <w:noProof/>
              </w:rPr>
              <w:t>A technikai segítségnyújtás révén támogatott vállalatok megkapták a nemek közötti egyenlőségre vonatkozó tanúsítványt</w:t>
            </w:r>
          </w:p>
        </w:tc>
        <w:tc>
          <w:tcPr>
            <w:tcW w:w="1470" w:type="dxa"/>
            <w:shd w:val="clear" w:color="auto" w:fill="C6EFCE"/>
            <w:noWrap/>
            <w:vAlign w:val="center"/>
            <w:hideMark/>
          </w:tcPr>
          <w:p w14:paraId="71A82D21"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5BD84C77" w14:textId="77777777" w:rsidR="003F5418" w:rsidRDefault="002A6C25">
            <w:pPr>
              <w:pStyle w:val="P68B1DB1-Normal4"/>
              <w:spacing w:before="120" w:after="120"/>
              <w:jc w:val="center"/>
              <w:rPr>
                <w:rFonts w:eastAsia="Calibri"/>
                <w:noProof/>
              </w:rPr>
            </w:pPr>
            <w:r>
              <w:rPr>
                <w:noProof/>
              </w:rPr>
              <w:t xml:space="preserve">Szám </w:t>
            </w:r>
          </w:p>
        </w:tc>
        <w:tc>
          <w:tcPr>
            <w:tcW w:w="1134" w:type="dxa"/>
            <w:shd w:val="clear" w:color="auto" w:fill="C6EFCE"/>
            <w:noWrap/>
            <w:vAlign w:val="center"/>
            <w:hideMark/>
          </w:tcPr>
          <w:p w14:paraId="13FA4647" w14:textId="77777777" w:rsidR="003F5418" w:rsidRDefault="002A6C25">
            <w:pPr>
              <w:pStyle w:val="P68B1DB1-Normal4"/>
              <w:spacing w:before="120" w:after="120"/>
              <w:jc w:val="center"/>
              <w:rPr>
                <w:rFonts w:eastAsia="Calibri"/>
                <w:noProof/>
              </w:rPr>
            </w:pPr>
            <w:r>
              <w:rPr>
                <w:noProof/>
              </w:rPr>
              <w:t>0</w:t>
            </w:r>
          </w:p>
        </w:tc>
        <w:tc>
          <w:tcPr>
            <w:tcW w:w="1134" w:type="dxa"/>
            <w:shd w:val="clear" w:color="auto" w:fill="C6EFCE"/>
            <w:noWrap/>
            <w:vAlign w:val="center"/>
            <w:hideMark/>
          </w:tcPr>
          <w:p w14:paraId="0366CB7E" w14:textId="39CC89A6" w:rsidR="003F5418" w:rsidRDefault="002A6C25">
            <w:pPr>
              <w:pStyle w:val="P68B1DB1-Normal4"/>
              <w:spacing w:before="120" w:after="120"/>
              <w:jc w:val="center"/>
              <w:rPr>
                <w:rFonts w:eastAsia="Calibri"/>
                <w:noProof/>
              </w:rPr>
            </w:pPr>
            <w:r>
              <w:rPr>
                <w:noProof/>
              </w:rPr>
              <w:t>1 000</w:t>
            </w:r>
          </w:p>
        </w:tc>
        <w:tc>
          <w:tcPr>
            <w:tcW w:w="851" w:type="dxa"/>
            <w:shd w:val="clear" w:color="auto" w:fill="C6EFCE"/>
            <w:noWrap/>
            <w:vAlign w:val="center"/>
            <w:hideMark/>
          </w:tcPr>
          <w:p w14:paraId="19994F02" w14:textId="77777777" w:rsidR="003F5418" w:rsidRDefault="002A6C25">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2978B5FA" w14:textId="77777777" w:rsidR="003F5418" w:rsidRDefault="002A6C25">
            <w:pPr>
              <w:pStyle w:val="P68B1DB1-Normal4"/>
              <w:spacing w:before="120" w:after="120"/>
              <w:jc w:val="center"/>
              <w:rPr>
                <w:rFonts w:eastAsia="Calibri"/>
                <w:noProof/>
              </w:rPr>
            </w:pPr>
            <w:r>
              <w:rPr>
                <w:noProof/>
              </w:rPr>
              <w:t>2026</w:t>
            </w:r>
          </w:p>
        </w:tc>
        <w:tc>
          <w:tcPr>
            <w:tcW w:w="2835" w:type="dxa"/>
            <w:shd w:val="clear" w:color="auto" w:fill="C6EFCE"/>
            <w:noWrap/>
            <w:vAlign w:val="center"/>
            <w:hideMark/>
          </w:tcPr>
          <w:p w14:paraId="16E9FEC8" w14:textId="441156F4" w:rsidR="003F5418" w:rsidRDefault="002A6C25">
            <w:pPr>
              <w:pStyle w:val="P68B1DB1-Normal4"/>
              <w:spacing w:before="120" w:after="120"/>
              <w:rPr>
                <w:rFonts w:eastAsia="Calibri"/>
                <w:noProof/>
              </w:rPr>
            </w:pPr>
            <w:r>
              <w:rPr>
                <w:noProof/>
              </w:rPr>
              <w:t>Legalább 1000, technikai segítségnyújtáson keresztül támogatott vállalat szerezte meg a nemek közötti egyenlőségre vonatkozó tanúsítványt.</w:t>
            </w:r>
          </w:p>
          <w:p w14:paraId="29DFF2A8" w14:textId="77777777" w:rsidR="003F5418" w:rsidRDefault="002A6C25">
            <w:pPr>
              <w:pStyle w:val="P68B1DB1-Normal4"/>
              <w:spacing w:before="120" w:after="120"/>
              <w:rPr>
                <w:rFonts w:eastAsia="Calibri"/>
                <w:noProof/>
              </w:rPr>
            </w:pPr>
            <w:r>
              <w:rPr>
                <w:noProof/>
              </w:rPr>
              <w:t>A kísérő intézkedések mentorálás, technikai-irányítási támogatás, valamint a munka és a m</w:t>
            </w:r>
            <w:r>
              <w:rPr>
                <w:noProof/>
              </w:rPr>
              <w:t>agánélet közötti egyensúly megteremtését célzó intézkedések formájában történő nyújtásához a vállalkozói ismeretek oktatása esetében utalványrendszert kell alkalmazni.</w:t>
            </w:r>
          </w:p>
        </w:tc>
      </w:tr>
      <w:tr w:rsidR="003F5418" w14:paraId="2C409858" w14:textId="77777777">
        <w:trPr>
          <w:trHeight w:val="309"/>
          <w:jc w:val="center"/>
        </w:trPr>
        <w:tc>
          <w:tcPr>
            <w:tcW w:w="1364" w:type="dxa"/>
            <w:shd w:val="clear" w:color="auto" w:fill="C6EFCE"/>
            <w:noWrap/>
            <w:vAlign w:val="center"/>
            <w:hideMark/>
          </w:tcPr>
          <w:p w14:paraId="61B7A8CD" w14:textId="77777777" w:rsidR="003F5418" w:rsidRDefault="002A6C25">
            <w:pPr>
              <w:pStyle w:val="P68B1DB1-Normal4"/>
              <w:spacing w:before="120" w:after="120"/>
              <w:jc w:val="center"/>
              <w:rPr>
                <w:rFonts w:eastAsia="Calibri"/>
                <w:noProof/>
              </w:rPr>
            </w:pPr>
            <w:r>
              <w:rPr>
                <w:noProof/>
              </w:rPr>
              <w:t>M5C1–15</w:t>
            </w:r>
          </w:p>
        </w:tc>
        <w:tc>
          <w:tcPr>
            <w:tcW w:w="1513" w:type="dxa"/>
            <w:shd w:val="clear" w:color="auto" w:fill="C6EFCE"/>
            <w:noWrap/>
            <w:vAlign w:val="center"/>
            <w:hideMark/>
          </w:tcPr>
          <w:p w14:paraId="5DD3B7AF" w14:textId="77777777" w:rsidR="003F5418" w:rsidRDefault="002A6C25">
            <w:pPr>
              <w:pStyle w:val="P68B1DB1-Normal4"/>
              <w:spacing w:before="120" w:after="120"/>
              <w:jc w:val="center"/>
              <w:rPr>
                <w:rFonts w:eastAsia="Calibri"/>
                <w:noProof/>
              </w:rPr>
            </w:pPr>
            <w:r>
              <w:rPr>
                <w:noProof/>
              </w:rPr>
              <w:t>Beruházás – A kettős rendszer megerősítése</w:t>
            </w:r>
          </w:p>
        </w:tc>
        <w:tc>
          <w:tcPr>
            <w:tcW w:w="1281" w:type="dxa"/>
            <w:shd w:val="clear" w:color="auto" w:fill="C6EFCE"/>
            <w:noWrap/>
            <w:vAlign w:val="center"/>
            <w:hideMark/>
          </w:tcPr>
          <w:p w14:paraId="1E3A8E0A"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4767EAD3" w14:textId="77777777" w:rsidR="003F5418" w:rsidRDefault="002A6C25">
            <w:pPr>
              <w:pStyle w:val="P68B1DB1-Normal4"/>
              <w:spacing w:before="120" w:after="120"/>
              <w:jc w:val="center"/>
              <w:rPr>
                <w:rFonts w:eastAsia="Calibri"/>
                <w:noProof/>
              </w:rPr>
            </w:pPr>
            <w:r>
              <w:rPr>
                <w:noProof/>
              </w:rPr>
              <w:t xml:space="preserve">A kettős rendszerben részt vevő </w:t>
            </w:r>
            <w:r>
              <w:rPr>
                <w:noProof/>
              </w:rPr>
              <w:t>személyek, akik a 2021–2025-ös ötéves időszakban megszerezték a vonatkozó tanúsítványt</w:t>
            </w:r>
          </w:p>
        </w:tc>
        <w:tc>
          <w:tcPr>
            <w:tcW w:w="1470" w:type="dxa"/>
            <w:shd w:val="clear" w:color="auto" w:fill="C6EFCE"/>
            <w:noWrap/>
            <w:vAlign w:val="center"/>
            <w:hideMark/>
          </w:tcPr>
          <w:p w14:paraId="78A88EA5"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757542A7" w14:textId="77777777" w:rsidR="003F5418" w:rsidRDefault="002A6C25">
            <w:pPr>
              <w:pStyle w:val="P68B1DB1-Normal4"/>
              <w:spacing w:before="120" w:after="120"/>
              <w:jc w:val="center"/>
              <w:rPr>
                <w:rFonts w:eastAsia="Calibri"/>
                <w:noProof/>
              </w:rPr>
            </w:pPr>
            <w:r>
              <w:rPr>
                <w:noProof/>
              </w:rPr>
              <w:t xml:space="preserve">Szám </w:t>
            </w:r>
          </w:p>
        </w:tc>
        <w:tc>
          <w:tcPr>
            <w:tcW w:w="1134" w:type="dxa"/>
            <w:shd w:val="clear" w:color="auto" w:fill="C6EFCE"/>
            <w:noWrap/>
            <w:vAlign w:val="center"/>
            <w:hideMark/>
          </w:tcPr>
          <w:p w14:paraId="2E8B0478" w14:textId="0480658E" w:rsidR="003F5418" w:rsidRDefault="002A6C25">
            <w:pPr>
              <w:pStyle w:val="P68B1DB1-Normal4"/>
              <w:spacing w:before="120" w:after="120"/>
              <w:jc w:val="center"/>
              <w:rPr>
                <w:rFonts w:eastAsia="Calibri"/>
                <w:noProof/>
              </w:rPr>
            </w:pPr>
            <w:r>
              <w:rPr>
                <w:noProof/>
              </w:rPr>
              <w:t>39 000</w:t>
            </w:r>
          </w:p>
        </w:tc>
        <w:tc>
          <w:tcPr>
            <w:tcW w:w="1134" w:type="dxa"/>
            <w:shd w:val="clear" w:color="auto" w:fill="C6EFCE"/>
            <w:noWrap/>
            <w:vAlign w:val="center"/>
            <w:hideMark/>
          </w:tcPr>
          <w:p w14:paraId="2637368E" w14:textId="32CCD3AC" w:rsidR="003F5418" w:rsidRDefault="002A6C25">
            <w:pPr>
              <w:pStyle w:val="P68B1DB1-Normal4"/>
              <w:spacing w:before="120" w:after="120"/>
              <w:jc w:val="center"/>
              <w:rPr>
                <w:rFonts w:eastAsia="Calibri"/>
                <w:noProof/>
              </w:rPr>
            </w:pPr>
            <w:r>
              <w:rPr>
                <w:noProof/>
              </w:rPr>
              <w:t>129 000</w:t>
            </w:r>
          </w:p>
        </w:tc>
        <w:tc>
          <w:tcPr>
            <w:tcW w:w="851" w:type="dxa"/>
            <w:shd w:val="clear" w:color="auto" w:fill="C6EFCE"/>
            <w:noWrap/>
            <w:vAlign w:val="center"/>
            <w:hideMark/>
          </w:tcPr>
          <w:p w14:paraId="2F349996" w14:textId="77777777" w:rsidR="003F5418" w:rsidRDefault="002A6C25">
            <w:pPr>
              <w:pStyle w:val="P68B1DB1-Normal4"/>
              <w:spacing w:before="120" w:after="120"/>
              <w:jc w:val="center"/>
              <w:rPr>
                <w:rFonts w:eastAsia="Calibri"/>
                <w:noProof/>
              </w:rPr>
            </w:pPr>
            <w:r>
              <w:rPr>
                <w:noProof/>
              </w:rPr>
              <w:t>Q4</w:t>
            </w:r>
          </w:p>
        </w:tc>
        <w:tc>
          <w:tcPr>
            <w:tcW w:w="709" w:type="dxa"/>
            <w:shd w:val="clear" w:color="auto" w:fill="C6EFCE"/>
            <w:noWrap/>
            <w:vAlign w:val="center"/>
            <w:hideMark/>
          </w:tcPr>
          <w:p w14:paraId="0FF4EB95" w14:textId="77777777" w:rsidR="003F5418" w:rsidRDefault="002A6C25">
            <w:pPr>
              <w:pStyle w:val="P68B1DB1-Normal4"/>
              <w:spacing w:before="120" w:after="120"/>
              <w:jc w:val="center"/>
              <w:rPr>
                <w:rFonts w:eastAsia="Calibri"/>
                <w:noProof/>
              </w:rPr>
            </w:pPr>
            <w:r>
              <w:rPr>
                <w:noProof/>
              </w:rPr>
              <w:t>2025</w:t>
            </w:r>
          </w:p>
        </w:tc>
        <w:tc>
          <w:tcPr>
            <w:tcW w:w="2835" w:type="dxa"/>
            <w:shd w:val="clear" w:color="auto" w:fill="C6EFCE"/>
            <w:noWrap/>
            <w:vAlign w:val="center"/>
            <w:hideMark/>
          </w:tcPr>
          <w:p w14:paraId="41FE6FAC" w14:textId="2B7B7BFA" w:rsidR="003F5418" w:rsidRDefault="002A6C25">
            <w:pPr>
              <w:pStyle w:val="P68B1DB1-Normal4"/>
              <w:spacing w:before="120" w:after="120"/>
              <w:rPr>
                <w:rFonts w:eastAsia="Calibri"/>
                <w:noProof/>
              </w:rPr>
            </w:pPr>
            <w:r>
              <w:rPr>
                <w:noProof/>
              </w:rPr>
              <w:t xml:space="preserve">A 2021–2025-ös ötéves időszakban az alapforgatókönyvhöz képest legalább 90000 további felvételre került sor a kettős rendszerbe, és </w:t>
            </w:r>
            <w:r>
              <w:rPr>
                <w:noProof/>
              </w:rPr>
              <w:t>megszerezték a tanfolyam elvégzését igazoló megfelelő tanúsítványokat.</w:t>
            </w:r>
          </w:p>
          <w:p w14:paraId="590EEA55" w14:textId="77777777" w:rsidR="003F5418" w:rsidRDefault="002A6C25">
            <w:pPr>
              <w:pStyle w:val="P68B1DB1-Normal4"/>
              <w:spacing w:before="120" w:after="120"/>
              <w:rPr>
                <w:rFonts w:eastAsia="Calibri"/>
                <w:noProof/>
              </w:rPr>
            </w:pPr>
            <w:r>
              <w:rPr>
                <w:noProof/>
              </w:rPr>
              <w:t>A duális rendszer megerősítéséhez szükséges források régiók közötti elosztása a szakképzésben részt vevő hallgatók száma alapján történik.</w:t>
            </w:r>
          </w:p>
        </w:tc>
      </w:tr>
      <w:tr w:rsidR="003F5418" w14:paraId="22CFE6E5" w14:textId="77777777">
        <w:trPr>
          <w:trHeight w:val="309"/>
          <w:jc w:val="center"/>
        </w:trPr>
        <w:tc>
          <w:tcPr>
            <w:tcW w:w="1364" w:type="dxa"/>
            <w:shd w:val="clear" w:color="auto" w:fill="C6EFCE"/>
            <w:noWrap/>
            <w:vAlign w:val="center"/>
          </w:tcPr>
          <w:p w14:paraId="45213D2A" w14:textId="77777777" w:rsidR="003F5418" w:rsidRDefault="002A6C25">
            <w:pPr>
              <w:pStyle w:val="P68B1DB1-Normal4"/>
              <w:spacing w:before="120" w:after="120"/>
              <w:jc w:val="center"/>
              <w:rPr>
                <w:rFonts w:eastAsia="Calibri"/>
                <w:noProof/>
              </w:rPr>
            </w:pPr>
            <w:r>
              <w:rPr>
                <w:noProof/>
              </w:rPr>
              <w:t>M5C1–15a</w:t>
            </w:r>
          </w:p>
        </w:tc>
        <w:tc>
          <w:tcPr>
            <w:tcW w:w="1513" w:type="dxa"/>
            <w:shd w:val="clear" w:color="auto" w:fill="C6EFCE"/>
            <w:noWrap/>
            <w:vAlign w:val="center"/>
          </w:tcPr>
          <w:p w14:paraId="27343BE4" w14:textId="77777777" w:rsidR="003F5418" w:rsidRDefault="002A6C25">
            <w:pPr>
              <w:pStyle w:val="P68B1DB1-Normal4"/>
              <w:spacing w:before="120" w:after="120"/>
              <w:jc w:val="center"/>
              <w:rPr>
                <w:rFonts w:eastAsia="Calibri"/>
                <w:noProof/>
              </w:rPr>
            </w:pPr>
            <w:r>
              <w:rPr>
                <w:noProof/>
              </w:rPr>
              <w:t>Beruházás – Egyetemes közszolgálat</w:t>
            </w:r>
          </w:p>
        </w:tc>
        <w:tc>
          <w:tcPr>
            <w:tcW w:w="1281" w:type="dxa"/>
            <w:shd w:val="clear" w:color="auto" w:fill="C6EFCE"/>
            <w:noWrap/>
            <w:vAlign w:val="center"/>
          </w:tcPr>
          <w:p w14:paraId="19EA662F" w14:textId="77777777" w:rsidR="003F5418" w:rsidRDefault="002A6C25">
            <w:pPr>
              <w:pStyle w:val="P68B1DB1-Normal4"/>
              <w:spacing w:before="120" w:after="120"/>
              <w:jc w:val="center"/>
              <w:rPr>
                <w:rFonts w:eastAsia="Calibri"/>
                <w:noProof/>
              </w:rPr>
            </w:pPr>
            <w:r>
              <w:rPr>
                <w:noProof/>
              </w:rPr>
              <w:t>Mérföldkő</w:t>
            </w:r>
          </w:p>
        </w:tc>
        <w:tc>
          <w:tcPr>
            <w:tcW w:w="1597" w:type="dxa"/>
            <w:shd w:val="clear" w:color="auto" w:fill="C6EFCE"/>
            <w:noWrap/>
            <w:vAlign w:val="center"/>
          </w:tcPr>
          <w:p w14:paraId="505ED012" w14:textId="77777777" w:rsidR="003F5418" w:rsidRDefault="002A6C25">
            <w:pPr>
              <w:pStyle w:val="P68B1DB1-Normal4"/>
              <w:spacing w:before="120" w:after="120"/>
              <w:jc w:val="center"/>
              <w:rPr>
                <w:rFonts w:eastAsia="Calibri"/>
                <w:noProof/>
              </w:rPr>
            </w:pPr>
            <w:bookmarkStart w:id="12" w:name="_Hlk149581877"/>
            <w:r>
              <w:rPr>
                <w:noProof/>
              </w:rPr>
              <w:t>A 2019.</w:t>
            </w:r>
            <w:r>
              <w:rPr>
                <w:noProof/>
                <w:vertAlign w:val="superscript"/>
              </w:rPr>
              <w:t>január</w:t>
            </w:r>
            <w:r>
              <w:rPr>
                <w:noProof/>
              </w:rPr>
              <w:t xml:space="preserve"> 14-én dpcm-ben (decreto del Presidente del Consiglio dei ministri) elfogadott jelenlegi „Disposizioni concernenti la disciplina dei rapporti tra enti e operatori Volontari del servizio civile universale” normatív felülvizsgálata az </w:t>
            </w:r>
            <w:r>
              <w:rPr>
                <w:noProof/>
              </w:rPr>
              <w:t xml:space="preserve">egyetemes közszolgálat megerősítése céljából </w:t>
            </w:r>
            <w:bookmarkEnd w:id="12"/>
          </w:p>
        </w:tc>
        <w:tc>
          <w:tcPr>
            <w:tcW w:w="1470" w:type="dxa"/>
            <w:shd w:val="clear" w:color="auto" w:fill="C6EFCE"/>
            <w:noWrap/>
            <w:vAlign w:val="center"/>
          </w:tcPr>
          <w:p w14:paraId="606128D1" w14:textId="77777777" w:rsidR="003F5418" w:rsidRDefault="002A6C25">
            <w:pPr>
              <w:pStyle w:val="P68B1DB1-Normal4"/>
              <w:spacing w:before="120" w:after="120"/>
              <w:jc w:val="center"/>
              <w:rPr>
                <w:rFonts w:eastAsia="Calibri"/>
                <w:noProof/>
              </w:rPr>
            </w:pPr>
            <w:r>
              <w:rPr>
                <w:noProof/>
              </w:rPr>
              <w:t>A vonatkozó jogi aktus elfogadása</w:t>
            </w:r>
          </w:p>
        </w:tc>
        <w:tc>
          <w:tcPr>
            <w:tcW w:w="1275" w:type="dxa"/>
            <w:shd w:val="clear" w:color="auto" w:fill="C6EFCE"/>
            <w:noWrap/>
            <w:vAlign w:val="center"/>
          </w:tcPr>
          <w:p w14:paraId="0A67B172" w14:textId="77777777" w:rsidR="003F5418" w:rsidRDefault="002A6C25">
            <w:pPr>
              <w:pStyle w:val="P68B1DB1-Normal4"/>
              <w:spacing w:before="120" w:after="120"/>
              <w:jc w:val="center"/>
              <w:rPr>
                <w:rFonts w:eastAsia="Calibri"/>
                <w:noProof/>
              </w:rPr>
            </w:pPr>
            <w:r>
              <w:rPr>
                <w:noProof/>
              </w:rPr>
              <w:t>NINCS</w:t>
            </w:r>
          </w:p>
        </w:tc>
        <w:tc>
          <w:tcPr>
            <w:tcW w:w="1134" w:type="dxa"/>
            <w:shd w:val="clear" w:color="auto" w:fill="C6EFCE"/>
            <w:noWrap/>
            <w:vAlign w:val="center"/>
          </w:tcPr>
          <w:p w14:paraId="470F1BE2" w14:textId="77777777" w:rsidR="003F5418" w:rsidRDefault="002A6C25">
            <w:pPr>
              <w:pStyle w:val="P68B1DB1-Normal4"/>
              <w:spacing w:before="120" w:after="120"/>
              <w:jc w:val="center"/>
              <w:rPr>
                <w:rFonts w:eastAsia="Calibri"/>
                <w:noProof/>
              </w:rPr>
            </w:pPr>
            <w:r>
              <w:rPr>
                <w:noProof/>
              </w:rPr>
              <w:t>NINCS</w:t>
            </w:r>
          </w:p>
        </w:tc>
        <w:tc>
          <w:tcPr>
            <w:tcW w:w="1134" w:type="dxa"/>
            <w:shd w:val="clear" w:color="auto" w:fill="C6EFCE"/>
            <w:noWrap/>
            <w:vAlign w:val="center"/>
          </w:tcPr>
          <w:p w14:paraId="29AD9328" w14:textId="77777777" w:rsidR="003F5418" w:rsidRDefault="002A6C25">
            <w:pPr>
              <w:pStyle w:val="P68B1DB1-Normal4"/>
              <w:spacing w:before="120" w:after="120"/>
              <w:jc w:val="center"/>
              <w:rPr>
                <w:rFonts w:eastAsia="Calibri"/>
                <w:noProof/>
              </w:rPr>
            </w:pPr>
            <w:r>
              <w:rPr>
                <w:noProof/>
              </w:rPr>
              <w:t>NINCS</w:t>
            </w:r>
          </w:p>
        </w:tc>
        <w:tc>
          <w:tcPr>
            <w:tcW w:w="851" w:type="dxa"/>
            <w:shd w:val="clear" w:color="auto" w:fill="C6EFCE"/>
            <w:noWrap/>
            <w:vAlign w:val="center"/>
          </w:tcPr>
          <w:p w14:paraId="02F32826" w14:textId="77777777" w:rsidR="003F5418" w:rsidRDefault="002A6C25">
            <w:pPr>
              <w:pStyle w:val="P68B1DB1-Normal4"/>
              <w:spacing w:before="120" w:after="120"/>
              <w:jc w:val="center"/>
              <w:rPr>
                <w:rFonts w:eastAsia="Calibri"/>
                <w:noProof/>
              </w:rPr>
            </w:pPr>
            <w:r>
              <w:rPr>
                <w:noProof/>
              </w:rPr>
              <w:t>Q4</w:t>
            </w:r>
          </w:p>
        </w:tc>
        <w:tc>
          <w:tcPr>
            <w:tcW w:w="709" w:type="dxa"/>
            <w:shd w:val="clear" w:color="auto" w:fill="C6EFCE"/>
            <w:noWrap/>
            <w:vAlign w:val="center"/>
          </w:tcPr>
          <w:p w14:paraId="4557D946" w14:textId="77777777" w:rsidR="003F5418" w:rsidRDefault="002A6C25">
            <w:pPr>
              <w:pStyle w:val="P68B1DB1-Normal4"/>
              <w:spacing w:before="120" w:after="120"/>
              <w:jc w:val="center"/>
              <w:rPr>
                <w:rFonts w:eastAsia="Calibri"/>
                <w:noProof/>
              </w:rPr>
            </w:pPr>
            <w:r>
              <w:rPr>
                <w:noProof/>
              </w:rPr>
              <w:t>2024</w:t>
            </w:r>
          </w:p>
        </w:tc>
        <w:tc>
          <w:tcPr>
            <w:tcW w:w="2835" w:type="dxa"/>
            <w:shd w:val="clear" w:color="auto" w:fill="C6EFCE"/>
            <w:noWrap/>
            <w:vAlign w:val="center"/>
          </w:tcPr>
          <w:p w14:paraId="5637375C" w14:textId="77777777" w:rsidR="003F5418" w:rsidRDefault="002A6C25">
            <w:pPr>
              <w:pStyle w:val="P68B1DB1-Normal4"/>
              <w:spacing w:before="120" w:after="120"/>
              <w:rPr>
                <w:rFonts w:eastAsia="Calibri"/>
                <w:noProof/>
              </w:rPr>
            </w:pPr>
            <w:r>
              <w:rPr>
                <w:noProof/>
              </w:rPr>
              <w:t xml:space="preserve">A szervezetek és az önkéntes vállalkozók közötti kapcsolatokról szóló felülvizsgált jogi aktus hatálybalépése, figyelembe véve a TSI projekt </w:t>
            </w:r>
            <w:r>
              <w:rPr>
                <w:noProof/>
              </w:rPr>
              <w:t xml:space="preserve">eredményeit (20IT06 – „Az egyetemes közszolgálat (UCS) helyreállítási és rezilienciaépítési terv projektjének támogatása a fiatalok foglalkoztatási lehetőségeinek felszabadítása érdekében”). </w:t>
            </w:r>
          </w:p>
          <w:p w14:paraId="1F53A89A" w14:textId="77777777" w:rsidR="003F5418" w:rsidRDefault="002A6C25">
            <w:pPr>
              <w:pStyle w:val="P68B1DB1-Normal4"/>
              <w:spacing w:before="120"/>
              <w:rPr>
                <w:rFonts w:eastAsia="Calibri"/>
                <w:noProof/>
              </w:rPr>
            </w:pPr>
            <w:r>
              <w:rPr>
                <w:noProof/>
              </w:rPr>
              <w:t>A felülvizsgált jogi aktus:</w:t>
            </w:r>
          </w:p>
          <w:p w14:paraId="6777F02A" w14:textId="77777777" w:rsidR="003F5418" w:rsidRDefault="002A6C25">
            <w:pPr>
              <w:pStyle w:val="P68B1DB1-Normal4"/>
              <w:rPr>
                <w:rFonts w:eastAsia="Calibri"/>
                <w:noProof/>
              </w:rPr>
            </w:pPr>
            <w:r>
              <w:rPr>
                <w:noProof/>
              </w:rPr>
              <w:t>a fiatalok részvételének növelése;</w:t>
            </w:r>
          </w:p>
          <w:p w14:paraId="7F455B63" w14:textId="77777777" w:rsidR="003F5418" w:rsidRDefault="002A6C25">
            <w:pPr>
              <w:rPr>
                <w:rFonts w:ascii="Arial Narrow" w:eastAsia="Calibri" w:hAnsi="Arial Narrow"/>
                <w:noProof/>
                <w:color w:val="006100"/>
                <w:sz w:val="20"/>
              </w:rPr>
            </w:pPr>
            <w:r>
              <w:rPr>
                <w:rFonts w:ascii="Arial Narrow" w:hAnsi="Arial Narrow"/>
                <w:noProof/>
                <w:color w:val="006100"/>
                <w:sz w:val="20"/>
              </w:rPr>
              <w:t>a</w:t>
            </w:r>
            <w:r>
              <w:rPr>
                <w:rFonts w:ascii="Arial Narrow" w:hAnsi="Arial Narrow"/>
                <w:noProof/>
                <w:color w:val="006100"/>
                <w:sz w:val="20"/>
              </w:rPr>
              <w:t>z eljárások egyszerűsítése; és</w:t>
            </w:r>
            <w:r>
              <w:rPr>
                <w:noProof/>
              </w:rPr>
              <w:t xml:space="preserve"> </w:t>
            </w:r>
            <w:r>
              <w:rPr>
                <w:noProof/>
              </w:rPr>
              <w:br/>
            </w:r>
            <w:r>
              <w:rPr>
                <w:rFonts w:ascii="Arial Narrow" w:hAnsi="Arial Narrow"/>
                <w:noProof/>
                <w:color w:val="006100"/>
                <w:sz w:val="20"/>
              </w:rPr>
              <w:t>az UCS-projektek minőségének javítása.</w:t>
            </w:r>
          </w:p>
        </w:tc>
      </w:tr>
      <w:tr w:rsidR="003F5418" w14:paraId="4987DC8A" w14:textId="77777777">
        <w:trPr>
          <w:trHeight w:val="309"/>
          <w:jc w:val="center"/>
        </w:trPr>
        <w:tc>
          <w:tcPr>
            <w:tcW w:w="1364" w:type="dxa"/>
            <w:shd w:val="clear" w:color="auto" w:fill="C6EFCE"/>
            <w:noWrap/>
            <w:vAlign w:val="center"/>
            <w:hideMark/>
          </w:tcPr>
          <w:p w14:paraId="1CD99179" w14:textId="77777777" w:rsidR="003F5418" w:rsidRDefault="002A6C25">
            <w:pPr>
              <w:pStyle w:val="P68B1DB1-Normal4"/>
              <w:spacing w:before="120" w:after="120"/>
              <w:jc w:val="center"/>
              <w:rPr>
                <w:rFonts w:eastAsia="Calibri"/>
                <w:noProof/>
              </w:rPr>
            </w:pPr>
            <w:r>
              <w:rPr>
                <w:noProof/>
              </w:rPr>
              <w:t>M5C1–16</w:t>
            </w:r>
          </w:p>
        </w:tc>
        <w:tc>
          <w:tcPr>
            <w:tcW w:w="1513" w:type="dxa"/>
            <w:shd w:val="clear" w:color="auto" w:fill="C6EFCE"/>
            <w:noWrap/>
            <w:vAlign w:val="center"/>
            <w:hideMark/>
          </w:tcPr>
          <w:p w14:paraId="61AE7DDC" w14:textId="77777777" w:rsidR="003F5418" w:rsidRDefault="002A6C25">
            <w:pPr>
              <w:pStyle w:val="P68B1DB1-Normal4"/>
              <w:spacing w:before="120" w:after="120"/>
              <w:jc w:val="center"/>
              <w:rPr>
                <w:rFonts w:eastAsia="Calibri"/>
                <w:noProof/>
              </w:rPr>
            </w:pPr>
            <w:r>
              <w:rPr>
                <w:noProof/>
              </w:rPr>
              <w:t>Beruházás – Egyetemes közszolgálat</w:t>
            </w:r>
          </w:p>
        </w:tc>
        <w:tc>
          <w:tcPr>
            <w:tcW w:w="1281" w:type="dxa"/>
            <w:shd w:val="clear" w:color="auto" w:fill="C6EFCE"/>
            <w:noWrap/>
            <w:vAlign w:val="center"/>
            <w:hideMark/>
          </w:tcPr>
          <w:p w14:paraId="7E1F55E2" w14:textId="77777777" w:rsidR="003F5418" w:rsidRDefault="002A6C25">
            <w:pPr>
              <w:pStyle w:val="P68B1DB1-Normal4"/>
              <w:spacing w:before="120" w:after="120"/>
              <w:jc w:val="center"/>
              <w:rPr>
                <w:rFonts w:eastAsia="Calibri"/>
                <w:noProof/>
              </w:rPr>
            </w:pPr>
            <w:r>
              <w:rPr>
                <w:noProof/>
              </w:rPr>
              <w:t>Cél</w:t>
            </w:r>
          </w:p>
        </w:tc>
        <w:tc>
          <w:tcPr>
            <w:tcW w:w="1597" w:type="dxa"/>
            <w:shd w:val="clear" w:color="auto" w:fill="C6EFCE"/>
            <w:noWrap/>
            <w:vAlign w:val="center"/>
            <w:hideMark/>
          </w:tcPr>
          <w:p w14:paraId="132EADB3" w14:textId="77777777" w:rsidR="003F5418" w:rsidRDefault="002A6C25">
            <w:pPr>
              <w:pStyle w:val="P68B1DB1-Normal4"/>
              <w:spacing w:before="120" w:after="120"/>
              <w:jc w:val="center"/>
              <w:rPr>
                <w:rFonts w:eastAsia="Calibri"/>
                <w:noProof/>
              </w:rPr>
            </w:pPr>
            <w:r>
              <w:rPr>
                <w:noProof/>
              </w:rPr>
              <w:t xml:space="preserve"> Az emberek részt vettek az egyetemes közszolgálati programban, és megszerezték a vonatkozó tanúsítványt a 2021–2024-es négyéves időszakban</w:t>
            </w:r>
          </w:p>
        </w:tc>
        <w:tc>
          <w:tcPr>
            <w:tcW w:w="1470" w:type="dxa"/>
            <w:shd w:val="clear" w:color="auto" w:fill="C6EFCE"/>
            <w:noWrap/>
            <w:vAlign w:val="center"/>
            <w:hideMark/>
          </w:tcPr>
          <w:p w14:paraId="00CA6367" w14:textId="77777777" w:rsidR="003F5418" w:rsidRDefault="002A6C25">
            <w:pPr>
              <w:pStyle w:val="P68B1DB1-Normal4"/>
              <w:spacing w:before="120" w:after="120"/>
              <w:jc w:val="center"/>
              <w:rPr>
                <w:rFonts w:eastAsia="Calibri"/>
                <w:noProof/>
              </w:rPr>
            </w:pPr>
            <w:r>
              <w:rPr>
                <w:noProof/>
              </w:rPr>
              <w:t>NINCS</w:t>
            </w:r>
          </w:p>
        </w:tc>
        <w:tc>
          <w:tcPr>
            <w:tcW w:w="1275" w:type="dxa"/>
            <w:shd w:val="clear" w:color="auto" w:fill="C6EFCE"/>
            <w:noWrap/>
            <w:vAlign w:val="center"/>
            <w:hideMark/>
          </w:tcPr>
          <w:p w14:paraId="6F5422CF" w14:textId="77777777" w:rsidR="003F5418" w:rsidRDefault="002A6C25">
            <w:pPr>
              <w:pStyle w:val="P68B1DB1-Normal4"/>
              <w:spacing w:before="120" w:after="120"/>
              <w:jc w:val="center"/>
              <w:rPr>
                <w:rFonts w:eastAsia="Calibri"/>
                <w:noProof/>
              </w:rPr>
            </w:pPr>
            <w:r>
              <w:rPr>
                <w:noProof/>
              </w:rPr>
              <w:t xml:space="preserve">Szám </w:t>
            </w:r>
          </w:p>
        </w:tc>
        <w:tc>
          <w:tcPr>
            <w:tcW w:w="1134" w:type="dxa"/>
            <w:shd w:val="clear" w:color="auto" w:fill="C6EFCE"/>
            <w:noWrap/>
            <w:vAlign w:val="center"/>
            <w:hideMark/>
          </w:tcPr>
          <w:p w14:paraId="09C8487A" w14:textId="77777777" w:rsidR="003F5418" w:rsidRDefault="002A6C25">
            <w:pPr>
              <w:pStyle w:val="P68B1DB1-Normal4"/>
              <w:spacing w:before="120" w:after="120"/>
              <w:jc w:val="center"/>
              <w:rPr>
                <w:noProof/>
              </w:rPr>
            </w:pPr>
            <w:r>
              <w:rPr>
                <w:noProof/>
              </w:rPr>
              <w:t>0</w:t>
            </w:r>
          </w:p>
        </w:tc>
        <w:tc>
          <w:tcPr>
            <w:tcW w:w="1134" w:type="dxa"/>
            <w:shd w:val="clear" w:color="auto" w:fill="C6EFCE"/>
            <w:noWrap/>
            <w:vAlign w:val="center"/>
            <w:hideMark/>
          </w:tcPr>
          <w:p w14:paraId="63913747" w14:textId="72F50A8A" w:rsidR="003F5418" w:rsidRDefault="002A6C25">
            <w:pPr>
              <w:pStyle w:val="P68B1DB1-Normal4"/>
              <w:spacing w:before="120" w:after="120"/>
              <w:jc w:val="center"/>
              <w:rPr>
                <w:rFonts w:eastAsia="Calibri"/>
                <w:noProof/>
              </w:rPr>
            </w:pPr>
            <w:r>
              <w:rPr>
                <w:noProof/>
              </w:rPr>
              <w:t>166 670</w:t>
            </w:r>
          </w:p>
        </w:tc>
        <w:tc>
          <w:tcPr>
            <w:tcW w:w="851" w:type="dxa"/>
            <w:shd w:val="clear" w:color="auto" w:fill="C6EFCE"/>
            <w:noWrap/>
            <w:vAlign w:val="center"/>
            <w:hideMark/>
          </w:tcPr>
          <w:p w14:paraId="55027928" w14:textId="77777777" w:rsidR="003F5418" w:rsidRDefault="002A6C25">
            <w:pPr>
              <w:pStyle w:val="P68B1DB1-Normal4"/>
              <w:spacing w:before="120" w:after="120"/>
              <w:jc w:val="center"/>
              <w:rPr>
                <w:rFonts w:eastAsia="Calibri"/>
                <w:noProof/>
              </w:rPr>
            </w:pPr>
            <w:r>
              <w:rPr>
                <w:noProof/>
              </w:rPr>
              <w:t>Q2</w:t>
            </w:r>
          </w:p>
        </w:tc>
        <w:tc>
          <w:tcPr>
            <w:tcW w:w="709" w:type="dxa"/>
            <w:shd w:val="clear" w:color="auto" w:fill="C6EFCE"/>
            <w:noWrap/>
            <w:vAlign w:val="center"/>
            <w:hideMark/>
          </w:tcPr>
          <w:p w14:paraId="5AEECF9E" w14:textId="77777777" w:rsidR="003F5418" w:rsidRDefault="002A6C25">
            <w:pPr>
              <w:pStyle w:val="P68B1DB1-Normal4"/>
              <w:spacing w:before="120" w:after="120"/>
              <w:jc w:val="center"/>
              <w:rPr>
                <w:rFonts w:eastAsia="Calibri"/>
                <w:noProof/>
              </w:rPr>
            </w:pPr>
            <w:r>
              <w:rPr>
                <w:noProof/>
              </w:rPr>
              <w:t>2026</w:t>
            </w:r>
          </w:p>
        </w:tc>
        <w:tc>
          <w:tcPr>
            <w:tcW w:w="2835" w:type="dxa"/>
            <w:shd w:val="clear" w:color="auto" w:fill="C6EFCE"/>
            <w:noWrap/>
            <w:vAlign w:val="center"/>
            <w:hideMark/>
          </w:tcPr>
          <w:p w14:paraId="169FC34E" w14:textId="38F629CB" w:rsidR="003F5418" w:rsidRDefault="002A6C25">
            <w:pPr>
              <w:pStyle w:val="P68B1DB1-Normal4"/>
              <w:spacing w:before="120" w:after="120"/>
              <w:rPr>
                <w:rFonts w:eastAsia="Calibri"/>
                <w:noProof/>
              </w:rPr>
            </w:pPr>
            <w:r>
              <w:rPr>
                <w:noProof/>
              </w:rPr>
              <w:t xml:space="preserve">A 2021–2024-es négyéves időszakban legalább 166670 ember vett részt az egyetemes </w:t>
            </w:r>
            <w:r>
              <w:rPr>
                <w:noProof/>
              </w:rPr>
              <w:t>közszolgálati programban.</w:t>
            </w:r>
          </w:p>
          <w:p w14:paraId="0A145830" w14:textId="77777777" w:rsidR="003F5418" w:rsidRDefault="002A6C25">
            <w:pPr>
              <w:pStyle w:val="P68B1DB1-Normal4"/>
              <w:spacing w:before="120" w:after="120"/>
              <w:rPr>
                <w:rFonts w:eastAsia="Calibri"/>
                <w:noProof/>
              </w:rPr>
            </w:pPr>
            <w:r>
              <w:rPr>
                <w:noProof/>
              </w:rPr>
              <w:t xml:space="preserve">A fő cél az egyetemes közszolgálat megerősítése, az önkéntesek számának növelése, valamint a fiatalok részvételével zajló programok és projektek minőségének javítása. </w:t>
            </w:r>
          </w:p>
        </w:tc>
      </w:tr>
    </w:tbl>
    <w:p w14:paraId="7C246F53" w14:textId="77777777" w:rsidR="003F5418" w:rsidRDefault="003F5418">
      <w:pPr>
        <w:rPr>
          <w:noProof/>
        </w:rPr>
      </w:pPr>
    </w:p>
    <w:p w14:paraId="1CCFB126" w14:textId="77777777" w:rsidR="003F5418" w:rsidRDefault="003F5418">
      <w:pPr>
        <w:spacing w:before="120" w:after="120"/>
        <w:ind w:left="709"/>
        <w:jc w:val="both"/>
        <w:rPr>
          <w:noProof/>
        </w:rPr>
      </w:pPr>
    </w:p>
    <w:p w14:paraId="66CBCB28" w14:textId="77777777" w:rsidR="003F5418" w:rsidRDefault="003F5418">
      <w:pPr>
        <w:spacing w:before="120" w:after="120"/>
        <w:ind w:left="709"/>
        <w:jc w:val="both"/>
        <w:rPr>
          <w:noProof/>
        </w:rPr>
        <w:sectPr w:rsidR="003F5418">
          <w:headerReference w:type="even" r:id="rId308"/>
          <w:headerReference w:type="default" r:id="rId309"/>
          <w:footerReference w:type="even" r:id="rId310"/>
          <w:footerReference w:type="default" r:id="rId311"/>
          <w:headerReference w:type="first" r:id="rId312"/>
          <w:footerReference w:type="first" r:id="rId313"/>
          <w:pgSz w:w="16838" w:h="11906" w:orient="landscape" w:code="9"/>
          <w:pgMar w:top="1134" w:right="1134" w:bottom="1134" w:left="1134" w:header="567" w:footer="567" w:gutter="0"/>
          <w:cols w:space="720"/>
          <w:docGrid w:linePitch="360"/>
        </w:sectPr>
      </w:pPr>
    </w:p>
    <w:p w14:paraId="333D9AE5"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L.3. </w:t>
      </w:r>
      <w:r>
        <w:rPr>
          <w:noProof/>
        </w:rPr>
        <w:t xml:space="preserve"> </w:t>
      </w:r>
      <w:r>
        <w:rPr>
          <w:b/>
          <w:i w:val="0"/>
          <w:noProof/>
          <w:u w:val="single"/>
        </w:rPr>
        <w:t xml:space="preserve">A hitelhez kapcsolódó reformok és beruházások ismertetése </w:t>
      </w:r>
    </w:p>
    <w:p w14:paraId="5D6C031B" w14:textId="1DD5B5E1" w:rsidR="003F5418" w:rsidRDefault="00AF4CCB">
      <w:pPr>
        <w:pStyle w:val="P68B1DB1-Normal2"/>
        <w:spacing w:before="120" w:after="120"/>
        <w:jc w:val="both"/>
        <w:rPr>
          <w:noProof/>
        </w:rPr>
      </w:pPr>
      <w:r>
        <w:rPr>
          <w:noProof/>
        </w:rPr>
        <w:t>5</w:t>
      </w:r>
      <w:r w:rsidRPr="00B07E42">
        <w:rPr>
          <w:noProof/>
        </w:rPr>
        <w:t>.</w:t>
      </w:r>
      <w:r>
        <w:rPr>
          <w:noProof/>
        </w:rPr>
        <w:t xml:space="preserve"> Beruházás – Nők által kezdeményezett vállalkozások létrehozása</w:t>
      </w:r>
    </w:p>
    <w:p w14:paraId="13BFFA54" w14:textId="77777777" w:rsidR="003F5418" w:rsidRDefault="002A6C25">
      <w:pPr>
        <w:spacing w:before="120" w:after="120"/>
        <w:jc w:val="both"/>
        <w:rPr>
          <w:noProof/>
        </w:rPr>
      </w:pPr>
      <w:r>
        <w:rPr>
          <w:noProof/>
        </w:rPr>
        <w:t>Ezen intézkedés célja, hogy hozzájáruljon a nők munkaerőpiaci részvételének növeléséhez, és különösen a nők üzleti tevékenys</w:t>
      </w:r>
      <w:r>
        <w:rPr>
          <w:noProof/>
        </w:rPr>
        <w:t xml:space="preserve">égekben való részvételének támogatásához. A beruházásnak támogatnia kell </w:t>
      </w:r>
      <w:r>
        <w:rPr>
          <w:b/>
          <w:noProof/>
        </w:rPr>
        <w:t>a női vállalkozások</w:t>
      </w:r>
      <w:r>
        <w:rPr>
          <w:noProof/>
        </w:rPr>
        <w:t xml:space="preserve"> létrehozását. Az intézkedés fő célkizűzései a következők: I. a női vállalkozókat támogató jelenlegi támogató intézkedések rendszerezése és átalakítása hatékonyságu</w:t>
      </w:r>
      <w:r>
        <w:rPr>
          <w:noProof/>
        </w:rPr>
        <w:t>k növelése érdekében; A már létrehozott és működő innovatív üzleti projektek végrehajtásának támogatása; Iii. a nők vállalkozói tevékenységei elindításának támogatása mentorálással, technikai-irányítási támogatással, a munka és a magánélet közötti egyensúl</w:t>
      </w:r>
      <w:r>
        <w:rPr>
          <w:noProof/>
        </w:rPr>
        <w:t xml:space="preserve">y megteremtését célzó intézkedésekkel stb.; Iv. – célzott kommunikációs tevékenységek révén – kedvező kulturális környezet megteremtése a nők vállalkozói készsége számára. </w:t>
      </w:r>
    </w:p>
    <w:p w14:paraId="46F321FC" w14:textId="77777777" w:rsidR="003F5418" w:rsidRDefault="002A6C25">
      <w:pPr>
        <w:pStyle w:val="Heading3"/>
        <w:numPr>
          <w:ilvl w:val="0"/>
          <w:numId w:val="0"/>
        </w:numPr>
        <w:ind w:left="850" w:hanging="850"/>
        <w:rPr>
          <w:b/>
          <w:i w:val="0"/>
          <w:noProof/>
          <w:u w:val="single"/>
        </w:rPr>
      </w:pPr>
      <w:r>
        <w:rPr>
          <w:b/>
          <w:i w:val="0"/>
          <w:noProof/>
          <w:u w:val="single"/>
        </w:rPr>
        <w:t xml:space="preserve">L.4. </w:t>
      </w:r>
      <w:r>
        <w:rPr>
          <w:noProof/>
        </w:rPr>
        <w:t xml:space="preserve"> </w:t>
      </w:r>
      <w:r>
        <w:rPr>
          <w:b/>
          <w:i w:val="0"/>
          <w:noProof/>
          <w:u w:val="single"/>
        </w:rPr>
        <w:t>Hitel – a végrehajtáshoz és a nyomon követéshez kapcsolódó mérföldkövek, célo</w:t>
      </w:r>
      <w:r>
        <w:rPr>
          <w:b/>
          <w:i w:val="0"/>
          <w:noProof/>
          <w:u w:val="single"/>
        </w:rPr>
        <w:t xml:space="preserve">k, mutatók és ütemterv </w:t>
      </w:r>
    </w:p>
    <w:p w14:paraId="786BA699" w14:textId="77777777" w:rsidR="003F5418" w:rsidRDefault="003F5418">
      <w:pPr>
        <w:spacing w:before="120" w:after="120"/>
        <w:ind w:left="709"/>
        <w:contextualSpacing/>
        <w:jc w:val="both"/>
        <w:rPr>
          <w:noProof/>
        </w:rPr>
        <w:sectPr w:rsidR="003F5418">
          <w:headerReference w:type="even" r:id="rId314"/>
          <w:headerReference w:type="default" r:id="rId315"/>
          <w:footerReference w:type="even" r:id="rId316"/>
          <w:footerReference w:type="default" r:id="rId317"/>
          <w:headerReference w:type="first" r:id="rId318"/>
          <w:footerReference w:type="first" r:id="rId319"/>
          <w:pgSz w:w="11907" w:h="16839"/>
          <w:pgMar w:top="1134" w:right="1134" w:bottom="1134" w:left="1134" w:header="567" w:footer="567" w:gutter="0"/>
          <w:cols w:space="720"/>
          <w:docGrid w:linePitch="360"/>
        </w:sect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530"/>
        <w:gridCol w:w="1179"/>
        <w:gridCol w:w="1802"/>
        <w:gridCol w:w="1670"/>
        <w:gridCol w:w="1037"/>
        <w:gridCol w:w="999"/>
        <w:gridCol w:w="1189"/>
        <w:gridCol w:w="979"/>
        <w:gridCol w:w="689"/>
        <w:gridCol w:w="2982"/>
      </w:tblGrid>
      <w:tr w:rsidR="003F5418" w14:paraId="75D75D6D" w14:textId="77777777">
        <w:trPr>
          <w:trHeight w:val="701"/>
          <w:tblHeader/>
          <w:jc w:val="center"/>
        </w:trPr>
        <w:tc>
          <w:tcPr>
            <w:tcW w:w="1254" w:type="dxa"/>
            <w:vMerge w:val="restart"/>
            <w:shd w:val="clear" w:color="auto" w:fill="BDD7EE"/>
            <w:vAlign w:val="center"/>
            <w:hideMark/>
          </w:tcPr>
          <w:p w14:paraId="54E3248E" w14:textId="77777777" w:rsidR="003F5418" w:rsidRDefault="002A6C25">
            <w:pPr>
              <w:pStyle w:val="P68B1DB1-Normal25"/>
              <w:jc w:val="center"/>
              <w:rPr>
                <w:noProof/>
              </w:rPr>
            </w:pPr>
            <w:r>
              <w:rPr>
                <w:noProof/>
              </w:rPr>
              <w:t>Sorszám</w:t>
            </w:r>
          </w:p>
        </w:tc>
        <w:tc>
          <w:tcPr>
            <w:tcW w:w="1530" w:type="dxa"/>
            <w:vMerge w:val="restart"/>
            <w:shd w:val="clear" w:color="auto" w:fill="BDD7EE"/>
            <w:vAlign w:val="center"/>
            <w:hideMark/>
          </w:tcPr>
          <w:p w14:paraId="28FE47DC" w14:textId="77777777" w:rsidR="003F5418" w:rsidRDefault="002A6C25">
            <w:pPr>
              <w:pStyle w:val="P68B1DB1-Normal25"/>
              <w:jc w:val="center"/>
              <w:rPr>
                <w:noProof/>
              </w:rPr>
            </w:pPr>
            <w:r>
              <w:rPr>
                <w:noProof/>
              </w:rPr>
              <w:t>Kapcsolódó intézkedés (reform vagy beruházás)</w:t>
            </w:r>
          </w:p>
        </w:tc>
        <w:tc>
          <w:tcPr>
            <w:tcW w:w="1179" w:type="dxa"/>
            <w:vMerge w:val="restart"/>
            <w:shd w:val="clear" w:color="auto" w:fill="BDD7EE"/>
            <w:vAlign w:val="center"/>
            <w:hideMark/>
          </w:tcPr>
          <w:p w14:paraId="3E178875" w14:textId="77777777" w:rsidR="003F5418" w:rsidRDefault="002A6C25">
            <w:pPr>
              <w:pStyle w:val="P68B1DB1-Normal25"/>
              <w:jc w:val="center"/>
              <w:rPr>
                <w:noProof/>
              </w:rPr>
            </w:pPr>
            <w:r>
              <w:rPr>
                <w:noProof/>
              </w:rPr>
              <w:t>Mérföldkő/cél</w:t>
            </w:r>
          </w:p>
        </w:tc>
        <w:tc>
          <w:tcPr>
            <w:tcW w:w="1802" w:type="dxa"/>
            <w:vMerge w:val="restart"/>
            <w:shd w:val="clear" w:color="auto" w:fill="BDD7EE"/>
            <w:vAlign w:val="center"/>
            <w:hideMark/>
          </w:tcPr>
          <w:p w14:paraId="27DAB990" w14:textId="77777777" w:rsidR="003F5418" w:rsidRDefault="002A6C25">
            <w:pPr>
              <w:pStyle w:val="P68B1DB1-Normal25"/>
              <w:jc w:val="center"/>
              <w:rPr>
                <w:noProof/>
              </w:rPr>
            </w:pPr>
            <w:r>
              <w:rPr>
                <w:noProof/>
              </w:rPr>
              <w:t>Név</w:t>
            </w:r>
          </w:p>
        </w:tc>
        <w:tc>
          <w:tcPr>
            <w:tcW w:w="1670" w:type="dxa"/>
            <w:vMerge w:val="restart"/>
            <w:shd w:val="clear" w:color="auto" w:fill="BDD7EE"/>
            <w:vAlign w:val="center"/>
            <w:hideMark/>
          </w:tcPr>
          <w:p w14:paraId="0D0D809D" w14:textId="77777777" w:rsidR="003F5418" w:rsidRDefault="002A6C25">
            <w:pPr>
              <w:jc w:val="center"/>
              <w:rPr>
                <w:rFonts w:ascii="Arial Narrow" w:hAnsi="Arial Narrow"/>
                <w:b/>
                <w:noProof/>
                <w:color w:val="000000"/>
                <w:sz w:val="20"/>
              </w:rPr>
            </w:pPr>
            <w:r>
              <w:rPr>
                <w:rFonts w:ascii="Arial Narrow" w:hAnsi="Arial Narrow"/>
                <w:b/>
                <w:noProof/>
                <w:color w:val="000000"/>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color w:val="000000"/>
                <w:sz w:val="20"/>
              </w:rPr>
              <w:t>(a részcélokra vonatkozóan)</w:t>
            </w:r>
          </w:p>
        </w:tc>
        <w:tc>
          <w:tcPr>
            <w:tcW w:w="3225" w:type="dxa"/>
            <w:gridSpan w:val="3"/>
            <w:shd w:val="clear" w:color="auto" w:fill="BDD7EE"/>
            <w:vAlign w:val="center"/>
            <w:hideMark/>
          </w:tcPr>
          <w:p w14:paraId="5A0BBC75" w14:textId="77777777" w:rsidR="003F5418" w:rsidRDefault="002A6C25">
            <w:pPr>
              <w:jc w:val="center"/>
              <w:rPr>
                <w:rFonts w:ascii="Arial Narrow" w:hAnsi="Arial Narrow"/>
                <w:b/>
                <w:noProof/>
                <w:color w:val="000000"/>
                <w:sz w:val="20"/>
              </w:rPr>
            </w:pPr>
            <w:r>
              <w:rPr>
                <w:rFonts w:ascii="Arial Narrow" w:hAnsi="Arial Narrow"/>
                <w:b/>
                <w:noProof/>
                <w:color w:val="000000"/>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color w:val="000000"/>
                <w:sz w:val="20"/>
              </w:rPr>
              <w:t>(célok esetében)</w:t>
            </w:r>
          </w:p>
        </w:tc>
        <w:tc>
          <w:tcPr>
            <w:tcW w:w="1668" w:type="dxa"/>
            <w:gridSpan w:val="2"/>
            <w:shd w:val="clear" w:color="auto" w:fill="BDD7EE"/>
            <w:vAlign w:val="center"/>
            <w:hideMark/>
          </w:tcPr>
          <w:p w14:paraId="0F49C1E7" w14:textId="77777777" w:rsidR="003F5418" w:rsidRDefault="002A6C25">
            <w:pPr>
              <w:pStyle w:val="P68B1DB1-Normal25"/>
              <w:jc w:val="center"/>
              <w:rPr>
                <w:noProof/>
              </w:rPr>
            </w:pPr>
            <w:r>
              <w:rPr>
                <w:noProof/>
              </w:rPr>
              <w:t xml:space="preserve">A végrehajtás </w:t>
            </w:r>
            <w:r>
              <w:rPr>
                <w:noProof/>
              </w:rPr>
              <w:t>indikatív ütemterve</w:t>
            </w:r>
          </w:p>
        </w:tc>
        <w:tc>
          <w:tcPr>
            <w:tcW w:w="2982" w:type="dxa"/>
            <w:vMerge w:val="restart"/>
            <w:shd w:val="clear" w:color="auto" w:fill="BDD7EE"/>
            <w:vAlign w:val="center"/>
            <w:hideMark/>
          </w:tcPr>
          <w:p w14:paraId="1BA075E4" w14:textId="77777777" w:rsidR="003F5418" w:rsidRDefault="002A6C25">
            <w:pPr>
              <w:pStyle w:val="P68B1DB1-Normal25"/>
              <w:jc w:val="center"/>
              <w:rPr>
                <w:noProof/>
              </w:rPr>
            </w:pPr>
            <w:r>
              <w:rPr>
                <w:noProof/>
              </w:rPr>
              <w:t>Az egyes mérföldkövek és célértékek leírása</w:t>
            </w:r>
          </w:p>
        </w:tc>
      </w:tr>
      <w:tr w:rsidR="003F5418" w14:paraId="78FB60BD" w14:textId="77777777">
        <w:trPr>
          <w:trHeight w:val="701"/>
          <w:jc w:val="center"/>
        </w:trPr>
        <w:tc>
          <w:tcPr>
            <w:tcW w:w="1254" w:type="dxa"/>
            <w:vMerge/>
            <w:vAlign w:val="center"/>
          </w:tcPr>
          <w:p w14:paraId="6228283D" w14:textId="77777777" w:rsidR="003F5418" w:rsidRDefault="003F5418">
            <w:pPr>
              <w:rPr>
                <w:rFonts w:ascii="Arial Narrow" w:hAnsi="Arial Narrow"/>
                <w:b/>
                <w:noProof/>
                <w:color w:val="000000"/>
                <w:sz w:val="20"/>
              </w:rPr>
            </w:pPr>
          </w:p>
        </w:tc>
        <w:tc>
          <w:tcPr>
            <w:tcW w:w="1530" w:type="dxa"/>
            <w:vMerge/>
            <w:vAlign w:val="center"/>
          </w:tcPr>
          <w:p w14:paraId="399C9FED" w14:textId="77777777" w:rsidR="003F5418" w:rsidRDefault="003F5418">
            <w:pPr>
              <w:rPr>
                <w:rFonts w:ascii="Arial Narrow" w:hAnsi="Arial Narrow"/>
                <w:b/>
                <w:noProof/>
                <w:color w:val="000000"/>
                <w:sz w:val="20"/>
              </w:rPr>
            </w:pPr>
          </w:p>
        </w:tc>
        <w:tc>
          <w:tcPr>
            <w:tcW w:w="1179" w:type="dxa"/>
            <w:vMerge/>
            <w:vAlign w:val="center"/>
          </w:tcPr>
          <w:p w14:paraId="48B012ED" w14:textId="77777777" w:rsidR="003F5418" w:rsidRDefault="003F5418">
            <w:pPr>
              <w:rPr>
                <w:rFonts w:ascii="Arial Narrow" w:hAnsi="Arial Narrow"/>
                <w:b/>
                <w:noProof/>
                <w:color w:val="000000"/>
                <w:sz w:val="20"/>
              </w:rPr>
            </w:pPr>
          </w:p>
        </w:tc>
        <w:tc>
          <w:tcPr>
            <w:tcW w:w="1802" w:type="dxa"/>
            <w:vMerge/>
            <w:vAlign w:val="center"/>
          </w:tcPr>
          <w:p w14:paraId="25D2E10C" w14:textId="77777777" w:rsidR="003F5418" w:rsidRDefault="003F5418">
            <w:pPr>
              <w:rPr>
                <w:rFonts w:ascii="Arial Narrow" w:hAnsi="Arial Narrow"/>
                <w:b/>
                <w:noProof/>
                <w:color w:val="000000"/>
                <w:sz w:val="20"/>
              </w:rPr>
            </w:pPr>
          </w:p>
        </w:tc>
        <w:tc>
          <w:tcPr>
            <w:tcW w:w="1670" w:type="dxa"/>
            <w:vMerge/>
            <w:vAlign w:val="center"/>
          </w:tcPr>
          <w:p w14:paraId="26103FC2" w14:textId="77777777" w:rsidR="003F5418" w:rsidRDefault="003F5418">
            <w:pPr>
              <w:jc w:val="center"/>
              <w:rPr>
                <w:rFonts w:ascii="Arial Narrow" w:hAnsi="Arial Narrow"/>
                <w:b/>
                <w:noProof/>
                <w:color w:val="000000"/>
                <w:sz w:val="20"/>
              </w:rPr>
            </w:pPr>
          </w:p>
        </w:tc>
        <w:tc>
          <w:tcPr>
            <w:tcW w:w="1037" w:type="dxa"/>
            <w:shd w:val="clear" w:color="auto" w:fill="BDD7EE"/>
            <w:vAlign w:val="center"/>
          </w:tcPr>
          <w:p w14:paraId="586ACA5F" w14:textId="77777777" w:rsidR="003F5418" w:rsidRDefault="002A6C25">
            <w:pPr>
              <w:pStyle w:val="P68B1DB1-Normal25"/>
              <w:jc w:val="center"/>
              <w:rPr>
                <w:noProof/>
              </w:rPr>
            </w:pPr>
            <w:r>
              <w:rPr>
                <w:noProof/>
              </w:rPr>
              <w:t>Mértékegység</w:t>
            </w:r>
          </w:p>
        </w:tc>
        <w:tc>
          <w:tcPr>
            <w:tcW w:w="999" w:type="dxa"/>
            <w:shd w:val="clear" w:color="auto" w:fill="BDD7EE"/>
            <w:vAlign w:val="center"/>
          </w:tcPr>
          <w:p w14:paraId="13E270A3" w14:textId="77777777" w:rsidR="003F5418" w:rsidRDefault="002A6C25">
            <w:pPr>
              <w:pStyle w:val="P68B1DB1-Normal25"/>
              <w:jc w:val="center"/>
              <w:rPr>
                <w:noProof/>
              </w:rPr>
            </w:pPr>
            <w:r>
              <w:rPr>
                <w:noProof/>
              </w:rPr>
              <w:t>Kiindulási</w:t>
            </w:r>
          </w:p>
        </w:tc>
        <w:tc>
          <w:tcPr>
            <w:tcW w:w="1189" w:type="dxa"/>
            <w:shd w:val="clear" w:color="auto" w:fill="BDD7EE"/>
            <w:vAlign w:val="center"/>
          </w:tcPr>
          <w:p w14:paraId="7107D3AF" w14:textId="77777777" w:rsidR="003F5418" w:rsidRDefault="002A6C25">
            <w:pPr>
              <w:pStyle w:val="P68B1DB1-Normal25"/>
              <w:jc w:val="center"/>
              <w:rPr>
                <w:noProof/>
              </w:rPr>
            </w:pPr>
            <w:r>
              <w:rPr>
                <w:noProof/>
              </w:rPr>
              <w:t>Cél</w:t>
            </w:r>
          </w:p>
        </w:tc>
        <w:tc>
          <w:tcPr>
            <w:tcW w:w="979" w:type="dxa"/>
            <w:shd w:val="clear" w:color="auto" w:fill="BDD7EE"/>
            <w:vAlign w:val="center"/>
          </w:tcPr>
          <w:p w14:paraId="5450E2CC" w14:textId="77777777" w:rsidR="003F5418" w:rsidRDefault="002A6C25">
            <w:pPr>
              <w:pStyle w:val="P68B1DB1-Normal25"/>
              <w:jc w:val="center"/>
              <w:rPr>
                <w:noProof/>
              </w:rPr>
            </w:pPr>
            <w:r>
              <w:rPr>
                <w:noProof/>
              </w:rPr>
              <w:t>Negyedév</w:t>
            </w:r>
          </w:p>
        </w:tc>
        <w:tc>
          <w:tcPr>
            <w:tcW w:w="689" w:type="dxa"/>
            <w:shd w:val="clear" w:color="auto" w:fill="BDD7EE"/>
            <w:vAlign w:val="center"/>
          </w:tcPr>
          <w:p w14:paraId="3E19A0A0" w14:textId="77777777" w:rsidR="003F5418" w:rsidRDefault="002A6C25">
            <w:pPr>
              <w:pStyle w:val="P68B1DB1-Normal25"/>
              <w:jc w:val="center"/>
              <w:rPr>
                <w:noProof/>
              </w:rPr>
            </w:pPr>
            <w:r>
              <w:rPr>
                <w:noProof/>
              </w:rPr>
              <w:t>Éve</w:t>
            </w:r>
          </w:p>
        </w:tc>
        <w:tc>
          <w:tcPr>
            <w:tcW w:w="2982" w:type="dxa"/>
            <w:vMerge/>
            <w:vAlign w:val="center"/>
          </w:tcPr>
          <w:p w14:paraId="7833DEE8" w14:textId="77777777" w:rsidR="003F5418" w:rsidRDefault="003F5418">
            <w:pPr>
              <w:rPr>
                <w:rFonts w:ascii="Arial Narrow" w:hAnsi="Arial Narrow"/>
                <w:b/>
                <w:noProof/>
                <w:color w:val="000000"/>
                <w:sz w:val="20"/>
              </w:rPr>
            </w:pPr>
          </w:p>
        </w:tc>
      </w:tr>
      <w:tr w:rsidR="003F5418" w14:paraId="28A59E6C" w14:textId="77777777">
        <w:trPr>
          <w:trHeight w:val="1965"/>
          <w:jc w:val="center"/>
        </w:trPr>
        <w:tc>
          <w:tcPr>
            <w:tcW w:w="1254" w:type="dxa"/>
            <w:shd w:val="clear" w:color="auto" w:fill="C6EFCE"/>
            <w:vAlign w:val="center"/>
            <w:hideMark/>
          </w:tcPr>
          <w:p w14:paraId="5EBB399B" w14:textId="77777777" w:rsidR="003F5418" w:rsidRDefault="002A6C25">
            <w:pPr>
              <w:pStyle w:val="P68B1DB1-Normal4"/>
              <w:jc w:val="center"/>
              <w:rPr>
                <w:noProof/>
              </w:rPr>
            </w:pPr>
            <w:r>
              <w:rPr>
                <w:noProof/>
              </w:rPr>
              <w:t>M5C1–17</w:t>
            </w:r>
          </w:p>
        </w:tc>
        <w:tc>
          <w:tcPr>
            <w:tcW w:w="1530" w:type="dxa"/>
            <w:shd w:val="clear" w:color="auto" w:fill="C6EFCE"/>
            <w:vAlign w:val="center"/>
            <w:hideMark/>
          </w:tcPr>
          <w:p w14:paraId="4F9DCE64" w14:textId="77777777" w:rsidR="003F5418" w:rsidRDefault="002A6C25">
            <w:pPr>
              <w:pStyle w:val="P68B1DB1-Normal4"/>
              <w:jc w:val="center"/>
              <w:rPr>
                <w:noProof/>
              </w:rPr>
            </w:pPr>
            <w:r>
              <w:rPr>
                <w:noProof/>
              </w:rPr>
              <w:t>Beruházás – Nők által kezdeményezett vállalkozások létrehozása</w:t>
            </w:r>
          </w:p>
        </w:tc>
        <w:tc>
          <w:tcPr>
            <w:tcW w:w="1179" w:type="dxa"/>
            <w:shd w:val="clear" w:color="auto" w:fill="C6EFCE"/>
            <w:vAlign w:val="center"/>
            <w:hideMark/>
          </w:tcPr>
          <w:p w14:paraId="7403BF6C" w14:textId="77777777" w:rsidR="003F5418" w:rsidRDefault="002A6C25">
            <w:pPr>
              <w:pStyle w:val="P68B1DB1-Normal4"/>
              <w:jc w:val="center"/>
              <w:rPr>
                <w:noProof/>
              </w:rPr>
            </w:pPr>
            <w:r>
              <w:rPr>
                <w:noProof/>
              </w:rPr>
              <w:t>Mérföldkő</w:t>
            </w:r>
          </w:p>
        </w:tc>
        <w:tc>
          <w:tcPr>
            <w:tcW w:w="1802" w:type="dxa"/>
            <w:shd w:val="clear" w:color="auto" w:fill="C6EFCE"/>
            <w:vAlign w:val="center"/>
            <w:hideMark/>
          </w:tcPr>
          <w:p w14:paraId="4ED37E0E" w14:textId="77777777" w:rsidR="003F5418" w:rsidRDefault="002A6C25">
            <w:pPr>
              <w:pStyle w:val="P68B1DB1-Normal4"/>
              <w:jc w:val="center"/>
              <w:rPr>
                <w:noProof/>
              </w:rPr>
            </w:pPr>
            <w:r>
              <w:rPr>
                <w:noProof/>
              </w:rPr>
              <w:t>Elfogadták a nők vállalkozói tevékenységét támogató alapot</w:t>
            </w:r>
          </w:p>
        </w:tc>
        <w:tc>
          <w:tcPr>
            <w:tcW w:w="1670" w:type="dxa"/>
            <w:shd w:val="clear" w:color="auto" w:fill="C6EFCE"/>
            <w:vAlign w:val="center"/>
            <w:hideMark/>
          </w:tcPr>
          <w:p w14:paraId="2297C79D" w14:textId="77777777" w:rsidR="003F5418" w:rsidRDefault="002A6C25">
            <w:pPr>
              <w:pStyle w:val="P68B1DB1-Normal4"/>
              <w:jc w:val="center"/>
              <w:rPr>
                <w:noProof/>
              </w:rPr>
            </w:pPr>
            <w:r>
              <w:rPr>
                <w:noProof/>
              </w:rPr>
              <w:t xml:space="preserve">A </w:t>
            </w:r>
            <w:r>
              <w:rPr>
                <w:noProof/>
              </w:rPr>
              <w:t>Bizottság jóváhagyja a „Fondo Impresa Donna” létrehozásáról szóló miniszteri rendeletet.</w:t>
            </w:r>
          </w:p>
        </w:tc>
        <w:tc>
          <w:tcPr>
            <w:tcW w:w="1037" w:type="dxa"/>
            <w:shd w:val="clear" w:color="auto" w:fill="C6EFCE"/>
            <w:vAlign w:val="center"/>
            <w:hideMark/>
          </w:tcPr>
          <w:p w14:paraId="33D1946C" w14:textId="77777777" w:rsidR="003F5418" w:rsidRDefault="002A6C25">
            <w:pPr>
              <w:pStyle w:val="P68B1DB1-Normal4"/>
              <w:jc w:val="center"/>
              <w:rPr>
                <w:noProof/>
              </w:rPr>
            </w:pPr>
            <w:r>
              <w:rPr>
                <w:noProof/>
              </w:rPr>
              <w:t>NINCS</w:t>
            </w:r>
          </w:p>
        </w:tc>
        <w:tc>
          <w:tcPr>
            <w:tcW w:w="999" w:type="dxa"/>
            <w:shd w:val="clear" w:color="auto" w:fill="C6EFCE"/>
            <w:vAlign w:val="center"/>
            <w:hideMark/>
          </w:tcPr>
          <w:p w14:paraId="0A37CA88" w14:textId="77777777" w:rsidR="003F5418" w:rsidRDefault="002A6C25">
            <w:pPr>
              <w:pStyle w:val="P68B1DB1-Normal4"/>
              <w:jc w:val="center"/>
              <w:rPr>
                <w:noProof/>
              </w:rPr>
            </w:pPr>
            <w:r>
              <w:rPr>
                <w:noProof/>
              </w:rPr>
              <w:t>NINCS</w:t>
            </w:r>
          </w:p>
        </w:tc>
        <w:tc>
          <w:tcPr>
            <w:tcW w:w="1189" w:type="dxa"/>
            <w:shd w:val="clear" w:color="auto" w:fill="C6EFCE"/>
            <w:vAlign w:val="center"/>
            <w:hideMark/>
          </w:tcPr>
          <w:p w14:paraId="196167F9" w14:textId="77777777" w:rsidR="003F5418" w:rsidRDefault="002A6C25">
            <w:pPr>
              <w:pStyle w:val="P68B1DB1-Normal4"/>
              <w:jc w:val="center"/>
              <w:rPr>
                <w:noProof/>
              </w:rPr>
            </w:pPr>
            <w:r>
              <w:rPr>
                <w:noProof/>
              </w:rPr>
              <w:t>NINCS</w:t>
            </w:r>
          </w:p>
        </w:tc>
        <w:tc>
          <w:tcPr>
            <w:tcW w:w="979" w:type="dxa"/>
            <w:shd w:val="clear" w:color="auto" w:fill="C6EFCE"/>
            <w:vAlign w:val="center"/>
            <w:hideMark/>
          </w:tcPr>
          <w:p w14:paraId="48DE8782" w14:textId="77777777" w:rsidR="003F5418" w:rsidRDefault="002A6C25">
            <w:pPr>
              <w:pStyle w:val="P68B1DB1-Normal4"/>
              <w:jc w:val="center"/>
              <w:rPr>
                <w:noProof/>
              </w:rPr>
            </w:pPr>
            <w:r>
              <w:rPr>
                <w:noProof/>
              </w:rPr>
              <w:t>Q3</w:t>
            </w:r>
          </w:p>
        </w:tc>
        <w:tc>
          <w:tcPr>
            <w:tcW w:w="689" w:type="dxa"/>
            <w:shd w:val="clear" w:color="auto" w:fill="C6EFCE"/>
            <w:vAlign w:val="center"/>
            <w:hideMark/>
          </w:tcPr>
          <w:p w14:paraId="1C016E14" w14:textId="77777777" w:rsidR="003F5418" w:rsidRDefault="002A6C25">
            <w:pPr>
              <w:pStyle w:val="P68B1DB1-Normal4"/>
              <w:jc w:val="center"/>
              <w:rPr>
                <w:noProof/>
              </w:rPr>
            </w:pPr>
            <w:r>
              <w:rPr>
                <w:noProof/>
              </w:rPr>
              <w:t>2021</w:t>
            </w:r>
          </w:p>
        </w:tc>
        <w:tc>
          <w:tcPr>
            <w:tcW w:w="2982" w:type="dxa"/>
            <w:shd w:val="clear" w:color="auto" w:fill="C6EFCE"/>
            <w:vAlign w:val="center"/>
            <w:hideMark/>
          </w:tcPr>
          <w:p w14:paraId="7DE8C5A9" w14:textId="77777777" w:rsidR="003F5418" w:rsidRDefault="002A6C25">
            <w:pPr>
              <w:pStyle w:val="P68B1DB1-Normal4"/>
              <w:rPr>
                <w:noProof/>
              </w:rPr>
            </w:pPr>
            <w:r>
              <w:rPr>
                <w:noProof/>
              </w:rPr>
              <w:t>A nők vállalkozói tevékenységét támogató alapot miniszteri rendelettel fogadják el, amely a Helyreállítási és Rezilienciaépítési Eszköz célki</w:t>
            </w:r>
            <w:r>
              <w:rPr>
                <w:noProof/>
              </w:rPr>
              <w:t>tűzéseivel összhangban támogathatósági kritériumokat állapít meg, beleértve a DNSH-elvet, valamint a finanszírozási megállapodás és a pénzügyi közvetítő(k)kel kötött operatív megállapodások aláírását.</w:t>
            </w:r>
          </w:p>
          <w:p w14:paraId="65F3E0C6" w14:textId="77777777" w:rsidR="003F5418" w:rsidRDefault="003F5418">
            <w:pPr>
              <w:rPr>
                <w:rFonts w:ascii="Arial Narrow" w:hAnsi="Arial Narrow"/>
                <w:noProof/>
                <w:color w:val="006100"/>
                <w:sz w:val="20"/>
              </w:rPr>
            </w:pPr>
          </w:p>
          <w:p w14:paraId="5802F9D9" w14:textId="77777777" w:rsidR="003F5418" w:rsidRDefault="002A6C25">
            <w:pPr>
              <w:pStyle w:val="P68B1DB1-Normal4"/>
              <w:rPr>
                <w:noProof/>
              </w:rPr>
            </w:pPr>
            <w:r>
              <w:rPr>
                <w:noProof/>
              </w:rPr>
              <w:t>Ezek az alapok alkotják a „Fondo Impresa Donna”-t, ame</w:t>
            </w:r>
            <w:r>
              <w:rPr>
                <w:noProof/>
              </w:rPr>
              <w:t>ly a női vállalkozások támogatását célzó egyedi intézkedést hajtja végre. A Gazdaságfejlesztési Minisztérium és a PCM esélyegyenlőségi osztálya előzetesen megállapodik a végrehajtási intézkedésekről, amelyek célja:</w:t>
            </w:r>
          </w:p>
          <w:p w14:paraId="0537E595" w14:textId="77777777" w:rsidR="003F5418" w:rsidRDefault="002A6C25">
            <w:pPr>
              <w:pStyle w:val="P68B1DB1-Normal4"/>
              <w:rPr>
                <w:noProof/>
              </w:rPr>
            </w:pPr>
            <w:r>
              <w:rPr>
                <w:noProof/>
              </w:rPr>
              <w:t>– a Gazdaságfejlesztési Minisztérium bels</w:t>
            </w:r>
            <w:r>
              <w:rPr>
                <w:noProof/>
              </w:rPr>
              <w:t>ő szervei (pl. NITO-ON, Smart &amp; Start) által már irányított meglévő intézkedések megerősítése egy olyan tőkeinjekció révén, amelyet kizárólag a női vállalkozások számára tartanak fenn;</w:t>
            </w:r>
          </w:p>
          <w:p w14:paraId="4C6F403F" w14:textId="77777777" w:rsidR="003F5418" w:rsidRDefault="002A6C25">
            <w:pPr>
              <w:pStyle w:val="P68B1DB1-Normal4"/>
              <w:rPr>
                <w:noProof/>
              </w:rPr>
            </w:pPr>
            <w:r>
              <w:rPr>
                <w:noProof/>
              </w:rPr>
              <w:t>– a 2021. évi költségvetési törvénnyel létrehozott női vállalkozási ala</w:t>
            </w:r>
            <w:r>
              <w:rPr>
                <w:noProof/>
              </w:rPr>
              <w:t>p kiegészítésének biztosítása (2022. harmadik negyedévétől);</w:t>
            </w:r>
          </w:p>
          <w:p w14:paraId="630096CA" w14:textId="77777777" w:rsidR="003F5418" w:rsidRDefault="002A6C25">
            <w:pPr>
              <w:pStyle w:val="P68B1DB1-Normal4"/>
              <w:rPr>
                <w:noProof/>
              </w:rPr>
            </w:pPr>
            <w:r>
              <w:rPr>
                <w:noProof/>
              </w:rPr>
              <w:t>kísérő intézkedések, nyomonkövetési és kommunikációs kampányok kidolgozása. A PCM esélyegyenlőségi osztálya többéves tájékoztató kampányt hajt végre a nők vállalkozói készségének előmozdítása érd</w:t>
            </w:r>
            <w:r>
              <w:rPr>
                <w:noProof/>
              </w:rPr>
              <w:t>ekében, a nők és az egyetemeken tanuló nők számára pályaorientációs tevékenységeket végez olyan tárgyak és szakmák tekintetében, amelyekben a nők alulreprezentáltak, valamint kommunikációs platform létrehozása céljából.</w:t>
            </w:r>
          </w:p>
        </w:tc>
      </w:tr>
      <w:tr w:rsidR="003F5418" w14:paraId="02911E13" w14:textId="77777777">
        <w:trPr>
          <w:trHeight w:val="845"/>
          <w:jc w:val="center"/>
        </w:trPr>
        <w:tc>
          <w:tcPr>
            <w:tcW w:w="1254" w:type="dxa"/>
            <w:shd w:val="clear" w:color="auto" w:fill="C6EFCE"/>
            <w:vAlign w:val="center"/>
            <w:hideMark/>
          </w:tcPr>
          <w:p w14:paraId="74BB634F" w14:textId="77777777" w:rsidR="003F5418" w:rsidRDefault="002A6C25">
            <w:pPr>
              <w:pStyle w:val="P68B1DB1-Normal4"/>
              <w:jc w:val="center"/>
              <w:rPr>
                <w:noProof/>
              </w:rPr>
            </w:pPr>
            <w:r>
              <w:rPr>
                <w:noProof/>
              </w:rPr>
              <w:t>M5C1–18</w:t>
            </w:r>
          </w:p>
        </w:tc>
        <w:tc>
          <w:tcPr>
            <w:tcW w:w="1530" w:type="dxa"/>
            <w:shd w:val="clear" w:color="auto" w:fill="C6EFCE"/>
            <w:vAlign w:val="center"/>
            <w:hideMark/>
          </w:tcPr>
          <w:p w14:paraId="53DDB1E1" w14:textId="77777777" w:rsidR="003F5418" w:rsidRDefault="002A6C25">
            <w:pPr>
              <w:pStyle w:val="P68B1DB1-Normal4"/>
              <w:jc w:val="center"/>
              <w:rPr>
                <w:noProof/>
              </w:rPr>
            </w:pPr>
            <w:r>
              <w:rPr>
                <w:noProof/>
              </w:rPr>
              <w:t xml:space="preserve">Beruházás – Nők által </w:t>
            </w:r>
            <w:r>
              <w:rPr>
                <w:noProof/>
              </w:rPr>
              <w:t>kezdeményezett vállalkozások létrehozása</w:t>
            </w:r>
          </w:p>
        </w:tc>
        <w:tc>
          <w:tcPr>
            <w:tcW w:w="1179" w:type="dxa"/>
            <w:shd w:val="clear" w:color="auto" w:fill="C6EFCE"/>
            <w:vAlign w:val="center"/>
            <w:hideMark/>
          </w:tcPr>
          <w:p w14:paraId="7AFDD908" w14:textId="77777777" w:rsidR="003F5418" w:rsidRDefault="002A6C25">
            <w:pPr>
              <w:pStyle w:val="P68B1DB1-Normal4"/>
              <w:jc w:val="center"/>
              <w:rPr>
                <w:noProof/>
              </w:rPr>
            </w:pPr>
            <w:r>
              <w:rPr>
                <w:noProof/>
              </w:rPr>
              <w:t>Cél</w:t>
            </w:r>
          </w:p>
        </w:tc>
        <w:tc>
          <w:tcPr>
            <w:tcW w:w="1802" w:type="dxa"/>
            <w:shd w:val="clear" w:color="auto" w:fill="C6EFCE"/>
            <w:vAlign w:val="center"/>
            <w:hideMark/>
          </w:tcPr>
          <w:p w14:paraId="777BEF01" w14:textId="77777777" w:rsidR="003F5418" w:rsidRDefault="002A6C25">
            <w:pPr>
              <w:pStyle w:val="P68B1DB1-Normal4"/>
              <w:jc w:val="center"/>
              <w:rPr>
                <w:noProof/>
              </w:rPr>
            </w:pPr>
            <w:r>
              <w:rPr>
                <w:noProof/>
              </w:rPr>
              <w:t xml:space="preserve"> A vállalkozásoknak nyújtandó pénzügyi támogatásra kötelezettséget vállaltak </w:t>
            </w:r>
          </w:p>
        </w:tc>
        <w:tc>
          <w:tcPr>
            <w:tcW w:w="1670" w:type="dxa"/>
            <w:shd w:val="clear" w:color="auto" w:fill="C6EFCE"/>
            <w:vAlign w:val="center"/>
            <w:hideMark/>
          </w:tcPr>
          <w:p w14:paraId="688CF72A" w14:textId="77777777" w:rsidR="003F5418" w:rsidRDefault="002A6C25">
            <w:pPr>
              <w:pStyle w:val="P68B1DB1-Normal4"/>
              <w:jc w:val="center"/>
              <w:rPr>
                <w:noProof/>
              </w:rPr>
            </w:pPr>
            <w:r>
              <w:rPr>
                <w:noProof/>
              </w:rPr>
              <w:t>NINCS</w:t>
            </w:r>
          </w:p>
        </w:tc>
        <w:tc>
          <w:tcPr>
            <w:tcW w:w="1037" w:type="dxa"/>
            <w:shd w:val="clear" w:color="auto" w:fill="C6EFCE"/>
            <w:vAlign w:val="center"/>
            <w:hideMark/>
          </w:tcPr>
          <w:p w14:paraId="02F30591" w14:textId="77777777" w:rsidR="003F5418" w:rsidRDefault="002A6C25">
            <w:pPr>
              <w:pStyle w:val="P68B1DB1-Normal4"/>
              <w:jc w:val="center"/>
              <w:rPr>
                <w:noProof/>
              </w:rPr>
            </w:pPr>
            <w:r>
              <w:rPr>
                <w:noProof/>
              </w:rPr>
              <w:t>Szám</w:t>
            </w:r>
          </w:p>
        </w:tc>
        <w:tc>
          <w:tcPr>
            <w:tcW w:w="999" w:type="dxa"/>
            <w:shd w:val="clear" w:color="auto" w:fill="C6EFCE"/>
            <w:vAlign w:val="center"/>
            <w:hideMark/>
          </w:tcPr>
          <w:p w14:paraId="40293017" w14:textId="77777777" w:rsidR="003F5418" w:rsidRDefault="002A6C25">
            <w:pPr>
              <w:pStyle w:val="P68B1DB1-Normal4"/>
              <w:jc w:val="center"/>
              <w:rPr>
                <w:noProof/>
              </w:rPr>
            </w:pPr>
            <w:r>
              <w:rPr>
                <w:noProof/>
              </w:rPr>
              <w:t>0</w:t>
            </w:r>
          </w:p>
        </w:tc>
        <w:tc>
          <w:tcPr>
            <w:tcW w:w="1189" w:type="dxa"/>
            <w:shd w:val="clear" w:color="auto" w:fill="C6EFCE"/>
            <w:vAlign w:val="center"/>
            <w:hideMark/>
          </w:tcPr>
          <w:p w14:paraId="0726C6D7" w14:textId="77777777" w:rsidR="003F5418" w:rsidRDefault="002A6C25">
            <w:pPr>
              <w:pStyle w:val="P68B1DB1-Normal4"/>
              <w:jc w:val="center"/>
              <w:rPr>
                <w:noProof/>
              </w:rPr>
            </w:pPr>
            <w:r>
              <w:rPr>
                <w:noProof/>
              </w:rPr>
              <w:t>700</w:t>
            </w:r>
          </w:p>
        </w:tc>
        <w:tc>
          <w:tcPr>
            <w:tcW w:w="979" w:type="dxa"/>
            <w:shd w:val="clear" w:color="auto" w:fill="C6EFCE"/>
            <w:vAlign w:val="center"/>
            <w:hideMark/>
          </w:tcPr>
          <w:p w14:paraId="75A6E079" w14:textId="77777777" w:rsidR="003F5418" w:rsidRDefault="002A6C25">
            <w:pPr>
              <w:pStyle w:val="P68B1DB1-Normal4"/>
              <w:jc w:val="center"/>
              <w:rPr>
                <w:noProof/>
              </w:rPr>
            </w:pPr>
            <w:r>
              <w:rPr>
                <w:noProof/>
              </w:rPr>
              <w:t>Q2</w:t>
            </w:r>
          </w:p>
        </w:tc>
        <w:tc>
          <w:tcPr>
            <w:tcW w:w="689" w:type="dxa"/>
            <w:shd w:val="clear" w:color="auto" w:fill="C6EFCE"/>
            <w:vAlign w:val="center"/>
            <w:hideMark/>
          </w:tcPr>
          <w:p w14:paraId="1DFE6EE8" w14:textId="77777777" w:rsidR="003F5418" w:rsidRDefault="002A6C25">
            <w:pPr>
              <w:pStyle w:val="P68B1DB1-Normal4"/>
              <w:jc w:val="center"/>
              <w:rPr>
                <w:noProof/>
              </w:rPr>
            </w:pPr>
            <w:r>
              <w:rPr>
                <w:noProof/>
              </w:rPr>
              <w:t>2023</w:t>
            </w:r>
          </w:p>
        </w:tc>
        <w:tc>
          <w:tcPr>
            <w:tcW w:w="2982" w:type="dxa"/>
            <w:shd w:val="clear" w:color="auto" w:fill="C6EFCE"/>
            <w:vAlign w:val="center"/>
            <w:hideMark/>
          </w:tcPr>
          <w:p w14:paraId="44F171F4" w14:textId="77777777" w:rsidR="003F5418" w:rsidRDefault="002A6C25">
            <w:pPr>
              <w:pStyle w:val="P68B1DB1-Normal4"/>
              <w:rPr>
                <w:noProof/>
              </w:rPr>
            </w:pPr>
            <w:r>
              <w:rPr>
                <w:noProof/>
              </w:rPr>
              <w:t xml:space="preserve">Az alapértékhez képest legalább 700 további vállalkozás pénzügyi támogatására vállaltak kötelezettséget. </w:t>
            </w:r>
          </w:p>
          <w:p w14:paraId="7DAD75E7" w14:textId="77777777" w:rsidR="003F5418" w:rsidRDefault="002A6C25">
            <w:pPr>
              <w:pStyle w:val="P68B1DB1-Normal4"/>
              <w:rPr>
                <w:noProof/>
              </w:rPr>
            </w:pPr>
            <w:r>
              <w:rPr>
                <w:noProof/>
              </w:rPr>
              <w:t xml:space="preserve">A </w:t>
            </w:r>
            <w:r>
              <w:rPr>
                <w:noProof/>
              </w:rPr>
              <w:t>női vállalkozók támogatásának végrehajtása már aktív eszközökön (NITO-ON, Smart &amp; Start) és a 2021. évi költségvetési törvény által létrehozott új alapon (a nők vállalkozásait 2020 novemberéig a meglévő pénzügyi eszközök támogatják kiindulási alapként).</w:t>
            </w:r>
          </w:p>
        </w:tc>
      </w:tr>
      <w:tr w:rsidR="003F5418" w14:paraId="6CED1DBB" w14:textId="77777777">
        <w:trPr>
          <w:trHeight w:val="703"/>
          <w:jc w:val="center"/>
        </w:trPr>
        <w:tc>
          <w:tcPr>
            <w:tcW w:w="1254" w:type="dxa"/>
            <w:shd w:val="clear" w:color="auto" w:fill="C6EFCE"/>
            <w:vAlign w:val="center"/>
            <w:hideMark/>
          </w:tcPr>
          <w:p w14:paraId="143B7BD2" w14:textId="77777777" w:rsidR="003F5418" w:rsidRDefault="002A6C25">
            <w:pPr>
              <w:pStyle w:val="P68B1DB1-Normal4"/>
              <w:jc w:val="center"/>
              <w:rPr>
                <w:noProof/>
              </w:rPr>
            </w:pPr>
            <w:r>
              <w:rPr>
                <w:noProof/>
              </w:rPr>
              <w:t>M5C1–19</w:t>
            </w:r>
          </w:p>
        </w:tc>
        <w:tc>
          <w:tcPr>
            <w:tcW w:w="1530" w:type="dxa"/>
            <w:shd w:val="clear" w:color="auto" w:fill="C6EFCE"/>
            <w:vAlign w:val="center"/>
            <w:hideMark/>
          </w:tcPr>
          <w:p w14:paraId="4909F49E" w14:textId="77777777" w:rsidR="003F5418" w:rsidRDefault="002A6C25">
            <w:pPr>
              <w:pStyle w:val="P68B1DB1-Normal4"/>
              <w:jc w:val="center"/>
              <w:rPr>
                <w:noProof/>
              </w:rPr>
            </w:pPr>
            <w:r>
              <w:rPr>
                <w:noProof/>
              </w:rPr>
              <w:t>Beruházás – Nők által kezdeményezett vállalkozások létrehozása</w:t>
            </w:r>
          </w:p>
        </w:tc>
        <w:tc>
          <w:tcPr>
            <w:tcW w:w="1179" w:type="dxa"/>
            <w:shd w:val="clear" w:color="auto" w:fill="C6EFCE"/>
            <w:vAlign w:val="center"/>
            <w:hideMark/>
          </w:tcPr>
          <w:p w14:paraId="1DFA2D43" w14:textId="77777777" w:rsidR="003F5418" w:rsidRDefault="002A6C25">
            <w:pPr>
              <w:pStyle w:val="P68B1DB1-Normal4"/>
              <w:jc w:val="center"/>
              <w:rPr>
                <w:noProof/>
              </w:rPr>
            </w:pPr>
            <w:r>
              <w:rPr>
                <w:noProof/>
              </w:rPr>
              <w:t>Cél</w:t>
            </w:r>
          </w:p>
        </w:tc>
        <w:tc>
          <w:tcPr>
            <w:tcW w:w="1802" w:type="dxa"/>
            <w:shd w:val="clear" w:color="auto" w:fill="C6EFCE"/>
            <w:vAlign w:val="center"/>
            <w:hideMark/>
          </w:tcPr>
          <w:p w14:paraId="21A73158" w14:textId="77777777" w:rsidR="003F5418" w:rsidRDefault="002A6C25">
            <w:pPr>
              <w:pStyle w:val="P68B1DB1-Normal4"/>
              <w:jc w:val="center"/>
              <w:rPr>
                <w:noProof/>
              </w:rPr>
            </w:pPr>
            <w:r>
              <w:rPr>
                <w:noProof/>
              </w:rPr>
              <w:t>A vonatkozó beruházási politikában meghatározott vállalkozások pénzügyi támogatásban részesültek</w:t>
            </w:r>
          </w:p>
        </w:tc>
        <w:tc>
          <w:tcPr>
            <w:tcW w:w="1670" w:type="dxa"/>
            <w:shd w:val="clear" w:color="auto" w:fill="C6EFCE"/>
            <w:vAlign w:val="center"/>
            <w:hideMark/>
          </w:tcPr>
          <w:p w14:paraId="261CB3D1" w14:textId="77777777" w:rsidR="003F5418" w:rsidRDefault="002A6C25">
            <w:pPr>
              <w:pStyle w:val="P68B1DB1-Normal4"/>
              <w:jc w:val="center"/>
              <w:rPr>
                <w:noProof/>
              </w:rPr>
            </w:pPr>
            <w:r>
              <w:rPr>
                <w:noProof/>
              </w:rPr>
              <w:t>NINCS</w:t>
            </w:r>
          </w:p>
        </w:tc>
        <w:tc>
          <w:tcPr>
            <w:tcW w:w="1037" w:type="dxa"/>
            <w:shd w:val="clear" w:color="auto" w:fill="C6EFCE"/>
            <w:vAlign w:val="center"/>
            <w:hideMark/>
          </w:tcPr>
          <w:p w14:paraId="362B3144" w14:textId="77777777" w:rsidR="003F5418" w:rsidRDefault="002A6C25">
            <w:pPr>
              <w:pStyle w:val="P68B1DB1-Normal4"/>
              <w:jc w:val="center"/>
              <w:rPr>
                <w:noProof/>
              </w:rPr>
            </w:pPr>
            <w:r>
              <w:rPr>
                <w:noProof/>
              </w:rPr>
              <w:t>Szám</w:t>
            </w:r>
          </w:p>
        </w:tc>
        <w:tc>
          <w:tcPr>
            <w:tcW w:w="999" w:type="dxa"/>
            <w:shd w:val="clear" w:color="auto" w:fill="C6EFCE"/>
            <w:vAlign w:val="center"/>
            <w:hideMark/>
          </w:tcPr>
          <w:p w14:paraId="320DDD76" w14:textId="77777777" w:rsidR="003F5418" w:rsidRDefault="002A6C25">
            <w:pPr>
              <w:pStyle w:val="P68B1DB1-Normal4"/>
              <w:jc w:val="center"/>
              <w:rPr>
                <w:noProof/>
              </w:rPr>
            </w:pPr>
            <w:r>
              <w:rPr>
                <w:noProof/>
              </w:rPr>
              <w:t>0</w:t>
            </w:r>
          </w:p>
        </w:tc>
        <w:tc>
          <w:tcPr>
            <w:tcW w:w="1189" w:type="dxa"/>
            <w:shd w:val="clear" w:color="auto" w:fill="C6EFCE"/>
            <w:vAlign w:val="center"/>
            <w:hideMark/>
          </w:tcPr>
          <w:p w14:paraId="58F5D6F3" w14:textId="77777777" w:rsidR="003F5418" w:rsidRDefault="002A6C25">
            <w:pPr>
              <w:pStyle w:val="P68B1DB1-Normal4"/>
              <w:jc w:val="center"/>
              <w:rPr>
                <w:noProof/>
              </w:rPr>
            </w:pPr>
            <w:r>
              <w:rPr>
                <w:noProof/>
              </w:rPr>
              <w:t>2 400</w:t>
            </w:r>
          </w:p>
        </w:tc>
        <w:tc>
          <w:tcPr>
            <w:tcW w:w="979" w:type="dxa"/>
            <w:shd w:val="clear" w:color="auto" w:fill="C6EFCE"/>
            <w:vAlign w:val="center"/>
            <w:hideMark/>
          </w:tcPr>
          <w:p w14:paraId="6A44155F" w14:textId="77777777" w:rsidR="003F5418" w:rsidRDefault="002A6C25">
            <w:pPr>
              <w:pStyle w:val="P68B1DB1-Normal4"/>
              <w:jc w:val="center"/>
              <w:rPr>
                <w:noProof/>
              </w:rPr>
            </w:pPr>
            <w:r>
              <w:rPr>
                <w:noProof/>
              </w:rPr>
              <w:t>Q2</w:t>
            </w:r>
          </w:p>
        </w:tc>
        <w:tc>
          <w:tcPr>
            <w:tcW w:w="689" w:type="dxa"/>
            <w:shd w:val="clear" w:color="auto" w:fill="C6EFCE"/>
            <w:vAlign w:val="center"/>
            <w:hideMark/>
          </w:tcPr>
          <w:p w14:paraId="50F4C955" w14:textId="77777777" w:rsidR="003F5418" w:rsidRDefault="002A6C25">
            <w:pPr>
              <w:pStyle w:val="P68B1DB1-Normal4"/>
              <w:jc w:val="center"/>
              <w:rPr>
                <w:noProof/>
              </w:rPr>
            </w:pPr>
            <w:r>
              <w:rPr>
                <w:noProof/>
              </w:rPr>
              <w:t>2026</w:t>
            </w:r>
          </w:p>
        </w:tc>
        <w:tc>
          <w:tcPr>
            <w:tcW w:w="2982" w:type="dxa"/>
            <w:shd w:val="clear" w:color="auto" w:fill="C6EFCE"/>
            <w:vAlign w:val="center"/>
            <w:hideMark/>
          </w:tcPr>
          <w:p w14:paraId="59DCAA54" w14:textId="77777777" w:rsidR="003F5418" w:rsidRDefault="002A6C25">
            <w:pPr>
              <w:pStyle w:val="P68B1DB1-Normal4"/>
              <w:rPr>
                <w:noProof/>
              </w:rPr>
            </w:pPr>
            <w:r>
              <w:rPr>
                <w:noProof/>
              </w:rPr>
              <w:t xml:space="preserve">A vonatkozó beruházási politikában meghatározottak </w:t>
            </w:r>
            <w:r>
              <w:rPr>
                <w:noProof/>
              </w:rPr>
              <w:t>szerint legalább 2400 vállalkozásnak folyósítottak pénzügyi támogatást.</w:t>
            </w:r>
          </w:p>
          <w:p w14:paraId="017F3A4D" w14:textId="77777777" w:rsidR="003F5418" w:rsidRDefault="003F5418">
            <w:pPr>
              <w:rPr>
                <w:rFonts w:ascii="Arial Narrow" w:hAnsi="Arial Narrow"/>
                <w:noProof/>
                <w:color w:val="006100"/>
                <w:sz w:val="20"/>
              </w:rPr>
            </w:pPr>
          </w:p>
          <w:p w14:paraId="08EC5107" w14:textId="77777777" w:rsidR="003F5418" w:rsidRDefault="002A6C25">
            <w:pPr>
              <w:pStyle w:val="P68B1DB1-Normal4"/>
              <w:rPr>
                <w:noProof/>
              </w:rPr>
            </w:pPr>
            <w:r>
              <w:rPr>
                <w:noProof/>
              </w:rPr>
              <w:t>A női vállalkozások támogatását már aktív eszközök (NITO-ON, Smart &amp; Start) és a 2021. évi költségvetési törvénnyel létrehozott új alap révén hajtják végre.</w:t>
            </w:r>
          </w:p>
        </w:tc>
      </w:tr>
    </w:tbl>
    <w:p w14:paraId="5F9A905F" w14:textId="77777777" w:rsidR="003F5418" w:rsidRDefault="003F5418">
      <w:pPr>
        <w:rPr>
          <w:rFonts w:ascii="Arial Narrow" w:hAnsi="Arial Narrow"/>
          <w:noProof/>
        </w:rPr>
      </w:pPr>
    </w:p>
    <w:p w14:paraId="47A1714A" w14:textId="77777777" w:rsidR="003F5418" w:rsidRDefault="003F5418">
      <w:pPr>
        <w:tabs>
          <w:tab w:val="left" w:pos="4252"/>
        </w:tabs>
        <w:rPr>
          <w:i/>
          <w:noProof/>
        </w:rPr>
      </w:pPr>
    </w:p>
    <w:p w14:paraId="1784097D" w14:textId="77777777" w:rsidR="003F5418" w:rsidRDefault="003F5418">
      <w:pPr>
        <w:tabs>
          <w:tab w:val="left" w:pos="4252"/>
        </w:tabs>
        <w:rPr>
          <w:i/>
          <w:noProof/>
        </w:rPr>
        <w:sectPr w:rsidR="003F5418">
          <w:headerReference w:type="even" r:id="rId320"/>
          <w:headerReference w:type="default" r:id="rId321"/>
          <w:footerReference w:type="even" r:id="rId322"/>
          <w:footerReference w:type="default" r:id="rId323"/>
          <w:headerReference w:type="first" r:id="rId324"/>
          <w:footerReference w:type="first" r:id="rId325"/>
          <w:pgSz w:w="16838" w:h="11906" w:orient="landscape" w:code="9"/>
          <w:pgMar w:top="1134" w:right="1134" w:bottom="1134" w:left="1134" w:header="567" w:footer="567" w:gutter="0"/>
          <w:cols w:space="720"/>
          <w:docGrid w:linePitch="360"/>
        </w:sectPr>
      </w:pPr>
    </w:p>
    <w:p w14:paraId="3F6CBF93" w14:textId="77777777" w:rsidR="003F5418" w:rsidRDefault="002A6C25">
      <w:pPr>
        <w:pStyle w:val="Heading2"/>
        <w:numPr>
          <w:ilvl w:val="0"/>
          <w:numId w:val="0"/>
        </w:numPr>
        <w:ind w:left="850" w:hanging="850"/>
        <w:rPr>
          <w:noProof/>
        </w:rPr>
      </w:pPr>
      <w:r>
        <w:rPr>
          <w:noProof/>
        </w:rPr>
        <w:t>M. 5. KÜLDETÉS, 2. KOMPONENS: Szociális infrastruktúrák, családok, közösségek és harmadik szektor</w:t>
      </w:r>
    </w:p>
    <w:p w14:paraId="49FE48F6" w14:textId="77777777" w:rsidR="003F5418" w:rsidRDefault="002A6C25">
      <w:pPr>
        <w:spacing w:before="120" w:after="120"/>
        <w:jc w:val="both"/>
        <w:rPr>
          <w:noProof/>
        </w:rPr>
      </w:pPr>
      <w:r>
        <w:rPr>
          <w:noProof/>
        </w:rPr>
        <w:t xml:space="preserve">Az ebben az alkotóelemben foglalt tervezett reformok és beruházások célja a reziliencia megerősítése </w:t>
      </w:r>
      <w:r>
        <w:rPr>
          <w:noProof/>
        </w:rPr>
        <w:t>a legkiszolgáltatottabbak integrációjának és befogadásának támogatása révén, az egyéni, családi és társadalmi dimenziók mentén. Ez a komponens nemzeti stratégiát biztosít a veszélyeztetett népességcsoportok aktív befogadására. E komponens célkitűzései a kö</w:t>
      </w:r>
      <w:r>
        <w:rPr>
          <w:noProof/>
        </w:rPr>
        <w:t>vetkezők: I. az integrált szociális szolgáltatások szerepének megerősítése a családok, kiskorúak és serdülők támogatása, a szülői készségek támogatása, valamint a kiszolgáltatott családok és a fogyatékossággal élő személyek védelme érdekében, többek között</w:t>
      </w:r>
      <w:r>
        <w:rPr>
          <w:noProof/>
        </w:rPr>
        <w:t xml:space="preserve"> a harmadik ágazatot érintő szociális infrastruktúrák megerősítése révén; A fogyatékossággal élő személyek autonómiájának javítása közösségi és otthoni szociális és egészségügyi szolgáltatások nyújtásával, valamint a lakhatáshoz és a munkalehetőségekhez va</w:t>
      </w:r>
      <w:r>
        <w:rPr>
          <w:noProof/>
        </w:rPr>
        <w:t>ló hozzáférés akadályainak felszámolásával; Iii. a rendkívül marginalizálódott és elégtelen lakáskörülmények (pl. hajléktalanok) befogadásának javítása az ideiglenes lakhatási segítségnyújtási létesítmények és szolgáltatások szélesebb körű kínálata, az aut</w:t>
      </w:r>
      <w:r>
        <w:rPr>
          <w:noProof/>
        </w:rPr>
        <w:t>onómia és a személyes reziliencia felé vezető, személyre szabott utak révén; A megfizethetőbb köz- és magánlakások elérhetőségének, valamint a városi és területi rehabilitációnak a megerősítése; V. a legkiszolgáltatottabbak ellenálló képességének fejleszté</w:t>
      </w:r>
      <w:r>
        <w:rPr>
          <w:noProof/>
        </w:rPr>
        <w:t>se a sportkultúra terjesztése és a sportinfrastruktúrák létrehozása révén olyan városi parkok létrehozása révén, ahol a sporttevékenységek a közösségek javát szolgáló szórakoztatási tevékenységekkel kombinálhatók.</w:t>
      </w:r>
    </w:p>
    <w:p w14:paraId="3B41E80C" w14:textId="77777777" w:rsidR="003F5418" w:rsidRDefault="002A6C25">
      <w:pPr>
        <w:spacing w:before="120" w:after="120"/>
        <w:jc w:val="both"/>
        <w:rPr>
          <w:noProof/>
        </w:rPr>
      </w:pPr>
      <w:r>
        <w:rPr>
          <w:noProof/>
        </w:rPr>
        <w:t>Ezen intézkedések végrehajtása várhatóan h</w:t>
      </w:r>
      <w:r>
        <w:rPr>
          <w:noProof/>
        </w:rPr>
        <w:t>ozzájárul a szociálpolitikáról szóló 2019. évi országspecifikus ajánlás 2 által lefedett kihívások kezeléséhez, amelyben Olaszországot arra sürgetik, hogy „gondoskodjon [...] a szociálpolitikák hatékony integrálásáról és különösen a fiatalok és a kiszolgál</w:t>
      </w:r>
      <w:r>
        <w:rPr>
          <w:noProof/>
        </w:rPr>
        <w:t xml:space="preserve">tatott csoportok megszólításáról”, valamint a 2020. évi országspecifikus ajánlás 2. pontjában foglalt kihívások kezeléséhez, hogy „megfelelő hozzáférést biztosítsanak a szociális védelemhez”. </w:t>
      </w:r>
    </w:p>
    <w:p w14:paraId="6A6FF6AA"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M.1. </w:t>
      </w:r>
      <w:r>
        <w:rPr>
          <w:noProof/>
        </w:rPr>
        <w:t xml:space="preserve"> </w:t>
      </w:r>
      <w:r>
        <w:rPr>
          <w:b/>
          <w:i w:val="0"/>
          <w:noProof/>
          <w:u w:val="single"/>
        </w:rPr>
        <w:t>Vissza nem térítendő pénzügyi támogatás – a reformok és b</w:t>
      </w:r>
      <w:r>
        <w:rPr>
          <w:b/>
          <w:i w:val="0"/>
          <w:noProof/>
          <w:u w:val="single"/>
        </w:rPr>
        <w:t>eruházások ismertetése</w:t>
      </w:r>
    </w:p>
    <w:p w14:paraId="6456BD95" w14:textId="6DEA15F9" w:rsidR="003F5418" w:rsidRDefault="00AF4CCB">
      <w:pPr>
        <w:pStyle w:val="P68B1DB1-Normal2"/>
        <w:spacing w:before="120" w:after="120"/>
        <w:jc w:val="both"/>
        <w:rPr>
          <w:rFonts w:eastAsia="Calibri"/>
          <w:noProof/>
        </w:rPr>
      </w:pPr>
      <w:r>
        <w:rPr>
          <w:noProof/>
        </w:rPr>
        <w:t>1</w:t>
      </w:r>
      <w:r w:rsidRPr="00B07E42">
        <w:rPr>
          <w:noProof/>
        </w:rPr>
        <w:t>.</w:t>
      </w:r>
      <w:r>
        <w:rPr>
          <w:noProof/>
        </w:rPr>
        <w:t xml:space="preserve"> Reform – A fogyatékosságról szóló kerettörvény</w:t>
      </w:r>
    </w:p>
    <w:p w14:paraId="6EB3F78F" w14:textId="77777777" w:rsidR="003F5418" w:rsidRDefault="002A6C25">
      <w:pPr>
        <w:spacing w:before="120" w:after="120"/>
        <w:jc w:val="both"/>
        <w:rPr>
          <w:rFonts w:eastAsia="Calibri"/>
          <w:noProof/>
        </w:rPr>
      </w:pPr>
      <w:r>
        <w:rPr>
          <w:noProof/>
        </w:rPr>
        <w:t>A reform fő célja a fogyatékossággal kapcsolatos jogszabályok módosítása, valamint az intézményesítettség (azaz az állami vagy magánintézményekből családjukba vagy közösségi otthonokb</w:t>
      </w:r>
      <w:r>
        <w:rPr>
          <w:noProof/>
        </w:rPr>
        <w:t>a való áthelyezése) és a fogyatékossággal élő személyek önállóságának előmozdítása. Ez magában foglalja (I) a szociális szolgáltatások kínálatának megerősítését, (II) a szociális és egészségügyi szolgáltatásokhoz való hozzáférés egyszerűsítését, iii. a fog</w:t>
      </w:r>
      <w:r>
        <w:rPr>
          <w:noProof/>
        </w:rPr>
        <w:t xml:space="preserve">yatékosság értékelésének reformját, (IV) az önálló életviteli projektek előmozdítását, V) a többdimenziós szükségletekkel rendelkező, fogyatékossággal élő személyeket esetlegesen támogató szakértői csoportok munkájának előmozdítását. </w:t>
      </w:r>
    </w:p>
    <w:p w14:paraId="092D2183" w14:textId="65CC45AE" w:rsidR="003F5418" w:rsidRDefault="00AF4CCB">
      <w:pPr>
        <w:pStyle w:val="P68B1DB1-Normal2"/>
        <w:spacing w:before="120" w:after="120"/>
        <w:jc w:val="both"/>
        <w:rPr>
          <w:rFonts w:eastAsia="Calibri"/>
          <w:noProof/>
        </w:rPr>
      </w:pPr>
      <w:r>
        <w:rPr>
          <w:noProof/>
        </w:rPr>
        <w:t>2</w:t>
      </w:r>
      <w:r w:rsidRPr="00B07E42">
        <w:rPr>
          <w:noProof/>
        </w:rPr>
        <w:t>.</w:t>
      </w:r>
      <w:r>
        <w:rPr>
          <w:noProof/>
        </w:rPr>
        <w:t xml:space="preserve"> Reform – Az önellátó idősek reformja</w:t>
      </w:r>
    </w:p>
    <w:p w14:paraId="236B5C1C" w14:textId="77777777" w:rsidR="003F5418" w:rsidRDefault="002A6C25">
      <w:pPr>
        <w:spacing w:before="120" w:after="120"/>
        <w:jc w:val="both"/>
        <w:rPr>
          <w:rFonts w:eastAsia="Calibri"/>
          <w:noProof/>
        </w:rPr>
      </w:pPr>
      <w:r>
        <w:rPr>
          <w:noProof/>
        </w:rPr>
        <w:t>Ezen intézkedés célja a szociális szolgáltatások reformja és a nem önellátó idősek életkörülményeinek javítása. Ez a reform a következőket foglalja magában: I. az idősek szolgáltatásokhoz való hozzáférésének egyszerűsítése egyablakos szo</w:t>
      </w:r>
      <w:r>
        <w:rPr>
          <w:noProof/>
        </w:rPr>
        <w:t>ciális és egészségügyi hozzáférési pontok létrehozása révén, ii. az önellátás hiányának a segítségnyújtás igénye alapján történő felismerése módjainak meghatározása, iii. többdimenziós értékelés készítése, (IV) az intézményesítettség csökkentését elősegítő</w:t>
      </w:r>
      <w:r>
        <w:rPr>
          <w:noProof/>
        </w:rPr>
        <w:t>, egyénre szabott projektek meghatározása.  Ezt a reformot előrevetíti a terv által előirányzott konkrét beavatkozások, amelyek mind az egészségügyi küldetés (6. intézkedés) részét képezik, a helyi egészségügyi szolgáltatásokat és az otthoni ellátást erősí</w:t>
      </w:r>
      <w:r>
        <w:rPr>
          <w:noProof/>
        </w:rPr>
        <w:t xml:space="preserve">tő projektek tekintetében, mind pedig ebben a komponensben, különös tekintettel az 1. beruházásra, a II. beavatkozásra, amelynek célja az intézményesítettség csökkentése. </w:t>
      </w:r>
    </w:p>
    <w:p w14:paraId="68B95684" w14:textId="38829E07" w:rsidR="003F5418" w:rsidRDefault="00AF4CCB">
      <w:pPr>
        <w:pStyle w:val="P68B1DB1-Normal2"/>
        <w:spacing w:before="120" w:after="120"/>
        <w:jc w:val="both"/>
        <w:rPr>
          <w:rFonts w:eastAsia="Calibri"/>
          <w:noProof/>
        </w:rPr>
      </w:pPr>
      <w:r>
        <w:rPr>
          <w:noProof/>
        </w:rPr>
        <w:t>1</w:t>
      </w:r>
      <w:r w:rsidRPr="00B07E42">
        <w:rPr>
          <w:noProof/>
        </w:rPr>
        <w:t>.</w:t>
      </w:r>
      <w:r>
        <w:rPr>
          <w:noProof/>
        </w:rPr>
        <w:t xml:space="preserve"> Beruházás – A kiszolgáltatott személyek támogatása és az intézményesítés megelőzése</w:t>
      </w:r>
    </w:p>
    <w:p w14:paraId="2938F692" w14:textId="77777777" w:rsidR="003F5418" w:rsidRDefault="002A6C25">
      <w:pPr>
        <w:spacing w:before="120" w:after="120"/>
        <w:jc w:val="both"/>
        <w:rPr>
          <w:rFonts w:eastAsia="Calibri"/>
          <w:noProof/>
        </w:rPr>
      </w:pPr>
      <w:r>
        <w:rPr>
          <w:noProof/>
        </w:rPr>
        <w:t xml:space="preserve">Ezen intézkedés célja a kiszolgáltatott helyzetben lévők támogatása és az intézményesítés megelőzése. Ez a beruházás a következő beavatkozásokat foglalja magában: I. a szülői készségek támogatása, valamint a családok és gyermekek kiszolgáltatottságának </w:t>
      </w:r>
      <w:r>
        <w:rPr>
          <w:noProof/>
        </w:rPr>
        <w:t>megelőzése; Az idősek önálló életének és intézményesítettségének csökkentése; Az otthoni szociális szolgáltatások megerősítése a korai támogatott mentesítés biztosítása és a kórházi ellátás megelőzése érdekében; A szociális szolgáltatások megerősítése és a</w:t>
      </w:r>
      <w:r>
        <w:rPr>
          <w:noProof/>
        </w:rPr>
        <w:t xml:space="preserve"> szociális munkások kiégésének megelőzése. </w:t>
      </w:r>
    </w:p>
    <w:p w14:paraId="0958191B" w14:textId="179179ED" w:rsidR="003F5418" w:rsidRDefault="00AF4CCB">
      <w:pPr>
        <w:pStyle w:val="P68B1DB1-Normal2"/>
        <w:spacing w:before="120" w:after="120"/>
        <w:jc w:val="both"/>
        <w:rPr>
          <w:rFonts w:eastAsia="Calibri"/>
          <w:noProof/>
        </w:rPr>
      </w:pPr>
      <w:r>
        <w:rPr>
          <w:noProof/>
        </w:rPr>
        <w:t>2</w:t>
      </w:r>
      <w:r w:rsidRPr="00B07E42">
        <w:rPr>
          <w:noProof/>
        </w:rPr>
        <w:t>.</w:t>
      </w:r>
      <w:r>
        <w:rPr>
          <w:noProof/>
        </w:rPr>
        <w:t xml:space="preserve"> Beruházás – Autonómiai minták a fogyatékossággal élő személyek számára</w:t>
      </w:r>
    </w:p>
    <w:p w14:paraId="13C7E106" w14:textId="77777777" w:rsidR="003F5418" w:rsidRDefault="002A6C25">
      <w:pPr>
        <w:spacing w:before="120" w:after="120"/>
        <w:jc w:val="both"/>
        <w:rPr>
          <w:rFonts w:eastAsia="Calibri"/>
          <w:noProof/>
        </w:rPr>
      </w:pPr>
      <w:r>
        <w:rPr>
          <w:noProof/>
        </w:rPr>
        <w:t>Ezen intézkedés célja a fogyatékossággal élő személyek autonómiájának növelése. A beruházás célja, hogy a fogyatékossággal élő személyek a</w:t>
      </w:r>
      <w:r>
        <w:rPr>
          <w:noProof/>
        </w:rPr>
        <w:t>utonómiájának javítása érdekében közösségi és otthoni szociális és egészségügyi szolgáltatások nyújtásával felgyorsítsa az intézményesítettség csökkentésének folyamatát. Az intézkedés előmozdítja a lakhatáshoz és a munkalehetőségekhez való hozzáférést, bel</w:t>
      </w:r>
      <w:r>
        <w:rPr>
          <w:noProof/>
        </w:rPr>
        <w:t xml:space="preserve">eértve az információs technológia által kínált új lehetőségeket is. </w:t>
      </w:r>
    </w:p>
    <w:p w14:paraId="76107034" w14:textId="32FC8372" w:rsidR="003F5418" w:rsidRDefault="00AF4CCB">
      <w:pPr>
        <w:pStyle w:val="P68B1DB1-Normal2"/>
        <w:spacing w:before="120" w:after="120"/>
        <w:jc w:val="both"/>
        <w:rPr>
          <w:noProof/>
        </w:rPr>
      </w:pPr>
      <w:r>
        <w:rPr>
          <w:noProof/>
        </w:rPr>
        <w:t>3</w:t>
      </w:r>
      <w:r w:rsidRPr="00B07E42">
        <w:rPr>
          <w:noProof/>
        </w:rPr>
        <w:t>.</w:t>
      </w:r>
      <w:r>
        <w:rPr>
          <w:noProof/>
        </w:rPr>
        <w:t xml:space="preserve"> Beruházás – Az első és a későbbi állomások lakhatása</w:t>
      </w:r>
    </w:p>
    <w:p w14:paraId="6FAD709A" w14:textId="77777777" w:rsidR="003F5418" w:rsidRDefault="002A6C25">
      <w:pPr>
        <w:spacing w:before="120" w:after="120"/>
        <w:jc w:val="both"/>
        <w:rPr>
          <w:rFonts w:eastAsia="Calibri"/>
          <w:noProof/>
        </w:rPr>
      </w:pPr>
      <w:r>
        <w:rPr>
          <w:noProof/>
        </w:rPr>
        <w:t>Ezen intézkedés célja, hogy első és posztállomásokon keresztül védje és támogassa a marginalizálódott személyek befogadását. Az „el</w:t>
      </w:r>
      <w:r>
        <w:rPr>
          <w:noProof/>
        </w:rPr>
        <w:t>ső a lakhatás” megközelítés bevezetése azt jelenti, hogy az önkormányzatok legfeljebb 24 hónapig egyéni személyek, kis csoportok vagy családok rendelkezésére bocsátják a lakásokat. Emellett személyre szabott projekteket kell aktiválni minden egyes személy/</w:t>
      </w:r>
      <w:r>
        <w:rPr>
          <w:noProof/>
        </w:rPr>
        <w:t>család esetében a személyes növekedés fejlesztésére irányuló programok végrehajtása és a nagyobb fokú önállóság elérésének elősegítése érdekében, többek között azáltal, hogy képzést és a foglalkoztathatóságuk javítását célzó egyéb szolgáltatásokat nyújtana</w:t>
      </w:r>
      <w:r>
        <w:rPr>
          <w:noProof/>
        </w:rPr>
        <w:t>k számukra. Másrészt a „postaállomások” megvalósítása a hajléktalanok számára szolgáltató és befogadó központ létrehozását jelenti. Ezek a központok a korlátozott éjszakai fogadás mellett olyan fontos szolgáltatásokat is kínálnak, mint az egészségügyi szol</w:t>
      </w:r>
      <w:r>
        <w:rPr>
          <w:noProof/>
        </w:rPr>
        <w:t>gáltatások, az étkeztetés, a postaelosztás, a kulturális közvetítés, a tanácsadás, a pályaorientáció, a jogi tanácsadás és az áruk elosztása.</w:t>
      </w:r>
    </w:p>
    <w:p w14:paraId="6BC5AB92" w14:textId="77777777" w:rsidR="003F5418" w:rsidRDefault="002A6C25">
      <w:pPr>
        <w:pStyle w:val="Heading3"/>
        <w:numPr>
          <w:ilvl w:val="0"/>
          <w:numId w:val="0"/>
        </w:numPr>
        <w:ind w:left="850" w:hanging="850"/>
        <w:rPr>
          <w:b/>
          <w:i w:val="0"/>
          <w:noProof/>
          <w:u w:val="single"/>
        </w:rPr>
      </w:pPr>
      <w:r>
        <w:rPr>
          <w:b/>
          <w:i w:val="0"/>
          <w:noProof/>
          <w:u w:val="single"/>
        </w:rPr>
        <w:t xml:space="preserve">M.2. </w:t>
      </w:r>
      <w:r>
        <w:rPr>
          <w:noProof/>
        </w:rPr>
        <w:t xml:space="preserve"> </w:t>
      </w:r>
      <w:r>
        <w:rPr>
          <w:b/>
          <w:i w:val="0"/>
          <w:noProof/>
          <w:u w:val="single"/>
        </w:rPr>
        <w:t>Vissza nem térítendő pénzügyi támogatás – a végrehajtáshoz és a nyomon követéshez kapcsolódó mérföldkövek, c</w:t>
      </w:r>
      <w:r>
        <w:rPr>
          <w:b/>
          <w:i w:val="0"/>
          <w:noProof/>
          <w:u w:val="single"/>
        </w:rPr>
        <w:t>élok, mutatók és ütemterv</w:t>
      </w:r>
    </w:p>
    <w:p w14:paraId="1953E1F9" w14:textId="77777777" w:rsidR="003F5418" w:rsidRDefault="002A6C25">
      <w:pPr>
        <w:pStyle w:val="P68B1DB1-Normal26"/>
        <w:spacing w:before="120" w:after="120"/>
        <w:ind w:left="709"/>
        <w:jc w:val="both"/>
        <w:rPr>
          <w:noProof/>
        </w:rPr>
      </w:pPr>
      <w:r>
        <w:rPr>
          <w:noProof/>
        </w:rPr>
        <w:t>.</w:t>
      </w:r>
    </w:p>
    <w:p w14:paraId="4210D085" w14:textId="77777777" w:rsidR="003F5418" w:rsidRDefault="003F5418">
      <w:pPr>
        <w:spacing w:before="120" w:after="120"/>
        <w:ind w:left="709"/>
        <w:jc w:val="both"/>
        <w:rPr>
          <w:noProof/>
        </w:rPr>
        <w:sectPr w:rsidR="003F5418">
          <w:headerReference w:type="even" r:id="rId326"/>
          <w:headerReference w:type="default" r:id="rId327"/>
          <w:footerReference w:type="even" r:id="rId328"/>
          <w:footerReference w:type="default" r:id="rId329"/>
          <w:headerReference w:type="first" r:id="rId330"/>
          <w:footerReference w:type="first" r:id="rId331"/>
          <w:pgSz w:w="11907" w:h="16839"/>
          <w:pgMar w:top="1440" w:right="1440" w:bottom="1440" w:left="1440" w:header="567" w:footer="567" w:gutter="0"/>
          <w:cols w:space="720"/>
          <w:docGrid w:linePitch="360"/>
        </w:sectPr>
      </w:pPr>
    </w:p>
    <w:tbl>
      <w:tblPr>
        <w:tblW w:w="1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08"/>
        <w:gridCol w:w="1322"/>
        <w:gridCol w:w="1539"/>
        <w:gridCol w:w="1476"/>
        <w:gridCol w:w="1474"/>
        <w:gridCol w:w="1092"/>
        <w:gridCol w:w="775"/>
        <w:gridCol w:w="1078"/>
        <w:gridCol w:w="755"/>
        <w:gridCol w:w="5046"/>
      </w:tblGrid>
      <w:tr w:rsidR="003F5418" w14:paraId="283EDE06" w14:textId="77777777">
        <w:trPr>
          <w:trHeight w:val="927"/>
          <w:tblHeader/>
          <w:jc w:val="center"/>
        </w:trPr>
        <w:tc>
          <w:tcPr>
            <w:tcW w:w="1648" w:type="dxa"/>
            <w:vMerge w:val="restart"/>
            <w:shd w:val="clear" w:color="auto" w:fill="BDD7EE"/>
            <w:vAlign w:val="center"/>
            <w:hideMark/>
          </w:tcPr>
          <w:p w14:paraId="1A1C4799" w14:textId="77777777" w:rsidR="003F5418" w:rsidRDefault="002A6C25">
            <w:pPr>
              <w:pStyle w:val="P68B1DB1-Normal3"/>
              <w:jc w:val="center"/>
              <w:rPr>
                <w:noProof/>
              </w:rPr>
            </w:pPr>
            <w:r>
              <w:rPr>
                <w:noProof/>
              </w:rPr>
              <w:t>Sorszám</w:t>
            </w:r>
          </w:p>
        </w:tc>
        <w:tc>
          <w:tcPr>
            <w:tcW w:w="1908" w:type="dxa"/>
            <w:vMerge w:val="restart"/>
            <w:shd w:val="clear" w:color="auto" w:fill="BDD7EE"/>
            <w:vAlign w:val="center"/>
            <w:hideMark/>
          </w:tcPr>
          <w:p w14:paraId="49F384C9" w14:textId="77777777" w:rsidR="003F5418" w:rsidRDefault="002A6C25">
            <w:pPr>
              <w:pStyle w:val="P68B1DB1-Normal3"/>
              <w:jc w:val="center"/>
              <w:rPr>
                <w:noProof/>
              </w:rPr>
            </w:pPr>
            <w:r>
              <w:rPr>
                <w:noProof/>
              </w:rPr>
              <w:t>Kapcsolódó intézkedés (reform vagy beruházás)</w:t>
            </w:r>
          </w:p>
        </w:tc>
        <w:tc>
          <w:tcPr>
            <w:tcW w:w="1322" w:type="dxa"/>
            <w:vMerge w:val="restart"/>
            <w:shd w:val="clear" w:color="auto" w:fill="BDD7EE"/>
            <w:vAlign w:val="center"/>
            <w:hideMark/>
          </w:tcPr>
          <w:p w14:paraId="1E39E272" w14:textId="77777777" w:rsidR="003F5418" w:rsidRDefault="002A6C25">
            <w:pPr>
              <w:pStyle w:val="P68B1DB1-Normal3"/>
              <w:jc w:val="center"/>
              <w:rPr>
                <w:noProof/>
              </w:rPr>
            </w:pPr>
            <w:r>
              <w:rPr>
                <w:noProof/>
              </w:rPr>
              <w:t>Mérföldkő/cél</w:t>
            </w:r>
          </w:p>
        </w:tc>
        <w:tc>
          <w:tcPr>
            <w:tcW w:w="1395" w:type="dxa"/>
            <w:vMerge w:val="restart"/>
            <w:shd w:val="clear" w:color="auto" w:fill="BDD7EE"/>
            <w:vAlign w:val="center"/>
            <w:hideMark/>
          </w:tcPr>
          <w:p w14:paraId="2DB0F792" w14:textId="77777777" w:rsidR="003F5418" w:rsidRDefault="002A6C25">
            <w:pPr>
              <w:pStyle w:val="P68B1DB1-Normal3"/>
              <w:jc w:val="center"/>
              <w:rPr>
                <w:noProof/>
              </w:rPr>
            </w:pPr>
            <w:r>
              <w:rPr>
                <w:noProof/>
              </w:rPr>
              <w:t>Név</w:t>
            </w:r>
          </w:p>
        </w:tc>
        <w:tc>
          <w:tcPr>
            <w:tcW w:w="1476" w:type="dxa"/>
            <w:vMerge w:val="restart"/>
            <w:shd w:val="clear" w:color="auto" w:fill="BDD7EE"/>
            <w:vAlign w:val="center"/>
            <w:hideMark/>
          </w:tcPr>
          <w:p w14:paraId="791672CE"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3341" w:type="dxa"/>
            <w:gridSpan w:val="3"/>
            <w:shd w:val="clear" w:color="auto" w:fill="BDD7EE"/>
            <w:vAlign w:val="center"/>
            <w:hideMark/>
          </w:tcPr>
          <w:p w14:paraId="6D3F2FB6"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(célok esetében)</w:t>
            </w:r>
          </w:p>
        </w:tc>
        <w:tc>
          <w:tcPr>
            <w:tcW w:w="1833" w:type="dxa"/>
            <w:gridSpan w:val="2"/>
            <w:shd w:val="clear" w:color="auto" w:fill="BDD7EE"/>
            <w:vAlign w:val="center"/>
            <w:hideMark/>
          </w:tcPr>
          <w:p w14:paraId="2C164218" w14:textId="77777777" w:rsidR="003F5418" w:rsidRDefault="002A6C25">
            <w:pPr>
              <w:pStyle w:val="P68B1DB1-Normal3"/>
              <w:jc w:val="center"/>
              <w:rPr>
                <w:noProof/>
              </w:rPr>
            </w:pPr>
            <w:r>
              <w:rPr>
                <w:noProof/>
              </w:rPr>
              <w:t xml:space="preserve">A végrehajtás </w:t>
            </w:r>
            <w:r>
              <w:rPr>
                <w:noProof/>
              </w:rPr>
              <w:t>indikatív ütemterve</w:t>
            </w:r>
          </w:p>
        </w:tc>
        <w:tc>
          <w:tcPr>
            <w:tcW w:w="5046" w:type="dxa"/>
            <w:vMerge w:val="restart"/>
            <w:shd w:val="clear" w:color="auto" w:fill="BDD7EE"/>
            <w:vAlign w:val="center"/>
            <w:hideMark/>
          </w:tcPr>
          <w:p w14:paraId="6CF258A0" w14:textId="77777777" w:rsidR="003F5418" w:rsidRDefault="002A6C25">
            <w:pPr>
              <w:pStyle w:val="P68B1DB1-Normal3"/>
              <w:jc w:val="center"/>
              <w:rPr>
                <w:noProof/>
              </w:rPr>
            </w:pPr>
            <w:r>
              <w:rPr>
                <w:noProof/>
              </w:rPr>
              <w:t>Az egyes mérföldkövek és célértékek leírása</w:t>
            </w:r>
          </w:p>
        </w:tc>
      </w:tr>
      <w:tr w:rsidR="003F5418" w14:paraId="47D4E3E5" w14:textId="77777777">
        <w:trPr>
          <w:trHeight w:val="654"/>
          <w:jc w:val="center"/>
        </w:trPr>
        <w:tc>
          <w:tcPr>
            <w:tcW w:w="1648" w:type="dxa"/>
            <w:vMerge/>
            <w:vAlign w:val="center"/>
            <w:hideMark/>
          </w:tcPr>
          <w:p w14:paraId="0ED8553D" w14:textId="77777777" w:rsidR="003F5418" w:rsidRDefault="003F5418">
            <w:pPr>
              <w:jc w:val="center"/>
              <w:rPr>
                <w:rFonts w:ascii="Arial Narrow" w:hAnsi="Arial Narrow"/>
                <w:b/>
                <w:noProof/>
                <w:sz w:val="20"/>
              </w:rPr>
            </w:pPr>
          </w:p>
        </w:tc>
        <w:tc>
          <w:tcPr>
            <w:tcW w:w="1908" w:type="dxa"/>
            <w:vMerge/>
            <w:vAlign w:val="center"/>
            <w:hideMark/>
          </w:tcPr>
          <w:p w14:paraId="1C4ABC76" w14:textId="77777777" w:rsidR="003F5418" w:rsidRDefault="003F5418">
            <w:pPr>
              <w:jc w:val="center"/>
              <w:rPr>
                <w:rFonts w:ascii="Arial Narrow" w:hAnsi="Arial Narrow"/>
                <w:b/>
                <w:noProof/>
                <w:sz w:val="20"/>
              </w:rPr>
            </w:pPr>
          </w:p>
        </w:tc>
        <w:tc>
          <w:tcPr>
            <w:tcW w:w="1322" w:type="dxa"/>
            <w:vMerge/>
            <w:vAlign w:val="center"/>
            <w:hideMark/>
          </w:tcPr>
          <w:p w14:paraId="7A2CB04A" w14:textId="77777777" w:rsidR="003F5418" w:rsidRDefault="003F5418">
            <w:pPr>
              <w:jc w:val="center"/>
              <w:rPr>
                <w:rFonts w:ascii="Arial Narrow" w:hAnsi="Arial Narrow"/>
                <w:b/>
                <w:noProof/>
                <w:sz w:val="20"/>
              </w:rPr>
            </w:pPr>
          </w:p>
        </w:tc>
        <w:tc>
          <w:tcPr>
            <w:tcW w:w="1395" w:type="dxa"/>
            <w:vMerge/>
            <w:vAlign w:val="center"/>
            <w:hideMark/>
          </w:tcPr>
          <w:p w14:paraId="1F73F448" w14:textId="77777777" w:rsidR="003F5418" w:rsidRDefault="003F5418">
            <w:pPr>
              <w:jc w:val="center"/>
              <w:rPr>
                <w:rFonts w:ascii="Arial Narrow" w:hAnsi="Arial Narrow"/>
                <w:b/>
                <w:noProof/>
                <w:sz w:val="20"/>
              </w:rPr>
            </w:pPr>
          </w:p>
        </w:tc>
        <w:tc>
          <w:tcPr>
            <w:tcW w:w="1476" w:type="dxa"/>
            <w:vMerge/>
            <w:vAlign w:val="center"/>
            <w:hideMark/>
          </w:tcPr>
          <w:p w14:paraId="3E6F2920" w14:textId="77777777" w:rsidR="003F5418" w:rsidRDefault="003F5418">
            <w:pPr>
              <w:jc w:val="center"/>
              <w:rPr>
                <w:rFonts w:ascii="Arial Narrow" w:hAnsi="Arial Narrow"/>
                <w:b/>
                <w:noProof/>
                <w:sz w:val="20"/>
              </w:rPr>
            </w:pPr>
          </w:p>
        </w:tc>
        <w:tc>
          <w:tcPr>
            <w:tcW w:w="1474" w:type="dxa"/>
            <w:shd w:val="clear" w:color="auto" w:fill="BDD7EE"/>
            <w:vAlign w:val="center"/>
            <w:hideMark/>
          </w:tcPr>
          <w:p w14:paraId="49898897" w14:textId="77777777" w:rsidR="003F5418" w:rsidRDefault="002A6C25">
            <w:pPr>
              <w:pStyle w:val="P68B1DB1-Normal3"/>
              <w:jc w:val="center"/>
              <w:rPr>
                <w:noProof/>
              </w:rPr>
            </w:pPr>
            <w:r>
              <w:rPr>
                <w:noProof/>
              </w:rPr>
              <w:t>Mértékegység</w:t>
            </w:r>
          </w:p>
        </w:tc>
        <w:tc>
          <w:tcPr>
            <w:tcW w:w="1092" w:type="dxa"/>
            <w:shd w:val="clear" w:color="auto" w:fill="BDD7EE"/>
            <w:vAlign w:val="center"/>
            <w:hideMark/>
          </w:tcPr>
          <w:p w14:paraId="3C49EC23" w14:textId="77777777" w:rsidR="003F5418" w:rsidRDefault="002A6C25">
            <w:pPr>
              <w:pStyle w:val="P68B1DB1-Normal3"/>
              <w:jc w:val="center"/>
              <w:rPr>
                <w:noProof/>
              </w:rPr>
            </w:pPr>
            <w:r>
              <w:rPr>
                <w:noProof/>
              </w:rPr>
              <w:t>Kiindulási</w:t>
            </w:r>
          </w:p>
        </w:tc>
        <w:tc>
          <w:tcPr>
            <w:tcW w:w="775" w:type="dxa"/>
            <w:shd w:val="clear" w:color="auto" w:fill="BDD7EE"/>
            <w:vAlign w:val="center"/>
            <w:hideMark/>
          </w:tcPr>
          <w:p w14:paraId="7AF4C80A" w14:textId="77777777" w:rsidR="003F5418" w:rsidRDefault="002A6C25">
            <w:pPr>
              <w:pStyle w:val="P68B1DB1-Normal3"/>
              <w:jc w:val="center"/>
              <w:rPr>
                <w:noProof/>
              </w:rPr>
            </w:pPr>
            <w:r>
              <w:rPr>
                <w:noProof/>
              </w:rPr>
              <w:t>Cél</w:t>
            </w:r>
          </w:p>
        </w:tc>
        <w:tc>
          <w:tcPr>
            <w:tcW w:w="1078" w:type="dxa"/>
            <w:shd w:val="clear" w:color="auto" w:fill="BDD7EE"/>
            <w:vAlign w:val="center"/>
            <w:hideMark/>
          </w:tcPr>
          <w:p w14:paraId="1BAB12DC" w14:textId="77777777" w:rsidR="003F5418" w:rsidRDefault="002A6C25">
            <w:pPr>
              <w:pStyle w:val="P68B1DB1-Normal3"/>
              <w:jc w:val="center"/>
              <w:rPr>
                <w:noProof/>
              </w:rPr>
            </w:pPr>
            <w:r>
              <w:rPr>
                <w:noProof/>
              </w:rPr>
              <w:t>Negyedév</w:t>
            </w:r>
          </w:p>
        </w:tc>
        <w:tc>
          <w:tcPr>
            <w:tcW w:w="755" w:type="dxa"/>
            <w:shd w:val="clear" w:color="auto" w:fill="BDD7EE"/>
            <w:vAlign w:val="center"/>
            <w:hideMark/>
          </w:tcPr>
          <w:p w14:paraId="0CFF32B4" w14:textId="77777777" w:rsidR="003F5418" w:rsidRDefault="002A6C25">
            <w:pPr>
              <w:pStyle w:val="P68B1DB1-Normal3"/>
              <w:jc w:val="center"/>
              <w:rPr>
                <w:noProof/>
              </w:rPr>
            </w:pPr>
            <w:r>
              <w:rPr>
                <w:noProof/>
              </w:rPr>
              <w:t>Éve</w:t>
            </w:r>
          </w:p>
        </w:tc>
        <w:tc>
          <w:tcPr>
            <w:tcW w:w="5046" w:type="dxa"/>
            <w:vMerge/>
            <w:vAlign w:val="center"/>
            <w:hideMark/>
          </w:tcPr>
          <w:p w14:paraId="3548E062" w14:textId="77777777" w:rsidR="003F5418" w:rsidRDefault="003F5418">
            <w:pPr>
              <w:rPr>
                <w:rFonts w:ascii="Arial Narrow" w:hAnsi="Arial Narrow"/>
                <w:b/>
                <w:noProof/>
                <w:sz w:val="20"/>
              </w:rPr>
            </w:pPr>
          </w:p>
        </w:tc>
      </w:tr>
      <w:tr w:rsidR="003F5418" w14:paraId="74B191A5" w14:textId="77777777">
        <w:trPr>
          <w:trHeight w:val="309"/>
          <w:jc w:val="center"/>
        </w:trPr>
        <w:tc>
          <w:tcPr>
            <w:tcW w:w="1648" w:type="dxa"/>
            <w:shd w:val="clear" w:color="auto" w:fill="C6EFCE"/>
            <w:noWrap/>
            <w:vAlign w:val="center"/>
            <w:hideMark/>
          </w:tcPr>
          <w:p w14:paraId="4D37AF4B" w14:textId="77777777" w:rsidR="003F5418" w:rsidRDefault="002A6C25">
            <w:pPr>
              <w:pStyle w:val="P68B1DB1-Normal4"/>
              <w:spacing w:before="120" w:after="120"/>
              <w:jc w:val="center"/>
              <w:rPr>
                <w:noProof/>
              </w:rPr>
            </w:pPr>
            <w:r>
              <w:rPr>
                <w:noProof/>
              </w:rPr>
              <w:t>M5C2–1</w:t>
            </w:r>
          </w:p>
        </w:tc>
        <w:tc>
          <w:tcPr>
            <w:tcW w:w="1908" w:type="dxa"/>
            <w:shd w:val="clear" w:color="auto" w:fill="C6EFCE"/>
            <w:noWrap/>
            <w:vAlign w:val="center"/>
            <w:hideMark/>
          </w:tcPr>
          <w:p w14:paraId="6C4CA7AF" w14:textId="77777777" w:rsidR="003F5418" w:rsidRDefault="002A6C25">
            <w:pPr>
              <w:pStyle w:val="P68B1DB1-Normal4"/>
              <w:jc w:val="center"/>
              <w:rPr>
                <w:noProof/>
              </w:rPr>
            </w:pPr>
            <w:r>
              <w:rPr>
                <w:noProof/>
              </w:rPr>
              <w:t>Reform – A fogyatékosságról szóló keretjogszabály</w:t>
            </w:r>
          </w:p>
        </w:tc>
        <w:tc>
          <w:tcPr>
            <w:tcW w:w="1322" w:type="dxa"/>
            <w:shd w:val="clear" w:color="auto" w:fill="C6EFCE"/>
            <w:noWrap/>
            <w:vAlign w:val="center"/>
            <w:hideMark/>
          </w:tcPr>
          <w:p w14:paraId="53C9E3CD" w14:textId="77777777" w:rsidR="003F5418" w:rsidRDefault="002A6C25">
            <w:pPr>
              <w:pStyle w:val="P68B1DB1-Normal4"/>
              <w:jc w:val="center"/>
              <w:rPr>
                <w:noProof/>
              </w:rPr>
            </w:pPr>
            <w:r>
              <w:rPr>
                <w:noProof/>
              </w:rPr>
              <w:t>Mérföldkő</w:t>
            </w:r>
          </w:p>
        </w:tc>
        <w:tc>
          <w:tcPr>
            <w:tcW w:w="1395" w:type="dxa"/>
            <w:shd w:val="clear" w:color="auto" w:fill="C6EFCE"/>
            <w:noWrap/>
            <w:vAlign w:val="center"/>
            <w:hideMark/>
          </w:tcPr>
          <w:p w14:paraId="033519CD" w14:textId="77777777" w:rsidR="003F5418" w:rsidRDefault="002A6C25">
            <w:pPr>
              <w:pStyle w:val="P68B1DB1-Normal4"/>
              <w:jc w:val="center"/>
              <w:rPr>
                <w:noProof/>
              </w:rPr>
            </w:pPr>
            <w:r>
              <w:rPr>
                <w:noProof/>
              </w:rPr>
              <w:t xml:space="preserve">A fogyatékossággal élő személyek autonómiájának megerősítését célzó </w:t>
            </w:r>
            <w:r>
              <w:rPr>
                <w:noProof/>
              </w:rPr>
              <w:t>kerettörvény hatálybalépése.</w:t>
            </w:r>
          </w:p>
        </w:tc>
        <w:tc>
          <w:tcPr>
            <w:tcW w:w="1476" w:type="dxa"/>
            <w:shd w:val="clear" w:color="auto" w:fill="C6EFCE"/>
            <w:noWrap/>
            <w:vAlign w:val="center"/>
            <w:hideMark/>
          </w:tcPr>
          <w:p w14:paraId="272B7749" w14:textId="77777777" w:rsidR="003F5418" w:rsidRDefault="002A6C25">
            <w:pPr>
              <w:pStyle w:val="P68B1DB1-Normal4"/>
              <w:jc w:val="center"/>
              <w:rPr>
                <w:rFonts w:eastAsia="Calibri"/>
                <w:noProof/>
              </w:rPr>
            </w:pPr>
            <w:r>
              <w:rPr>
                <w:noProof/>
              </w:rPr>
              <w:t>A törvénynek a kerettörvény hatálybalépését feltüntető rendelkezése</w:t>
            </w:r>
          </w:p>
        </w:tc>
        <w:tc>
          <w:tcPr>
            <w:tcW w:w="1474" w:type="dxa"/>
            <w:shd w:val="clear" w:color="auto" w:fill="C6EFCE"/>
            <w:noWrap/>
            <w:vAlign w:val="center"/>
            <w:hideMark/>
          </w:tcPr>
          <w:p w14:paraId="498BECA2" w14:textId="77777777" w:rsidR="003F5418" w:rsidRDefault="002A6C25">
            <w:pPr>
              <w:pStyle w:val="P68B1DB1-Normal4"/>
              <w:jc w:val="center"/>
              <w:rPr>
                <w:rFonts w:eastAsia="Calibri"/>
                <w:noProof/>
              </w:rPr>
            </w:pPr>
            <w:r>
              <w:rPr>
                <w:noProof/>
              </w:rPr>
              <w:t>NINCS</w:t>
            </w:r>
          </w:p>
        </w:tc>
        <w:tc>
          <w:tcPr>
            <w:tcW w:w="1092" w:type="dxa"/>
            <w:shd w:val="clear" w:color="auto" w:fill="C6EFCE"/>
            <w:noWrap/>
            <w:vAlign w:val="center"/>
            <w:hideMark/>
          </w:tcPr>
          <w:p w14:paraId="1801EDC7" w14:textId="77777777" w:rsidR="003F5418" w:rsidRDefault="002A6C25">
            <w:pPr>
              <w:pStyle w:val="P68B1DB1-Normal4"/>
              <w:jc w:val="center"/>
              <w:rPr>
                <w:noProof/>
              </w:rPr>
            </w:pPr>
            <w:r>
              <w:rPr>
                <w:noProof/>
              </w:rPr>
              <w:t>NINCS</w:t>
            </w:r>
          </w:p>
        </w:tc>
        <w:tc>
          <w:tcPr>
            <w:tcW w:w="775" w:type="dxa"/>
            <w:shd w:val="clear" w:color="auto" w:fill="C6EFCE"/>
            <w:noWrap/>
            <w:vAlign w:val="center"/>
            <w:hideMark/>
          </w:tcPr>
          <w:p w14:paraId="1D0BA67D" w14:textId="77777777" w:rsidR="003F5418" w:rsidRDefault="002A6C25">
            <w:pPr>
              <w:pStyle w:val="P68B1DB1-Normal4"/>
              <w:jc w:val="center"/>
              <w:rPr>
                <w:rFonts w:eastAsia="Calibri"/>
                <w:noProof/>
              </w:rPr>
            </w:pPr>
            <w:r>
              <w:rPr>
                <w:noProof/>
              </w:rPr>
              <w:t>NINCS</w:t>
            </w:r>
          </w:p>
        </w:tc>
        <w:tc>
          <w:tcPr>
            <w:tcW w:w="1078" w:type="dxa"/>
            <w:shd w:val="clear" w:color="auto" w:fill="C6EFCE"/>
            <w:noWrap/>
            <w:vAlign w:val="center"/>
            <w:hideMark/>
          </w:tcPr>
          <w:p w14:paraId="62FECFEA" w14:textId="77777777" w:rsidR="003F5418" w:rsidRDefault="002A6C25">
            <w:pPr>
              <w:pStyle w:val="P68B1DB1-Normal4"/>
              <w:jc w:val="center"/>
              <w:rPr>
                <w:rFonts w:eastAsia="Calibri"/>
                <w:noProof/>
              </w:rPr>
            </w:pPr>
            <w:r>
              <w:rPr>
                <w:noProof/>
              </w:rPr>
              <w:t>Q4</w:t>
            </w:r>
          </w:p>
        </w:tc>
        <w:tc>
          <w:tcPr>
            <w:tcW w:w="755" w:type="dxa"/>
            <w:shd w:val="clear" w:color="auto" w:fill="C6EFCE"/>
            <w:noWrap/>
            <w:vAlign w:val="center"/>
            <w:hideMark/>
          </w:tcPr>
          <w:p w14:paraId="647B4149" w14:textId="77777777" w:rsidR="003F5418" w:rsidRDefault="002A6C25">
            <w:pPr>
              <w:pStyle w:val="P68B1DB1-Normal4"/>
              <w:jc w:val="center"/>
              <w:rPr>
                <w:noProof/>
              </w:rPr>
            </w:pPr>
            <w:r>
              <w:rPr>
                <w:noProof/>
              </w:rPr>
              <w:t>2021</w:t>
            </w:r>
          </w:p>
        </w:tc>
        <w:tc>
          <w:tcPr>
            <w:tcW w:w="5046" w:type="dxa"/>
            <w:shd w:val="clear" w:color="auto" w:fill="C6EFCE"/>
            <w:noWrap/>
            <w:vAlign w:val="center"/>
            <w:hideMark/>
          </w:tcPr>
          <w:p w14:paraId="67848255" w14:textId="77777777" w:rsidR="003F5418" w:rsidRDefault="002A6C25">
            <w:pPr>
              <w:pStyle w:val="P68B1DB1-Normal4"/>
              <w:rPr>
                <w:noProof/>
              </w:rPr>
            </w:pPr>
            <w:r>
              <w:rPr>
                <w:noProof/>
              </w:rPr>
              <w:t>A hatáskör-átruházási törvényből álló kerettörvénynek meg kell erősítenie a fogyatékossággal élő személyek autonómiáját a fogyatékoss</w:t>
            </w:r>
            <w:r>
              <w:rPr>
                <w:noProof/>
              </w:rPr>
              <w:t>ággal élő személyek jogairól szóló ENSZ-egyezmény és a fogyatékossággal élő személyek jogairól szóló európai stratégia (2021–2030) elveivel összhangban, amelyek legalább a következőket foglalják magukban: i. a fogyatékossággal élő személyeknek nyújtott szo</w:t>
            </w:r>
            <w:r>
              <w:rPr>
                <w:noProof/>
              </w:rPr>
              <w:t>ciális szolgáltatások átfogó meghatározása és javítása, az intézménytelenítés és az önálló életvitel előmozdításával együtt, ii. az egészségügyi és szociális szolgáltatásokhoz való hozzáférésre vonatkozó eljárások egyszerűsítése, valamint iii. a fogyatékos</w:t>
            </w:r>
            <w:r>
              <w:rPr>
                <w:noProof/>
              </w:rPr>
              <w:t>ság állapotának értékelésére szolgáló eljárások felülvizsgálata, minden személy állapotának többdimenziós értékelése érdekében.</w:t>
            </w:r>
          </w:p>
          <w:p w14:paraId="6188D789" w14:textId="77777777" w:rsidR="003F5418" w:rsidRDefault="002A6C25">
            <w:pPr>
              <w:pStyle w:val="P68B1DB1-Normal4"/>
              <w:rPr>
                <w:rFonts w:eastAsia="Calibri"/>
                <w:noProof/>
              </w:rPr>
            </w:pPr>
            <w:r>
              <w:rPr>
                <w:noProof/>
              </w:rPr>
              <w:t>A fogyatékossággal élő személyeket a fogyatékossággal élő személyek jogairól szóló ENSZ-egyezmény elvei szerint, a 104/1992. sz.</w:t>
            </w:r>
            <w:r>
              <w:rPr>
                <w:noProof/>
              </w:rPr>
              <w:t xml:space="preserve"> törvény határozza meg. Olaszországban az értékelési folyamat a régiók hatáskörébe tartozik, és a személyt a helyi egészségügyi szolgálatok vagy a Nemzeti Szociális Jóléti Intézet értékeli.</w:t>
            </w:r>
          </w:p>
          <w:p w14:paraId="59C188BF" w14:textId="77777777" w:rsidR="003F5418" w:rsidRDefault="002A6C25">
            <w:pPr>
              <w:pStyle w:val="P68B1DB1-Normal4"/>
              <w:rPr>
                <w:rFonts w:eastAsia="Calibri"/>
                <w:noProof/>
              </w:rPr>
            </w:pPr>
            <w:r>
              <w:rPr>
                <w:noProof/>
              </w:rPr>
              <w:t>A törvényre a fogyatékossággal foglalkozó miniszter tesz javaslato</w:t>
            </w:r>
            <w:r>
              <w:rPr>
                <w:noProof/>
              </w:rPr>
              <w:t>t a Miniszterek Tanácsa általi jóváhagyásra, a meghatározott ütemtervnek megfelelően.</w:t>
            </w:r>
          </w:p>
          <w:p w14:paraId="70A7E964" w14:textId="77777777" w:rsidR="003F5418" w:rsidRDefault="002A6C25">
            <w:pPr>
              <w:pStyle w:val="P68B1DB1-Normal4"/>
              <w:rPr>
                <w:rFonts w:eastAsia="Calibri"/>
                <w:noProof/>
              </w:rPr>
            </w:pPr>
            <w:r>
              <w:rPr>
                <w:noProof/>
              </w:rPr>
              <w:t>A kerettörvény elfogadását követően át kell alakítani a helyi szociális szolgáltatásokat, meg kell határozni a minőségi előírásokat, valamint IKT-platformot kell biztosít</w:t>
            </w:r>
            <w:r>
              <w:rPr>
                <w:noProof/>
              </w:rPr>
              <w:t>ani a szolgáltatások javítása és hatékonyabbá tétele érdekében.</w:t>
            </w:r>
          </w:p>
        </w:tc>
      </w:tr>
      <w:tr w:rsidR="003F5418" w14:paraId="60F33E53" w14:textId="77777777">
        <w:trPr>
          <w:trHeight w:val="309"/>
          <w:jc w:val="center"/>
        </w:trPr>
        <w:tc>
          <w:tcPr>
            <w:tcW w:w="1648" w:type="dxa"/>
            <w:shd w:val="clear" w:color="auto" w:fill="C6EFCE"/>
            <w:noWrap/>
            <w:vAlign w:val="center"/>
            <w:hideMark/>
          </w:tcPr>
          <w:p w14:paraId="5B2D4B92" w14:textId="77777777" w:rsidR="003F5418" w:rsidRDefault="002A6C25">
            <w:pPr>
              <w:pStyle w:val="P68B1DB1-Normal4"/>
              <w:spacing w:before="120" w:after="120"/>
              <w:jc w:val="center"/>
              <w:rPr>
                <w:noProof/>
              </w:rPr>
            </w:pPr>
            <w:r>
              <w:rPr>
                <w:noProof/>
              </w:rPr>
              <w:t>M5C2–2</w:t>
            </w:r>
          </w:p>
        </w:tc>
        <w:tc>
          <w:tcPr>
            <w:tcW w:w="1908" w:type="dxa"/>
            <w:shd w:val="clear" w:color="auto" w:fill="C6EFCE"/>
            <w:noWrap/>
            <w:vAlign w:val="center"/>
            <w:hideMark/>
          </w:tcPr>
          <w:p w14:paraId="73B8F7C7" w14:textId="77777777" w:rsidR="003F5418" w:rsidRDefault="002A6C25">
            <w:pPr>
              <w:pStyle w:val="P68B1DB1-Normal4"/>
              <w:jc w:val="center"/>
              <w:rPr>
                <w:noProof/>
              </w:rPr>
            </w:pPr>
            <w:r>
              <w:rPr>
                <w:noProof/>
              </w:rPr>
              <w:t>Reform – A fogyatékosságról szóló keretjogszabály</w:t>
            </w:r>
          </w:p>
        </w:tc>
        <w:tc>
          <w:tcPr>
            <w:tcW w:w="1322" w:type="dxa"/>
            <w:shd w:val="clear" w:color="auto" w:fill="C6EFCE"/>
            <w:noWrap/>
            <w:vAlign w:val="center"/>
            <w:hideMark/>
          </w:tcPr>
          <w:p w14:paraId="1A068209" w14:textId="77777777" w:rsidR="003F5418" w:rsidRDefault="002A6C25">
            <w:pPr>
              <w:pStyle w:val="P68B1DB1-Normal4"/>
              <w:jc w:val="center"/>
              <w:rPr>
                <w:rFonts w:eastAsia="Calibri"/>
                <w:noProof/>
              </w:rPr>
            </w:pPr>
            <w:r>
              <w:rPr>
                <w:noProof/>
              </w:rPr>
              <w:t>Mérföldkő</w:t>
            </w:r>
          </w:p>
        </w:tc>
        <w:tc>
          <w:tcPr>
            <w:tcW w:w="1395" w:type="dxa"/>
            <w:shd w:val="clear" w:color="auto" w:fill="C6EFCE"/>
            <w:noWrap/>
            <w:vAlign w:val="center"/>
            <w:hideMark/>
          </w:tcPr>
          <w:p w14:paraId="06B746C0" w14:textId="77777777" w:rsidR="003F5418" w:rsidRDefault="002A6C25">
            <w:pPr>
              <w:pStyle w:val="P68B1DB1-Normal4"/>
              <w:jc w:val="center"/>
              <w:rPr>
                <w:noProof/>
              </w:rPr>
            </w:pPr>
            <w:r>
              <w:rPr>
                <w:noProof/>
              </w:rPr>
              <w:t xml:space="preserve">A kerettörvény hatálybalépése és a fogyatékossággal élő személyek autonómiájának megerősítését célzó kerettörvény </w:t>
            </w:r>
            <w:r>
              <w:rPr>
                <w:noProof/>
              </w:rPr>
              <w:t>rendelkezéseit kidolgozó törvényerejű rendeletek kormányzati elfogadása</w:t>
            </w:r>
          </w:p>
        </w:tc>
        <w:tc>
          <w:tcPr>
            <w:tcW w:w="1476" w:type="dxa"/>
            <w:shd w:val="clear" w:color="auto" w:fill="C6EFCE"/>
            <w:noWrap/>
            <w:vAlign w:val="center"/>
            <w:hideMark/>
          </w:tcPr>
          <w:p w14:paraId="4021DF0F" w14:textId="77777777" w:rsidR="003F5418" w:rsidRDefault="002A6C25">
            <w:pPr>
              <w:pStyle w:val="P68B1DB1-Normal4"/>
              <w:jc w:val="center"/>
              <w:rPr>
                <w:rFonts w:eastAsia="Calibri"/>
                <w:noProof/>
              </w:rPr>
            </w:pPr>
            <w:r>
              <w:rPr>
                <w:noProof/>
              </w:rPr>
              <w:t>A törvénynek a törvényerejű rendeletek hatálybalépését feltüntető rendelkezései</w:t>
            </w:r>
          </w:p>
        </w:tc>
        <w:tc>
          <w:tcPr>
            <w:tcW w:w="1474" w:type="dxa"/>
            <w:shd w:val="clear" w:color="auto" w:fill="C6EFCE"/>
            <w:noWrap/>
            <w:vAlign w:val="center"/>
            <w:hideMark/>
          </w:tcPr>
          <w:p w14:paraId="6E771BD6" w14:textId="77777777" w:rsidR="003F5418" w:rsidRDefault="002A6C25">
            <w:pPr>
              <w:pStyle w:val="P68B1DB1-Normal4"/>
              <w:jc w:val="center"/>
              <w:rPr>
                <w:noProof/>
              </w:rPr>
            </w:pPr>
            <w:r>
              <w:rPr>
                <w:noProof/>
              </w:rPr>
              <w:t>NINCS</w:t>
            </w:r>
          </w:p>
        </w:tc>
        <w:tc>
          <w:tcPr>
            <w:tcW w:w="1092" w:type="dxa"/>
            <w:shd w:val="clear" w:color="auto" w:fill="C6EFCE"/>
            <w:noWrap/>
            <w:vAlign w:val="center"/>
            <w:hideMark/>
          </w:tcPr>
          <w:p w14:paraId="6A73D554" w14:textId="77777777" w:rsidR="003F5418" w:rsidRDefault="002A6C25">
            <w:pPr>
              <w:pStyle w:val="P68B1DB1-Normal4"/>
              <w:jc w:val="center"/>
              <w:rPr>
                <w:rFonts w:eastAsia="Calibri"/>
                <w:noProof/>
              </w:rPr>
            </w:pPr>
            <w:r>
              <w:rPr>
                <w:noProof/>
              </w:rPr>
              <w:t>NINCS</w:t>
            </w:r>
          </w:p>
        </w:tc>
        <w:tc>
          <w:tcPr>
            <w:tcW w:w="775" w:type="dxa"/>
            <w:shd w:val="clear" w:color="auto" w:fill="C6EFCE"/>
            <w:noWrap/>
            <w:vAlign w:val="center"/>
            <w:hideMark/>
          </w:tcPr>
          <w:p w14:paraId="78CBE9A1" w14:textId="77777777" w:rsidR="003F5418" w:rsidRDefault="002A6C25">
            <w:pPr>
              <w:pStyle w:val="P68B1DB1-Normal4"/>
              <w:jc w:val="center"/>
              <w:rPr>
                <w:rFonts w:eastAsia="Calibri"/>
                <w:noProof/>
              </w:rPr>
            </w:pPr>
            <w:r>
              <w:rPr>
                <w:noProof/>
              </w:rPr>
              <w:t>NINCS</w:t>
            </w:r>
          </w:p>
        </w:tc>
        <w:tc>
          <w:tcPr>
            <w:tcW w:w="1078" w:type="dxa"/>
            <w:shd w:val="clear" w:color="auto" w:fill="C6EFCE"/>
            <w:noWrap/>
            <w:vAlign w:val="center"/>
            <w:hideMark/>
          </w:tcPr>
          <w:p w14:paraId="41CEB7D4" w14:textId="77777777" w:rsidR="003F5418" w:rsidRDefault="002A6C25">
            <w:pPr>
              <w:pStyle w:val="P68B1DB1-Normal4"/>
              <w:jc w:val="center"/>
              <w:rPr>
                <w:noProof/>
              </w:rPr>
            </w:pPr>
            <w:r>
              <w:rPr>
                <w:noProof/>
              </w:rPr>
              <w:t>Q2</w:t>
            </w:r>
          </w:p>
        </w:tc>
        <w:tc>
          <w:tcPr>
            <w:tcW w:w="755" w:type="dxa"/>
            <w:shd w:val="clear" w:color="auto" w:fill="C6EFCE"/>
            <w:noWrap/>
            <w:vAlign w:val="center"/>
            <w:hideMark/>
          </w:tcPr>
          <w:p w14:paraId="326F210D" w14:textId="77777777" w:rsidR="003F5418" w:rsidRDefault="002A6C25">
            <w:pPr>
              <w:pStyle w:val="P68B1DB1-Normal4"/>
              <w:jc w:val="center"/>
              <w:rPr>
                <w:rFonts w:eastAsia="Calibri"/>
                <w:noProof/>
              </w:rPr>
            </w:pPr>
            <w:r>
              <w:rPr>
                <w:noProof/>
              </w:rPr>
              <w:t>2024</w:t>
            </w:r>
          </w:p>
        </w:tc>
        <w:tc>
          <w:tcPr>
            <w:tcW w:w="5046" w:type="dxa"/>
            <w:shd w:val="clear" w:color="auto" w:fill="C6EFCE"/>
            <w:noWrap/>
            <w:vAlign w:val="center"/>
            <w:hideMark/>
          </w:tcPr>
          <w:p w14:paraId="6C53ABD0" w14:textId="77777777" w:rsidR="003F5418" w:rsidRDefault="002A6C25">
            <w:pPr>
              <w:pStyle w:val="P68B1DB1-Normal4"/>
              <w:rPr>
                <w:rFonts w:eastAsia="Calibri"/>
                <w:noProof/>
              </w:rPr>
            </w:pPr>
            <w:r>
              <w:rPr>
                <w:noProof/>
              </w:rPr>
              <w:t>A törvényrendeletek a fogyatékossággal élő személyek autonómiájának megerősíté</w:t>
            </w:r>
            <w:r>
              <w:rPr>
                <w:noProof/>
              </w:rPr>
              <w:t>se érdekében kidolgozzák a kerettörvényben meghatározott rendelkezéseket. A törvénynek legalább a következőkre vonatkozó rendelkezéseket kell tartalmaznia: i. a szociális szolgáltatások kínálatának megerősítése, ii. a szociális és egészségügyi szolgáltatás</w:t>
            </w:r>
            <w:r>
              <w:rPr>
                <w:noProof/>
              </w:rPr>
              <w:t>okhoz való hozzáférés egyszerűsítése, III. a fogyatékosság értékelésének reformja, iv. az önálló életviteli projektek előmozdítása, V. a többdimenziós fogyatékossággal élő személyeket támogató szakértői csoportok munkájának előmozdítása.</w:t>
            </w:r>
          </w:p>
        </w:tc>
      </w:tr>
      <w:tr w:rsidR="003F5418" w14:paraId="56D8ED8D" w14:textId="77777777">
        <w:trPr>
          <w:trHeight w:val="309"/>
          <w:jc w:val="center"/>
        </w:trPr>
        <w:tc>
          <w:tcPr>
            <w:tcW w:w="1648" w:type="dxa"/>
            <w:shd w:val="clear" w:color="auto" w:fill="C6EFCE"/>
            <w:noWrap/>
            <w:vAlign w:val="center"/>
            <w:hideMark/>
          </w:tcPr>
          <w:p w14:paraId="6EAAE86A" w14:textId="77777777" w:rsidR="003F5418" w:rsidRDefault="002A6C25">
            <w:pPr>
              <w:pStyle w:val="P68B1DB1-Normal4"/>
              <w:spacing w:before="120" w:after="120"/>
              <w:jc w:val="center"/>
              <w:rPr>
                <w:noProof/>
              </w:rPr>
            </w:pPr>
            <w:r>
              <w:rPr>
                <w:noProof/>
              </w:rPr>
              <w:t>M5C2–3</w:t>
            </w:r>
          </w:p>
        </w:tc>
        <w:tc>
          <w:tcPr>
            <w:tcW w:w="1908" w:type="dxa"/>
            <w:shd w:val="clear" w:color="auto" w:fill="C6EFCE"/>
            <w:noWrap/>
            <w:vAlign w:val="center"/>
            <w:hideMark/>
          </w:tcPr>
          <w:p w14:paraId="2DA32AC9" w14:textId="77777777" w:rsidR="003F5418" w:rsidRDefault="002A6C25">
            <w:pPr>
              <w:pStyle w:val="P68B1DB1-Normal4"/>
              <w:jc w:val="center"/>
              <w:rPr>
                <w:noProof/>
              </w:rPr>
            </w:pPr>
            <w:r>
              <w:rPr>
                <w:noProof/>
              </w:rPr>
              <w:t xml:space="preserve">Reform – </w:t>
            </w:r>
            <w:r>
              <w:rPr>
                <w:noProof/>
              </w:rPr>
              <w:t>Az önellátó idősek reformja</w:t>
            </w:r>
          </w:p>
        </w:tc>
        <w:tc>
          <w:tcPr>
            <w:tcW w:w="1322" w:type="dxa"/>
            <w:shd w:val="clear" w:color="auto" w:fill="C6EFCE"/>
            <w:noWrap/>
            <w:vAlign w:val="center"/>
            <w:hideMark/>
          </w:tcPr>
          <w:p w14:paraId="67AD39A8" w14:textId="77777777" w:rsidR="003F5418" w:rsidRDefault="002A6C25">
            <w:pPr>
              <w:pStyle w:val="P68B1DB1-Normal4"/>
              <w:jc w:val="center"/>
              <w:rPr>
                <w:noProof/>
              </w:rPr>
            </w:pPr>
            <w:r>
              <w:rPr>
                <w:noProof/>
              </w:rPr>
              <w:t>Mérföldkő</w:t>
            </w:r>
          </w:p>
        </w:tc>
        <w:tc>
          <w:tcPr>
            <w:tcW w:w="1395" w:type="dxa"/>
            <w:shd w:val="clear" w:color="auto" w:fill="C6EFCE"/>
            <w:noWrap/>
            <w:vAlign w:val="center"/>
            <w:hideMark/>
          </w:tcPr>
          <w:p w14:paraId="7B89DDA9" w14:textId="77777777" w:rsidR="003F5418" w:rsidRDefault="002A6C25">
            <w:pPr>
              <w:pStyle w:val="P68B1DB1-Normal4"/>
              <w:jc w:val="center"/>
              <w:rPr>
                <w:noProof/>
              </w:rPr>
            </w:pPr>
            <w:r>
              <w:rPr>
                <w:noProof/>
              </w:rPr>
              <w:t>Egy olyan kerettörvény hatálybalépése, amely megerősíti a nem önellátó idős emberek érdekében tett intézkedéseket</w:t>
            </w:r>
          </w:p>
        </w:tc>
        <w:tc>
          <w:tcPr>
            <w:tcW w:w="1476" w:type="dxa"/>
            <w:shd w:val="clear" w:color="auto" w:fill="C6EFCE"/>
            <w:noWrap/>
            <w:vAlign w:val="center"/>
            <w:hideMark/>
          </w:tcPr>
          <w:p w14:paraId="7309915B" w14:textId="77777777" w:rsidR="003F5418" w:rsidRDefault="002A6C25">
            <w:pPr>
              <w:pStyle w:val="P68B1DB1-Normal6"/>
              <w:jc w:val="center"/>
              <w:rPr>
                <w:noProof/>
                <w:color w:val="006100"/>
              </w:rPr>
            </w:pPr>
            <w:r>
              <w:rPr>
                <w:noProof/>
                <w:color w:val="006100"/>
              </w:rPr>
              <w:t xml:space="preserve">A törvény azon rendelkezései, amelyek a kerettörvény hatálybalépését jelzik, és amelyek </w:t>
            </w:r>
            <w:r>
              <w:rPr>
                <w:noProof/>
              </w:rPr>
              <w:t xml:space="preserve"> </w:t>
            </w:r>
            <w:r>
              <w:rPr>
                <w:noProof/>
                <w:color w:val="006100"/>
              </w:rPr>
              <w:t xml:space="preserve">megerősítik az </w:t>
            </w:r>
            <w:r>
              <w:rPr>
                <w:noProof/>
                <w:color w:val="006100"/>
              </w:rPr>
              <w:t>önellátással nem rendelkező idősek érdekében tett intézkedéseket</w:t>
            </w:r>
          </w:p>
        </w:tc>
        <w:tc>
          <w:tcPr>
            <w:tcW w:w="1474" w:type="dxa"/>
            <w:shd w:val="clear" w:color="auto" w:fill="C6EFCE"/>
            <w:noWrap/>
            <w:vAlign w:val="center"/>
            <w:hideMark/>
          </w:tcPr>
          <w:p w14:paraId="511A3EBA" w14:textId="77777777" w:rsidR="003F5418" w:rsidRDefault="002A6C25">
            <w:pPr>
              <w:pStyle w:val="P68B1DB1-Normal4"/>
              <w:jc w:val="center"/>
              <w:rPr>
                <w:noProof/>
              </w:rPr>
            </w:pPr>
            <w:r>
              <w:rPr>
                <w:noProof/>
              </w:rPr>
              <w:t>NINCS</w:t>
            </w:r>
          </w:p>
        </w:tc>
        <w:tc>
          <w:tcPr>
            <w:tcW w:w="1092" w:type="dxa"/>
            <w:shd w:val="clear" w:color="auto" w:fill="C6EFCE"/>
            <w:noWrap/>
            <w:vAlign w:val="center"/>
            <w:hideMark/>
          </w:tcPr>
          <w:p w14:paraId="76E54A59" w14:textId="77777777" w:rsidR="003F5418" w:rsidRDefault="002A6C25">
            <w:pPr>
              <w:pStyle w:val="P68B1DB1-Normal4"/>
              <w:jc w:val="center"/>
              <w:rPr>
                <w:rFonts w:eastAsia="Calibri"/>
                <w:noProof/>
              </w:rPr>
            </w:pPr>
            <w:r>
              <w:rPr>
                <w:noProof/>
              </w:rPr>
              <w:t>NINCS</w:t>
            </w:r>
          </w:p>
        </w:tc>
        <w:tc>
          <w:tcPr>
            <w:tcW w:w="775" w:type="dxa"/>
            <w:shd w:val="clear" w:color="auto" w:fill="C6EFCE"/>
            <w:noWrap/>
            <w:vAlign w:val="center"/>
            <w:hideMark/>
          </w:tcPr>
          <w:p w14:paraId="55621DEF" w14:textId="77777777" w:rsidR="003F5418" w:rsidRDefault="002A6C25">
            <w:pPr>
              <w:pStyle w:val="P68B1DB1-Normal4"/>
              <w:jc w:val="center"/>
              <w:rPr>
                <w:rFonts w:eastAsia="Calibri"/>
                <w:noProof/>
              </w:rPr>
            </w:pPr>
            <w:r>
              <w:rPr>
                <w:noProof/>
              </w:rPr>
              <w:t>NINCS</w:t>
            </w:r>
          </w:p>
        </w:tc>
        <w:tc>
          <w:tcPr>
            <w:tcW w:w="1078" w:type="dxa"/>
            <w:shd w:val="clear" w:color="auto" w:fill="C6EFCE"/>
            <w:noWrap/>
            <w:vAlign w:val="center"/>
            <w:hideMark/>
          </w:tcPr>
          <w:p w14:paraId="30233F5A" w14:textId="77777777" w:rsidR="003F5418" w:rsidRDefault="002A6C25">
            <w:pPr>
              <w:pStyle w:val="P68B1DB1-Normal4"/>
              <w:jc w:val="center"/>
              <w:rPr>
                <w:noProof/>
              </w:rPr>
            </w:pPr>
            <w:r>
              <w:rPr>
                <w:noProof/>
              </w:rPr>
              <w:t>Q1</w:t>
            </w:r>
          </w:p>
        </w:tc>
        <w:tc>
          <w:tcPr>
            <w:tcW w:w="755" w:type="dxa"/>
            <w:shd w:val="clear" w:color="auto" w:fill="C6EFCE"/>
            <w:noWrap/>
            <w:vAlign w:val="center"/>
            <w:hideMark/>
          </w:tcPr>
          <w:p w14:paraId="53423E41" w14:textId="77777777" w:rsidR="003F5418" w:rsidRDefault="002A6C25">
            <w:pPr>
              <w:pStyle w:val="P68B1DB1-Normal4"/>
              <w:jc w:val="center"/>
              <w:rPr>
                <w:rFonts w:eastAsia="Calibri"/>
                <w:noProof/>
              </w:rPr>
            </w:pPr>
            <w:r>
              <w:rPr>
                <w:noProof/>
              </w:rPr>
              <w:t>2023</w:t>
            </w:r>
          </w:p>
        </w:tc>
        <w:tc>
          <w:tcPr>
            <w:tcW w:w="5046" w:type="dxa"/>
            <w:shd w:val="clear" w:color="auto" w:fill="C6EFCE"/>
            <w:noWrap/>
            <w:vAlign w:val="center"/>
            <w:hideMark/>
          </w:tcPr>
          <w:p w14:paraId="2F5B264C" w14:textId="77777777" w:rsidR="003F5418" w:rsidRDefault="002A6C25">
            <w:pPr>
              <w:pStyle w:val="P68B1DB1-Normal4"/>
              <w:rPr>
                <w:noProof/>
              </w:rPr>
            </w:pPr>
            <w:r>
              <w:rPr>
                <w:noProof/>
              </w:rPr>
              <w:t>A kormány által javasolt kerettörvény megerősíti a nem önellátó időseket célzó intézkedéseket. A törvény egyszerűsíti és biztosítja a szociális és egészségügyi szolg</w:t>
            </w:r>
            <w:r>
              <w:rPr>
                <w:noProof/>
              </w:rPr>
              <w:t>áltatások egyablakos ügyintézési pontjait, felülvizsgálja a nem önellátó idősek állapotának értékelésére szolgáló eljárásokat, és bővíti az otthon nyújtható szociális és egészségügyi szolgáltatások körét. A törvény meghatározza a szükséges pénzügyi forráso</w:t>
            </w:r>
            <w:r>
              <w:rPr>
                <w:noProof/>
              </w:rPr>
              <w:t>kat is.</w:t>
            </w:r>
          </w:p>
        </w:tc>
      </w:tr>
      <w:tr w:rsidR="003F5418" w14:paraId="5DBF7CBB" w14:textId="77777777">
        <w:trPr>
          <w:trHeight w:val="309"/>
          <w:jc w:val="center"/>
        </w:trPr>
        <w:tc>
          <w:tcPr>
            <w:tcW w:w="1648" w:type="dxa"/>
            <w:shd w:val="clear" w:color="auto" w:fill="C6EFCE"/>
            <w:noWrap/>
            <w:vAlign w:val="center"/>
            <w:hideMark/>
          </w:tcPr>
          <w:p w14:paraId="5B1E200D" w14:textId="77777777" w:rsidR="003F5418" w:rsidRDefault="002A6C25">
            <w:pPr>
              <w:pStyle w:val="P68B1DB1-Normal4"/>
              <w:jc w:val="center"/>
              <w:rPr>
                <w:rFonts w:eastAsia="Calibri"/>
                <w:noProof/>
              </w:rPr>
            </w:pPr>
            <w:r>
              <w:rPr>
                <w:noProof/>
              </w:rPr>
              <w:t>M5C2–4</w:t>
            </w:r>
          </w:p>
        </w:tc>
        <w:tc>
          <w:tcPr>
            <w:tcW w:w="1908" w:type="dxa"/>
            <w:shd w:val="clear" w:color="auto" w:fill="C6EFCE"/>
            <w:noWrap/>
            <w:vAlign w:val="center"/>
            <w:hideMark/>
          </w:tcPr>
          <w:p w14:paraId="2DC066CB" w14:textId="77777777" w:rsidR="003F5418" w:rsidRDefault="002A6C25">
            <w:pPr>
              <w:pStyle w:val="P68B1DB1-Normal4"/>
              <w:jc w:val="center"/>
              <w:rPr>
                <w:noProof/>
              </w:rPr>
            </w:pPr>
            <w:r>
              <w:rPr>
                <w:noProof/>
              </w:rPr>
              <w:t>Reform – Az önellátó időskorúakra vonatkozó reform</w:t>
            </w:r>
          </w:p>
        </w:tc>
        <w:tc>
          <w:tcPr>
            <w:tcW w:w="1322" w:type="dxa"/>
            <w:shd w:val="clear" w:color="auto" w:fill="C6EFCE"/>
            <w:noWrap/>
            <w:vAlign w:val="center"/>
            <w:hideMark/>
          </w:tcPr>
          <w:p w14:paraId="49344BF1" w14:textId="77777777" w:rsidR="003F5418" w:rsidRDefault="002A6C25">
            <w:pPr>
              <w:pStyle w:val="P68B1DB1-Normal4"/>
              <w:jc w:val="center"/>
              <w:rPr>
                <w:rFonts w:eastAsia="Calibri"/>
                <w:noProof/>
              </w:rPr>
            </w:pPr>
            <w:r>
              <w:rPr>
                <w:noProof/>
              </w:rPr>
              <w:t>Mérföldkő</w:t>
            </w:r>
          </w:p>
        </w:tc>
        <w:tc>
          <w:tcPr>
            <w:tcW w:w="1395" w:type="dxa"/>
            <w:shd w:val="clear" w:color="auto" w:fill="C6EFCE"/>
            <w:noWrap/>
            <w:vAlign w:val="center"/>
            <w:hideMark/>
          </w:tcPr>
          <w:p w14:paraId="7652405A" w14:textId="77777777" w:rsidR="003F5418" w:rsidRDefault="002A6C25">
            <w:pPr>
              <w:pStyle w:val="P68B1DB1-Normal4"/>
              <w:jc w:val="center"/>
              <w:rPr>
                <w:noProof/>
              </w:rPr>
            </w:pPr>
            <w:r>
              <w:rPr>
                <w:noProof/>
              </w:rPr>
              <w:t xml:space="preserve">Azon törvényerejű rendeletek hatálybalépése, amelyek a kerettörvényben meghatározott rendelkezéseket fejlesztik ki az önellátással nem rendelkező idősek érdekében tett </w:t>
            </w:r>
            <w:r>
              <w:rPr>
                <w:noProof/>
              </w:rPr>
              <w:t>intézkedések megerősítése érdekében</w:t>
            </w:r>
          </w:p>
        </w:tc>
        <w:tc>
          <w:tcPr>
            <w:tcW w:w="1476" w:type="dxa"/>
            <w:shd w:val="clear" w:color="auto" w:fill="C6EFCE"/>
            <w:noWrap/>
            <w:vAlign w:val="center"/>
            <w:hideMark/>
          </w:tcPr>
          <w:p w14:paraId="4C7BBACD" w14:textId="77777777" w:rsidR="003F5418" w:rsidRDefault="002A6C25">
            <w:pPr>
              <w:pStyle w:val="P68B1DB1-Normal4"/>
              <w:jc w:val="center"/>
              <w:rPr>
                <w:noProof/>
              </w:rPr>
            </w:pPr>
            <w:r>
              <w:rPr>
                <w:noProof/>
              </w:rPr>
              <w:t>A törvénynek a törvényerejű rendeletek hatálybalépését feltüntető rendelkezései</w:t>
            </w:r>
          </w:p>
        </w:tc>
        <w:tc>
          <w:tcPr>
            <w:tcW w:w="1474" w:type="dxa"/>
            <w:shd w:val="clear" w:color="auto" w:fill="C6EFCE"/>
            <w:noWrap/>
            <w:vAlign w:val="center"/>
            <w:hideMark/>
          </w:tcPr>
          <w:p w14:paraId="41BA18EC" w14:textId="77777777" w:rsidR="003F5418" w:rsidRDefault="002A6C25">
            <w:pPr>
              <w:pStyle w:val="P68B1DB1-Normal4"/>
              <w:jc w:val="center"/>
              <w:rPr>
                <w:rFonts w:eastAsia="Calibri"/>
                <w:noProof/>
              </w:rPr>
            </w:pPr>
            <w:r>
              <w:rPr>
                <w:noProof/>
              </w:rPr>
              <w:t>NINCS</w:t>
            </w:r>
          </w:p>
        </w:tc>
        <w:tc>
          <w:tcPr>
            <w:tcW w:w="1092" w:type="dxa"/>
            <w:shd w:val="clear" w:color="auto" w:fill="C6EFCE"/>
            <w:noWrap/>
            <w:vAlign w:val="center"/>
            <w:hideMark/>
          </w:tcPr>
          <w:p w14:paraId="1B5AF665" w14:textId="77777777" w:rsidR="003F5418" w:rsidRDefault="002A6C25">
            <w:pPr>
              <w:pStyle w:val="P68B1DB1-Normal4"/>
              <w:jc w:val="center"/>
              <w:rPr>
                <w:rFonts w:eastAsia="Calibri"/>
                <w:noProof/>
              </w:rPr>
            </w:pPr>
            <w:r>
              <w:rPr>
                <w:noProof/>
              </w:rPr>
              <w:t>NINCS</w:t>
            </w:r>
          </w:p>
        </w:tc>
        <w:tc>
          <w:tcPr>
            <w:tcW w:w="775" w:type="dxa"/>
            <w:shd w:val="clear" w:color="auto" w:fill="C6EFCE"/>
            <w:noWrap/>
            <w:vAlign w:val="center"/>
            <w:hideMark/>
          </w:tcPr>
          <w:p w14:paraId="0BAB404F" w14:textId="77777777" w:rsidR="003F5418" w:rsidRDefault="002A6C25">
            <w:pPr>
              <w:pStyle w:val="P68B1DB1-Normal4"/>
              <w:jc w:val="center"/>
              <w:rPr>
                <w:rFonts w:eastAsia="Calibri"/>
                <w:noProof/>
              </w:rPr>
            </w:pPr>
            <w:r>
              <w:rPr>
                <w:noProof/>
              </w:rPr>
              <w:t>NINCS</w:t>
            </w:r>
          </w:p>
        </w:tc>
        <w:tc>
          <w:tcPr>
            <w:tcW w:w="1078" w:type="dxa"/>
            <w:shd w:val="clear" w:color="auto" w:fill="C6EFCE"/>
            <w:noWrap/>
            <w:vAlign w:val="center"/>
            <w:hideMark/>
          </w:tcPr>
          <w:p w14:paraId="43CED258" w14:textId="77777777" w:rsidR="003F5418" w:rsidRDefault="002A6C25">
            <w:pPr>
              <w:pStyle w:val="P68B1DB1-Normal4"/>
              <w:jc w:val="center"/>
              <w:rPr>
                <w:noProof/>
              </w:rPr>
            </w:pPr>
            <w:r>
              <w:rPr>
                <w:noProof/>
              </w:rPr>
              <w:t>Q1</w:t>
            </w:r>
          </w:p>
        </w:tc>
        <w:tc>
          <w:tcPr>
            <w:tcW w:w="755" w:type="dxa"/>
            <w:shd w:val="clear" w:color="auto" w:fill="C6EFCE"/>
            <w:noWrap/>
            <w:vAlign w:val="center"/>
            <w:hideMark/>
          </w:tcPr>
          <w:p w14:paraId="706843EC" w14:textId="77777777" w:rsidR="003F5418" w:rsidRDefault="002A6C25">
            <w:pPr>
              <w:pStyle w:val="P68B1DB1-Normal4"/>
              <w:jc w:val="center"/>
              <w:rPr>
                <w:noProof/>
              </w:rPr>
            </w:pPr>
            <w:r>
              <w:rPr>
                <w:noProof/>
              </w:rPr>
              <w:t>2024</w:t>
            </w:r>
          </w:p>
        </w:tc>
        <w:tc>
          <w:tcPr>
            <w:tcW w:w="5046" w:type="dxa"/>
            <w:shd w:val="clear" w:color="auto" w:fill="C6EFCE"/>
            <w:noWrap/>
            <w:vAlign w:val="center"/>
            <w:hideMark/>
          </w:tcPr>
          <w:p w14:paraId="6B029949" w14:textId="77777777" w:rsidR="003F5418" w:rsidRDefault="002A6C25">
            <w:pPr>
              <w:pStyle w:val="P68B1DB1-Normal4"/>
              <w:rPr>
                <w:noProof/>
              </w:rPr>
            </w:pPr>
            <w:r>
              <w:rPr>
                <w:noProof/>
              </w:rPr>
              <w:t xml:space="preserve">A törvényerejű rendeletek konkretizálják a kerettörvényben meghatározott rendelkezéseket a nem önellátó időseket </w:t>
            </w:r>
            <w:r>
              <w:rPr>
                <w:noProof/>
              </w:rPr>
              <w:t>támogató intézkedések megerősítése érdekében, a különböző intézkedések végrehajtásával.</w:t>
            </w:r>
          </w:p>
        </w:tc>
      </w:tr>
      <w:tr w:rsidR="003F5418" w14:paraId="022BFE14" w14:textId="77777777">
        <w:trPr>
          <w:trHeight w:val="309"/>
          <w:jc w:val="center"/>
        </w:trPr>
        <w:tc>
          <w:tcPr>
            <w:tcW w:w="1648" w:type="dxa"/>
            <w:shd w:val="clear" w:color="auto" w:fill="C6EFCE"/>
            <w:noWrap/>
            <w:vAlign w:val="center"/>
            <w:hideMark/>
          </w:tcPr>
          <w:p w14:paraId="1620EB7A" w14:textId="77777777" w:rsidR="003F5418" w:rsidRDefault="002A6C25">
            <w:pPr>
              <w:pStyle w:val="P68B1DB1-Normal4"/>
              <w:jc w:val="center"/>
              <w:rPr>
                <w:noProof/>
              </w:rPr>
            </w:pPr>
            <w:r>
              <w:rPr>
                <w:noProof/>
              </w:rPr>
              <w:t>M5C2–5</w:t>
            </w:r>
          </w:p>
        </w:tc>
        <w:tc>
          <w:tcPr>
            <w:tcW w:w="1908" w:type="dxa"/>
            <w:shd w:val="clear" w:color="auto" w:fill="C6EFCE"/>
            <w:noWrap/>
            <w:vAlign w:val="center"/>
            <w:hideMark/>
          </w:tcPr>
          <w:p w14:paraId="07F65D1F" w14:textId="77777777" w:rsidR="003F5418" w:rsidRDefault="002A6C25">
            <w:pPr>
              <w:pStyle w:val="P68B1DB1-Normal4"/>
              <w:jc w:val="center"/>
              <w:rPr>
                <w:noProof/>
              </w:rPr>
            </w:pPr>
            <w:r>
              <w:rPr>
                <w:noProof/>
              </w:rPr>
              <w:t>Beruházás – A kiszolgáltatott személyek támogatása és az intézményesítés megelőzése</w:t>
            </w:r>
          </w:p>
        </w:tc>
        <w:tc>
          <w:tcPr>
            <w:tcW w:w="1322" w:type="dxa"/>
            <w:shd w:val="clear" w:color="auto" w:fill="C6EFCE"/>
            <w:noWrap/>
            <w:vAlign w:val="center"/>
            <w:hideMark/>
          </w:tcPr>
          <w:p w14:paraId="115F31C6" w14:textId="77777777" w:rsidR="003F5418" w:rsidRDefault="002A6C25">
            <w:pPr>
              <w:pStyle w:val="P68B1DB1-Normal4"/>
              <w:jc w:val="center"/>
              <w:rPr>
                <w:noProof/>
              </w:rPr>
            </w:pPr>
            <w:r>
              <w:rPr>
                <w:noProof/>
              </w:rPr>
              <w:t>Mérföldkő</w:t>
            </w:r>
          </w:p>
        </w:tc>
        <w:tc>
          <w:tcPr>
            <w:tcW w:w="1395" w:type="dxa"/>
            <w:shd w:val="clear" w:color="auto" w:fill="C6EFCE"/>
            <w:noWrap/>
            <w:vAlign w:val="center"/>
            <w:hideMark/>
          </w:tcPr>
          <w:p w14:paraId="0C0545A9" w14:textId="77777777" w:rsidR="003F5418" w:rsidRDefault="002A6C25">
            <w:pPr>
              <w:pStyle w:val="P68B1DB1-Normal4"/>
              <w:jc w:val="center"/>
              <w:rPr>
                <w:noProof/>
              </w:rPr>
            </w:pPr>
            <w:r>
              <w:rPr>
                <w:noProof/>
              </w:rPr>
              <w:t>A műveleti terv hatálybalépése</w:t>
            </w:r>
          </w:p>
        </w:tc>
        <w:tc>
          <w:tcPr>
            <w:tcW w:w="1476" w:type="dxa"/>
            <w:shd w:val="clear" w:color="auto" w:fill="C6EFCE"/>
            <w:noWrap/>
            <w:vAlign w:val="center"/>
            <w:hideMark/>
          </w:tcPr>
          <w:p w14:paraId="414E17DF" w14:textId="77777777" w:rsidR="003F5418" w:rsidRDefault="002A6C25">
            <w:pPr>
              <w:pStyle w:val="P68B1DB1-Normal4"/>
              <w:jc w:val="center"/>
              <w:rPr>
                <w:noProof/>
              </w:rPr>
            </w:pPr>
            <w:r>
              <w:rPr>
                <w:noProof/>
              </w:rPr>
              <w:t xml:space="preserve">A beavatkozás operatív tervének </w:t>
            </w:r>
            <w:r>
              <w:rPr>
                <w:noProof/>
              </w:rPr>
              <w:t>hatálybalépését feltüntető törvényi rendelkezések</w:t>
            </w:r>
          </w:p>
        </w:tc>
        <w:tc>
          <w:tcPr>
            <w:tcW w:w="1474" w:type="dxa"/>
            <w:shd w:val="clear" w:color="auto" w:fill="C6EFCE"/>
            <w:noWrap/>
            <w:vAlign w:val="center"/>
            <w:hideMark/>
          </w:tcPr>
          <w:p w14:paraId="6BF697AE" w14:textId="77777777" w:rsidR="003F5418" w:rsidRDefault="002A6C25">
            <w:pPr>
              <w:pStyle w:val="P68B1DB1-Normal4"/>
              <w:jc w:val="center"/>
              <w:rPr>
                <w:rFonts w:eastAsia="Calibri"/>
                <w:noProof/>
              </w:rPr>
            </w:pPr>
            <w:r>
              <w:rPr>
                <w:noProof/>
              </w:rPr>
              <w:t>NINCS</w:t>
            </w:r>
          </w:p>
        </w:tc>
        <w:tc>
          <w:tcPr>
            <w:tcW w:w="1092" w:type="dxa"/>
            <w:shd w:val="clear" w:color="auto" w:fill="C6EFCE"/>
            <w:noWrap/>
            <w:vAlign w:val="center"/>
            <w:hideMark/>
          </w:tcPr>
          <w:p w14:paraId="6E25EDF6" w14:textId="77777777" w:rsidR="003F5418" w:rsidRDefault="002A6C25">
            <w:pPr>
              <w:pStyle w:val="P68B1DB1-Normal4"/>
              <w:jc w:val="center"/>
              <w:rPr>
                <w:rFonts w:eastAsia="Calibri"/>
                <w:noProof/>
              </w:rPr>
            </w:pPr>
            <w:r>
              <w:rPr>
                <w:noProof/>
              </w:rPr>
              <w:t>NINCS</w:t>
            </w:r>
          </w:p>
        </w:tc>
        <w:tc>
          <w:tcPr>
            <w:tcW w:w="775" w:type="dxa"/>
            <w:shd w:val="clear" w:color="auto" w:fill="C6EFCE"/>
            <w:noWrap/>
            <w:vAlign w:val="center"/>
            <w:hideMark/>
          </w:tcPr>
          <w:p w14:paraId="4026EB08" w14:textId="77777777" w:rsidR="003F5418" w:rsidRDefault="002A6C25">
            <w:pPr>
              <w:pStyle w:val="P68B1DB1-Normal4"/>
              <w:jc w:val="center"/>
              <w:rPr>
                <w:rFonts w:eastAsia="Calibri"/>
                <w:noProof/>
              </w:rPr>
            </w:pPr>
            <w:r>
              <w:rPr>
                <w:noProof/>
              </w:rPr>
              <w:t>NINCS</w:t>
            </w:r>
          </w:p>
        </w:tc>
        <w:tc>
          <w:tcPr>
            <w:tcW w:w="1078" w:type="dxa"/>
            <w:shd w:val="clear" w:color="auto" w:fill="C6EFCE"/>
            <w:noWrap/>
            <w:vAlign w:val="center"/>
            <w:hideMark/>
          </w:tcPr>
          <w:p w14:paraId="301364B4" w14:textId="77777777" w:rsidR="003F5418" w:rsidRDefault="002A6C25">
            <w:pPr>
              <w:pStyle w:val="P68B1DB1-Normal4"/>
              <w:jc w:val="center"/>
              <w:rPr>
                <w:rFonts w:eastAsia="Calibri"/>
                <w:noProof/>
              </w:rPr>
            </w:pPr>
            <w:r>
              <w:rPr>
                <w:noProof/>
              </w:rPr>
              <w:t>Q4</w:t>
            </w:r>
          </w:p>
        </w:tc>
        <w:tc>
          <w:tcPr>
            <w:tcW w:w="755" w:type="dxa"/>
            <w:shd w:val="clear" w:color="auto" w:fill="C6EFCE"/>
            <w:noWrap/>
            <w:vAlign w:val="center"/>
            <w:hideMark/>
          </w:tcPr>
          <w:p w14:paraId="730B1C36" w14:textId="77777777" w:rsidR="003F5418" w:rsidRDefault="002A6C25">
            <w:pPr>
              <w:pStyle w:val="P68B1DB1-Normal4"/>
              <w:jc w:val="center"/>
              <w:rPr>
                <w:rFonts w:eastAsia="Calibri"/>
                <w:noProof/>
              </w:rPr>
            </w:pPr>
            <w:r>
              <w:rPr>
                <w:noProof/>
              </w:rPr>
              <w:t>2021</w:t>
            </w:r>
          </w:p>
        </w:tc>
        <w:tc>
          <w:tcPr>
            <w:tcW w:w="5046" w:type="dxa"/>
            <w:shd w:val="clear" w:color="auto" w:fill="C6EFCE"/>
            <w:noWrap/>
            <w:vAlign w:val="center"/>
            <w:hideMark/>
          </w:tcPr>
          <w:p w14:paraId="0C46471F" w14:textId="77777777" w:rsidR="003F5418" w:rsidRDefault="002A6C25">
            <w:pPr>
              <w:pStyle w:val="P68B1DB1-Normal4"/>
              <w:rPr>
                <w:noProof/>
              </w:rPr>
            </w:pPr>
            <w:r>
              <w:rPr>
                <w:noProof/>
              </w:rPr>
              <w:t>Az operatív terv meghatározza a helyi egységek által előterjeszthető projektekre vonatkozó követelményeket, amelyek négy dimenzióhoz kapcsolódnak: i. a 0–17 éves gyermekek szüleine</w:t>
            </w:r>
            <w:r>
              <w:rPr>
                <w:noProof/>
              </w:rPr>
              <w:t>k nyújtott támogatás, ii. az idősek autonómiájának támogatása, iii. az idősek otthoni ellátása és iv. a szociális munkások támogatása.</w:t>
            </w:r>
          </w:p>
          <w:p w14:paraId="7F231B58" w14:textId="77777777" w:rsidR="003F5418" w:rsidRDefault="003F5418">
            <w:pPr>
              <w:rPr>
                <w:rFonts w:ascii="Arial Narrow" w:eastAsia="Calibri" w:hAnsi="Arial Narrow"/>
                <w:noProof/>
                <w:color w:val="006100"/>
                <w:sz w:val="20"/>
              </w:rPr>
            </w:pPr>
          </w:p>
          <w:p w14:paraId="00DCE9D2" w14:textId="77777777" w:rsidR="003F5418" w:rsidRDefault="002A6C25">
            <w:pPr>
              <w:pStyle w:val="P68B1DB1-Normal4"/>
              <w:rPr>
                <w:noProof/>
              </w:rPr>
            </w:pPr>
            <w:r>
              <w:rPr>
                <w:noProof/>
              </w:rPr>
              <w:t xml:space="preserve">A „Szülők támogatása” intézkedés legalább 18 hónapig támogatást nyújt a kedvezményezett családoknak i. a családi </w:t>
            </w:r>
            <w:r>
              <w:rPr>
                <w:noProof/>
              </w:rPr>
              <w:t>környezet és a gyermekek helyzetének előzetes értékelésével, ii. képesített szakemberekből álló multidiszciplináris csoport által végzett helyzetértékeléssel és iii. az alábbi szolgáltatások közül legalább egyet nyújt: otthoni szolgáltatások, a szülőket és</w:t>
            </w:r>
            <w:r>
              <w:rPr>
                <w:noProof/>
              </w:rPr>
              <w:t xml:space="preserve"> gyermekeket támogató csoportokban való részvétel; az iskolák, családok és szociális szolgálatok és/vagy közös családi gondozási szolgáltatások közötti együttműködés.</w:t>
            </w:r>
          </w:p>
          <w:p w14:paraId="3602D1AA" w14:textId="77777777" w:rsidR="003F5418" w:rsidRDefault="002A6C25">
            <w:pPr>
              <w:pStyle w:val="P68B1DB1-Normal4"/>
              <w:rPr>
                <w:rFonts w:eastAsia="Calibri"/>
                <w:noProof/>
              </w:rPr>
            </w:pPr>
            <w:r>
              <w:rPr>
                <w:noProof/>
              </w:rPr>
              <w:t>Az „idős autonómia” intézkedés legalább az önálló lakáscsoportokban lévő idősotthonok áta</w:t>
            </w:r>
            <w:r>
              <w:rPr>
                <w:noProof/>
              </w:rPr>
              <w:t>lakításából áll, amelyek rendelkeznek minden szükséges eszközzel és szolgáltatással, beleértve az otthonautomatizálást, a távorvoslást és a távellenőrzést.</w:t>
            </w:r>
          </w:p>
          <w:p w14:paraId="25323F54" w14:textId="77777777" w:rsidR="003F5418" w:rsidRDefault="002A6C25">
            <w:pPr>
              <w:pStyle w:val="P68B1DB1-Normal4"/>
              <w:rPr>
                <w:rFonts w:eastAsia="Calibri"/>
                <w:noProof/>
              </w:rPr>
            </w:pPr>
            <w:r>
              <w:rPr>
                <w:noProof/>
              </w:rPr>
              <w:t>Az „idősek otthoni szolgáltatásai” elnevezésű fellépés célja, hogy speciális képzést nyújtson az idő</w:t>
            </w:r>
            <w:r>
              <w:rPr>
                <w:noProof/>
              </w:rPr>
              <w:t>sek otthoni szolgáltatásaival foglalkozó szakembereknek.</w:t>
            </w:r>
          </w:p>
          <w:p w14:paraId="13B42CEB" w14:textId="77777777" w:rsidR="003F5418" w:rsidRDefault="002A6C25">
            <w:pPr>
              <w:pStyle w:val="P68B1DB1-Normal4"/>
              <w:rPr>
                <w:rFonts w:eastAsia="Calibri"/>
                <w:noProof/>
              </w:rPr>
            </w:pPr>
            <w:r>
              <w:rPr>
                <w:noProof/>
              </w:rPr>
              <w:t>A „szociális munkások támogatása” elnevezésű fellépés a szociális szereplők támogatását, szakmaiságuk megerősítését és a kompetenciák megosztását foglalja magában, elsősorban a kompetenciák megosztás</w:t>
            </w:r>
            <w:r>
              <w:rPr>
                <w:noProof/>
              </w:rPr>
              <w:t>ára szolgáló eszközök bevezetésével, valamint felügyeleti szolgáltatások nyújtásával a gazdasági szereplők munkájának támogatása érdekében.</w:t>
            </w:r>
          </w:p>
        </w:tc>
      </w:tr>
      <w:tr w:rsidR="003F5418" w14:paraId="0398642A" w14:textId="77777777">
        <w:trPr>
          <w:trHeight w:val="309"/>
          <w:jc w:val="center"/>
        </w:trPr>
        <w:tc>
          <w:tcPr>
            <w:tcW w:w="1648" w:type="dxa"/>
            <w:shd w:val="clear" w:color="auto" w:fill="C6EFCE"/>
            <w:noWrap/>
            <w:vAlign w:val="center"/>
            <w:hideMark/>
          </w:tcPr>
          <w:p w14:paraId="6CBEFC69" w14:textId="77777777" w:rsidR="003F5418" w:rsidRDefault="002A6C25">
            <w:pPr>
              <w:pStyle w:val="P68B1DB1-Normal4"/>
              <w:spacing w:before="120"/>
              <w:jc w:val="center"/>
              <w:rPr>
                <w:rFonts w:eastAsia="Calibri"/>
                <w:noProof/>
              </w:rPr>
            </w:pPr>
            <w:r>
              <w:rPr>
                <w:noProof/>
              </w:rPr>
              <w:t>M5C2–6</w:t>
            </w:r>
          </w:p>
        </w:tc>
        <w:tc>
          <w:tcPr>
            <w:tcW w:w="1908" w:type="dxa"/>
            <w:shd w:val="clear" w:color="auto" w:fill="C6EFCE"/>
            <w:noWrap/>
            <w:vAlign w:val="center"/>
            <w:hideMark/>
          </w:tcPr>
          <w:p w14:paraId="75E63C5C" w14:textId="77777777" w:rsidR="003F5418" w:rsidRDefault="002A6C25">
            <w:pPr>
              <w:pStyle w:val="P68B1DB1-Normal4"/>
              <w:spacing w:before="120" w:after="120"/>
              <w:jc w:val="center"/>
              <w:rPr>
                <w:noProof/>
              </w:rPr>
            </w:pPr>
            <w:r>
              <w:rPr>
                <w:noProof/>
              </w:rPr>
              <w:t>Beruházás – A kiszolgáltatott személyek támogatása és az intézményesítés megelőzése</w:t>
            </w:r>
          </w:p>
        </w:tc>
        <w:tc>
          <w:tcPr>
            <w:tcW w:w="1322" w:type="dxa"/>
            <w:shd w:val="clear" w:color="auto" w:fill="C6EFCE"/>
            <w:noWrap/>
            <w:vAlign w:val="center"/>
            <w:hideMark/>
          </w:tcPr>
          <w:p w14:paraId="1CA67BB4" w14:textId="77777777" w:rsidR="003F5418" w:rsidRDefault="002A6C25">
            <w:pPr>
              <w:pStyle w:val="P68B1DB1-Normal4"/>
              <w:spacing w:before="120" w:after="120"/>
              <w:jc w:val="center"/>
              <w:rPr>
                <w:rFonts w:eastAsia="Calibri"/>
                <w:noProof/>
              </w:rPr>
            </w:pPr>
            <w:r>
              <w:rPr>
                <w:noProof/>
              </w:rPr>
              <w:t>Cél</w:t>
            </w:r>
          </w:p>
        </w:tc>
        <w:tc>
          <w:tcPr>
            <w:tcW w:w="1395" w:type="dxa"/>
            <w:shd w:val="clear" w:color="auto" w:fill="C6EFCE"/>
            <w:noWrap/>
            <w:vAlign w:val="center"/>
            <w:hideMark/>
          </w:tcPr>
          <w:p w14:paraId="39E4599F" w14:textId="77777777" w:rsidR="003F5418" w:rsidRDefault="002A6C25">
            <w:pPr>
              <w:pStyle w:val="P68B1DB1-Normal4"/>
              <w:spacing w:before="120" w:after="120"/>
              <w:jc w:val="center"/>
              <w:rPr>
                <w:rFonts w:eastAsia="Calibri"/>
                <w:noProof/>
              </w:rPr>
            </w:pPr>
            <w:r>
              <w:rPr>
                <w:noProof/>
              </w:rPr>
              <w:t>A szociális körzetek az alábbi eredmények közül legalább egyet elérnek: i. a szülők támogatása, ii. az idősek autonómiája, iii. az idősek otthoni ellátása vagy iv. a szociális munkások támogatása a kiégés megelőzése érdekében</w:t>
            </w:r>
          </w:p>
        </w:tc>
        <w:tc>
          <w:tcPr>
            <w:tcW w:w="1476" w:type="dxa"/>
            <w:shd w:val="clear" w:color="auto" w:fill="C6EFCE"/>
            <w:noWrap/>
            <w:vAlign w:val="center"/>
            <w:hideMark/>
          </w:tcPr>
          <w:p w14:paraId="084EE934" w14:textId="77777777" w:rsidR="003F5418" w:rsidRDefault="002A6C25">
            <w:pPr>
              <w:pStyle w:val="P68B1DB1-Normal4"/>
              <w:spacing w:before="120" w:after="120"/>
              <w:jc w:val="center"/>
              <w:rPr>
                <w:rFonts w:eastAsia="Calibri"/>
                <w:noProof/>
              </w:rPr>
            </w:pPr>
            <w:r>
              <w:rPr>
                <w:noProof/>
              </w:rPr>
              <w:t>NINCS</w:t>
            </w:r>
          </w:p>
        </w:tc>
        <w:tc>
          <w:tcPr>
            <w:tcW w:w="1474" w:type="dxa"/>
            <w:shd w:val="clear" w:color="auto" w:fill="C6EFCE"/>
            <w:noWrap/>
            <w:vAlign w:val="center"/>
            <w:hideMark/>
          </w:tcPr>
          <w:p w14:paraId="56552B75" w14:textId="77777777" w:rsidR="003F5418" w:rsidRDefault="002A6C25">
            <w:pPr>
              <w:pStyle w:val="P68B1DB1-Normal4"/>
              <w:spacing w:before="120" w:after="120"/>
              <w:jc w:val="center"/>
              <w:rPr>
                <w:rFonts w:eastAsia="Calibri"/>
                <w:noProof/>
              </w:rPr>
            </w:pPr>
            <w:r>
              <w:rPr>
                <w:noProof/>
              </w:rPr>
              <w:t>Százalék</w:t>
            </w:r>
          </w:p>
        </w:tc>
        <w:tc>
          <w:tcPr>
            <w:tcW w:w="1092" w:type="dxa"/>
            <w:shd w:val="clear" w:color="auto" w:fill="C6EFCE"/>
            <w:noWrap/>
            <w:vAlign w:val="center"/>
            <w:hideMark/>
          </w:tcPr>
          <w:p w14:paraId="1C7110DB" w14:textId="77777777" w:rsidR="003F5418" w:rsidRDefault="002A6C25">
            <w:pPr>
              <w:pStyle w:val="P68B1DB1-Normal4"/>
              <w:spacing w:before="120" w:after="120"/>
              <w:jc w:val="center"/>
              <w:rPr>
                <w:rFonts w:eastAsia="Calibri"/>
                <w:noProof/>
              </w:rPr>
            </w:pPr>
            <w:r>
              <w:rPr>
                <w:noProof/>
              </w:rPr>
              <w:t>0</w:t>
            </w:r>
          </w:p>
        </w:tc>
        <w:tc>
          <w:tcPr>
            <w:tcW w:w="775" w:type="dxa"/>
            <w:shd w:val="clear" w:color="auto" w:fill="C6EFCE"/>
            <w:noWrap/>
            <w:vAlign w:val="center"/>
            <w:hideMark/>
          </w:tcPr>
          <w:p w14:paraId="38A063DF" w14:textId="77777777" w:rsidR="003F5418" w:rsidRDefault="002A6C25">
            <w:pPr>
              <w:pStyle w:val="P68B1DB1-Normal4"/>
              <w:spacing w:before="120" w:after="120"/>
              <w:jc w:val="center"/>
              <w:rPr>
                <w:rFonts w:eastAsia="Calibri"/>
                <w:noProof/>
              </w:rPr>
            </w:pPr>
            <w:r>
              <w:rPr>
                <w:noProof/>
              </w:rPr>
              <w:t>85</w:t>
            </w:r>
          </w:p>
        </w:tc>
        <w:tc>
          <w:tcPr>
            <w:tcW w:w="1078" w:type="dxa"/>
            <w:shd w:val="clear" w:color="auto" w:fill="C6EFCE"/>
            <w:noWrap/>
            <w:vAlign w:val="center"/>
            <w:hideMark/>
          </w:tcPr>
          <w:p w14:paraId="7C243255" w14:textId="77777777" w:rsidR="003F5418" w:rsidRDefault="002A6C25">
            <w:pPr>
              <w:pStyle w:val="P68B1DB1-Normal4"/>
              <w:spacing w:before="120" w:after="120"/>
              <w:jc w:val="center"/>
              <w:rPr>
                <w:rFonts w:eastAsia="Calibri"/>
                <w:noProof/>
              </w:rPr>
            </w:pPr>
            <w:r>
              <w:rPr>
                <w:noProof/>
              </w:rPr>
              <w:t>Q1</w:t>
            </w:r>
          </w:p>
        </w:tc>
        <w:tc>
          <w:tcPr>
            <w:tcW w:w="755" w:type="dxa"/>
            <w:shd w:val="clear" w:color="auto" w:fill="C6EFCE"/>
            <w:noWrap/>
            <w:vAlign w:val="center"/>
            <w:hideMark/>
          </w:tcPr>
          <w:p w14:paraId="13ABDC4B" w14:textId="77777777" w:rsidR="003F5418" w:rsidRDefault="002A6C25">
            <w:pPr>
              <w:pStyle w:val="P68B1DB1-Normal4"/>
              <w:spacing w:before="120" w:after="120"/>
              <w:jc w:val="center"/>
              <w:rPr>
                <w:rFonts w:eastAsia="Calibri"/>
                <w:noProof/>
              </w:rPr>
            </w:pPr>
            <w:r>
              <w:rPr>
                <w:noProof/>
              </w:rPr>
              <w:t>2026</w:t>
            </w:r>
          </w:p>
        </w:tc>
        <w:tc>
          <w:tcPr>
            <w:tcW w:w="5046" w:type="dxa"/>
            <w:shd w:val="clear" w:color="auto" w:fill="C6EFCE"/>
            <w:noWrap/>
            <w:vAlign w:val="center"/>
            <w:hideMark/>
          </w:tcPr>
          <w:p w14:paraId="432EF500" w14:textId="77777777" w:rsidR="003F5418" w:rsidRDefault="002A6C25">
            <w:pPr>
              <w:pStyle w:val="P68B1DB1-Normal4"/>
              <w:spacing w:before="120" w:after="120"/>
              <w:rPr>
                <w:rFonts w:eastAsia="Calibri"/>
                <w:noProof/>
              </w:rPr>
            </w:pPr>
            <w:r>
              <w:rPr>
                <w:noProof/>
              </w:rPr>
              <w:t xml:space="preserve">A </w:t>
            </w:r>
            <w:r>
              <w:rPr>
                <w:noProof/>
              </w:rPr>
              <w:t>szociális körzetek legalább 85%-a eléri az alábbi eredmények legalább egyikét: i. a 0–17 éves gyermekek szüleinek támogatása, ii. az idősek autonómiája, iii. az idősek otthoni ellátása vagy iv. a szociális munkások támogatása a kiégés megelőzése érdekében.</w:t>
            </w:r>
          </w:p>
          <w:p w14:paraId="7B79CCF9" w14:textId="77777777" w:rsidR="003F5418" w:rsidRDefault="002A6C25">
            <w:pPr>
              <w:pStyle w:val="P68B1DB1-Normal4"/>
              <w:spacing w:before="120" w:after="120"/>
              <w:rPr>
                <w:rFonts w:eastAsia="Calibri"/>
                <w:noProof/>
              </w:rPr>
            </w:pPr>
            <w:r>
              <w:rPr>
                <w:noProof/>
              </w:rPr>
              <w:t>A projektben az olasz szociális körzetek 85%-a vesz részt.</w:t>
            </w:r>
          </w:p>
          <w:p w14:paraId="0AB973B5" w14:textId="77777777" w:rsidR="003F5418" w:rsidRDefault="002A6C25">
            <w:pPr>
              <w:pStyle w:val="P68B1DB1-Normal4"/>
              <w:spacing w:before="120" w:after="120"/>
              <w:rPr>
                <w:rFonts w:eastAsia="Calibri"/>
                <w:noProof/>
              </w:rPr>
            </w:pPr>
            <w:r>
              <w:rPr>
                <w:noProof/>
              </w:rPr>
              <w:t>A négy dimenzióban előirányzott intézkedések és a vonatkozó követelmények megegyeznek az operatív tervben meghatározott intézkedésekkel a kiszolgáltatott népességcsoportok aktív befogadása érdekéb</w:t>
            </w:r>
            <w:r>
              <w:rPr>
                <w:noProof/>
              </w:rPr>
              <w:t>en, amelyek helyzete a Covid19-járvány okozta járványügyi vészhelyzet következtében romlott.</w:t>
            </w:r>
          </w:p>
          <w:p w14:paraId="079894FD" w14:textId="77777777" w:rsidR="003F5418" w:rsidRDefault="002A6C25">
            <w:pPr>
              <w:pStyle w:val="P68B1DB1-Normal4"/>
              <w:spacing w:before="120" w:after="120"/>
              <w:rPr>
                <w:rFonts w:eastAsia="Calibri"/>
                <w:noProof/>
              </w:rPr>
            </w:pPr>
            <w:r>
              <w:rPr>
                <w:noProof/>
              </w:rPr>
              <w:t>Az intézkedés az ország teljes területére kiterjed. Minden szociális körzetnek részt kell vennie, a stratégia szerint ezek a projektek megnyitják az utat a szolgál</w:t>
            </w:r>
            <w:r>
              <w:rPr>
                <w:noProof/>
              </w:rPr>
              <w:t>tatások stabilizálásához azáltal, hogy hivatalosan elismerik az egész területen nyújtandó szociális segély alapvető szintjét.</w:t>
            </w:r>
          </w:p>
        </w:tc>
      </w:tr>
      <w:tr w:rsidR="003F5418" w14:paraId="156566DD" w14:textId="77777777">
        <w:trPr>
          <w:trHeight w:val="309"/>
          <w:jc w:val="center"/>
        </w:trPr>
        <w:tc>
          <w:tcPr>
            <w:tcW w:w="1648" w:type="dxa"/>
            <w:shd w:val="clear" w:color="auto" w:fill="C6EFCE"/>
            <w:noWrap/>
            <w:vAlign w:val="center"/>
            <w:hideMark/>
          </w:tcPr>
          <w:p w14:paraId="08473FDB" w14:textId="77777777" w:rsidR="003F5418" w:rsidRDefault="002A6C25">
            <w:pPr>
              <w:pStyle w:val="P68B1DB1-Normal4"/>
              <w:spacing w:before="120"/>
              <w:jc w:val="center"/>
              <w:rPr>
                <w:rFonts w:eastAsia="Calibri"/>
                <w:noProof/>
              </w:rPr>
            </w:pPr>
            <w:r>
              <w:rPr>
                <w:noProof/>
              </w:rPr>
              <w:t>M5C2–7</w:t>
            </w:r>
          </w:p>
        </w:tc>
        <w:tc>
          <w:tcPr>
            <w:tcW w:w="1908" w:type="dxa"/>
            <w:shd w:val="clear" w:color="auto" w:fill="C6EFCE"/>
            <w:noWrap/>
            <w:vAlign w:val="center"/>
            <w:hideMark/>
          </w:tcPr>
          <w:p w14:paraId="3069688F" w14:textId="77777777" w:rsidR="003F5418" w:rsidRDefault="002A6C25">
            <w:pPr>
              <w:pStyle w:val="P68B1DB1-Normal4"/>
              <w:spacing w:before="120"/>
              <w:jc w:val="center"/>
              <w:rPr>
                <w:rFonts w:eastAsia="Calibri"/>
                <w:noProof/>
              </w:rPr>
            </w:pPr>
            <w:r>
              <w:rPr>
                <w:noProof/>
              </w:rPr>
              <w:t>Beruházás – Autonómiai minták a fogyatékossággal élő személyek számára</w:t>
            </w:r>
          </w:p>
        </w:tc>
        <w:tc>
          <w:tcPr>
            <w:tcW w:w="1322" w:type="dxa"/>
            <w:shd w:val="clear" w:color="auto" w:fill="C6EFCE"/>
            <w:noWrap/>
            <w:vAlign w:val="center"/>
            <w:hideMark/>
          </w:tcPr>
          <w:p w14:paraId="56DD1209" w14:textId="77777777" w:rsidR="003F5418" w:rsidRDefault="002A6C25">
            <w:pPr>
              <w:pStyle w:val="P68B1DB1-Normal4"/>
              <w:spacing w:before="120" w:after="120"/>
              <w:jc w:val="center"/>
              <w:rPr>
                <w:rFonts w:eastAsia="Calibri"/>
                <w:noProof/>
              </w:rPr>
            </w:pPr>
            <w:r>
              <w:rPr>
                <w:noProof/>
              </w:rPr>
              <w:t>Cél</w:t>
            </w:r>
          </w:p>
        </w:tc>
        <w:tc>
          <w:tcPr>
            <w:tcW w:w="1395" w:type="dxa"/>
            <w:shd w:val="clear" w:color="auto" w:fill="C6EFCE"/>
            <w:noWrap/>
            <w:vAlign w:val="center"/>
            <w:hideMark/>
          </w:tcPr>
          <w:p w14:paraId="7A09C62C" w14:textId="77777777" w:rsidR="003F5418" w:rsidRDefault="002A6C25">
            <w:pPr>
              <w:pStyle w:val="P68B1DB1-Normal4"/>
              <w:spacing w:before="120" w:after="120"/>
              <w:jc w:val="center"/>
              <w:rPr>
                <w:rFonts w:eastAsia="Calibri"/>
                <w:noProof/>
              </w:rPr>
            </w:pPr>
            <w:r>
              <w:rPr>
                <w:noProof/>
              </w:rPr>
              <w:t xml:space="preserve">A szociális körzetek legalább egy projektet </w:t>
            </w:r>
            <w:r>
              <w:rPr>
                <w:noProof/>
              </w:rPr>
              <w:t>megvalósítottak a lakóterek felújításával és/vagy az IKT-eszközök fogyatékossággal élő személyek számára történő biztosításával kapcsolatban, amelyet digitális készségekkel kapcsolatos képzés kísér</w:t>
            </w:r>
          </w:p>
        </w:tc>
        <w:tc>
          <w:tcPr>
            <w:tcW w:w="1476" w:type="dxa"/>
            <w:shd w:val="clear" w:color="auto" w:fill="C6EFCE"/>
            <w:noWrap/>
            <w:vAlign w:val="center"/>
            <w:hideMark/>
          </w:tcPr>
          <w:p w14:paraId="64047D32" w14:textId="77777777" w:rsidR="003F5418" w:rsidRDefault="002A6C25">
            <w:pPr>
              <w:pStyle w:val="P68B1DB1-Normal4"/>
              <w:spacing w:before="120" w:after="120"/>
              <w:jc w:val="center"/>
              <w:rPr>
                <w:rFonts w:eastAsia="Calibri"/>
                <w:noProof/>
              </w:rPr>
            </w:pPr>
            <w:r>
              <w:rPr>
                <w:noProof/>
              </w:rPr>
              <w:t>NINCS</w:t>
            </w:r>
          </w:p>
        </w:tc>
        <w:tc>
          <w:tcPr>
            <w:tcW w:w="1474" w:type="dxa"/>
            <w:shd w:val="clear" w:color="auto" w:fill="C6EFCE"/>
            <w:noWrap/>
            <w:vAlign w:val="center"/>
            <w:hideMark/>
          </w:tcPr>
          <w:p w14:paraId="1B43C0B5" w14:textId="77777777" w:rsidR="003F5418" w:rsidRDefault="002A6C25">
            <w:pPr>
              <w:pStyle w:val="P68B1DB1-Normal4"/>
              <w:spacing w:before="120" w:after="120"/>
              <w:jc w:val="center"/>
              <w:rPr>
                <w:rFonts w:eastAsia="Calibri"/>
                <w:noProof/>
              </w:rPr>
            </w:pPr>
            <w:r>
              <w:rPr>
                <w:noProof/>
              </w:rPr>
              <w:t>Szám</w:t>
            </w:r>
          </w:p>
        </w:tc>
        <w:tc>
          <w:tcPr>
            <w:tcW w:w="1092" w:type="dxa"/>
            <w:shd w:val="clear" w:color="auto" w:fill="C6EFCE"/>
            <w:noWrap/>
            <w:vAlign w:val="center"/>
            <w:hideMark/>
          </w:tcPr>
          <w:p w14:paraId="1144958E" w14:textId="77777777" w:rsidR="003F5418" w:rsidRDefault="002A6C25">
            <w:pPr>
              <w:pStyle w:val="P68B1DB1-Normal4"/>
              <w:spacing w:before="120" w:after="120"/>
              <w:jc w:val="center"/>
              <w:rPr>
                <w:rFonts w:eastAsia="Calibri"/>
                <w:noProof/>
              </w:rPr>
            </w:pPr>
            <w:r>
              <w:rPr>
                <w:noProof/>
              </w:rPr>
              <w:t>0</w:t>
            </w:r>
          </w:p>
        </w:tc>
        <w:tc>
          <w:tcPr>
            <w:tcW w:w="775" w:type="dxa"/>
            <w:shd w:val="clear" w:color="auto" w:fill="C6EFCE"/>
            <w:noWrap/>
            <w:vAlign w:val="center"/>
            <w:hideMark/>
          </w:tcPr>
          <w:p w14:paraId="0F2A2C1A" w14:textId="77777777" w:rsidR="003F5418" w:rsidRDefault="002A6C25">
            <w:pPr>
              <w:pStyle w:val="P68B1DB1-Normal4"/>
              <w:spacing w:before="120" w:after="120"/>
              <w:jc w:val="center"/>
              <w:rPr>
                <w:rFonts w:eastAsia="Calibri"/>
                <w:noProof/>
              </w:rPr>
            </w:pPr>
            <w:r>
              <w:rPr>
                <w:noProof/>
              </w:rPr>
              <w:t>500</w:t>
            </w:r>
          </w:p>
        </w:tc>
        <w:tc>
          <w:tcPr>
            <w:tcW w:w="1078" w:type="dxa"/>
            <w:shd w:val="clear" w:color="auto" w:fill="C6EFCE"/>
            <w:noWrap/>
            <w:vAlign w:val="center"/>
            <w:hideMark/>
          </w:tcPr>
          <w:p w14:paraId="5FEA87CF" w14:textId="77777777" w:rsidR="003F5418" w:rsidRDefault="002A6C25">
            <w:pPr>
              <w:pStyle w:val="P68B1DB1-Normal4"/>
              <w:spacing w:before="120" w:after="120"/>
              <w:jc w:val="center"/>
              <w:rPr>
                <w:rFonts w:eastAsia="Calibri"/>
                <w:noProof/>
              </w:rPr>
            </w:pPr>
            <w:r>
              <w:rPr>
                <w:noProof/>
              </w:rPr>
              <w:t>Q4</w:t>
            </w:r>
          </w:p>
        </w:tc>
        <w:tc>
          <w:tcPr>
            <w:tcW w:w="755" w:type="dxa"/>
            <w:shd w:val="clear" w:color="auto" w:fill="C6EFCE"/>
            <w:noWrap/>
            <w:vAlign w:val="center"/>
            <w:hideMark/>
          </w:tcPr>
          <w:p w14:paraId="4368EA0A" w14:textId="77777777" w:rsidR="003F5418" w:rsidRDefault="002A6C25">
            <w:pPr>
              <w:pStyle w:val="P68B1DB1-Normal4"/>
              <w:spacing w:before="120" w:after="120"/>
              <w:jc w:val="center"/>
              <w:rPr>
                <w:rFonts w:eastAsia="Calibri"/>
                <w:noProof/>
              </w:rPr>
            </w:pPr>
            <w:r>
              <w:rPr>
                <w:noProof/>
              </w:rPr>
              <w:t>2022</w:t>
            </w:r>
          </w:p>
        </w:tc>
        <w:tc>
          <w:tcPr>
            <w:tcW w:w="5046" w:type="dxa"/>
            <w:shd w:val="clear" w:color="auto" w:fill="C6EFCE"/>
            <w:noWrap/>
            <w:vAlign w:val="center"/>
            <w:hideMark/>
          </w:tcPr>
          <w:p w14:paraId="2AE7534E" w14:textId="77777777" w:rsidR="003F5418" w:rsidRDefault="002A6C25">
            <w:pPr>
              <w:pStyle w:val="P68B1DB1-Normal4"/>
              <w:spacing w:before="120" w:after="120"/>
              <w:rPr>
                <w:rFonts w:eastAsia="Calibri"/>
                <w:noProof/>
              </w:rPr>
            </w:pPr>
            <w:r>
              <w:rPr>
                <w:noProof/>
              </w:rPr>
              <w:t>A szociális kerületek legalább 50</w:t>
            </w:r>
            <w:r>
              <w:rPr>
                <w:noProof/>
              </w:rPr>
              <w:t xml:space="preserve">0, otthoni terek felújításával és/vagy IKT-eszközök fogyatékossággal élő személyek számára történő biztosításával kapcsolatos projektet valósítanak meg, amelyet digitális készségekkel kapcsolatos képzés kísér. </w:t>
            </w:r>
          </w:p>
          <w:p w14:paraId="0773B0BB" w14:textId="77777777" w:rsidR="003F5418" w:rsidRDefault="002A6C25">
            <w:pPr>
              <w:pStyle w:val="P68B1DB1-Normal4"/>
              <w:spacing w:before="120" w:after="120"/>
              <w:rPr>
                <w:rFonts w:eastAsia="Calibri"/>
                <w:noProof/>
              </w:rPr>
            </w:pPr>
            <w:r>
              <w:rPr>
                <w:noProof/>
              </w:rPr>
              <w:t xml:space="preserve">A cél kielégítő teljesítése a másodlagos cél </w:t>
            </w:r>
            <w:r>
              <w:rPr>
                <w:noProof/>
              </w:rPr>
              <w:t>kielégítő teljesítésétől is függ: legalább 500 szociális körzet valósított meg legalább egy projektet az otthoni terek felújításával és/vagy az IKT-eszközök fogyatékossággal élő személyek számára történő biztosításával kapcsolatban, amelyet digitális készs</w:t>
            </w:r>
            <w:r>
              <w:rPr>
                <w:noProof/>
              </w:rPr>
              <w:t>égekkel kapcsolatos képzés kísért.</w:t>
            </w:r>
          </w:p>
          <w:p w14:paraId="7C4F9DCB" w14:textId="77777777" w:rsidR="003F5418" w:rsidRDefault="002A6C25">
            <w:pPr>
              <w:pStyle w:val="P68B1DB1-Normal4"/>
              <w:spacing w:before="120" w:after="120"/>
              <w:rPr>
                <w:rFonts w:eastAsia="Calibri"/>
                <w:noProof/>
              </w:rPr>
            </w:pPr>
            <w:r>
              <w:rPr>
                <w:noProof/>
              </w:rPr>
              <w:t>Legalább egy projekt megvalósítása legalább 500 szociális kerületből, amelyek részt vettek a nem versenyeztetési eljárásban.</w:t>
            </w:r>
          </w:p>
        </w:tc>
      </w:tr>
      <w:tr w:rsidR="003F5418" w14:paraId="19D1C36B" w14:textId="77777777">
        <w:trPr>
          <w:trHeight w:val="309"/>
          <w:jc w:val="center"/>
        </w:trPr>
        <w:tc>
          <w:tcPr>
            <w:tcW w:w="1648" w:type="dxa"/>
            <w:shd w:val="clear" w:color="auto" w:fill="C6EFCE"/>
            <w:noWrap/>
            <w:vAlign w:val="center"/>
            <w:hideMark/>
          </w:tcPr>
          <w:p w14:paraId="6E27F856" w14:textId="77777777" w:rsidR="003F5418" w:rsidRDefault="002A6C25">
            <w:pPr>
              <w:pStyle w:val="P68B1DB1-Normal4"/>
              <w:spacing w:before="120"/>
              <w:jc w:val="center"/>
              <w:rPr>
                <w:rFonts w:eastAsia="Calibri"/>
                <w:noProof/>
              </w:rPr>
            </w:pPr>
            <w:r>
              <w:rPr>
                <w:noProof/>
              </w:rPr>
              <w:t>M5C2–8</w:t>
            </w:r>
          </w:p>
        </w:tc>
        <w:tc>
          <w:tcPr>
            <w:tcW w:w="1908" w:type="dxa"/>
            <w:shd w:val="clear" w:color="auto" w:fill="C6EFCE"/>
            <w:noWrap/>
            <w:vAlign w:val="center"/>
            <w:hideMark/>
          </w:tcPr>
          <w:p w14:paraId="0E6EE319" w14:textId="77777777" w:rsidR="003F5418" w:rsidRDefault="002A6C25">
            <w:pPr>
              <w:pStyle w:val="P68B1DB1-Normal4"/>
              <w:spacing w:before="120" w:after="120"/>
              <w:jc w:val="center"/>
              <w:rPr>
                <w:rFonts w:eastAsia="Calibri"/>
                <w:noProof/>
              </w:rPr>
            </w:pPr>
            <w:r>
              <w:rPr>
                <w:noProof/>
              </w:rPr>
              <w:t>Beruházás – Autonómiai minták a fogyatékossággal élő személyek számára</w:t>
            </w:r>
          </w:p>
        </w:tc>
        <w:tc>
          <w:tcPr>
            <w:tcW w:w="1322" w:type="dxa"/>
            <w:shd w:val="clear" w:color="auto" w:fill="C6EFCE"/>
            <w:noWrap/>
            <w:vAlign w:val="center"/>
            <w:hideMark/>
          </w:tcPr>
          <w:p w14:paraId="4F0AE044" w14:textId="77777777" w:rsidR="003F5418" w:rsidRDefault="002A6C25">
            <w:pPr>
              <w:pStyle w:val="P68B1DB1-Normal4"/>
              <w:spacing w:before="120" w:after="120"/>
              <w:jc w:val="center"/>
              <w:rPr>
                <w:rFonts w:eastAsia="Calibri"/>
                <w:noProof/>
              </w:rPr>
            </w:pPr>
            <w:r>
              <w:rPr>
                <w:noProof/>
              </w:rPr>
              <w:t>Cél</w:t>
            </w:r>
          </w:p>
        </w:tc>
        <w:tc>
          <w:tcPr>
            <w:tcW w:w="1395" w:type="dxa"/>
            <w:shd w:val="clear" w:color="auto" w:fill="C6EFCE"/>
            <w:noWrap/>
            <w:vAlign w:val="center"/>
            <w:hideMark/>
          </w:tcPr>
          <w:p w14:paraId="6F4A74A8" w14:textId="77777777" w:rsidR="003F5418" w:rsidRDefault="002A6C25">
            <w:pPr>
              <w:pStyle w:val="P68B1DB1-Normal4"/>
              <w:spacing w:before="120" w:after="120"/>
              <w:jc w:val="center"/>
              <w:rPr>
                <w:rFonts w:eastAsia="Calibri"/>
                <w:noProof/>
              </w:rPr>
            </w:pPr>
            <w:r>
              <w:rPr>
                <w:noProof/>
              </w:rPr>
              <w:t xml:space="preserve">A </w:t>
            </w:r>
            <w:r>
              <w:rPr>
                <w:noProof/>
              </w:rPr>
              <w:t>fogyatékossággal élő személyek otthoni tér felújításában és/vagy IKT-eszközökben részesültek. A szolgáltatásokat digitális készségekkel kapcsolatos képzésnek kell kísérnie.</w:t>
            </w:r>
          </w:p>
        </w:tc>
        <w:tc>
          <w:tcPr>
            <w:tcW w:w="1476" w:type="dxa"/>
            <w:shd w:val="clear" w:color="auto" w:fill="C6EFCE"/>
            <w:noWrap/>
            <w:vAlign w:val="center"/>
            <w:hideMark/>
          </w:tcPr>
          <w:p w14:paraId="166A36B6" w14:textId="77777777" w:rsidR="003F5418" w:rsidRDefault="002A6C25">
            <w:pPr>
              <w:pStyle w:val="P68B1DB1-Normal4"/>
              <w:spacing w:before="120" w:after="120"/>
              <w:jc w:val="center"/>
              <w:rPr>
                <w:rFonts w:eastAsia="Calibri"/>
                <w:noProof/>
              </w:rPr>
            </w:pPr>
            <w:r>
              <w:rPr>
                <w:noProof/>
              </w:rPr>
              <w:t>NINCS</w:t>
            </w:r>
          </w:p>
        </w:tc>
        <w:tc>
          <w:tcPr>
            <w:tcW w:w="1474" w:type="dxa"/>
            <w:shd w:val="clear" w:color="auto" w:fill="C6EFCE"/>
            <w:noWrap/>
            <w:vAlign w:val="center"/>
            <w:hideMark/>
          </w:tcPr>
          <w:p w14:paraId="03C1AA54" w14:textId="77777777" w:rsidR="003F5418" w:rsidRDefault="002A6C25">
            <w:pPr>
              <w:pStyle w:val="P68B1DB1-Normal4"/>
              <w:spacing w:before="120" w:after="120"/>
              <w:jc w:val="center"/>
              <w:rPr>
                <w:rFonts w:eastAsia="Calibri"/>
                <w:noProof/>
              </w:rPr>
            </w:pPr>
            <w:r>
              <w:rPr>
                <w:noProof/>
              </w:rPr>
              <w:t>Szám</w:t>
            </w:r>
          </w:p>
        </w:tc>
        <w:tc>
          <w:tcPr>
            <w:tcW w:w="1092" w:type="dxa"/>
            <w:shd w:val="clear" w:color="auto" w:fill="C6EFCE"/>
            <w:noWrap/>
            <w:vAlign w:val="center"/>
            <w:hideMark/>
          </w:tcPr>
          <w:p w14:paraId="37B0138F" w14:textId="1C31C043" w:rsidR="003F5418" w:rsidRDefault="002A6C25">
            <w:pPr>
              <w:pStyle w:val="P68B1DB1-Normal4"/>
              <w:spacing w:before="120" w:after="120"/>
              <w:jc w:val="center"/>
              <w:rPr>
                <w:rFonts w:eastAsia="Calibri"/>
                <w:noProof/>
              </w:rPr>
            </w:pPr>
            <w:r>
              <w:rPr>
                <w:noProof/>
              </w:rPr>
              <w:t>1 000</w:t>
            </w:r>
          </w:p>
        </w:tc>
        <w:tc>
          <w:tcPr>
            <w:tcW w:w="775" w:type="dxa"/>
            <w:shd w:val="clear" w:color="auto" w:fill="C6EFCE"/>
            <w:noWrap/>
            <w:vAlign w:val="center"/>
            <w:hideMark/>
          </w:tcPr>
          <w:p w14:paraId="78EB33E1" w14:textId="6FD3D207" w:rsidR="003F5418" w:rsidRDefault="002A6C25">
            <w:pPr>
              <w:pStyle w:val="P68B1DB1-Normal4"/>
              <w:spacing w:before="120" w:after="120"/>
              <w:jc w:val="center"/>
              <w:rPr>
                <w:rFonts w:eastAsia="Calibri"/>
                <w:noProof/>
              </w:rPr>
            </w:pPr>
            <w:r>
              <w:rPr>
                <w:noProof/>
              </w:rPr>
              <w:t>5 000</w:t>
            </w:r>
          </w:p>
        </w:tc>
        <w:tc>
          <w:tcPr>
            <w:tcW w:w="1078" w:type="dxa"/>
            <w:shd w:val="clear" w:color="auto" w:fill="C6EFCE"/>
            <w:noWrap/>
            <w:vAlign w:val="center"/>
            <w:hideMark/>
          </w:tcPr>
          <w:p w14:paraId="72324442" w14:textId="77777777" w:rsidR="003F5418" w:rsidRDefault="002A6C25">
            <w:pPr>
              <w:pStyle w:val="P68B1DB1-Normal4"/>
              <w:spacing w:before="120" w:after="120"/>
              <w:jc w:val="center"/>
              <w:rPr>
                <w:rFonts w:eastAsia="Calibri"/>
                <w:noProof/>
              </w:rPr>
            </w:pPr>
            <w:r>
              <w:rPr>
                <w:noProof/>
              </w:rPr>
              <w:t>Q1</w:t>
            </w:r>
          </w:p>
        </w:tc>
        <w:tc>
          <w:tcPr>
            <w:tcW w:w="755" w:type="dxa"/>
            <w:shd w:val="clear" w:color="auto" w:fill="C6EFCE"/>
            <w:noWrap/>
            <w:vAlign w:val="center"/>
            <w:hideMark/>
          </w:tcPr>
          <w:p w14:paraId="0D718C32" w14:textId="77777777" w:rsidR="003F5418" w:rsidRDefault="002A6C25">
            <w:pPr>
              <w:pStyle w:val="P68B1DB1-Normal4"/>
              <w:spacing w:before="120" w:after="120"/>
              <w:jc w:val="center"/>
              <w:rPr>
                <w:rFonts w:eastAsia="Calibri"/>
                <w:noProof/>
              </w:rPr>
            </w:pPr>
            <w:r>
              <w:rPr>
                <w:noProof/>
              </w:rPr>
              <w:t>2026</w:t>
            </w:r>
          </w:p>
        </w:tc>
        <w:tc>
          <w:tcPr>
            <w:tcW w:w="5046" w:type="dxa"/>
            <w:shd w:val="clear" w:color="auto" w:fill="C6EFCE"/>
            <w:noWrap/>
            <w:vAlign w:val="center"/>
            <w:hideMark/>
          </w:tcPr>
          <w:p w14:paraId="581C0326" w14:textId="5F85D03D" w:rsidR="003F5418" w:rsidRDefault="002A6C25">
            <w:pPr>
              <w:pStyle w:val="P68B1DB1-Normal4"/>
              <w:spacing w:before="120" w:after="120"/>
              <w:rPr>
                <w:rFonts w:eastAsia="Calibri"/>
                <w:noProof/>
              </w:rPr>
            </w:pPr>
            <w:r>
              <w:rPr>
                <w:noProof/>
              </w:rPr>
              <w:t>Legalább 5000 fogyatékossággal élő személy részesült</w:t>
            </w:r>
            <w:r>
              <w:rPr>
                <w:noProof/>
              </w:rPr>
              <w:t xml:space="preserve"> otthoni tér felújításában és/vagy IKT-eszközök biztosításában. A szolgáltatásokat digitális készségekkel kapcsolatos képzésnek kell kísérnie.</w:t>
            </w:r>
          </w:p>
          <w:p w14:paraId="45B1B05B" w14:textId="5957EFC9" w:rsidR="003F5418" w:rsidRDefault="002A6C25">
            <w:pPr>
              <w:pStyle w:val="P68B1DB1-Normal4"/>
              <w:spacing w:before="120" w:after="120"/>
              <w:rPr>
                <w:rFonts w:eastAsia="Calibri"/>
                <w:noProof/>
              </w:rPr>
            </w:pPr>
            <w:r>
              <w:rPr>
                <w:noProof/>
              </w:rPr>
              <w:t>Legalább 5000 fogyatékossággal élő (1000 meglévő és 4000 új) személy lefedettsége a technikai segítségnyújtás ált</w:t>
            </w:r>
            <w:r>
              <w:rPr>
                <w:noProof/>
              </w:rPr>
              <w:t>al végrehajtott beavatkozások kedvezményezettjeiként.</w:t>
            </w:r>
          </w:p>
          <w:p w14:paraId="4CC76DF2" w14:textId="77777777" w:rsidR="003F5418" w:rsidRDefault="002A6C25">
            <w:pPr>
              <w:pStyle w:val="P68B1DB1-Normal4"/>
              <w:spacing w:before="120" w:after="120"/>
              <w:rPr>
                <w:rFonts w:eastAsia="Calibri"/>
                <w:noProof/>
              </w:rPr>
            </w:pPr>
            <w:r>
              <w:rPr>
                <w:noProof/>
              </w:rPr>
              <w:t xml:space="preserve">A fogyatékkal élő személyek fogalmát (az ICF alapján) a nem önellátó személyekre vonatkozó 2019. évi nemzeti terv tartalmazza. A fogyatékossággal élő személyek önállóságára irányuló projektre vonatkozó </w:t>
            </w:r>
            <w:r>
              <w:rPr>
                <w:noProof/>
              </w:rPr>
              <w:t>iránymutatásokat a korábbi projektek eredményeként már kidolgozták. A 112/2016. sz. külön törvény jóváhagyása és a cselekvésre vonatkozó külön nemzeti alap létrehozása az ország egész területére kiterjed. Minden szociális körzetet fel kell kérni a részvéte</w:t>
            </w:r>
            <w:r>
              <w:rPr>
                <w:noProof/>
              </w:rPr>
              <w:t>lre, azzal a stratégiával, hogy az ilyen projektek megnyitják az utat a szolgáltatások stabilizálásához azáltal, hogy hivatalosan elismerik az egész területen nyújtandó szociális segély alapvető szintjét.</w:t>
            </w:r>
          </w:p>
        </w:tc>
      </w:tr>
      <w:tr w:rsidR="003F5418" w14:paraId="051471F5" w14:textId="77777777">
        <w:trPr>
          <w:trHeight w:val="309"/>
          <w:jc w:val="center"/>
        </w:trPr>
        <w:tc>
          <w:tcPr>
            <w:tcW w:w="1648" w:type="dxa"/>
            <w:shd w:val="clear" w:color="auto" w:fill="C6EFCE"/>
            <w:noWrap/>
            <w:vAlign w:val="center"/>
            <w:hideMark/>
          </w:tcPr>
          <w:p w14:paraId="1F42A5EE" w14:textId="77777777" w:rsidR="003F5418" w:rsidRDefault="002A6C25">
            <w:pPr>
              <w:pStyle w:val="P68B1DB1-Normal4"/>
              <w:spacing w:before="120"/>
              <w:jc w:val="center"/>
              <w:rPr>
                <w:rFonts w:eastAsia="Calibri"/>
                <w:noProof/>
              </w:rPr>
            </w:pPr>
            <w:r>
              <w:rPr>
                <w:noProof/>
              </w:rPr>
              <w:t>M5C2–9</w:t>
            </w:r>
          </w:p>
        </w:tc>
        <w:tc>
          <w:tcPr>
            <w:tcW w:w="1908" w:type="dxa"/>
            <w:shd w:val="clear" w:color="auto" w:fill="C6EFCE"/>
            <w:noWrap/>
            <w:vAlign w:val="center"/>
            <w:hideMark/>
          </w:tcPr>
          <w:p w14:paraId="5AE46EEE" w14:textId="77777777" w:rsidR="003F5418" w:rsidRDefault="002A6C25">
            <w:pPr>
              <w:pStyle w:val="P68B1DB1-Normal4"/>
              <w:spacing w:before="120" w:after="120"/>
              <w:jc w:val="center"/>
              <w:rPr>
                <w:rFonts w:eastAsia="Calibri"/>
                <w:noProof/>
              </w:rPr>
            </w:pPr>
            <w:r>
              <w:rPr>
                <w:noProof/>
              </w:rPr>
              <w:t xml:space="preserve">Beruházás – Az első és a későbbi állomások </w:t>
            </w:r>
            <w:r>
              <w:rPr>
                <w:noProof/>
              </w:rPr>
              <w:t>lakhatása</w:t>
            </w:r>
          </w:p>
        </w:tc>
        <w:tc>
          <w:tcPr>
            <w:tcW w:w="1322" w:type="dxa"/>
            <w:shd w:val="clear" w:color="auto" w:fill="C6EFCE"/>
            <w:noWrap/>
            <w:vAlign w:val="center"/>
            <w:hideMark/>
          </w:tcPr>
          <w:p w14:paraId="088087A4" w14:textId="77777777" w:rsidR="003F5418" w:rsidRDefault="002A6C25">
            <w:pPr>
              <w:pStyle w:val="P68B1DB1-Normal4"/>
              <w:spacing w:before="120" w:after="120"/>
              <w:jc w:val="center"/>
              <w:rPr>
                <w:rFonts w:eastAsia="Calibri"/>
                <w:noProof/>
              </w:rPr>
            </w:pPr>
            <w:r>
              <w:rPr>
                <w:noProof/>
              </w:rPr>
              <w:t>Mérföldkő</w:t>
            </w:r>
          </w:p>
        </w:tc>
        <w:tc>
          <w:tcPr>
            <w:tcW w:w="1395" w:type="dxa"/>
            <w:shd w:val="clear" w:color="auto" w:fill="C6EFCE"/>
            <w:noWrap/>
            <w:vAlign w:val="center"/>
            <w:hideMark/>
          </w:tcPr>
          <w:p w14:paraId="45E056A0" w14:textId="77777777" w:rsidR="003F5418" w:rsidRDefault="002A6C25">
            <w:pPr>
              <w:pStyle w:val="P68B1DB1-Normal4"/>
              <w:spacing w:before="120" w:after="120"/>
              <w:jc w:val="center"/>
              <w:rPr>
                <w:rFonts w:eastAsia="Calibri"/>
                <w:noProof/>
              </w:rPr>
            </w:pPr>
            <w:r>
              <w:rPr>
                <w:noProof/>
              </w:rPr>
              <w:t>A „Lakhatás az első” és a „post-állomás” projektekkel kapcsolatos operatív terv hatálybalépése, a helyi szervezetek által előterjeszthető projektek követelményeinek meghatározása, valamint pályázati felhívás közzététele</w:t>
            </w:r>
          </w:p>
        </w:tc>
        <w:tc>
          <w:tcPr>
            <w:tcW w:w="1476" w:type="dxa"/>
            <w:shd w:val="clear" w:color="auto" w:fill="C6EFCE"/>
            <w:noWrap/>
            <w:vAlign w:val="center"/>
            <w:hideMark/>
          </w:tcPr>
          <w:p w14:paraId="4A680CDE" w14:textId="77777777" w:rsidR="003F5418" w:rsidRDefault="002A6C25">
            <w:pPr>
              <w:pStyle w:val="P68B1DB1-Normal4"/>
              <w:spacing w:before="120" w:after="120"/>
              <w:jc w:val="center"/>
              <w:rPr>
                <w:rFonts w:eastAsia="Calibri"/>
                <w:noProof/>
              </w:rPr>
            </w:pPr>
            <w:r>
              <w:rPr>
                <w:noProof/>
              </w:rPr>
              <w:t>A beavatkozás op</w:t>
            </w:r>
            <w:r>
              <w:rPr>
                <w:noProof/>
              </w:rPr>
              <w:t>eratív tervének hatálybalépését feltüntető törvényi rendelkezések</w:t>
            </w:r>
          </w:p>
        </w:tc>
        <w:tc>
          <w:tcPr>
            <w:tcW w:w="1474" w:type="dxa"/>
            <w:shd w:val="clear" w:color="auto" w:fill="C6EFCE"/>
            <w:noWrap/>
            <w:vAlign w:val="center"/>
            <w:hideMark/>
          </w:tcPr>
          <w:p w14:paraId="14C28B33" w14:textId="77777777" w:rsidR="003F5418" w:rsidRDefault="002A6C25">
            <w:pPr>
              <w:pStyle w:val="P68B1DB1-Normal4"/>
              <w:spacing w:before="120" w:after="120"/>
              <w:jc w:val="center"/>
              <w:rPr>
                <w:rFonts w:eastAsia="Calibri"/>
                <w:noProof/>
              </w:rPr>
            </w:pPr>
            <w:r>
              <w:rPr>
                <w:noProof/>
              </w:rPr>
              <w:t>NINCS</w:t>
            </w:r>
          </w:p>
        </w:tc>
        <w:tc>
          <w:tcPr>
            <w:tcW w:w="1092" w:type="dxa"/>
            <w:shd w:val="clear" w:color="auto" w:fill="C6EFCE"/>
            <w:noWrap/>
            <w:vAlign w:val="center"/>
            <w:hideMark/>
          </w:tcPr>
          <w:p w14:paraId="0662E23F" w14:textId="77777777" w:rsidR="003F5418" w:rsidRDefault="002A6C25">
            <w:pPr>
              <w:pStyle w:val="P68B1DB1-Normal4"/>
              <w:spacing w:before="120" w:after="120"/>
              <w:jc w:val="center"/>
              <w:rPr>
                <w:rFonts w:eastAsia="Calibri"/>
                <w:noProof/>
              </w:rPr>
            </w:pPr>
            <w:r>
              <w:rPr>
                <w:noProof/>
              </w:rPr>
              <w:t>NINCS</w:t>
            </w:r>
          </w:p>
        </w:tc>
        <w:tc>
          <w:tcPr>
            <w:tcW w:w="775" w:type="dxa"/>
            <w:shd w:val="clear" w:color="auto" w:fill="C6EFCE"/>
            <w:noWrap/>
            <w:vAlign w:val="center"/>
            <w:hideMark/>
          </w:tcPr>
          <w:p w14:paraId="1A8E3FA4" w14:textId="77777777" w:rsidR="003F5418" w:rsidRDefault="002A6C25">
            <w:pPr>
              <w:pStyle w:val="P68B1DB1-Normal4"/>
              <w:spacing w:before="120" w:after="120"/>
              <w:jc w:val="center"/>
              <w:rPr>
                <w:rFonts w:eastAsia="Calibri"/>
                <w:noProof/>
              </w:rPr>
            </w:pPr>
            <w:r>
              <w:rPr>
                <w:noProof/>
              </w:rPr>
              <w:t>NINCS</w:t>
            </w:r>
          </w:p>
        </w:tc>
        <w:tc>
          <w:tcPr>
            <w:tcW w:w="1078" w:type="dxa"/>
            <w:shd w:val="clear" w:color="auto" w:fill="C6EFCE"/>
            <w:noWrap/>
            <w:vAlign w:val="center"/>
            <w:hideMark/>
          </w:tcPr>
          <w:p w14:paraId="5E2C2542" w14:textId="77777777" w:rsidR="003F5418" w:rsidRDefault="002A6C25">
            <w:pPr>
              <w:pStyle w:val="P68B1DB1-Normal4"/>
              <w:spacing w:before="120" w:after="120"/>
              <w:jc w:val="center"/>
              <w:rPr>
                <w:rFonts w:eastAsia="Calibri"/>
                <w:noProof/>
              </w:rPr>
            </w:pPr>
            <w:r>
              <w:rPr>
                <w:noProof/>
              </w:rPr>
              <w:t>Q1</w:t>
            </w:r>
          </w:p>
        </w:tc>
        <w:tc>
          <w:tcPr>
            <w:tcW w:w="755" w:type="dxa"/>
            <w:shd w:val="clear" w:color="auto" w:fill="C6EFCE"/>
            <w:noWrap/>
            <w:vAlign w:val="center"/>
            <w:hideMark/>
          </w:tcPr>
          <w:p w14:paraId="5E9E3508" w14:textId="77777777" w:rsidR="003F5418" w:rsidRDefault="002A6C25">
            <w:pPr>
              <w:pStyle w:val="P68B1DB1-Normal4"/>
              <w:spacing w:before="120" w:after="120"/>
              <w:jc w:val="center"/>
              <w:rPr>
                <w:rFonts w:eastAsia="Calibri"/>
                <w:noProof/>
              </w:rPr>
            </w:pPr>
            <w:r>
              <w:rPr>
                <w:noProof/>
              </w:rPr>
              <w:t>2022</w:t>
            </w:r>
          </w:p>
        </w:tc>
        <w:tc>
          <w:tcPr>
            <w:tcW w:w="5046" w:type="dxa"/>
            <w:shd w:val="clear" w:color="auto" w:fill="C6EFCE"/>
            <w:noWrap/>
            <w:vAlign w:val="center"/>
            <w:hideMark/>
          </w:tcPr>
          <w:p w14:paraId="76656EDC" w14:textId="77777777" w:rsidR="003F5418" w:rsidRDefault="002A6C25">
            <w:pPr>
              <w:pStyle w:val="P68B1DB1-Normal4"/>
              <w:spacing w:before="120" w:after="120"/>
              <w:rPr>
                <w:rFonts w:eastAsia="Calibri"/>
                <w:noProof/>
              </w:rPr>
            </w:pPr>
            <w:r>
              <w:rPr>
                <w:noProof/>
              </w:rPr>
              <w:t>A „Lakhatás az első” és a „post-állomás” projektekkel kapcsolatos operatív terv meghatározza a helyi szervezetek által előterjeszthető projektekre vonatkozó követel</w:t>
            </w:r>
            <w:r>
              <w:rPr>
                <w:noProof/>
              </w:rPr>
              <w:t>ményeket, és pályázati felhívást tesz közzé.</w:t>
            </w:r>
          </w:p>
          <w:p w14:paraId="2C5AF0E6" w14:textId="77777777" w:rsidR="003F5418" w:rsidRDefault="002A6C25">
            <w:pPr>
              <w:pStyle w:val="P68B1DB1-Normal4"/>
              <w:spacing w:before="120" w:after="120"/>
              <w:rPr>
                <w:rFonts w:eastAsia="Calibri"/>
                <w:noProof/>
              </w:rPr>
            </w:pPr>
            <w:r>
              <w:rPr>
                <w:noProof/>
              </w:rPr>
              <w:t>A lakhatással kapcsolatos projektek azt irányozzák elő, hogy a helyi önkormányzatok legfeljebb 24 hónapig lakásokat bocsássanak egyéni személyek, kis csoportok vagy családok rendelkezésére, lehetőleg az épületek</w:t>
            </w:r>
            <w:r>
              <w:rPr>
                <w:noProof/>
              </w:rPr>
              <w:t xml:space="preserve"> felújítása és az állami ingatlanok felújítása révén. Ezt fejlesztési és önállósági programok egészítik ki.</w:t>
            </w:r>
          </w:p>
          <w:p w14:paraId="37D86E83" w14:textId="77777777" w:rsidR="003F5418" w:rsidRDefault="002A6C25">
            <w:pPr>
              <w:pStyle w:val="P68B1DB1-Normal4"/>
              <w:spacing w:before="120" w:after="120"/>
              <w:rPr>
                <w:rFonts w:eastAsia="Calibri"/>
                <w:noProof/>
              </w:rPr>
            </w:pPr>
            <w:r>
              <w:rPr>
                <w:noProof/>
              </w:rPr>
              <w:t>A postaállomásokkal kapcsolatos projektek a hajléktalanok számára kialakított szolgáltatási és befogadási központok kialakítását irányozzák elő. Ezt</w:t>
            </w:r>
            <w:r>
              <w:rPr>
                <w:noProof/>
              </w:rPr>
              <w:t xml:space="preserve"> munkaközvetítési programok egészítik ki a foglalkoztatási központokkal együttműködésben.</w:t>
            </w:r>
          </w:p>
        </w:tc>
      </w:tr>
      <w:tr w:rsidR="003F5418" w14:paraId="1B531B21" w14:textId="77777777">
        <w:trPr>
          <w:trHeight w:val="309"/>
          <w:jc w:val="center"/>
        </w:trPr>
        <w:tc>
          <w:tcPr>
            <w:tcW w:w="1648" w:type="dxa"/>
            <w:shd w:val="clear" w:color="auto" w:fill="C6EFCE"/>
            <w:noWrap/>
            <w:vAlign w:val="center"/>
            <w:hideMark/>
          </w:tcPr>
          <w:p w14:paraId="7C6479B9" w14:textId="77777777" w:rsidR="003F5418" w:rsidRDefault="002A6C25">
            <w:pPr>
              <w:pStyle w:val="P68B1DB1-Normal4"/>
              <w:spacing w:before="120"/>
              <w:jc w:val="center"/>
              <w:rPr>
                <w:rFonts w:eastAsia="Calibri"/>
                <w:noProof/>
              </w:rPr>
            </w:pPr>
            <w:r>
              <w:rPr>
                <w:noProof/>
              </w:rPr>
              <w:t>M5C2–10</w:t>
            </w:r>
          </w:p>
        </w:tc>
        <w:tc>
          <w:tcPr>
            <w:tcW w:w="1908" w:type="dxa"/>
            <w:shd w:val="clear" w:color="auto" w:fill="C6EFCE"/>
            <w:noWrap/>
            <w:vAlign w:val="center"/>
            <w:hideMark/>
          </w:tcPr>
          <w:p w14:paraId="359EB77A" w14:textId="77777777" w:rsidR="003F5418" w:rsidRDefault="002A6C25">
            <w:pPr>
              <w:pStyle w:val="P68B1DB1-Normal4"/>
              <w:spacing w:before="120" w:after="120"/>
              <w:jc w:val="center"/>
              <w:rPr>
                <w:rFonts w:eastAsia="Calibri"/>
                <w:noProof/>
              </w:rPr>
            </w:pPr>
            <w:r>
              <w:rPr>
                <w:noProof/>
              </w:rPr>
              <w:t>Beruházás – Az első és a későbbi állomások lakhatása</w:t>
            </w:r>
          </w:p>
        </w:tc>
        <w:tc>
          <w:tcPr>
            <w:tcW w:w="1322" w:type="dxa"/>
            <w:shd w:val="clear" w:color="auto" w:fill="C6EFCE"/>
            <w:noWrap/>
            <w:vAlign w:val="center"/>
            <w:hideMark/>
          </w:tcPr>
          <w:p w14:paraId="24F1942B" w14:textId="77777777" w:rsidR="003F5418" w:rsidRDefault="002A6C25">
            <w:pPr>
              <w:pStyle w:val="P68B1DB1-Normal4"/>
              <w:spacing w:before="120" w:after="120"/>
              <w:jc w:val="center"/>
              <w:rPr>
                <w:rFonts w:eastAsia="Calibri"/>
                <w:noProof/>
              </w:rPr>
            </w:pPr>
            <w:r>
              <w:rPr>
                <w:noProof/>
              </w:rPr>
              <w:t>Cél</w:t>
            </w:r>
          </w:p>
        </w:tc>
        <w:tc>
          <w:tcPr>
            <w:tcW w:w="1395" w:type="dxa"/>
            <w:shd w:val="clear" w:color="auto" w:fill="C6EFCE"/>
            <w:noWrap/>
            <w:vAlign w:val="center"/>
            <w:hideMark/>
          </w:tcPr>
          <w:p w14:paraId="62CE0F15" w14:textId="77777777" w:rsidR="003F5418" w:rsidRDefault="002A6C25">
            <w:pPr>
              <w:pStyle w:val="P68B1DB1-Normal4"/>
              <w:spacing w:before="120" w:after="120"/>
              <w:jc w:val="center"/>
              <w:rPr>
                <w:rFonts w:eastAsia="Calibri"/>
                <w:noProof/>
              </w:rPr>
            </w:pPr>
            <w:r>
              <w:rPr>
                <w:noProof/>
              </w:rPr>
              <w:t xml:space="preserve">A „Lakhatás mindenekelőtt” projektek által legalább hat hónapig és postaállomásokon átvett, súlyos </w:t>
            </w:r>
            <w:r>
              <w:rPr>
                <w:noProof/>
              </w:rPr>
              <w:t>anyagi nélkülözésben élők</w:t>
            </w:r>
          </w:p>
        </w:tc>
        <w:tc>
          <w:tcPr>
            <w:tcW w:w="1476" w:type="dxa"/>
            <w:shd w:val="clear" w:color="auto" w:fill="C6EFCE"/>
            <w:noWrap/>
            <w:vAlign w:val="center"/>
            <w:hideMark/>
          </w:tcPr>
          <w:p w14:paraId="16259430" w14:textId="77777777" w:rsidR="003F5418" w:rsidRDefault="002A6C25">
            <w:pPr>
              <w:pStyle w:val="P68B1DB1-Normal4"/>
              <w:spacing w:before="120" w:after="120"/>
              <w:jc w:val="center"/>
              <w:rPr>
                <w:rFonts w:eastAsia="Calibri"/>
                <w:noProof/>
              </w:rPr>
            </w:pPr>
            <w:r>
              <w:rPr>
                <w:noProof/>
              </w:rPr>
              <w:t>NINCS</w:t>
            </w:r>
          </w:p>
        </w:tc>
        <w:tc>
          <w:tcPr>
            <w:tcW w:w="1474" w:type="dxa"/>
            <w:shd w:val="clear" w:color="auto" w:fill="C6EFCE"/>
            <w:noWrap/>
            <w:vAlign w:val="center"/>
            <w:hideMark/>
          </w:tcPr>
          <w:p w14:paraId="3AB2BD12" w14:textId="77777777" w:rsidR="003F5418" w:rsidRDefault="002A6C25">
            <w:pPr>
              <w:pStyle w:val="P68B1DB1-Normal4"/>
              <w:spacing w:before="120" w:after="120"/>
              <w:jc w:val="center"/>
              <w:rPr>
                <w:rFonts w:eastAsia="Calibri"/>
                <w:noProof/>
              </w:rPr>
            </w:pPr>
            <w:r>
              <w:rPr>
                <w:noProof/>
              </w:rPr>
              <w:t>Szám</w:t>
            </w:r>
          </w:p>
        </w:tc>
        <w:tc>
          <w:tcPr>
            <w:tcW w:w="1092" w:type="dxa"/>
            <w:shd w:val="clear" w:color="auto" w:fill="C6EFCE"/>
            <w:noWrap/>
            <w:vAlign w:val="center"/>
            <w:hideMark/>
          </w:tcPr>
          <w:p w14:paraId="760C27E3" w14:textId="77777777" w:rsidR="003F5418" w:rsidRDefault="002A6C25">
            <w:pPr>
              <w:pStyle w:val="P68B1DB1-Normal4"/>
              <w:spacing w:before="120" w:after="120"/>
              <w:jc w:val="center"/>
              <w:rPr>
                <w:rFonts w:eastAsia="Calibri"/>
                <w:noProof/>
              </w:rPr>
            </w:pPr>
            <w:r>
              <w:rPr>
                <w:noProof/>
              </w:rPr>
              <w:t>0</w:t>
            </w:r>
          </w:p>
        </w:tc>
        <w:tc>
          <w:tcPr>
            <w:tcW w:w="775" w:type="dxa"/>
            <w:shd w:val="clear" w:color="auto" w:fill="C6EFCE"/>
            <w:noWrap/>
            <w:vAlign w:val="center"/>
            <w:hideMark/>
          </w:tcPr>
          <w:p w14:paraId="4B633330" w14:textId="3C14D43C" w:rsidR="003F5418" w:rsidRDefault="002A6C25">
            <w:pPr>
              <w:pStyle w:val="P68B1DB1-Normal4"/>
              <w:spacing w:before="120" w:after="120"/>
              <w:jc w:val="center"/>
              <w:rPr>
                <w:rFonts w:eastAsia="Calibri"/>
                <w:noProof/>
              </w:rPr>
            </w:pPr>
            <w:r>
              <w:rPr>
                <w:noProof/>
              </w:rPr>
              <w:t>25 000</w:t>
            </w:r>
          </w:p>
        </w:tc>
        <w:tc>
          <w:tcPr>
            <w:tcW w:w="1078" w:type="dxa"/>
            <w:shd w:val="clear" w:color="auto" w:fill="C6EFCE"/>
            <w:noWrap/>
            <w:vAlign w:val="center"/>
            <w:hideMark/>
          </w:tcPr>
          <w:p w14:paraId="37AF9EDE" w14:textId="77777777" w:rsidR="003F5418" w:rsidRDefault="002A6C25">
            <w:pPr>
              <w:pStyle w:val="P68B1DB1-Normal4"/>
              <w:spacing w:before="120" w:after="120"/>
              <w:jc w:val="center"/>
              <w:rPr>
                <w:rFonts w:eastAsia="Calibri"/>
                <w:noProof/>
              </w:rPr>
            </w:pPr>
            <w:r>
              <w:rPr>
                <w:noProof/>
              </w:rPr>
              <w:t>Q1</w:t>
            </w:r>
          </w:p>
        </w:tc>
        <w:tc>
          <w:tcPr>
            <w:tcW w:w="755" w:type="dxa"/>
            <w:shd w:val="clear" w:color="auto" w:fill="C6EFCE"/>
            <w:noWrap/>
            <w:vAlign w:val="center"/>
            <w:hideMark/>
          </w:tcPr>
          <w:p w14:paraId="676E69BC" w14:textId="77777777" w:rsidR="003F5418" w:rsidRDefault="002A6C25">
            <w:pPr>
              <w:pStyle w:val="P68B1DB1-Normal4"/>
              <w:spacing w:before="120" w:after="120"/>
              <w:jc w:val="center"/>
              <w:rPr>
                <w:rFonts w:eastAsia="Calibri"/>
                <w:noProof/>
              </w:rPr>
            </w:pPr>
            <w:r>
              <w:rPr>
                <w:noProof/>
              </w:rPr>
              <w:t>2026</w:t>
            </w:r>
          </w:p>
        </w:tc>
        <w:tc>
          <w:tcPr>
            <w:tcW w:w="5046" w:type="dxa"/>
            <w:shd w:val="clear" w:color="auto" w:fill="C6EFCE"/>
            <w:noWrap/>
            <w:vAlign w:val="center"/>
            <w:hideMark/>
          </w:tcPr>
          <w:p w14:paraId="11DB4F41" w14:textId="66E2E4A5" w:rsidR="003F5418" w:rsidRDefault="002A6C25">
            <w:pPr>
              <w:pStyle w:val="P68B1DB1-Normal4"/>
              <w:spacing w:before="120" w:after="120"/>
              <w:rPr>
                <w:rFonts w:eastAsia="Calibri"/>
                <w:noProof/>
              </w:rPr>
            </w:pPr>
            <w:r>
              <w:rPr>
                <w:noProof/>
              </w:rPr>
              <w:t>Legalább 25000 súlyos anyagi nélkülözésben élő személy átvétele a „Lakhatás első” és a „postai” állomások beavatkozásainak kedvezményezettjeként.</w:t>
            </w:r>
          </w:p>
          <w:p w14:paraId="257C310E" w14:textId="16B4FF74" w:rsidR="003F5418" w:rsidRDefault="002A6C25">
            <w:pPr>
              <w:pStyle w:val="P68B1DB1-Normal4"/>
              <w:spacing w:before="120" w:after="120"/>
              <w:rPr>
                <w:rFonts w:eastAsia="Calibri"/>
                <w:noProof/>
              </w:rPr>
            </w:pPr>
            <w:r>
              <w:rPr>
                <w:noProof/>
              </w:rPr>
              <w:t>A cél kielégítő teljesítése a másodlagos cél kielégítő t</w:t>
            </w:r>
            <w:r>
              <w:rPr>
                <w:noProof/>
              </w:rPr>
              <w:t>eljesítésétől is függ: a „Lakhatások Első” projekt keretében legalább 3000 főnek kell ideiglenes szállást biztosítani legalább 6 hónapig, és legalább 22000 főnek kell részesülnie a szociális körzet által a postaállomások projektjei keretében kínált szolgál</w:t>
            </w:r>
            <w:r>
              <w:rPr>
                <w:noProof/>
              </w:rPr>
              <w:t>tatásokból.</w:t>
            </w:r>
          </w:p>
          <w:p w14:paraId="2872A1A8" w14:textId="77777777" w:rsidR="003F5418" w:rsidRDefault="002A6C25">
            <w:pPr>
              <w:pStyle w:val="P68B1DB1-Normal4"/>
              <w:spacing w:before="120" w:after="120"/>
              <w:rPr>
                <w:rFonts w:eastAsia="Calibri"/>
                <w:noProof/>
              </w:rPr>
            </w:pPr>
            <w:r>
              <w:rPr>
                <w:noProof/>
              </w:rPr>
              <w:t>A súlyos nélkülözésben élő személyek meghatározása a következő: lásd: Linee di indirizzo per il contrasto alla grave emarginazione in Italia, amelyet a Conferenza Unificata il 2015. május 11-én hagyott jóvá, valamint a szegénységi alapról szóló</w:t>
            </w:r>
            <w:r>
              <w:rPr>
                <w:noProof/>
              </w:rPr>
              <w:t xml:space="preserve"> 2018. évi éves rendelet 5. cikkét, ahol e célból (5. cikk) a) az utcán vagy bizonytalan menedékhelyen élnek; b) nyilvános karmitáció használata; a rászorulóknak otthont adó szállások; d) kivonulnak a struktúrákból (beleértve a börtönt is), és nem rendelke</w:t>
            </w:r>
            <w:r>
              <w:rPr>
                <w:noProof/>
              </w:rPr>
              <w:t>znek lakóhellyel.</w:t>
            </w:r>
          </w:p>
          <w:p w14:paraId="50B06D04" w14:textId="77777777" w:rsidR="003F5418" w:rsidRDefault="002A6C25">
            <w:pPr>
              <w:pStyle w:val="P68B1DB1-Normal4"/>
              <w:spacing w:before="120" w:after="120"/>
              <w:rPr>
                <w:rFonts w:eastAsia="Calibri"/>
                <w:noProof/>
              </w:rPr>
            </w:pPr>
            <w:r>
              <w:rPr>
                <w:noProof/>
              </w:rPr>
              <w:t>A fellépésnek az ország egész területére ki kell terjednie, de előnyben kell részesíteni azokat a területeket, ahol a hajléktalanság és a súlyos szegénység problémája sürgetőbb (nagyvárosi területek, de néhány olyan vidéki terület is, aho</w:t>
            </w:r>
            <w:r>
              <w:rPr>
                <w:noProof/>
              </w:rPr>
              <w:t>l nagy számú idénymunkás – közülük sokan külföldiek – dolgoznak).</w:t>
            </w:r>
          </w:p>
        </w:tc>
      </w:tr>
    </w:tbl>
    <w:p w14:paraId="5E44914F" w14:textId="77777777" w:rsidR="003F5418" w:rsidRDefault="003F5418">
      <w:pPr>
        <w:spacing w:before="120" w:after="120"/>
        <w:ind w:left="709"/>
        <w:jc w:val="both"/>
        <w:rPr>
          <w:noProof/>
        </w:rPr>
      </w:pPr>
    </w:p>
    <w:p w14:paraId="0787791E" w14:textId="77777777" w:rsidR="003F5418" w:rsidRDefault="003F5418">
      <w:pPr>
        <w:spacing w:before="120" w:after="120"/>
        <w:ind w:left="709"/>
        <w:jc w:val="both"/>
        <w:rPr>
          <w:noProof/>
        </w:rPr>
      </w:pPr>
    </w:p>
    <w:p w14:paraId="733E1936" w14:textId="77777777" w:rsidR="003F5418" w:rsidRDefault="003F5418">
      <w:pPr>
        <w:spacing w:before="120" w:after="120"/>
        <w:ind w:left="709"/>
        <w:jc w:val="both"/>
        <w:rPr>
          <w:noProof/>
        </w:rPr>
      </w:pPr>
    </w:p>
    <w:p w14:paraId="305A17FE" w14:textId="77777777" w:rsidR="003F5418" w:rsidRDefault="003F5418">
      <w:pPr>
        <w:framePr w:w="19845" w:wrap="auto" w:hAnchor="text"/>
        <w:spacing w:before="120" w:after="120"/>
        <w:ind w:left="709"/>
        <w:jc w:val="both"/>
        <w:rPr>
          <w:noProof/>
        </w:rPr>
        <w:sectPr w:rsidR="003F5418">
          <w:headerReference w:type="even" r:id="rId332"/>
          <w:headerReference w:type="default" r:id="rId333"/>
          <w:footerReference w:type="even" r:id="rId334"/>
          <w:footerReference w:type="default" r:id="rId335"/>
          <w:headerReference w:type="first" r:id="rId336"/>
          <w:footerReference w:type="first" r:id="rId337"/>
          <w:pgSz w:w="19051" w:h="11907" w:orient="landscape" w:code="9"/>
          <w:pgMar w:top="720" w:right="720" w:bottom="426" w:left="720" w:header="709" w:footer="709" w:gutter="0"/>
          <w:cols w:space="720"/>
          <w:docGrid w:linePitch="360"/>
        </w:sectPr>
      </w:pPr>
    </w:p>
    <w:p w14:paraId="0B5729FE" w14:textId="77777777" w:rsidR="003F5418" w:rsidRDefault="002A6C25">
      <w:pPr>
        <w:pStyle w:val="Heading3"/>
        <w:numPr>
          <w:ilvl w:val="2"/>
          <w:numId w:val="0"/>
        </w:numPr>
        <w:ind w:left="850" w:hanging="850"/>
        <w:rPr>
          <w:b/>
          <w:i w:val="0"/>
          <w:noProof/>
          <w:color w:val="4472C4" w:themeColor="accent1"/>
          <w:u w:val="single"/>
        </w:rPr>
      </w:pPr>
      <w:r>
        <w:rPr>
          <w:b/>
          <w:i w:val="0"/>
          <w:noProof/>
          <w:u w:val="single"/>
        </w:rPr>
        <w:t xml:space="preserve">M.3. </w:t>
      </w:r>
      <w:r>
        <w:rPr>
          <w:noProof/>
        </w:rPr>
        <w:t xml:space="preserve"> </w:t>
      </w:r>
      <w:r>
        <w:rPr>
          <w:b/>
          <w:i w:val="0"/>
          <w:noProof/>
          <w:u w:val="single"/>
        </w:rPr>
        <w:t>A hitelhez kapcsolódó reformok és beruházások ismertetése</w:t>
      </w:r>
    </w:p>
    <w:p w14:paraId="29F2AA06" w14:textId="38246E3E" w:rsidR="003F5418" w:rsidRDefault="00AF4CCB">
      <w:pPr>
        <w:pStyle w:val="P68B1DB1-Normal2"/>
        <w:spacing w:before="120" w:after="120"/>
        <w:jc w:val="both"/>
        <w:rPr>
          <w:noProof/>
          <w:u w:val="single"/>
        </w:rPr>
      </w:pPr>
      <w:r>
        <w:rPr>
          <w:noProof/>
        </w:rPr>
        <w:t>4</w:t>
      </w:r>
      <w:r w:rsidRPr="00B07E42">
        <w:rPr>
          <w:noProof/>
        </w:rPr>
        <w:t>.</w:t>
      </w:r>
      <w:r>
        <w:rPr>
          <w:noProof/>
        </w:rPr>
        <w:t xml:space="preserve"> Beruházás – A marginalizálódás és a társadalom romlásának csökkentését célzó városrehabilitációs projektekbe történő beruházások</w:t>
      </w:r>
    </w:p>
    <w:p w14:paraId="5D717D39" w14:textId="77777777" w:rsidR="003F5418" w:rsidRDefault="002A6C25">
      <w:pPr>
        <w:spacing w:before="120" w:after="120"/>
        <w:jc w:val="both"/>
        <w:rPr>
          <w:rFonts w:eastAsia="Calibri"/>
          <w:noProof/>
        </w:rPr>
      </w:pPr>
      <w:r>
        <w:rPr>
          <w:noProof/>
        </w:rPr>
        <w:t>Ezen intézkedés célja, hogy az önkormányzatok számára támogatást nyújtson a városrehabilitációra, a marginalizálódás és a társ</w:t>
      </w:r>
      <w:r>
        <w:rPr>
          <w:noProof/>
        </w:rPr>
        <w:t>adalmi romlás csökkentésére, valamint a városközpontok társadalmi és környezeti környezetének javítására irányuló beruházásokhoz, teljes mértékben tiszteletben tartva a jelentős károkozás elkerülését célzó elvet. Az intézkedés célja a közterületek és a meg</w:t>
      </w:r>
      <w:r>
        <w:rPr>
          <w:noProof/>
        </w:rPr>
        <w:t xml:space="preserve">lévő középület-szerkezetek közérdekű célú újrafelhasználásának és újrafunkciójának támogatása, valamint a városi táj javítása a középületek felújítása révén, különös tekintettel a szociális, kulturális, oktatási és didaktikai szolgáltatások fejlesztésére, </w:t>
      </w:r>
      <w:r>
        <w:rPr>
          <w:noProof/>
        </w:rPr>
        <w:t xml:space="preserve">beleértve a sporttevékenységeket is. </w:t>
      </w:r>
    </w:p>
    <w:p w14:paraId="65DDD3C3" w14:textId="77777777" w:rsidR="003F5418" w:rsidRDefault="002A6C25">
      <w:pPr>
        <w:spacing w:before="120" w:after="120"/>
        <w:jc w:val="both"/>
        <w:rPr>
          <w:rFonts w:eastAsia="Calibri"/>
          <w:noProof/>
        </w:rPr>
      </w:pPr>
      <w:r>
        <w:rPr>
          <w:noProof/>
        </w:rPr>
        <w:t>Az intézkedés nem sértheti jelentősen az (EU) 2020/852 rendelet 17. cikke szerinti környezeti célkitűzéseket, figyelembe véve az intézkedés leírását és a helyreállítási és rezilienciaépítési tervben a DNSH technikai ir</w:t>
      </w:r>
      <w:r>
        <w:rPr>
          <w:noProof/>
        </w:rPr>
        <w:t>ánymutatással (2021/C58/01) összhangban meghatározott enyhítő lépéseket. Ide tartoznak a gázkondenzációs kazánok, amelyek nem jogosultak az ezen intézkedés szerinti beavatkozásokra.</w:t>
      </w:r>
    </w:p>
    <w:p w14:paraId="0A11DACD" w14:textId="54AFAC51" w:rsidR="003F5418" w:rsidRDefault="00AF4CCB">
      <w:pPr>
        <w:pStyle w:val="P68B1DB1-Normal2"/>
        <w:spacing w:before="120" w:after="120"/>
        <w:jc w:val="both"/>
        <w:rPr>
          <w:rFonts w:eastAsia="Calibri"/>
          <w:noProof/>
        </w:rPr>
      </w:pPr>
      <w:r>
        <w:rPr>
          <w:noProof/>
        </w:rPr>
        <w:t>5</w:t>
      </w:r>
      <w:r w:rsidRPr="00B07E42">
        <w:rPr>
          <w:noProof/>
        </w:rPr>
        <w:t>.</w:t>
      </w:r>
      <w:r>
        <w:rPr>
          <w:noProof/>
        </w:rPr>
        <w:t xml:space="preserve"> Beruházás – Városi integrációs tervek (általános projektek és az illegális telepek felszámolása a mezőgazdasági munkaerő-kizsákmányolás elleni küzdelem érdekében)</w:t>
      </w:r>
    </w:p>
    <w:p w14:paraId="6A03A0B8" w14:textId="77777777" w:rsidR="003F5418" w:rsidRDefault="002A6C25">
      <w:pPr>
        <w:spacing w:before="120" w:after="120"/>
        <w:jc w:val="both"/>
        <w:rPr>
          <w:rFonts w:eastAsiaTheme="minorEastAsia"/>
          <w:noProof/>
        </w:rPr>
      </w:pPr>
      <w:r>
        <w:rPr>
          <w:noProof/>
        </w:rPr>
        <w:t>Ezen intézkedés célja a nagy leromlott városi területek regenerálása, újjáélesztése és fejlesztése, különös tekintettel az új személyi szolgáltatások létrehozására,</w:t>
      </w:r>
      <w:r>
        <w:rPr>
          <w:noProof/>
        </w:rPr>
        <w:t xml:space="preserve"> valamint a hozzáférhetőség és az intermodális infrastruktúrák átminősítésére, lehetővé téve a veszélyeztetett területek intelligens és fenntartható városokká való átalakítását. Ez a beruházás két beavatkozást foglal magában: I. a városi integrált tervek m</w:t>
      </w:r>
      <w:r>
        <w:rPr>
          <w:noProof/>
        </w:rPr>
        <w:t>egvalósítására és végrehajtására irányuló általános projektek támogatása, mint például a közterületek és épületek karbantartása és újrafelhasználása, a kihasználatlan vagy fel nem használt városi területek rehabilitációja és hasznosítása stb. A helyi közig</w:t>
      </w:r>
      <w:r>
        <w:rPr>
          <w:noProof/>
        </w:rPr>
        <w:t>azgatásokat támogatni kell olyan cselekvési tervek kidolgozásában, amelyek célja az illegális telepek felszámolása és a tisztességes lakhatási megoldások biztosítása a mezőgazdasági ágazatban dolgozók számára. Ezen túlmenően e beruházás keretében az EBB-ve</w:t>
      </w:r>
      <w:r>
        <w:rPr>
          <w:noProof/>
        </w:rPr>
        <w:t>l együttműködésben létre kell hozni egy tematikus alapot (alapok alapja), amely a városrehabilitációs kezdeményezésekbe való magánbeavatkozás támogatását célozza. Ezt az alapot a városi területek éghajlatvédelmi és digitális átállásának támogatására kell f</w:t>
      </w:r>
      <w:r>
        <w:rPr>
          <w:noProof/>
        </w:rPr>
        <w:t>elhasználni.</w:t>
      </w:r>
    </w:p>
    <w:p w14:paraId="2839A02A" w14:textId="77777777" w:rsidR="003F5418" w:rsidRDefault="002A6C25">
      <w:pPr>
        <w:spacing w:before="120" w:after="120"/>
        <w:jc w:val="both"/>
        <w:rPr>
          <w:rFonts w:eastAsia="Calibri"/>
          <w:noProof/>
        </w:rPr>
      </w:pPr>
      <w:r>
        <w:rPr>
          <w:noProof/>
        </w:rPr>
        <w:t>Az intézkedés nem sértheti jelentősen az (EU) 2020/852 rendelet 17. cikke szerinti környezeti célkitűzéseket, figyelembe véve az intézkedés leírását és a helyreállítási és rezilienciaépítési tervben a DNSH technikai iránymutatással (2021/C58/0</w:t>
      </w:r>
      <w:r>
        <w:rPr>
          <w:noProof/>
        </w:rPr>
        <w:t>1) összhangban meghatározott enyhítő lépéseket. Ide tartoznak a gázkondenzációs kazánok, amelyek nem jogosultak az ezen intézkedés szerinti beavatkozásokra.</w:t>
      </w:r>
    </w:p>
    <w:p w14:paraId="45C2459F" w14:textId="469371EE" w:rsidR="003F5418" w:rsidRDefault="00AF4CCB">
      <w:pPr>
        <w:pStyle w:val="P68B1DB1-Normal2"/>
        <w:spacing w:before="120" w:after="120"/>
        <w:jc w:val="both"/>
        <w:rPr>
          <w:rFonts w:eastAsia="Calibri"/>
          <w:noProof/>
        </w:rPr>
      </w:pPr>
      <w:r>
        <w:rPr>
          <w:noProof/>
        </w:rPr>
        <w:t>6</w:t>
      </w:r>
      <w:r w:rsidRPr="00B07E42">
        <w:rPr>
          <w:noProof/>
        </w:rPr>
        <w:t>.</w:t>
      </w:r>
      <w:r>
        <w:rPr>
          <w:noProof/>
        </w:rPr>
        <w:t xml:space="preserve"> Beruházás – A lakásminőségre vonatkozó innovatív terv</w:t>
      </w:r>
    </w:p>
    <w:p w14:paraId="48F5C0D9" w14:textId="77777777" w:rsidR="003F5418" w:rsidRDefault="002A6C25">
      <w:pPr>
        <w:spacing w:before="120" w:after="120"/>
        <w:jc w:val="both"/>
        <w:rPr>
          <w:rFonts w:eastAsiaTheme="minorEastAsia"/>
          <w:noProof/>
        </w:rPr>
      </w:pPr>
      <w:r>
        <w:rPr>
          <w:noProof/>
        </w:rPr>
        <w:t>Ezen intézkedés célja új állami lakások és</w:t>
      </w:r>
      <w:r>
        <w:rPr>
          <w:noProof/>
        </w:rPr>
        <w:t xml:space="preserve"> leromlott állapotú területek építése, elsősorban a zöld innovációra és a fenntarthatóságra összpontosítva. A beruházás a következőkhöz nyújt támogatást: I. az állami lakások kínálatának átszervezése, átszervezése és növelése; Ii. területek, terek, köz- és</w:t>
      </w:r>
      <w:r>
        <w:rPr>
          <w:noProof/>
        </w:rPr>
        <w:t xml:space="preserve"> magántulajdonban lévő ingatlanok regenerálása; A városi területek megközelíthetőségének és biztonságának, valamint a szolgáltatásnyújtásnak a javítása; Részvételen alapuló és innovatív irányítási modellek kidolgozása a szociális és városi jólét támogatása</w:t>
      </w:r>
      <w:r>
        <w:rPr>
          <w:noProof/>
        </w:rPr>
        <w:t xml:space="preserve"> érdekében. </w:t>
      </w:r>
    </w:p>
    <w:p w14:paraId="16F427BD" w14:textId="43972FAA" w:rsidR="003F5418" w:rsidRDefault="00AF4CCB">
      <w:pPr>
        <w:pStyle w:val="P68B1DB1-Normal2"/>
        <w:spacing w:before="120" w:after="120"/>
        <w:jc w:val="both"/>
        <w:rPr>
          <w:rFonts w:eastAsia="Calibri"/>
          <w:noProof/>
        </w:rPr>
      </w:pPr>
      <w:r>
        <w:rPr>
          <w:noProof/>
        </w:rPr>
        <w:t>7</w:t>
      </w:r>
      <w:r w:rsidRPr="00B07E42">
        <w:rPr>
          <w:noProof/>
        </w:rPr>
        <w:t>.</w:t>
      </w:r>
      <w:r>
        <w:rPr>
          <w:noProof/>
        </w:rPr>
        <w:t xml:space="preserve"> Beruházás – Sport és társadalmi befogadás</w:t>
      </w:r>
    </w:p>
    <w:p w14:paraId="2FA54E82" w14:textId="77777777" w:rsidR="003F5418" w:rsidRDefault="002A6C25">
      <w:pPr>
        <w:spacing w:before="120" w:after="120"/>
        <w:jc w:val="both"/>
        <w:rPr>
          <w:rFonts w:eastAsia="Calibri"/>
          <w:noProof/>
        </w:rPr>
      </w:pPr>
      <w:r>
        <w:rPr>
          <w:noProof/>
        </w:rPr>
        <w:t>Ezen intézkedés célja a sportlétesítményekre összpontosító városi területek rehabilitációja a társadalmi befogadás és integráció előmozdítása érdekében, különösen Olaszország leghátrányosabb helyzet</w:t>
      </w:r>
      <w:r>
        <w:rPr>
          <w:noProof/>
        </w:rPr>
        <w:t>ű területein. A finanszírozott projektek a következőket támogatják: Az ország hátrányos helyzetű területein található sportlétesítmények építése és rehabilitációja, beleértve a nagyvárosi külvárosokat is; Sportfelszerelések elosztása a hátrányos helyzetű t</w:t>
      </w:r>
      <w:r>
        <w:rPr>
          <w:noProof/>
        </w:rPr>
        <w:t xml:space="preserve">erületek számára; Iii. meglévő sportlétesítmények, például:(példák: funkcionális helyreállítás, szerkezetátalakítás, rendkívüli karbantartás, építészeti akadályok felszámolása és energiahatékonyság). </w:t>
      </w:r>
    </w:p>
    <w:p w14:paraId="73C1AAB0" w14:textId="77777777" w:rsidR="003F5418" w:rsidRDefault="002A6C25">
      <w:pPr>
        <w:pStyle w:val="Heading3"/>
        <w:numPr>
          <w:ilvl w:val="2"/>
          <w:numId w:val="0"/>
        </w:numPr>
        <w:ind w:left="850" w:hanging="850"/>
        <w:rPr>
          <w:b/>
          <w:i w:val="0"/>
          <w:noProof/>
          <w:u w:val="single"/>
        </w:rPr>
      </w:pPr>
      <w:r>
        <w:rPr>
          <w:b/>
          <w:i w:val="0"/>
          <w:noProof/>
          <w:u w:val="single"/>
        </w:rPr>
        <w:t xml:space="preserve">M.4. </w:t>
      </w:r>
      <w:r>
        <w:rPr>
          <w:noProof/>
        </w:rPr>
        <w:t xml:space="preserve"> </w:t>
      </w:r>
      <w:r>
        <w:rPr>
          <w:b/>
          <w:i w:val="0"/>
          <w:noProof/>
          <w:u w:val="single"/>
        </w:rPr>
        <w:t>Hitel – a végrehajtáshoz és a nyomon követéshez k</w:t>
      </w:r>
      <w:r>
        <w:rPr>
          <w:b/>
          <w:i w:val="0"/>
          <w:noProof/>
          <w:u w:val="single"/>
        </w:rPr>
        <w:t>apcsolódó mérföldkövek, célok, mutatók és ütemterv</w:t>
      </w:r>
    </w:p>
    <w:p w14:paraId="67BE1D7E" w14:textId="77777777" w:rsidR="003F5418" w:rsidRDefault="002A6C25">
      <w:pPr>
        <w:pStyle w:val="P68B1DB1-Normal26"/>
        <w:spacing w:before="120" w:after="120"/>
        <w:ind w:left="709"/>
        <w:jc w:val="both"/>
        <w:rPr>
          <w:noProof/>
        </w:rPr>
      </w:pPr>
      <w:r>
        <w:rPr>
          <w:noProof/>
        </w:rPr>
        <w:t xml:space="preserve"> </w:t>
      </w:r>
    </w:p>
    <w:p w14:paraId="037E58D9" w14:textId="77777777" w:rsidR="003F5418" w:rsidRDefault="003F5418">
      <w:pPr>
        <w:spacing w:before="120" w:after="120"/>
        <w:ind w:left="709"/>
        <w:contextualSpacing/>
        <w:jc w:val="both"/>
        <w:rPr>
          <w:noProof/>
        </w:rPr>
        <w:sectPr w:rsidR="003F5418">
          <w:headerReference w:type="even" r:id="rId338"/>
          <w:headerReference w:type="default" r:id="rId339"/>
          <w:footerReference w:type="even" r:id="rId340"/>
          <w:footerReference w:type="default" r:id="rId341"/>
          <w:headerReference w:type="first" r:id="rId342"/>
          <w:footerReference w:type="first" r:id="rId343"/>
          <w:pgSz w:w="11907" w:h="16839"/>
          <w:pgMar w:top="1134" w:right="1417" w:bottom="1134" w:left="1417" w:header="709" w:footer="709" w:gutter="0"/>
          <w:cols w:space="720"/>
          <w:docGrid w:linePitch="360"/>
        </w:sectPr>
      </w:pPr>
    </w:p>
    <w:tbl>
      <w:tblPr>
        <w:tblW w:w="5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1799"/>
        <w:gridCol w:w="1275"/>
        <w:gridCol w:w="1803"/>
        <w:gridCol w:w="1785"/>
        <w:gridCol w:w="1691"/>
        <w:gridCol w:w="1124"/>
        <w:gridCol w:w="1358"/>
        <w:gridCol w:w="991"/>
        <w:gridCol w:w="706"/>
        <w:gridCol w:w="3827"/>
      </w:tblGrid>
      <w:tr w:rsidR="003F5418" w14:paraId="11748D12" w14:textId="77777777">
        <w:trPr>
          <w:trHeight w:val="1190"/>
          <w:tblHeader/>
          <w:jc w:val="center"/>
        </w:trPr>
        <w:tc>
          <w:tcPr>
            <w:tcW w:w="384" w:type="pct"/>
            <w:vMerge w:val="restart"/>
            <w:shd w:val="clear" w:color="auto" w:fill="BDD7EE"/>
            <w:vAlign w:val="center"/>
            <w:hideMark/>
          </w:tcPr>
          <w:p w14:paraId="212329CB" w14:textId="77777777" w:rsidR="003F5418" w:rsidRDefault="002A6C25">
            <w:pPr>
              <w:pStyle w:val="P68B1DB1-Normal25"/>
              <w:jc w:val="center"/>
              <w:rPr>
                <w:noProof/>
              </w:rPr>
            </w:pPr>
            <w:r>
              <w:rPr>
                <w:noProof/>
              </w:rPr>
              <w:t>Sorszám</w:t>
            </w:r>
          </w:p>
        </w:tc>
        <w:tc>
          <w:tcPr>
            <w:tcW w:w="509" w:type="pct"/>
            <w:vMerge w:val="restart"/>
            <w:shd w:val="clear" w:color="auto" w:fill="BDD7EE"/>
            <w:vAlign w:val="center"/>
            <w:hideMark/>
          </w:tcPr>
          <w:p w14:paraId="5D07039F" w14:textId="77777777" w:rsidR="003F5418" w:rsidRDefault="002A6C25">
            <w:pPr>
              <w:pStyle w:val="P68B1DB1-Normal25"/>
              <w:jc w:val="center"/>
              <w:rPr>
                <w:noProof/>
              </w:rPr>
            </w:pPr>
            <w:r>
              <w:rPr>
                <w:noProof/>
              </w:rPr>
              <w:t>Kapcsolódó intézkedés (reform vagy beruházás)</w:t>
            </w:r>
          </w:p>
        </w:tc>
        <w:tc>
          <w:tcPr>
            <w:tcW w:w="361" w:type="pct"/>
            <w:vMerge w:val="restart"/>
            <w:shd w:val="clear" w:color="auto" w:fill="BDD7EE"/>
            <w:vAlign w:val="center"/>
            <w:hideMark/>
          </w:tcPr>
          <w:p w14:paraId="7122D169" w14:textId="77777777" w:rsidR="003F5418" w:rsidRDefault="002A6C25">
            <w:pPr>
              <w:pStyle w:val="P68B1DB1-Normal25"/>
              <w:jc w:val="center"/>
              <w:rPr>
                <w:noProof/>
              </w:rPr>
            </w:pPr>
            <w:r>
              <w:rPr>
                <w:noProof/>
              </w:rPr>
              <w:t>Mérföldkő/cél</w:t>
            </w:r>
          </w:p>
        </w:tc>
        <w:tc>
          <w:tcPr>
            <w:tcW w:w="505" w:type="pct"/>
            <w:vMerge w:val="restart"/>
            <w:shd w:val="clear" w:color="auto" w:fill="BDD7EE"/>
            <w:vAlign w:val="center"/>
            <w:hideMark/>
          </w:tcPr>
          <w:p w14:paraId="5FC8A380" w14:textId="77777777" w:rsidR="003F5418" w:rsidRDefault="002A6C25">
            <w:pPr>
              <w:pStyle w:val="P68B1DB1-Normal25"/>
              <w:jc w:val="center"/>
              <w:rPr>
                <w:noProof/>
              </w:rPr>
            </w:pPr>
            <w:r>
              <w:rPr>
                <w:noProof/>
              </w:rPr>
              <w:t>Név</w:t>
            </w:r>
          </w:p>
        </w:tc>
        <w:tc>
          <w:tcPr>
            <w:tcW w:w="505" w:type="pct"/>
            <w:vMerge w:val="restart"/>
            <w:shd w:val="clear" w:color="auto" w:fill="BDD7EE"/>
            <w:vAlign w:val="center"/>
            <w:hideMark/>
          </w:tcPr>
          <w:p w14:paraId="2F35572B" w14:textId="77777777" w:rsidR="003F5418" w:rsidRDefault="002A6C25">
            <w:pPr>
              <w:pStyle w:val="P68B1DB1-Normal27"/>
              <w:jc w:val="center"/>
              <w:rPr>
                <w:b/>
                <w:noProof/>
              </w:rPr>
            </w:pPr>
            <w:r>
              <w:rPr>
                <w:b/>
                <w:noProof/>
              </w:rPr>
              <w:t xml:space="preserve">Minőségi mutatók </w:t>
            </w:r>
            <w:r>
              <w:rPr>
                <w:noProof/>
              </w:rPr>
              <w:t xml:space="preserve"> </w:t>
            </w:r>
            <w:r>
              <w:rPr>
                <w:b/>
                <w:noProof/>
              </w:rPr>
              <w:t>(a mérföldkövekhez)</w:t>
            </w:r>
          </w:p>
        </w:tc>
        <w:tc>
          <w:tcPr>
            <w:tcW w:w="1180" w:type="pct"/>
            <w:gridSpan w:val="3"/>
            <w:shd w:val="clear" w:color="auto" w:fill="BDD7EE"/>
            <w:vAlign w:val="center"/>
            <w:hideMark/>
          </w:tcPr>
          <w:p w14:paraId="2C5DD527" w14:textId="77777777" w:rsidR="003F5418" w:rsidRDefault="002A6C25">
            <w:pPr>
              <w:pStyle w:val="P68B1DB1-Normal27"/>
              <w:jc w:val="center"/>
              <w:rPr>
                <w:b/>
                <w:noProof/>
              </w:rPr>
            </w:pPr>
            <w:r>
              <w:rPr>
                <w:b/>
                <w:noProof/>
              </w:rPr>
              <w:t xml:space="preserve">Mennyiségi mutatók </w:t>
            </w:r>
            <w:r>
              <w:rPr>
                <w:noProof/>
              </w:rPr>
              <w:t xml:space="preserve"> </w:t>
            </w:r>
            <w:r>
              <w:rPr>
                <w:b/>
                <w:noProof/>
              </w:rPr>
              <w:t>(a célokhoz)</w:t>
            </w:r>
          </w:p>
        </w:tc>
        <w:tc>
          <w:tcPr>
            <w:tcW w:w="475" w:type="pct"/>
            <w:gridSpan w:val="2"/>
            <w:shd w:val="clear" w:color="auto" w:fill="BDD7EE"/>
            <w:vAlign w:val="center"/>
            <w:hideMark/>
          </w:tcPr>
          <w:p w14:paraId="26C70C6A" w14:textId="77777777" w:rsidR="003F5418" w:rsidRDefault="002A6C25">
            <w:pPr>
              <w:pStyle w:val="P68B1DB1-Normal25"/>
              <w:jc w:val="center"/>
              <w:rPr>
                <w:noProof/>
              </w:rPr>
            </w:pPr>
            <w:r>
              <w:rPr>
                <w:noProof/>
              </w:rPr>
              <w:t xml:space="preserve">A </w:t>
            </w:r>
            <w:r>
              <w:rPr>
                <w:noProof/>
              </w:rPr>
              <w:t>végrehajtás indikatív ütemterve</w:t>
            </w:r>
          </w:p>
        </w:tc>
        <w:tc>
          <w:tcPr>
            <w:tcW w:w="1081" w:type="pct"/>
            <w:vMerge w:val="restart"/>
            <w:shd w:val="clear" w:color="auto" w:fill="BDD7EE"/>
            <w:vAlign w:val="center"/>
            <w:hideMark/>
          </w:tcPr>
          <w:p w14:paraId="3D3410C8" w14:textId="77777777" w:rsidR="003F5418" w:rsidRDefault="002A6C25">
            <w:pPr>
              <w:pStyle w:val="P68B1DB1-Normal25"/>
              <w:jc w:val="center"/>
              <w:rPr>
                <w:noProof/>
              </w:rPr>
            </w:pPr>
            <w:r>
              <w:rPr>
                <w:noProof/>
              </w:rPr>
              <w:t>Az egyes mérföldkövek és célértékek leírása</w:t>
            </w:r>
          </w:p>
        </w:tc>
      </w:tr>
      <w:tr w:rsidR="003F5418" w14:paraId="717374F6" w14:textId="77777777">
        <w:trPr>
          <w:trHeight w:val="610"/>
          <w:jc w:val="center"/>
        </w:trPr>
        <w:tc>
          <w:tcPr>
            <w:tcW w:w="384" w:type="pct"/>
            <w:vMerge/>
            <w:vAlign w:val="center"/>
            <w:hideMark/>
          </w:tcPr>
          <w:p w14:paraId="3F5498CC" w14:textId="77777777" w:rsidR="003F5418" w:rsidRDefault="003F5418">
            <w:pPr>
              <w:jc w:val="center"/>
              <w:rPr>
                <w:rFonts w:ascii="Arial Narrow" w:hAnsi="Arial Narrow"/>
                <w:b/>
                <w:noProof/>
                <w:color w:val="000000"/>
                <w:sz w:val="20"/>
              </w:rPr>
            </w:pPr>
          </w:p>
        </w:tc>
        <w:tc>
          <w:tcPr>
            <w:tcW w:w="509" w:type="pct"/>
            <w:vMerge/>
            <w:vAlign w:val="center"/>
            <w:hideMark/>
          </w:tcPr>
          <w:p w14:paraId="2B7698DC" w14:textId="77777777" w:rsidR="003F5418" w:rsidRDefault="003F5418">
            <w:pPr>
              <w:jc w:val="center"/>
              <w:rPr>
                <w:rFonts w:ascii="Arial Narrow" w:hAnsi="Arial Narrow"/>
                <w:b/>
                <w:noProof/>
                <w:color w:val="000000"/>
                <w:sz w:val="20"/>
              </w:rPr>
            </w:pPr>
          </w:p>
        </w:tc>
        <w:tc>
          <w:tcPr>
            <w:tcW w:w="361" w:type="pct"/>
            <w:vMerge/>
            <w:vAlign w:val="center"/>
            <w:hideMark/>
          </w:tcPr>
          <w:p w14:paraId="7FD30616" w14:textId="77777777" w:rsidR="003F5418" w:rsidRDefault="003F5418">
            <w:pPr>
              <w:jc w:val="center"/>
              <w:rPr>
                <w:rFonts w:ascii="Arial Narrow" w:hAnsi="Arial Narrow"/>
                <w:b/>
                <w:noProof/>
                <w:color w:val="000000"/>
                <w:sz w:val="20"/>
              </w:rPr>
            </w:pPr>
          </w:p>
        </w:tc>
        <w:tc>
          <w:tcPr>
            <w:tcW w:w="505" w:type="pct"/>
            <w:vMerge/>
            <w:vAlign w:val="center"/>
            <w:hideMark/>
          </w:tcPr>
          <w:p w14:paraId="5D9D75D9" w14:textId="77777777" w:rsidR="003F5418" w:rsidRDefault="003F5418">
            <w:pPr>
              <w:jc w:val="center"/>
              <w:rPr>
                <w:rFonts w:ascii="Arial Narrow" w:hAnsi="Arial Narrow"/>
                <w:b/>
                <w:noProof/>
                <w:color w:val="000000"/>
                <w:sz w:val="20"/>
              </w:rPr>
            </w:pPr>
          </w:p>
        </w:tc>
        <w:tc>
          <w:tcPr>
            <w:tcW w:w="505" w:type="pct"/>
            <w:vMerge/>
            <w:vAlign w:val="center"/>
            <w:hideMark/>
          </w:tcPr>
          <w:p w14:paraId="7CBEE969" w14:textId="77777777" w:rsidR="003F5418" w:rsidRDefault="003F5418">
            <w:pPr>
              <w:jc w:val="center"/>
              <w:rPr>
                <w:rFonts w:ascii="Arial Narrow" w:hAnsi="Arial Narrow"/>
                <w:b/>
                <w:noProof/>
                <w:color w:val="000000"/>
                <w:sz w:val="20"/>
              </w:rPr>
            </w:pPr>
          </w:p>
        </w:tc>
        <w:tc>
          <w:tcPr>
            <w:tcW w:w="478" w:type="pct"/>
            <w:shd w:val="clear" w:color="auto" w:fill="BDD7EE"/>
            <w:vAlign w:val="center"/>
            <w:hideMark/>
          </w:tcPr>
          <w:p w14:paraId="430D4A58" w14:textId="77777777" w:rsidR="003F5418" w:rsidRDefault="002A6C25">
            <w:pPr>
              <w:pStyle w:val="P68B1DB1-Normal25"/>
              <w:jc w:val="center"/>
              <w:rPr>
                <w:noProof/>
              </w:rPr>
            </w:pPr>
            <w:r>
              <w:rPr>
                <w:noProof/>
              </w:rPr>
              <w:t>Mértékegység</w:t>
            </w:r>
          </w:p>
        </w:tc>
        <w:tc>
          <w:tcPr>
            <w:tcW w:w="318" w:type="pct"/>
            <w:shd w:val="clear" w:color="auto" w:fill="BDD7EE"/>
            <w:vAlign w:val="center"/>
            <w:hideMark/>
          </w:tcPr>
          <w:p w14:paraId="6FE9ECB4" w14:textId="77777777" w:rsidR="003F5418" w:rsidRDefault="002A6C25">
            <w:pPr>
              <w:pStyle w:val="P68B1DB1-Normal25"/>
              <w:jc w:val="center"/>
              <w:rPr>
                <w:noProof/>
              </w:rPr>
            </w:pPr>
            <w:r>
              <w:rPr>
                <w:noProof/>
              </w:rPr>
              <w:t>Kiindulási</w:t>
            </w:r>
          </w:p>
        </w:tc>
        <w:tc>
          <w:tcPr>
            <w:tcW w:w="384" w:type="pct"/>
            <w:shd w:val="clear" w:color="auto" w:fill="BDD7EE"/>
            <w:vAlign w:val="center"/>
            <w:hideMark/>
          </w:tcPr>
          <w:p w14:paraId="7C2AB451" w14:textId="77777777" w:rsidR="003F5418" w:rsidRDefault="002A6C25">
            <w:pPr>
              <w:pStyle w:val="P68B1DB1-Normal25"/>
              <w:jc w:val="center"/>
              <w:rPr>
                <w:noProof/>
              </w:rPr>
            </w:pPr>
            <w:r>
              <w:rPr>
                <w:noProof/>
              </w:rPr>
              <w:t>Cél</w:t>
            </w:r>
          </w:p>
        </w:tc>
        <w:tc>
          <w:tcPr>
            <w:tcW w:w="275" w:type="pct"/>
            <w:shd w:val="clear" w:color="auto" w:fill="BDD7EE"/>
            <w:vAlign w:val="center"/>
            <w:hideMark/>
          </w:tcPr>
          <w:p w14:paraId="0D547C3E" w14:textId="77777777" w:rsidR="003F5418" w:rsidRDefault="002A6C25">
            <w:pPr>
              <w:pStyle w:val="P68B1DB1-Normal25"/>
              <w:jc w:val="center"/>
              <w:rPr>
                <w:noProof/>
              </w:rPr>
            </w:pPr>
            <w:r>
              <w:rPr>
                <w:noProof/>
              </w:rPr>
              <w:t>Negyedév</w:t>
            </w:r>
          </w:p>
        </w:tc>
        <w:tc>
          <w:tcPr>
            <w:tcW w:w="200" w:type="pct"/>
            <w:shd w:val="clear" w:color="auto" w:fill="BDD7EE"/>
            <w:vAlign w:val="center"/>
            <w:hideMark/>
          </w:tcPr>
          <w:p w14:paraId="7D2F10E4" w14:textId="77777777" w:rsidR="003F5418" w:rsidRDefault="002A6C25">
            <w:pPr>
              <w:pStyle w:val="P68B1DB1-Normal25"/>
              <w:jc w:val="center"/>
              <w:rPr>
                <w:noProof/>
              </w:rPr>
            </w:pPr>
            <w:r>
              <w:rPr>
                <w:noProof/>
              </w:rPr>
              <w:t>Éve</w:t>
            </w:r>
          </w:p>
        </w:tc>
        <w:tc>
          <w:tcPr>
            <w:tcW w:w="1081" w:type="pct"/>
            <w:vMerge/>
            <w:shd w:val="clear" w:color="auto" w:fill="BDD7EE"/>
            <w:vAlign w:val="center"/>
            <w:hideMark/>
          </w:tcPr>
          <w:p w14:paraId="11A7E7C7" w14:textId="77777777" w:rsidR="003F5418" w:rsidRDefault="003F5418">
            <w:pPr>
              <w:rPr>
                <w:rFonts w:ascii="Arial Narrow" w:hAnsi="Arial Narrow"/>
                <w:b/>
                <w:noProof/>
                <w:color w:val="000000"/>
                <w:sz w:val="20"/>
              </w:rPr>
            </w:pPr>
          </w:p>
        </w:tc>
      </w:tr>
      <w:tr w:rsidR="003F5418" w14:paraId="469B765D" w14:textId="77777777">
        <w:trPr>
          <w:trHeight w:val="20"/>
          <w:jc w:val="center"/>
        </w:trPr>
        <w:tc>
          <w:tcPr>
            <w:tcW w:w="384" w:type="pct"/>
            <w:shd w:val="clear" w:color="auto" w:fill="C6EFCE"/>
            <w:vAlign w:val="center"/>
            <w:hideMark/>
          </w:tcPr>
          <w:p w14:paraId="755AFFFE" w14:textId="77777777" w:rsidR="003F5418" w:rsidRDefault="002A6C25">
            <w:pPr>
              <w:pStyle w:val="P68B1DB1-Normal4"/>
              <w:spacing w:before="120" w:after="120"/>
              <w:jc w:val="center"/>
              <w:rPr>
                <w:rFonts w:eastAsia="Calibri"/>
                <w:noProof/>
              </w:rPr>
            </w:pPr>
            <w:r>
              <w:rPr>
                <w:noProof/>
              </w:rPr>
              <w:t>M5C2–11</w:t>
            </w:r>
          </w:p>
        </w:tc>
        <w:tc>
          <w:tcPr>
            <w:tcW w:w="509" w:type="pct"/>
            <w:shd w:val="clear" w:color="auto" w:fill="C6EFCE"/>
            <w:vAlign w:val="center"/>
            <w:hideMark/>
          </w:tcPr>
          <w:p w14:paraId="3F1BB294" w14:textId="77777777" w:rsidR="003F5418" w:rsidRDefault="002A6C25">
            <w:pPr>
              <w:pStyle w:val="P68B1DB1-Normal4"/>
              <w:spacing w:before="120" w:after="120"/>
              <w:jc w:val="center"/>
              <w:rPr>
                <w:rFonts w:eastAsia="Calibri"/>
                <w:noProof/>
              </w:rPr>
            </w:pPr>
            <w:r>
              <w:rPr>
                <w:noProof/>
              </w:rPr>
              <w:t xml:space="preserve">Beruházás – A marginalizálódás és a társadalom romlásának csökkentését célzó városrehabilitációs projektekbe történő </w:t>
            </w:r>
            <w:r>
              <w:rPr>
                <w:noProof/>
              </w:rPr>
              <w:t>beruházások</w:t>
            </w:r>
          </w:p>
        </w:tc>
        <w:tc>
          <w:tcPr>
            <w:tcW w:w="361" w:type="pct"/>
            <w:shd w:val="clear" w:color="auto" w:fill="C6EFCE"/>
            <w:vAlign w:val="center"/>
            <w:hideMark/>
          </w:tcPr>
          <w:p w14:paraId="249EA29F" w14:textId="77777777" w:rsidR="003F5418" w:rsidRDefault="002A6C25">
            <w:pPr>
              <w:pStyle w:val="P68B1DB1-Normal4"/>
              <w:spacing w:before="120" w:after="120"/>
              <w:jc w:val="center"/>
              <w:rPr>
                <w:rFonts w:eastAsia="Calibri"/>
                <w:noProof/>
              </w:rPr>
            </w:pPr>
            <w:r>
              <w:rPr>
                <w:noProof/>
              </w:rPr>
              <w:t>Mérföldkő</w:t>
            </w:r>
          </w:p>
        </w:tc>
        <w:tc>
          <w:tcPr>
            <w:tcW w:w="505" w:type="pct"/>
            <w:shd w:val="clear" w:color="auto" w:fill="C6EFCE"/>
            <w:vAlign w:val="center"/>
            <w:hideMark/>
          </w:tcPr>
          <w:p w14:paraId="74D172D8" w14:textId="77777777" w:rsidR="003F5418" w:rsidRDefault="002A6C25">
            <w:pPr>
              <w:pStyle w:val="P68B1DB1-Normal4"/>
              <w:spacing w:before="120" w:after="120"/>
              <w:jc w:val="center"/>
              <w:rPr>
                <w:rFonts w:eastAsia="Calibri"/>
                <w:noProof/>
              </w:rPr>
            </w:pPr>
            <w:r>
              <w:rPr>
                <w:noProof/>
              </w:rPr>
              <w:t xml:space="preserve">A marginalizálódás és a társadalom romlásának csökkentését célzó városrehabilitációs beruházásokra irányuló valamennyi közbeszerzési szerződés odaítélése, a Helyreállítási és Rezilienciaépítési Eszköz célkitűzéseivel, többek között a </w:t>
            </w:r>
            <w:r>
              <w:rPr>
                <w:noProof/>
              </w:rPr>
              <w:t>DNSH-elvvel összhangban lévő projektek mellett</w:t>
            </w:r>
          </w:p>
        </w:tc>
        <w:tc>
          <w:tcPr>
            <w:tcW w:w="505" w:type="pct"/>
            <w:shd w:val="clear" w:color="auto" w:fill="C6EFCE"/>
            <w:vAlign w:val="center"/>
            <w:hideMark/>
          </w:tcPr>
          <w:p w14:paraId="222FB471" w14:textId="77777777" w:rsidR="003F5418" w:rsidRDefault="002A6C25">
            <w:pPr>
              <w:pStyle w:val="P68B1DB1-Normal4"/>
              <w:spacing w:before="120" w:after="120"/>
              <w:jc w:val="center"/>
              <w:rPr>
                <w:rFonts w:eastAsia="Calibri"/>
                <w:noProof/>
              </w:rPr>
            </w:pPr>
            <w:r>
              <w:rPr>
                <w:noProof/>
              </w:rPr>
              <w:t>Értesítés a marginalizálódás és a társadalmi romlás eseteinek csökkentését célzó városrehabilitációra irányuló beruházásokra irányuló valamennyi közbeszerzési szerződésről, a Helyreállítási és Rezilienciaépíté</w:t>
            </w:r>
            <w:r>
              <w:rPr>
                <w:noProof/>
              </w:rPr>
              <w:t>si Eszköz célkitűzéseivel, beleértve a DNSH-elvet is</w:t>
            </w:r>
          </w:p>
        </w:tc>
        <w:tc>
          <w:tcPr>
            <w:tcW w:w="478" w:type="pct"/>
            <w:shd w:val="clear" w:color="auto" w:fill="C6EFCE"/>
            <w:vAlign w:val="center"/>
            <w:hideMark/>
          </w:tcPr>
          <w:p w14:paraId="1B2A2327" w14:textId="77777777" w:rsidR="003F5418" w:rsidRDefault="002A6C25">
            <w:pPr>
              <w:pStyle w:val="P68B1DB1-Normal4"/>
              <w:spacing w:before="120" w:after="120"/>
              <w:jc w:val="center"/>
              <w:rPr>
                <w:rFonts w:eastAsia="Calibri"/>
                <w:noProof/>
              </w:rPr>
            </w:pPr>
            <w:r>
              <w:rPr>
                <w:noProof/>
              </w:rPr>
              <w:t>NINCS</w:t>
            </w:r>
          </w:p>
        </w:tc>
        <w:tc>
          <w:tcPr>
            <w:tcW w:w="318" w:type="pct"/>
            <w:shd w:val="clear" w:color="auto" w:fill="C6EFCE"/>
            <w:vAlign w:val="center"/>
            <w:hideMark/>
          </w:tcPr>
          <w:p w14:paraId="3A934950" w14:textId="77777777" w:rsidR="003F5418" w:rsidRDefault="002A6C25">
            <w:pPr>
              <w:pStyle w:val="P68B1DB1-Normal4"/>
              <w:spacing w:before="120" w:after="120"/>
              <w:jc w:val="center"/>
              <w:rPr>
                <w:rFonts w:eastAsia="Calibri"/>
                <w:noProof/>
              </w:rPr>
            </w:pPr>
            <w:r>
              <w:rPr>
                <w:noProof/>
              </w:rPr>
              <w:t>NINCS</w:t>
            </w:r>
          </w:p>
        </w:tc>
        <w:tc>
          <w:tcPr>
            <w:tcW w:w="384" w:type="pct"/>
            <w:shd w:val="clear" w:color="auto" w:fill="C6EFCE"/>
            <w:vAlign w:val="center"/>
            <w:hideMark/>
          </w:tcPr>
          <w:p w14:paraId="3F705A1B" w14:textId="77777777" w:rsidR="003F5418" w:rsidRDefault="002A6C25">
            <w:pPr>
              <w:pStyle w:val="P68B1DB1-Normal4"/>
              <w:spacing w:before="120" w:after="120"/>
              <w:jc w:val="center"/>
              <w:rPr>
                <w:rFonts w:eastAsia="Calibri"/>
                <w:noProof/>
              </w:rPr>
            </w:pPr>
            <w:r>
              <w:rPr>
                <w:noProof/>
              </w:rPr>
              <w:t>NINCS</w:t>
            </w:r>
          </w:p>
        </w:tc>
        <w:tc>
          <w:tcPr>
            <w:tcW w:w="275" w:type="pct"/>
            <w:shd w:val="clear" w:color="auto" w:fill="C6EFCE"/>
            <w:vAlign w:val="center"/>
            <w:hideMark/>
          </w:tcPr>
          <w:p w14:paraId="543D81B1" w14:textId="77777777" w:rsidR="003F5418" w:rsidRDefault="002A6C25">
            <w:pPr>
              <w:pStyle w:val="P68B1DB1-Normal4"/>
              <w:spacing w:before="120" w:after="120"/>
              <w:jc w:val="center"/>
              <w:rPr>
                <w:rFonts w:eastAsia="Calibri"/>
                <w:noProof/>
              </w:rPr>
            </w:pPr>
            <w:r>
              <w:rPr>
                <w:noProof/>
              </w:rPr>
              <w:t>Q1</w:t>
            </w:r>
          </w:p>
        </w:tc>
        <w:tc>
          <w:tcPr>
            <w:tcW w:w="200" w:type="pct"/>
            <w:shd w:val="clear" w:color="auto" w:fill="C6EFCE"/>
            <w:vAlign w:val="center"/>
            <w:hideMark/>
          </w:tcPr>
          <w:p w14:paraId="56A552DE" w14:textId="77777777" w:rsidR="003F5418" w:rsidRDefault="002A6C25">
            <w:pPr>
              <w:pStyle w:val="P68B1DB1-Normal4"/>
              <w:spacing w:before="120" w:after="120"/>
              <w:jc w:val="center"/>
              <w:rPr>
                <w:rFonts w:eastAsia="Calibri"/>
                <w:noProof/>
              </w:rPr>
            </w:pPr>
            <w:r>
              <w:rPr>
                <w:noProof/>
              </w:rPr>
              <w:t>2022</w:t>
            </w:r>
          </w:p>
        </w:tc>
        <w:tc>
          <w:tcPr>
            <w:tcW w:w="1081" w:type="pct"/>
            <w:shd w:val="clear" w:color="auto" w:fill="C6EFCE"/>
            <w:vAlign w:val="center"/>
            <w:hideMark/>
          </w:tcPr>
          <w:p w14:paraId="1F68FA3F" w14:textId="688327F7" w:rsidR="003F5418" w:rsidRDefault="002A6C25">
            <w:pPr>
              <w:pStyle w:val="P68B1DB1-Normal4"/>
              <w:spacing w:before="120" w:after="120"/>
              <w:rPr>
                <w:rFonts w:eastAsia="Calibri"/>
                <w:noProof/>
              </w:rPr>
            </w:pPr>
            <w:r>
              <w:rPr>
                <w:noProof/>
              </w:rPr>
              <w:t>Értesítés minden olyan közbeszerzési szerződésről, amelyet legalább 300, több mint 15000 lakosú településnek ítéltek oda városrehabilitációra irányuló beruházásokra a marginaliz</w:t>
            </w:r>
            <w:r>
              <w:rPr>
                <w:noProof/>
              </w:rPr>
              <w:t>álódás és a társadalmi romlás eseteinek csökkentése érdekében, a Helyreállítási és Rezilienciaépítési Eszköz célkitűzéseivel, többek között a DNSH-elvvel összhangban lévő projektek mellett.</w:t>
            </w:r>
          </w:p>
          <w:p w14:paraId="1955166F" w14:textId="778EEA73" w:rsidR="003F5418" w:rsidRDefault="002A6C25">
            <w:pPr>
              <w:pStyle w:val="P68B1DB1-Normal4"/>
              <w:spacing w:before="120" w:after="120"/>
              <w:rPr>
                <w:rFonts w:eastAsia="Calibri"/>
                <w:noProof/>
              </w:rPr>
            </w:pPr>
            <w:r>
              <w:rPr>
                <w:noProof/>
              </w:rPr>
              <w:t>A támogatást több mint 15000 lakosú településeknek ítélik oda, ame</w:t>
            </w:r>
            <w:r>
              <w:rPr>
                <w:noProof/>
              </w:rPr>
              <w:t>lyek nem a tartományi fővárosok, a tartományi fővárosok vagy a nagyvárosi központok.</w:t>
            </w:r>
          </w:p>
          <w:p w14:paraId="704A681A" w14:textId="77777777" w:rsidR="003F5418" w:rsidRDefault="002A6C25">
            <w:pPr>
              <w:pStyle w:val="P68B1DB1-Normal4"/>
              <w:spacing w:before="120" w:after="120"/>
              <w:rPr>
                <w:rFonts w:eastAsia="Calibri"/>
                <w:noProof/>
              </w:rPr>
            </w:pPr>
            <w:r>
              <w:rPr>
                <w:noProof/>
              </w:rPr>
              <w:t>A városi energiatermelési projekteknek a következő beavatkozások legalább egyikét kell magukban foglalniuk:</w:t>
            </w:r>
          </w:p>
          <w:p w14:paraId="7188AE18" w14:textId="77777777" w:rsidR="003F5418" w:rsidRDefault="002A6C25">
            <w:pPr>
              <w:pStyle w:val="P68B1DB1-ListParagraph5"/>
              <w:numPr>
                <w:ilvl w:val="6"/>
                <w:numId w:val="7"/>
              </w:numPr>
              <w:ind w:left="506" w:hanging="237"/>
              <w:jc w:val="left"/>
              <w:rPr>
                <w:rFonts w:eastAsia="Calibri"/>
                <w:noProof/>
              </w:rPr>
            </w:pPr>
            <w:r>
              <w:rPr>
                <w:noProof/>
              </w:rPr>
              <w:t>A közterületek és a meglévő középület-szerkezetek közérdekű cél</w:t>
            </w:r>
            <w:r>
              <w:rPr>
                <w:noProof/>
              </w:rPr>
              <w:t>ú újrafelhasználása és átalakítása, beleértve a magánszemélyek által az építési engedély hiányában vagy az attól való teljes eltérés esetén végzett visszaélésszerű munkák lebontását és az érintett területek kialakítását;</w:t>
            </w:r>
          </w:p>
          <w:p w14:paraId="238BCA47" w14:textId="77777777" w:rsidR="003F5418" w:rsidRDefault="002A6C25">
            <w:pPr>
              <w:pStyle w:val="P68B1DB1-ListParagraph5"/>
              <w:numPr>
                <w:ilvl w:val="6"/>
                <w:numId w:val="7"/>
              </w:numPr>
              <w:ind w:left="506" w:hanging="237"/>
              <w:jc w:val="left"/>
              <w:rPr>
                <w:rFonts w:eastAsia="Calibri"/>
                <w:noProof/>
              </w:rPr>
            </w:pPr>
            <w:r>
              <w:rPr>
                <w:noProof/>
              </w:rPr>
              <w:t>A városi táj, valamint a társadalmi</w:t>
            </w:r>
            <w:r>
              <w:rPr>
                <w:noProof/>
              </w:rPr>
              <w:t xml:space="preserve"> és környezeti szerkezet minőségének javítása, többek között a középületek épületfelújítása révén, különös tekintettel a szociális és kulturális, oktatási és didaktikai szolgáltatások fejlesztésére;</w:t>
            </w:r>
          </w:p>
          <w:p w14:paraId="44DBCD80" w14:textId="77777777" w:rsidR="003F5418" w:rsidRDefault="002A6C25">
            <w:pPr>
              <w:pStyle w:val="P68B1DB1-ListParagraph5"/>
              <w:numPr>
                <w:ilvl w:val="6"/>
                <w:numId w:val="7"/>
              </w:numPr>
              <w:ind w:left="506" w:hanging="237"/>
              <w:jc w:val="left"/>
              <w:rPr>
                <w:rFonts w:eastAsia="Calibri"/>
                <w:noProof/>
              </w:rPr>
            </w:pPr>
            <w:r>
              <w:rPr>
                <w:noProof/>
              </w:rPr>
              <w:t xml:space="preserve">Környezetbarát, fenntartható és intelligens közlekedési </w:t>
            </w:r>
            <w:r>
              <w:rPr>
                <w:noProof/>
              </w:rPr>
              <w:t>projektek.</w:t>
            </w:r>
          </w:p>
          <w:p w14:paraId="3F677AD2" w14:textId="77777777" w:rsidR="003F5418" w:rsidRDefault="002A6C25">
            <w:pPr>
              <w:pStyle w:val="P68B1DB1-Normal4"/>
              <w:spacing w:before="120" w:after="120"/>
              <w:rPr>
                <w:rFonts w:eastAsia="Calibri"/>
                <w:noProof/>
              </w:rPr>
            </w:pPr>
            <w:r>
              <w:rPr>
                <w:noProof/>
              </w:rPr>
              <w:t>A településenkénti maximális összegek a következők:</w:t>
            </w:r>
          </w:p>
          <w:p w14:paraId="7FDFA386" w14:textId="7E2D1958" w:rsidR="003F5418" w:rsidRDefault="002A6C25">
            <w:pPr>
              <w:pStyle w:val="P68B1DB1-Normal4"/>
              <w:spacing w:before="120" w:after="120"/>
              <w:rPr>
                <w:rFonts w:eastAsia="Calibri"/>
                <w:noProof/>
              </w:rPr>
            </w:pPr>
            <w:r>
              <w:rPr>
                <w:noProof/>
              </w:rPr>
              <w:t>5 000 000 EUR a 15000 és 49999 lakos közötti lakosságú települések esetében;</w:t>
            </w:r>
          </w:p>
          <w:p w14:paraId="419158B2" w14:textId="57A76D54" w:rsidR="003F5418" w:rsidRDefault="002A6C25">
            <w:pPr>
              <w:pStyle w:val="P68B1DB1-Normal4"/>
              <w:spacing w:before="120" w:after="120"/>
              <w:rPr>
                <w:rFonts w:eastAsia="Calibri"/>
                <w:noProof/>
              </w:rPr>
            </w:pPr>
            <w:r>
              <w:rPr>
                <w:noProof/>
              </w:rPr>
              <w:t>10 000 000 EUR az 50000 és 100000 fő közötti lakosságú települések esetében;</w:t>
            </w:r>
          </w:p>
          <w:p w14:paraId="000478D0" w14:textId="43AAAEE9" w:rsidR="003F5418" w:rsidRDefault="002A6C25">
            <w:pPr>
              <w:pStyle w:val="P68B1DB1-Normal4"/>
              <w:spacing w:before="120" w:after="120"/>
              <w:rPr>
                <w:rFonts w:eastAsia="Calibri"/>
                <w:noProof/>
              </w:rPr>
            </w:pPr>
            <w:r>
              <w:rPr>
                <w:noProof/>
              </w:rPr>
              <w:t>20 000 000 EUR a 100000 lakosnál nagyob</w:t>
            </w:r>
            <w:r>
              <w:rPr>
                <w:noProof/>
              </w:rPr>
              <w:t>b népességű települések, valamint a tartományi fővárosok vagy nagyvárosi települések esetében.</w:t>
            </w:r>
          </w:p>
        </w:tc>
      </w:tr>
      <w:tr w:rsidR="003F5418" w14:paraId="5F3F1F3F" w14:textId="77777777">
        <w:trPr>
          <w:trHeight w:val="3113"/>
          <w:jc w:val="center"/>
        </w:trPr>
        <w:tc>
          <w:tcPr>
            <w:tcW w:w="384" w:type="pct"/>
            <w:shd w:val="clear" w:color="auto" w:fill="C6EFCE"/>
            <w:vAlign w:val="center"/>
            <w:hideMark/>
          </w:tcPr>
          <w:p w14:paraId="5518AD78" w14:textId="77777777" w:rsidR="003F5418" w:rsidRDefault="002A6C25">
            <w:pPr>
              <w:pStyle w:val="P68B1DB1-Normal4"/>
              <w:jc w:val="center"/>
              <w:rPr>
                <w:noProof/>
              </w:rPr>
            </w:pPr>
            <w:r>
              <w:rPr>
                <w:noProof/>
              </w:rPr>
              <w:t>M5C2–12</w:t>
            </w:r>
          </w:p>
        </w:tc>
        <w:tc>
          <w:tcPr>
            <w:tcW w:w="509" w:type="pct"/>
            <w:shd w:val="clear" w:color="auto" w:fill="C6EFCE"/>
            <w:vAlign w:val="center"/>
            <w:hideMark/>
          </w:tcPr>
          <w:p w14:paraId="2EC3BA93" w14:textId="77777777" w:rsidR="003F5418" w:rsidRDefault="002A6C25">
            <w:pPr>
              <w:pStyle w:val="P68B1DB1-Normal4"/>
              <w:jc w:val="center"/>
              <w:rPr>
                <w:noProof/>
              </w:rPr>
            </w:pPr>
            <w:r>
              <w:rPr>
                <w:noProof/>
              </w:rPr>
              <w:t>Beruházás – A marginalizálódás és a társadalom romlásának csökkentését célzó városrehabilitációs projektekbe történő beruházások</w:t>
            </w:r>
          </w:p>
        </w:tc>
        <w:tc>
          <w:tcPr>
            <w:tcW w:w="361" w:type="pct"/>
            <w:shd w:val="clear" w:color="auto" w:fill="C6EFCE"/>
            <w:vAlign w:val="center"/>
            <w:hideMark/>
          </w:tcPr>
          <w:p w14:paraId="25D9550C" w14:textId="77777777" w:rsidR="003F5418" w:rsidRDefault="002A6C25">
            <w:pPr>
              <w:pStyle w:val="P68B1DB1-Normal4"/>
              <w:jc w:val="center"/>
              <w:rPr>
                <w:noProof/>
              </w:rPr>
            </w:pPr>
            <w:r>
              <w:rPr>
                <w:noProof/>
              </w:rPr>
              <w:t>Cél</w:t>
            </w:r>
          </w:p>
        </w:tc>
        <w:tc>
          <w:tcPr>
            <w:tcW w:w="505" w:type="pct"/>
            <w:shd w:val="clear" w:color="auto" w:fill="C6EFCE"/>
            <w:vAlign w:val="center"/>
            <w:hideMark/>
          </w:tcPr>
          <w:p w14:paraId="1DA07751" w14:textId="77777777" w:rsidR="003F5418" w:rsidRDefault="002A6C25">
            <w:pPr>
              <w:pStyle w:val="P68B1DB1-Normal4"/>
              <w:jc w:val="center"/>
              <w:rPr>
                <w:noProof/>
              </w:rPr>
            </w:pPr>
            <w:r>
              <w:rPr>
                <w:noProof/>
              </w:rPr>
              <w:t xml:space="preserve">Településekre </w:t>
            </w:r>
            <w:r>
              <w:rPr>
                <w:noProof/>
              </w:rPr>
              <w:t>kiterjedő városrehabilitációs beavatkozásokra irányuló projektek</w:t>
            </w:r>
          </w:p>
        </w:tc>
        <w:tc>
          <w:tcPr>
            <w:tcW w:w="505" w:type="pct"/>
            <w:shd w:val="clear" w:color="auto" w:fill="C6EFCE"/>
            <w:vAlign w:val="center"/>
            <w:hideMark/>
          </w:tcPr>
          <w:p w14:paraId="300E1C9E" w14:textId="77777777" w:rsidR="003F5418" w:rsidRDefault="002A6C25">
            <w:pPr>
              <w:pStyle w:val="P68B1DB1-Normal4"/>
              <w:jc w:val="center"/>
              <w:rPr>
                <w:noProof/>
              </w:rPr>
            </w:pPr>
            <w:r>
              <w:rPr>
                <w:noProof/>
              </w:rPr>
              <w:t>NINCS</w:t>
            </w:r>
          </w:p>
        </w:tc>
        <w:tc>
          <w:tcPr>
            <w:tcW w:w="478" w:type="pct"/>
            <w:shd w:val="clear" w:color="auto" w:fill="C6EFCE"/>
            <w:vAlign w:val="center"/>
            <w:hideMark/>
          </w:tcPr>
          <w:p w14:paraId="286CAA19" w14:textId="77777777" w:rsidR="003F5418" w:rsidRDefault="002A6C25">
            <w:pPr>
              <w:pStyle w:val="P68B1DB1-Normal4"/>
              <w:jc w:val="center"/>
              <w:rPr>
                <w:noProof/>
              </w:rPr>
            </w:pPr>
            <w:r>
              <w:rPr>
                <w:noProof/>
              </w:rPr>
              <w:t>Szám</w:t>
            </w:r>
          </w:p>
        </w:tc>
        <w:tc>
          <w:tcPr>
            <w:tcW w:w="318" w:type="pct"/>
            <w:shd w:val="clear" w:color="auto" w:fill="C6EFCE"/>
            <w:vAlign w:val="center"/>
            <w:hideMark/>
          </w:tcPr>
          <w:p w14:paraId="6BC64C9B" w14:textId="77777777" w:rsidR="003F5418" w:rsidRDefault="002A6C25">
            <w:pPr>
              <w:pStyle w:val="P68B1DB1-Normal4"/>
              <w:jc w:val="center"/>
              <w:rPr>
                <w:noProof/>
              </w:rPr>
            </w:pPr>
            <w:r>
              <w:rPr>
                <w:noProof/>
              </w:rPr>
              <w:t>0</w:t>
            </w:r>
          </w:p>
        </w:tc>
        <w:tc>
          <w:tcPr>
            <w:tcW w:w="384" w:type="pct"/>
            <w:shd w:val="clear" w:color="auto" w:fill="C6EFCE"/>
            <w:vAlign w:val="center"/>
            <w:hideMark/>
          </w:tcPr>
          <w:p w14:paraId="3175DA1C" w14:textId="583E95A1" w:rsidR="003F5418" w:rsidRDefault="002A6C25">
            <w:pPr>
              <w:pStyle w:val="P68B1DB1-Normal4"/>
              <w:jc w:val="center"/>
              <w:rPr>
                <w:noProof/>
              </w:rPr>
            </w:pPr>
            <w:r>
              <w:rPr>
                <w:noProof/>
              </w:rPr>
              <w:t>1 080</w:t>
            </w:r>
          </w:p>
        </w:tc>
        <w:tc>
          <w:tcPr>
            <w:tcW w:w="275" w:type="pct"/>
            <w:shd w:val="clear" w:color="auto" w:fill="C6EFCE"/>
            <w:vAlign w:val="center"/>
            <w:hideMark/>
          </w:tcPr>
          <w:p w14:paraId="113D2B22" w14:textId="77777777" w:rsidR="003F5418" w:rsidRDefault="002A6C25">
            <w:pPr>
              <w:pStyle w:val="P68B1DB1-Normal4"/>
              <w:jc w:val="center"/>
              <w:rPr>
                <w:noProof/>
              </w:rPr>
            </w:pPr>
            <w:r>
              <w:rPr>
                <w:noProof/>
              </w:rPr>
              <w:t>Q2</w:t>
            </w:r>
          </w:p>
        </w:tc>
        <w:tc>
          <w:tcPr>
            <w:tcW w:w="200" w:type="pct"/>
            <w:shd w:val="clear" w:color="auto" w:fill="C6EFCE"/>
            <w:vAlign w:val="center"/>
            <w:hideMark/>
          </w:tcPr>
          <w:p w14:paraId="72AC6B59" w14:textId="77777777" w:rsidR="003F5418" w:rsidRDefault="002A6C25">
            <w:pPr>
              <w:pStyle w:val="P68B1DB1-Normal4"/>
              <w:jc w:val="center"/>
              <w:rPr>
                <w:noProof/>
              </w:rPr>
            </w:pPr>
            <w:r>
              <w:rPr>
                <w:noProof/>
              </w:rPr>
              <w:t>2026</w:t>
            </w:r>
          </w:p>
        </w:tc>
        <w:tc>
          <w:tcPr>
            <w:tcW w:w="1081" w:type="pct"/>
            <w:shd w:val="clear" w:color="auto" w:fill="C6EFCE"/>
            <w:vAlign w:val="center"/>
            <w:hideMark/>
          </w:tcPr>
          <w:p w14:paraId="5B9F37C8" w14:textId="1DCF4D4D" w:rsidR="003F5418" w:rsidRDefault="002A6C25">
            <w:pPr>
              <w:pStyle w:val="P68B1DB1-Normal4"/>
              <w:rPr>
                <w:noProof/>
              </w:rPr>
            </w:pPr>
            <w:r>
              <w:rPr>
                <w:noProof/>
              </w:rPr>
              <w:t>Legalább 1080, több mint 15000 lakosú települések által küldött, legalább 1000000 négyzetméternyi befejezett projekt.</w:t>
            </w:r>
          </w:p>
          <w:p w14:paraId="062BD6A4" w14:textId="77777777" w:rsidR="003F5418" w:rsidRDefault="003F5418">
            <w:pPr>
              <w:rPr>
                <w:rFonts w:ascii="Arial Narrow" w:hAnsi="Arial Narrow"/>
                <w:noProof/>
                <w:color w:val="006100"/>
                <w:sz w:val="20"/>
              </w:rPr>
            </w:pPr>
          </w:p>
          <w:p w14:paraId="5AD60308" w14:textId="77777777" w:rsidR="003F5418" w:rsidRDefault="002A6C25">
            <w:pPr>
              <w:pStyle w:val="P68B1DB1-Normal4"/>
              <w:rPr>
                <w:noProof/>
              </w:rPr>
            </w:pPr>
            <w:r>
              <w:rPr>
                <w:noProof/>
              </w:rPr>
              <w:t xml:space="preserve">A beavatkozásokat a városi rehabilitációs </w:t>
            </w:r>
            <w:r>
              <w:rPr>
                <w:noProof/>
              </w:rPr>
              <w:t>beavatkozások vonatkozó mérföldköve határozza meg.</w:t>
            </w:r>
          </w:p>
        </w:tc>
      </w:tr>
      <w:tr w:rsidR="003F5418" w14:paraId="2AAD4D2A" w14:textId="77777777">
        <w:trPr>
          <w:trHeight w:val="4126"/>
          <w:jc w:val="center"/>
        </w:trPr>
        <w:tc>
          <w:tcPr>
            <w:tcW w:w="384" w:type="pct"/>
            <w:shd w:val="clear" w:color="auto" w:fill="C6EFCE"/>
            <w:vAlign w:val="center"/>
            <w:hideMark/>
          </w:tcPr>
          <w:p w14:paraId="139EAFD2" w14:textId="77777777" w:rsidR="003F5418" w:rsidRDefault="002A6C25">
            <w:pPr>
              <w:pStyle w:val="P68B1DB1-Normal4"/>
              <w:jc w:val="center"/>
              <w:rPr>
                <w:noProof/>
              </w:rPr>
            </w:pPr>
            <w:r>
              <w:rPr>
                <w:noProof/>
              </w:rPr>
              <w:t>M5C2–13</w:t>
            </w:r>
          </w:p>
        </w:tc>
        <w:tc>
          <w:tcPr>
            <w:tcW w:w="509" w:type="pct"/>
            <w:shd w:val="clear" w:color="auto" w:fill="C6EFCE"/>
            <w:vAlign w:val="center"/>
            <w:hideMark/>
          </w:tcPr>
          <w:p w14:paraId="49CBCF66" w14:textId="77777777" w:rsidR="003F5418" w:rsidRDefault="002A6C25">
            <w:pPr>
              <w:pStyle w:val="P68B1DB1-Normal4"/>
              <w:jc w:val="center"/>
              <w:rPr>
                <w:noProof/>
              </w:rPr>
            </w:pPr>
            <w:r>
              <w:rPr>
                <w:noProof/>
              </w:rPr>
              <w:t>Beruházás – Városi integrált tervek – általános projektek</w:t>
            </w:r>
          </w:p>
        </w:tc>
        <w:tc>
          <w:tcPr>
            <w:tcW w:w="361" w:type="pct"/>
            <w:shd w:val="clear" w:color="auto" w:fill="C6EFCE"/>
            <w:vAlign w:val="center"/>
            <w:hideMark/>
          </w:tcPr>
          <w:p w14:paraId="2AE05A2B" w14:textId="77777777" w:rsidR="003F5418" w:rsidRDefault="002A6C25">
            <w:pPr>
              <w:pStyle w:val="P68B1DB1-Normal4"/>
              <w:jc w:val="center"/>
              <w:rPr>
                <w:noProof/>
              </w:rPr>
            </w:pPr>
            <w:r>
              <w:rPr>
                <w:noProof/>
              </w:rPr>
              <w:t>Mérföldkő</w:t>
            </w:r>
          </w:p>
        </w:tc>
        <w:tc>
          <w:tcPr>
            <w:tcW w:w="505" w:type="pct"/>
            <w:shd w:val="clear" w:color="auto" w:fill="C6EFCE"/>
            <w:vAlign w:val="center"/>
            <w:hideMark/>
          </w:tcPr>
          <w:p w14:paraId="7BEFDC7D" w14:textId="77777777" w:rsidR="003F5418" w:rsidRDefault="002A6C25">
            <w:pPr>
              <w:pStyle w:val="P68B1DB1-Normal4"/>
              <w:jc w:val="center"/>
              <w:rPr>
                <w:noProof/>
              </w:rPr>
            </w:pPr>
            <w:r>
              <w:rPr>
                <w:noProof/>
              </w:rPr>
              <w:t>A nagyvárosi területek városrehabilitációs projektjeire vonatkozó beruházási terv hatálybalépése</w:t>
            </w:r>
          </w:p>
        </w:tc>
        <w:tc>
          <w:tcPr>
            <w:tcW w:w="505" w:type="pct"/>
            <w:shd w:val="clear" w:color="auto" w:fill="C6EFCE"/>
            <w:vAlign w:val="center"/>
            <w:hideMark/>
          </w:tcPr>
          <w:p w14:paraId="3BEAA271" w14:textId="77777777" w:rsidR="003F5418" w:rsidRDefault="002A6C25">
            <w:pPr>
              <w:pStyle w:val="P68B1DB1-Normal4"/>
              <w:jc w:val="center"/>
              <w:rPr>
                <w:noProof/>
              </w:rPr>
            </w:pPr>
            <w:r>
              <w:rPr>
                <w:noProof/>
              </w:rPr>
              <w:t xml:space="preserve">A nagyvárosi területek </w:t>
            </w:r>
            <w:r>
              <w:rPr>
                <w:noProof/>
              </w:rPr>
              <w:t>városrehabilitációs projektjeire vonatkozó terv hatálybalépését jelző törvény rendelkezése</w:t>
            </w:r>
          </w:p>
        </w:tc>
        <w:tc>
          <w:tcPr>
            <w:tcW w:w="478" w:type="pct"/>
            <w:shd w:val="clear" w:color="auto" w:fill="C6EFCE"/>
            <w:vAlign w:val="center"/>
            <w:hideMark/>
          </w:tcPr>
          <w:p w14:paraId="3366ACC8" w14:textId="77777777" w:rsidR="003F5418" w:rsidRDefault="002A6C25">
            <w:pPr>
              <w:pStyle w:val="P68B1DB1-Normal4"/>
              <w:jc w:val="center"/>
              <w:rPr>
                <w:noProof/>
              </w:rPr>
            </w:pPr>
            <w:r>
              <w:rPr>
                <w:noProof/>
              </w:rPr>
              <w:t>NINCS</w:t>
            </w:r>
          </w:p>
        </w:tc>
        <w:tc>
          <w:tcPr>
            <w:tcW w:w="318" w:type="pct"/>
            <w:shd w:val="clear" w:color="auto" w:fill="C6EFCE"/>
            <w:vAlign w:val="center"/>
            <w:hideMark/>
          </w:tcPr>
          <w:p w14:paraId="04FF456F" w14:textId="77777777" w:rsidR="003F5418" w:rsidRDefault="002A6C25">
            <w:pPr>
              <w:pStyle w:val="P68B1DB1-Normal4"/>
              <w:jc w:val="center"/>
              <w:rPr>
                <w:noProof/>
              </w:rPr>
            </w:pPr>
            <w:r>
              <w:rPr>
                <w:noProof/>
              </w:rPr>
              <w:t>NINCS</w:t>
            </w:r>
          </w:p>
        </w:tc>
        <w:tc>
          <w:tcPr>
            <w:tcW w:w="384" w:type="pct"/>
            <w:shd w:val="clear" w:color="auto" w:fill="C6EFCE"/>
            <w:vAlign w:val="center"/>
            <w:hideMark/>
          </w:tcPr>
          <w:p w14:paraId="50175F75" w14:textId="77777777" w:rsidR="003F5418" w:rsidRDefault="002A6C25">
            <w:pPr>
              <w:pStyle w:val="P68B1DB1-Normal4"/>
              <w:jc w:val="center"/>
              <w:rPr>
                <w:noProof/>
              </w:rPr>
            </w:pPr>
            <w:r>
              <w:rPr>
                <w:noProof/>
              </w:rPr>
              <w:t>NINCS</w:t>
            </w:r>
          </w:p>
        </w:tc>
        <w:tc>
          <w:tcPr>
            <w:tcW w:w="275" w:type="pct"/>
            <w:shd w:val="clear" w:color="auto" w:fill="C6EFCE"/>
            <w:vAlign w:val="center"/>
            <w:hideMark/>
          </w:tcPr>
          <w:p w14:paraId="2BB5E4D2" w14:textId="77777777" w:rsidR="003F5418" w:rsidRDefault="002A6C25">
            <w:pPr>
              <w:pStyle w:val="P68B1DB1-Normal4"/>
              <w:jc w:val="center"/>
              <w:rPr>
                <w:noProof/>
              </w:rPr>
            </w:pPr>
            <w:r>
              <w:rPr>
                <w:noProof/>
              </w:rPr>
              <w:t>Q4</w:t>
            </w:r>
          </w:p>
        </w:tc>
        <w:tc>
          <w:tcPr>
            <w:tcW w:w="200" w:type="pct"/>
            <w:shd w:val="clear" w:color="auto" w:fill="C6EFCE"/>
            <w:vAlign w:val="center"/>
            <w:hideMark/>
          </w:tcPr>
          <w:p w14:paraId="7C18138B" w14:textId="77777777" w:rsidR="003F5418" w:rsidRDefault="002A6C25">
            <w:pPr>
              <w:pStyle w:val="P68B1DB1-Normal4"/>
              <w:jc w:val="center"/>
              <w:rPr>
                <w:noProof/>
              </w:rPr>
            </w:pPr>
            <w:r>
              <w:rPr>
                <w:noProof/>
              </w:rPr>
              <w:t>2022</w:t>
            </w:r>
          </w:p>
        </w:tc>
        <w:tc>
          <w:tcPr>
            <w:tcW w:w="1081" w:type="pct"/>
            <w:shd w:val="clear" w:color="auto" w:fill="C6EFCE"/>
            <w:vAlign w:val="center"/>
          </w:tcPr>
          <w:p w14:paraId="42B2B1BC" w14:textId="77777777" w:rsidR="003F5418" w:rsidRDefault="002A6C25">
            <w:pPr>
              <w:pStyle w:val="P68B1DB1-Normal4"/>
              <w:rPr>
                <w:noProof/>
              </w:rPr>
            </w:pPr>
            <w:r>
              <w:rPr>
                <w:noProof/>
              </w:rPr>
              <w:t>A beruházási terv a Helyreállítási és Rezilienciaépítési Eszköz célkitűzéseivel összhangban kritériumokat állapít meg, beleértve a DNSH-elv</w:t>
            </w:r>
            <w:r>
              <w:rPr>
                <w:noProof/>
              </w:rPr>
              <w:t>et is. A projektek a következő beavatkozástípusokra vonatkoznak:</w:t>
            </w:r>
          </w:p>
          <w:p w14:paraId="5C59450C" w14:textId="77777777" w:rsidR="003F5418" w:rsidRDefault="002A6C25">
            <w:pPr>
              <w:pStyle w:val="P68B1DB1-Normal4"/>
              <w:rPr>
                <w:noProof/>
              </w:rPr>
            </w:pPr>
            <w:r>
              <w:rPr>
                <w:noProof/>
              </w:rPr>
              <w:t>a közterületek újrafelhasználásának és újraműködtetésének karbantartása.</w:t>
            </w:r>
          </w:p>
          <w:p w14:paraId="67BACFB3" w14:textId="77777777" w:rsidR="003F5418" w:rsidRDefault="002A6C25">
            <w:pPr>
              <w:pStyle w:val="P68B1DB1-Normal4"/>
              <w:rPr>
                <w:noProof/>
              </w:rPr>
            </w:pPr>
            <w:r>
              <w:rPr>
                <w:noProof/>
              </w:rPr>
              <w:t>a városi décor, valamint a társadalmi és környezeti szerkezet minőségének javítása.</w:t>
            </w:r>
          </w:p>
          <w:p w14:paraId="04BEE6EA" w14:textId="77777777" w:rsidR="003F5418" w:rsidRDefault="002A6C25">
            <w:pPr>
              <w:pStyle w:val="P68B1DB1-Normal4"/>
              <w:rPr>
                <w:noProof/>
              </w:rPr>
            </w:pPr>
            <w:r>
              <w:rPr>
                <w:noProof/>
              </w:rPr>
              <w:t>a városi területek környezetminősé</w:t>
            </w:r>
            <w:r>
              <w:rPr>
                <w:noProof/>
              </w:rPr>
              <w:t>gének és digitális profiljának javítása.</w:t>
            </w:r>
          </w:p>
        </w:tc>
      </w:tr>
      <w:tr w:rsidR="003F5418" w14:paraId="5E9D0AE7" w14:textId="77777777">
        <w:trPr>
          <w:trHeight w:val="20"/>
          <w:jc w:val="center"/>
        </w:trPr>
        <w:tc>
          <w:tcPr>
            <w:tcW w:w="384" w:type="pct"/>
            <w:shd w:val="clear" w:color="auto" w:fill="C6EFCE"/>
            <w:vAlign w:val="center"/>
          </w:tcPr>
          <w:p w14:paraId="557619E6" w14:textId="77777777" w:rsidR="003F5418" w:rsidRDefault="002A6C25">
            <w:pPr>
              <w:pStyle w:val="P68B1DB1-Normal4"/>
              <w:jc w:val="center"/>
              <w:rPr>
                <w:noProof/>
              </w:rPr>
            </w:pPr>
            <w:r>
              <w:rPr>
                <w:noProof/>
              </w:rPr>
              <w:t>M5C2–14</w:t>
            </w:r>
          </w:p>
        </w:tc>
        <w:tc>
          <w:tcPr>
            <w:tcW w:w="509" w:type="pct"/>
            <w:shd w:val="clear" w:color="auto" w:fill="C6EFCE"/>
            <w:vAlign w:val="center"/>
          </w:tcPr>
          <w:p w14:paraId="2ECC7DFF" w14:textId="77777777" w:rsidR="003F5418" w:rsidRDefault="002A6C25">
            <w:pPr>
              <w:pStyle w:val="P68B1DB1-Normal4"/>
              <w:jc w:val="center"/>
              <w:rPr>
                <w:noProof/>
              </w:rPr>
            </w:pPr>
            <w:r>
              <w:rPr>
                <w:noProof/>
              </w:rPr>
              <w:t>Beruházás – Városi integrált tervek – általános projektek</w:t>
            </w:r>
          </w:p>
        </w:tc>
        <w:tc>
          <w:tcPr>
            <w:tcW w:w="361" w:type="pct"/>
            <w:shd w:val="clear" w:color="auto" w:fill="C6EFCE"/>
            <w:vAlign w:val="center"/>
          </w:tcPr>
          <w:p w14:paraId="760A799F" w14:textId="77777777" w:rsidR="003F5418" w:rsidRDefault="002A6C25">
            <w:pPr>
              <w:pStyle w:val="P68B1DB1-Normal4"/>
              <w:jc w:val="center"/>
              <w:rPr>
                <w:noProof/>
              </w:rPr>
            </w:pPr>
            <w:r>
              <w:rPr>
                <w:noProof/>
              </w:rPr>
              <w:t>Cél</w:t>
            </w:r>
          </w:p>
        </w:tc>
        <w:tc>
          <w:tcPr>
            <w:tcW w:w="505" w:type="pct"/>
            <w:shd w:val="clear" w:color="auto" w:fill="C6EFCE"/>
            <w:vAlign w:val="center"/>
          </w:tcPr>
          <w:p w14:paraId="0AE8CEBD" w14:textId="77777777" w:rsidR="003F5418" w:rsidRDefault="002A6C25">
            <w:pPr>
              <w:pStyle w:val="P68B1DB1-Normal4"/>
              <w:jc w:val="center"/>
              <w:rPr>
                <w:noProof/>
              </w:rPr>
            </w:pPr>
            <w:r>
              <w:rPr>
                <w:noProof/>
              </w:rPr>
              <w:t>Integrált tervezési projektek befejezése nagyvárosokban</w:t>
            </w:r>
          </w:p>
        </w:tc>
        <w:tc>
          <w:tcPr>
            <w:tcW w:w="505" w:type="pct"/>
            <w:shd w:val="clear" w:color="auto" w:fill="C6EFCE"/>
            <w:vAlign w:val="center"/>
          </w:tcPr>
          <w:p w14:paraId="204FD372" w14:textId="77777777" w:rsidR="003F5418" w:rsidRDefault="002A6C25">
            <w:pPr>
              <w:pStyle w:val="P68B1DB1-Normal4"/>
              <w:jc w:val="center"/>
              <w:rPr>
                <w:noProof/>
              </w:rPr>
            </w:pPr>
            <w:r>
              <w:rPr>
                <w:noProof/>
              </w:rPr>
              <w:t>NINCS</w:t>
            </w:r>
          </w:p>
        </w:tc>
        <w:tc>
          <w:tcPr>
            <w:tcW w:w="478" w:type="pct"/>
            <w:shd w:val="clear" w:color="auto" w:fill="C6EFCE"/>
            <w:vAlign w:val="center"/>
          </w:tcPr>
          <w:p w14:paraId="316F8B64" w14:textId="77777777" w:rsidR="003F5418" w:rsidRDefault="002A6C25">
            <w:pPr>
              <w:pStyle w:val="P68B1DB1-Normal4"/>
              <w:jc w:val="center"/>
              <w:rPr>
                <w:noProof/>
              </w:rPr>
            </w:pPr>
            <w:r>
              <w:rPr>
                <w:noProof/>
              </w:rPr>
              <w:t xml:space="preserve">Szám </w:t>
            </w:r>
          </w:p>
        </w:tc>
        <w:tc>
          <w:tcPr>
            <w:tcW w:w="318" w:type="pct"/>
            <w:shd w:val="clear" w:color="auto" w:fill="C6EFCE"/>
            <w:vAlign w:val="center"/>
          </w:tcPr>
          <w:p w14:paraId="1F43400A" w14:textId="77777777" w:rsidR="003F5418" w:rsidRDefault="002A6C25">
            <w:pPr>
              <w:pStyle w:val="P68B1DB1-Normal4"/>
              <w:jc w:val="center"/>
              <w:rPr>
                <w:noProof/>
              </w:rPr>
            </w:pPr>
            <w:r>
              <w:rPr>
                <w:noProof/>
              </w:rPr>
              <w:t>0</w:t>
            </w:r>
          </w:p>
        </w:tc>
        <w:tc>
          <w:tcPr>
            <w:tcW w:w="384" w:type="pct"/>
            <w:shd w:val="clear" w:color="auto" w:fill="C6EFCE"/>
            <w:vAlign w:val="center"/>
          </w:tcPr>
          <w:p w14:paraId="71FC88C3" w14:textId="77777777" w:rsidR="003F5418" w:rsidRDefault="002A6C25">
            <w:pPr>
              <w:pStyle w:val="P68B1DB1-Normal4"/>
              <w:jc w:val="center"/>
              <w:rPr>
                <w:noProof/>
              </w:rPr>
            </w:pPr>
            <w:r>
              <w:rPr>
                <w:noProof/>
              </w:rPr>
              <w:t>300</w:t>
            </w:r>
          </w:p>
        </w:tc>
        <w:tc>
          <w:tcPr>
            <w:tcW w:w="275" w:type="pct"/>
            <w:shd w:val="clear" w:color="auto" w:fill="C6EFCE"/>
            <w:vAlign w:val="center"/>
          </w:tcPr>
          <w:p w14:paraId="00178579" w14:textId="77777777" w:rsidR="003F5418" w:rsidRDefault="002A6C25">
            <w:pPr>
              <w:pStyle w:val="P68B1DB1-Normal4"/>
              <w:jc w:val="center"/>
              <w:rPr>
                <w:noProof/>
              </w:rPr>
            </w:pPr>
            <w:r>
              <w:rPr>
                <w:noProof/>
              </w:rPr>
              <w:t>Q2</w:t>
            </w:r>
          </w:p>
        </w:tc>
        <w:tc>
          <w:tcPr>
            <w:tcW w:w="200" w:type="pct"/>
            <w:shd w:val="clear" w:color="auto" w:fill="C6EFCE"/>
            <w:vAlign w:val="center"/>
          </w:tcPr>
          <w:p w14:paraId="21682456" w14:textId="77777777" w:rsidR="003F5418" w:rsidRDefault="002A6C25">
            <w:pPr>
              <w:pStyle w:val="P68B1DB1-Normal4"/>
              <w:jc w:val="center"/>
              <w:rPr>
                <w:noProof/>
              </w:rPr>
            </w:pPr>
            <w:r>
              <w:rPr>
                <w:noProof/>
              </w:rPr>
              <w:t>2026</w:t>
            </w:r>
          </w:p>
        </w:tc>
        <w:tc>
          <w:tcPr>
            <w:tcW w:w="1081" w:type="pct"/>
            <w:shd w:val="clear" w:color="auto" w:fill="C6EFCE"/>
            <w:vAlign w:val="center"/>
          </w:tcPr>
          <w:p w14:paraId="3346C59F" w14:textId="77777777" w:rsidR="003F5418" w:rsidRDefault="002A6C25">
            <w:pPr>
              <w:pStyle w:val="P68B1DB1-Normal4"/>
              <w:rPr>
                <w:noProof/>
              </w:rPr>
            </w:pPr>
            <w:r>
              <w:rPr>
                <w:noProof/>
              </w:rPr>
              <w:t xml:space="preserve">Legalább 300 integrált tervezési projekt valósult meg mind a </w:t>
            </w:r>
            <w:r>
              <w:rPr>
                <w:noProof/>
              </w:rPr>
              <w:t>14 nagyvárosban, az alábbi három dimenzió közül legalább az egyikben:</w:t>
            </w:r>
          </w:p>
          <w:p w14:paraId="3D1825BA" w14:textId="77777777" w:rsidR="003F5418" w:rsidRDefault="002A6C25">
            <w:pPr>
              <w:pStyle w:val="P68B1DB1-Normal4"/>
              <w:rPr>
                <w:noProof/>
              </w:rPr>
            </w:pPr>
            <w:r>
              <w:rPr>
                <w:noProof/>
              </w:rPr>
              <w:t xml:space="preserve"> </w:t>
            </w:r>
          </w:p>
          <w:p w14:paraId="626C168D" w14:textId="77777777" w:rsidR="003F5418" w:rsidRDefault="002A6C25">
            <w:pPr>
              <w:pStyle w:val="P68B1DB1-Normal4"/>
              <w:rPr>
                <w:noProof/>
              </w:rPr>
            </w:pPr>
            <w:r>
              <w:rPr>
                <w:noProof/>
              </w:rPr>
              <w:t>– A közterületek és a meglévő középület-szerkezetek újrafelhasználására és újraműködtetésére szolgáló karbantartás;</w:t>
            </w:r>
          </w:p>
          <w:p w14:paraId="67AA1216" w14:textId="77777777" w:rsidR="003F5418" w:rsidRDefault="002A6C25">
            <w:pPr>
              <w:pStyle w:val="P68B1DB1-Normal4"/>
              <w:rPr>
                <w:noProof/>
              </w:rPr>
            </w:pPr>
            <w:r>
              <w:rPr>
                <w:noProof/>
              </w:rPr>
              <w:t xml:space="preserve"> </w:t>
            </w:r>
          </w:p>
          <w:p w14:paraId="0284C14B" w14:textId="77777777" w:rsidR="003F5418" w:rsidRDefault="002A6C25">
            <w:pPr>
              <w:pStyle w:val="P68B1DB1-Normal4"/>
              <w:rPr>
                <w:noProof/>
              </w:rPr>
            </w:pPr>
            <w:r>
              <w:rPr>
                <w:noProof/>
              </w:rPr>
              <w:t>A városi décor, valamint a társadalmi és környezeti szerkezet minő</w:t>
            </w:r>
            <w:r>
              <w:rPr>
                <w:noProof/>
              </w:rPr>
              <w:t>ségének javítása, többek között középületek felújítása révén;</w:t>
            </w:r>
          </w:p>
          <w:p w14:paraId="39F811EB" w14:textId="77777777" w:rsidR="003F5418" w:rsidRDefault="002A6C25">
            <w:pPr>
              <w:pStyle w:val="P68B1DB1-Normal4"/>
              <w:rPr>
                <w:noProof/>
              </w:rPr>
            </w:pPr>
            <w:r>
              <w:rPr>
                <w:noProof/>
              </w:rPr>
              <w:t xml:space="preserve"> </w:t>
            </w:r>
          </w:p>
          <w:p w14:paraId="7CD43CA3" w14:textId="77777777" w:rsidR="003F5418" w:rsidRDefault="002A6C25">
            <w:pPr>
              <w:pStyle w:val="P68B1DB1-Normal4"/>
              <w:rPr>
                <w:noProof/>
              </w:rPr>
            </w:pPr>
            <w:r>
              <w:rPr>
                <w:noProof/>
              </w:rPr>
              <w:t>– A városi területek környezetminőségének és digitális profiljának javítása a digitális technológiák és az alacsonyabb szén-</w:t>
            </w:r>
            <w:r>
              <w:rPr>
                <w:noProof/>
                <w:vertAlign w:val="superscript"/>
              </w:rPr>
              <w:t>dioxid</w:t>
            </w:r>
            <w:r>
              <w:rPr>
                <w:noProof/>
              </w:rPr>
              <w:t xml:space="preserve"> -kibocsátású technológiák támogatása mellett.</w:t>
            </w:r>
          </w:p>
          <w:p w14:paraId="75272901" w14:textId="77777777" w:rsidR="003F5418" w:rsidRDefault="002A6C25">
            <w:pPr>
              <w:pStyle w:val="P68B1DB1-Normal4"/>
              <w:rPr>
                <w:noProof/>
              </w:rPr>
            </w:pPr>
            <w:r>
              <w:rPr>
                <w:noProof/>
              </w:rPr>
              <w:t xml:space="preserve"> </w:t>
            </w:r>
          </w:p>
          <w:p w14:paraId="7A5D0BDD" w14:textId="640CFE5D" w:rsidR="003F5418" w:rsidRDefault="002A6C25">
            <w:pPr>
              <w:pStyle w:val="P68B1DB1-Normal4"/>
              <w:rPr>
                <w:noProof/>
              </w:rPr>
            </w:pPr>
            <w:r>
              <w:rPr>
                <w:noProof/>
              </w:rPr>
              <w:t>A cél kielégí</w:t>
            </w:r>
            <w:r>
              <w:rPr>
                <w:noProof/>
              </w:rPr>
              <w:t>tő teljesítése a másodlagos cél kielégítő teljesítésétől is függ: integrált tervezési intézkedések végrehajtása legalább 3000000 négyzetméternyi területen mind a 14 nagyvárosban.</w:t>
            </w:r>
          </w:p>
        </w:tc>
      </w:tr>
      <w:tr w:rsidR="003F5418" w14:paraId="3FA1CC67" w14:textId="77777777">
        <w:trPr>
          <w:trHeight w:val="20"/>
          <w:jc w:val="center"/>
        </w:trPr>
        <w:tc>
          <w:tcPr>
            <w:tcW w:w="384" w:type="pct"/>
            <w:shd w:val="clear" w:color="auto" w:fill="C6EFCE"/>
            <w:vAlign w:val="center"/>
            <w:hideMark/>
          </w:tcPr>
          <w:p w14:paraId="49B8363B" w14:textId="77777777" w:rsidR="003F5418" w:rsidRDefault="002A6C25">
            <w:pPr>
              <w:pStyle w:val="P68B1DB1-Normal4"/>
              <w:jc w:val="center"/>
              <w:rPr>
                <w:noProof/>
              </w:rPr>
            </w:pPr>
            <w:r>
              <w:rPr>
                <w:noProof/>
              </w:rPr>
              <w:t>M5C2–15</w:t>
            </w:r>
          </w:p>
        </w:tc>
        <w:tc>
          <w:tcPr>
            <w:tcW w:w="509" w:type="pct"/>
            <w:shd w:val="clear" w:color="auto" w:fill="C6EFCE"/>
            <w:vAlign w:val="center"/>
            <w:hideMark/>
          </w:tcPr>
          <w:p w14:paraId="3B054801" w14:textId="77777777" w:rsidR="003F5418" w:rsidRDefault="002A6C25">
            <w:pPr>
              <w:pStyle w:val="P68B1DB1-Normal4"/>
              <w:jc w:val="center"/>
              <w:rPr>
                <w:noProof/>
              </w:rPr>
            </w:pPr>
            <w:r>
              <w:rPr>
                <w:noProof/>
              </w:rPr>
              <w:t xml:space="preserve">Beruházás – Városi integrált tervek – Az illegális telepek </w:t>
            </w:r>
            <w:r>
              <w:rPr>
                <w:noProof/>
              </w:rPr>
              <w:t>felszámolása a mezőgazdasági munkaerő-kizsákmányolás elleni küzdelem érdekében</w:t>
            </w:r>
          </w:p>
        </w:tc>
        <w:tc>
          <w:tcPr>
            <w:tcW w:w="361" w:type="pct"/>
            <w:shd w:val="clear" w:color="auto" w:fill="C6EFCE"/>
            <w:vAlign w:val="center"/>
            <w:hideMark/>
          </w:tcPr>
          <w:p w14:paraId="54A82EA5" w14:textId="77777777" w:rsidR="003F5418" w:rsidRDefault="002A6C25">
            <w:pPr>
              <w:pStyle w:val="P68B1DB1-Normal4"/>
              <w:jc w:val="center"/>
              <w:rPr>
                <w:noProof/>
              </w:rPr>
            </w:pPr>
            <w:r>
              <w:rPr>
                <w:noProof/>
              </w:rPr>
              <w:t>Mérföldkő</w:t>
            </w:r>
          </w:p>
        </w:tc>
        <w:tc>
          <w:tcPr>
            <w:tcW w:w="505" w:type="pct"/>
            <w:shd w:val="clear" w:color="auto" w:fill="C6EFCE"/>
            <w:vAlign w:val="center"/>
            <w:hideMark/>
          </w:tcPr>
          <w:p w14:paraId="53125971" w14:textId="77777777" w:rsidR="003F5418" w:rsidRDefault="002A6C25">
            <w:pPr>
              <w:pStyle w:val="P68B1DB1-Normal4"/>
              <w:jc w:val="center"/>
              <w:rPr>
                <w:noProof/>
              </w:rPr>
            </w:pPr>
            <w:r>
              <w:rPr>
                <w:noProof/>
              </w:rPr>
              <w:t>Az illegális települések feltérképezéséről szóló miniszteri rendelet hatálybalépését a „Tavolo diverseo allo sfruttamento lavorativo in agricoltura” fogadja el, a forr</w:t>
            </w:r>
            <w:r>
              <w:rPr>
                <w:noProof/>
              </w:rPr>
              <w:t>ások elosztásáról szóló miniszteri rendeletet pedig elfogadják.</w:t>
            </w:r>
          </w:p>
        </w:tc>
        <w:tc>
          <w:tcPr>
            <w:tcW w:w="505" w:type="pct"/>
            <w:shd w:val="clear" w:color="auto" w:fill="C6EFCE"/>
            <w:vAlign w:val="center"/>
            <w:hideMark/>
          </w:tcPr>
          <w:p w14:paraId="01FE144E" w14:textId="77777777" w:rsidR="003F5418" w:rsidRDefault="002A6C25">
            <w:pPr>
              <w:pStyle w:val="P68B1DB1-Normal4"/>
              <w:jc w:val="center"/>
              <w:rPr>
                <w:noProof/>
              </w:rPr>
            </w:pPr>
            <w:r>
              <w:rPr>
                <w:noProof/>
              </w:rPr>
              <w:t>A miniszteri rendelet hatálybalépését feltüntető törvényi rendelkezés</w:t>
            </w:r>
          </w:p>
        </w:tc>
        <w:tc>
          <w:tcPr>
            <w:tcW w:w="478" w:type="pct"/>
            <w:shd w:val="clear" w:color="auto" w:fill="C6EFCE"/>
            <w:vAlign w:val="center"/>
            <w:hideMark/>
          </w:tcPr>
          <w:p w14:paraId="0B5D960F" w14:textId="77777777" w:rsidR="003F5418" w:rsidRDefault="002A6C25">
            <w:pPr>
              <w:pStyle w:val="P68B1DB1-Normal4"/>
              <w:jc w:val="center"/>
              <w:rPr>
                <w:noProof/>
              </w:rPr>
            </w:pPr>
            <w:r>
              <w:rPr>
                <w:noProof/>
              </w:rPr>
              <w:t>NINCS</w:t>
            </w:r>
          </w:p>
        </w:tc>
        <w:tc>
          <w:tcPr>
            <w:tcW w:w="318" w:type="pct"/>
            <w:shd w:val="clear" w:color="auto" w:fill="C6EFCE"/>
            <w:vAlign w:val="center"/>
            <w:hideMark/>
          </w:tcPr>
          <w:p w14:paraId="205266E4" w14:textId="77777777" w:rsidR="003F5418" w:rsidRDefault="002A6C25">
            <w:pPr>
              <w:pStyle w:val="P68B1DB1-Normal4"/>
              <w:jc w:val="center"/>
              <w:rPr>
                <w:noProof/>
              </w:rPr>
            </w:pPr>
            <w:r>
              <w:rPr>
                <w:noProof/>
              </w:rPr>
              <w:t>NINCS</w:t>
            </w:r>
          </w:p>
        </w:tc>
        <w:tc>
          <w:tcPr>
            <w:tcW w:w="384" w:type="pct"/>
            <w:shd w:val="clear" w:color="auto" w:fill="C6EFCE"/>
            <w:vAlign w:val="center"/>
            <w:hideMark/>
          </w:tcPr>
          <w:p w14:paraId="1441EE19" w14:textId="77777777" w:rsidR="003F5418" w:rsidRDefault="002A6C25">
            <w:pPr>
              <w:pStyle w:val="P68B1DB1-Normal4"/>
              <w:jc w:val="center"/>
              <w:rPr>
                <w:noProof/>
              </w:rPr>
            </w:pPr>
            <w:r>
              <w:rPr>
                <w:noProof/>
              </w:rPr>
              <w:t>NINCS</w:t>
            </w:r>
          </w:p>
        </w:tc>
        <w:tc>
          <w:tcPr>
            <w:tcW w:w="275" w:type="pct"/>
            <w:shd w:val="clear" w:color="auto" w:fill="C6EFCE"/>
            <w:vAlign w:val="center"/>
            <w:hideMark/>
          </w:tcPr>
          <w:p w14:paraId="4057DEEE" w14:textId="77777777" w:rsidR="003F5418" w:rsidRDefault="002A6C25">
            <w:pPr>
              <w:pStyle w:val="P68B1DB1-Normal4"/>
              <w:jc w:val="center"/>
              <w:rPr>
                <w:noProof/>
              </w:rPr>
            </w:pPr>
            <w:r>
              <w:rPr>
                <w:noProof/>
              </w:rPr>
              <w:t>Q1</w:t>
            </w:r>
          </w:p>
        </w:tc>
        <w:tc>
          <w:tcPr>
            <w:tcW w:w="200" w:type="pct"/>
            <w:shd w:val="clear" w:color="auto" w:fill="C6EFCE"/>
            <w:vAlign w:val="center"/>
            <w:hideMark/>
          </w:tcPr>
          <w:p w14:paraId="0610283E" w14:textId="77777777" w:rsidR="003F5418" w:rsidRDefault="002A6C25">
            <w:pPr>
              <w:pStyle w:val="P68B1DB1-Normal4"/>
              <w:jc w:val="center"/>
              <w:rPr>
                <w:noProof/>
              </w:rPr>
            </w:pPr>
            <w:r>
              <w:rPr>
                <w:noProof/>
              </w:rPr>
              <w:t>2022</w:t>
            </w:r>
          </w:p>
        </w:tc>
        <w:tc>
          <w:tcPr>
            <w:tcW w:w="1081" w:type="pct"/>
            <w:shd w:val="clear" w:color="auto" w:fill="C6EFCE"/>
            <w:vAlign w:val="center"/>
            <w:hideMark/>
          </w:tcPr>
          <w:p w14:paraId="34E4912A" w14:textId="77777777" w:rsidR="003F5418" w:rsidRDefault="002A6C25">
            <w:pPr>
              <w:pStyle w:val="P68B1DB1-Normal4"/>
              <w:rPr>
                <w:noProof/>
              </w:rPr>
            </w:pPr>
            <w:r>
              <w:rPr>
                <w:noProof/>
              </w:rPr>
              <w:t xml:space="preserve">A miniszteri rendelet a „Tavolo diverseo allo sfruttamento lavorativo in agricoltura” által </w:t>
            </w:r>
            <w:r>
              <w:rPr>
                <w:noProof/>
              </w:rPr>
              <w:t>megvalósított illegális telepek feltérképezése alapján osztja el a forrásokat. Meg kell határozni az ideiglenes és hosszú távú lakhatási megoldások szabványát.</w:t>
            </w:r>
          </w:p>
        </w:tc>
      </w:tr>
      <w:tr w:rsidR="003F5418" w14:paraId="3C2558F1" w14:textId="77777777">
        <w:trPr>
          <w:trHeight w:val="3046"/>
          <w:jc w:val="center"/>
        </w:trPr>
        <w:tc>
          <w:tcPr>
            <w:tcW w:w="384" w:type="pct"/>
            <w:shd w:val="clear" w:color="auto" w:fill="C6EFCE"/>
            <w:vAlign w:val="center"/>
            <w:hideMark/>
          </w:tcPr>
          <w:p w14:paraId="3D2B6495" w14:textId="77777777" w:rsidR="003F5418" w:rsidRDefault="002A6C25">
            <w:pPr>
              <w:pStyle w:val="P68B1DB1-Normal4"/>
              <w:jc w:val="center"/>
              <w:rPr>
                <w:noProof/>
              </w:rPr>
            </w:pPr>
            <w:r>
              <w:rPr>
                <w:noProof/>
              </w:rPr>
              <w:t>M5C2–16</w:t>
            </w:r>
          </w:p>
        </w:tc>
        <w:tc>
          <w:tcPr>
            <w:tcW w:w="509" w:type="pct"/>
            <w:shd w:val="clear" w:color="auto" w:fill="C6EFCE"/>
            <w:vAlign w:val="center"/>
            <w:hideMark/>
          </w:tcPr>
          <w:p w14:paraId="44BE87D0" w14:textId="77777777" w:rsidR="003F5418" w:rsidRDefault="002A6C25">
            <w:pPr>
              <w:pStyle w:val="P68B1DB1-Normal4"/>
              <w:jc w:val="center"/>
              <w:rPr>
                <w:noProof/>
              </w:rPr>
            </w:pPr>
            <w:r>
              <w:rPr>
                <w:noProof/>
              </w:rPr>
              <w:t>Beruházás – Városi integrált tervek – Az illegális telepek felszámolása a mezőgazdasági</w:t>
            </w:r>
            <w:r>
              <w:rPr>
                <w:noProof/>
              </w:rPr>
              <w:t xml:space="preserve"> munkaerő-kizsákmányolás elleni küzdelem érdekében</w:t>
            </w:r>
          </w:p>
        </w:tc>
        <w:tc>
          <w:tcPr>
            <w:tcW w:w="361" w:type="pct"/>
            <w:shd w:val="clear" w:color="auto" w:fill="C6EFCE"/>
            <w:vAlign w:val="center"/>
            <w:hideMark/>
          </w:tcPr>
          <w:p w14:paraId="5C6D0EAD" w14:textId="77777777" w:rsidR="003F5418" w:rsidRDefault="002A6C25">
            <w:pPr>
              <w:pStyle w:val="P68B1DB1-Normal4"/>
              <w:jc w:val="center"/>
              <w:rPr>
                <w:noProof/>
              </w:rPr>
            </w:pPr>
            <w:r>
              <w:rPr>
                <w:noProof/>
              </w:rPr>
              <w:t>Cél</w:t>
            </w:r>
          </w:p>
        </w:tc>
        <w:tc>
          <w:tcPr>
            <w:tcW w:w="505" w:type="pct"/>
            <w:shd w:val="clear" w:color="auto" w:fill="C6EFCE"/>
            <w:vAlign w:val="center"/>
            <w:hideMark/>
          </w:tcPr>
          <w:p w14:paraId="5ED8F410" w14:textId="77777777" w:rsidR="003F5418" w:rsidRDefault="002A6C25">
            <w:pPr>
              <w:pStyle w:val="P68B1DB1-Normal4"/>
              <w:jc w:val="center"/>
              <w:rPr>
                <w:noProof/>
              </w:rPr>
            </w:pPr>
            <w:r>
              <w:rPr>
                <w:noProof/>
              </w:rPr>
              <w:t>A projekttevékenységek a helyi tervekben illegális telepként azonosított területeken fejeződnek be</w:t>
            </w:r>
          </w:p>
        </w:tc>
        <w:tc>
          <w:tcPr>
            <w:tcW w:w="505" w:type="pct"/>
            <w:shd w:val="clear" w:color="auto" w:fill="C6EFCE"/>
            <w:vAlign w:val="center"/>
            <w:hideMark/>
          </w:tcPr>
          <w:p w14:paraId="4417F542" w14:textId="77777777" w:rsidR="003F5418" w:rsidRDefault="002A6C25">
            <w:pPr>
              <w:pStyle w:val="P68B1DB1-Normal4"/>
              <w:jc w:val="center"/>
              <w:rPr>
                <w:noProof/>
              </w:rPr>
            </w:pPr>
            <w:r>
              <w:rPr>
                <w:noProof/>
              </w:rPr>
              <w:t>NINCS</w:t>
            </w:r>
          </w:p>
        </w:tc>
        <w:tc>
          <w:tcPr>
            <w:tcW w:w="478" w:type="pct"/>
            <w:shd w:val="clear" w:color="auto" w:fill="C6EFCE"/>
            <w:vAlign w:val="center"/>
            <w:hideMark/>
          </w:tcPr>
          <w:p w14:paraId="6628D0F2" w14:textId="77777777" w:rsidR="003F5418" w:rsidRDefault="002A6C25">
            <w:pPr>
              <w:pStyle w:val="P68B1DB1-Normal4"/>
              <w:jc w:val="center"/>
              <w:rPr>
                <w:noProof/>
              </w:rPr>
            </w:pPr>
            <w:r>
              <w:rPr>
                <w:noProof/>
              </w:rPr>
              <w:t>Százalék</w:t>
            </w:r>
          </w:p>
        </w:tc>
        <w:tc>
          <w:tcPr>
            <w:tcW w:w="318" w:type="pct"/>
            <w:shd w:val="clear" w:color="auto" w:fill="C6EFCE"/>
            <w:vAlign w:val="center"/>
            <w:hideMark/>
          </w:tcPr>
          <w:p w14:paraId="46E4CA4D" w14:textId="77777777" w:rsidR="003F5418" w:rsidRDefault="002A6C25">
            <w:pPr>
              <w:pStyle w:val="P68B1DB1-Normal4"/>
              <w:jc w:val="center"/>
              <w:rPr>
                <w:noProof/>
              </w:rPr>
            </w:pPr>
            <w:r>
              <w:rPr>
                <w:noProof/>
              </w:rPr>
              <w:t>0</w:t>
            </w:r>
          </w:p>
        </w:tc>
        <w:tc>
          <w:tcPr>
            <w:tcW w:w="384" w:type="pct"/>
            <w:shd w:val="clear" w:color="auto" w:fill="C6EFCE"/>
            <w:vAlign w:val="center"/>
            <w:hideMark/>
          </w:tcPr>
          <w:p w14:paraId="5231C583" w14:textId="77777777" w:rsidR="003F5418" w:rsidRDefault="002A6C25">
            <w:pPr>
              <w:pStyle w:val="P68B1DB1-Normal4"/>
              <w:jc w:val="center"/>
              <w:rPr>
                <w:noProof/>
              </w:rPr>
            </w:pPr>
            <w:r>
              <w:rPr>
                <w:noProof/>
              </w:rPr>
              <w:t>90</w:t>
            </w:r>
          </w:p>
        </w:tc>
        <w:tc>
          <w:tcPr>
            <w:tcW w:w="275" w:type="pct"/>
            <w:shd w:val="clear" w:color="auto" w:fill="C6EFCE"/>
            <w:vAlign w:val="center"/>
            <w:hideMark/>
          </w:tcPr>
          <w:p w14:paraId="5A730EC0" w14:textId="77777777" w:rsidR="003F5418" w:rsidRDefault="002A6C25">
            <w:pPr>
              <w:pStyle w:val="P68B1DB1-Normal4"/>
              <w:jc w:val="center"/>
              <w:rPr>
                <w:noProof/>
              </w:rPr>
            </w:pPr>
            <w:r>
              <w:rPr>
                <w:noProof/>
              </w:rPr>
              <w:t>Q1</w:t>
            </w:r>
          </w:p>
        </w:tc>
        <w:tc>
          <w:tcPr>
            <w:tcW w:w="200" w:type="pct"/>
            <w:shd w:val="clear" w:color="auto" w:fill="C6EFCE"/>
            <w:vAlign w:val="center"/>
            <w:hideMark/>
          </w:tcPr>
          <w:p w14:paraId="0B09C5A1" w14:textId="77777777" w:rsidR="003F5418" w:rsidRDefault="002A6C25">
            <w:pPr>
              <w:pStyle w:val="P68B1DB1-Normal4"/>
              <w:jc w:val="center"/>
              <w:rPr>
                <w:noProof/>
              </w:rPr>
            </w:pPr>
            <w:r>
              <w:rPr>
                <w:noProof/>
              </w:rPr>
              <w:t>2025</w:t>
            </w:r>
          </w:p>
        </w:tc>
        <w:tc>
          <w:tcPr>
            <w:tcW w:w="1081" w:type="pct"/>
            <w:shd w:val="clear" w:color="auto" w:fill="C6EFCE"/>
            <w:vAlign w:val="center"/>
            <w:hideMark/>
          </w:tcPr>
          <w:p w14:paraId="10EF57DB" w14:textId="77777777" w:rsidR="003F5418" w:rsidRDefault="002A6C25">
            <w:pPr>
              <w:pStyle w:val="P68B1DB1-Normal4"/>
              <w:rPr>
                <w:rFonts w:eastAsia="Calibri"/>
                <w:noProof/>
              </w:rPr>
            </w:pPr>
            <w:r>
              <w:rPr>
                <w:noProof/>
              </w:rPr>
              <w:t xml:space="preserve">A projekttevékenységek a helyi tervekben illegális telepként azonosított </w:t>
            </w:r>
            <w:r>
              <w:rPr>
                <w:noProof/>
              </w:rPr>
              <w:t>területek legalább 90%-án befejeződtek.</w:t>
            </w:r>
          </w:p>
          <w:p w14:paraId="490A2009" w14:textId="77777777" w:rsidR="003F5418" w:rsidRDefault="003F5418">
            <w:pPr>
              <w:rPr>
                <w:rFonts w:ascii="Arial Narrow" w:hAnsi="Arial Narrow"/>
                <w:noProof/>
                <w:color w:val="006100"/>
                <w:sz w:val="20"/>
              </w:rPr>
            </w:pPr>
          </w:p>
          <w:p w14:paraId="247BCAF2" w14:textId="77777777" w:rsidR="003F5418" w:rsidRDefault="002A6C25">
            <w:pPr>
              <w:pStyle w:val="P68B1DB1-Normal4"/>
              <w:rPr>
                <w:noProof/>
              </w:rPr>
            </w:pPr>
            <w:r>
              <w:rPr>
                <w:noProof/>
              </w:rPr>
              <w:t>Az erőforrások elosztását követően az illetékes közigazgatási szerv minden egyes azonosított illegális telepre vonatkozóan „helyi cselekvési tervet” készít.</w:t>
            </w:r>
          </w:p>
        </w:tc>
      </w:tr>
      <w:tr w:rsidR="003F5418" w14:paraId="1A6E5E31" w14:textId="77777777">
        <w:trPr>
          <w:trHeight w:val="20"/>
          <w:jc w:val="center"/>
        </w:trPr>
        <w:tc>
          <w:tcPr>
            <w:tcW w:w="384" w:type="pct"/>
            <w:shd w:val="clear" w:color="auto" w:fill="C6EFCE"/>
            <w:vAlign w:val="center"/>
            <w:hideMark/>
          </w:tcPr>
          <w:p w14:paraId="7FD1E3C6" w14:textId="77777777" w:rsidR="003F5418" w:rsidRDefault="002A6C25">
            <w:pPr>
              <w:pStyle w:val="P68B1DB1-Normal4"/>
              <w:jc w:val="center"/>
              <w:rPr>
                <w:noProof/>
              </w:rPr>
            </w:pPr>
            <w:r>
              <w:rPr>
                <w:noProof/>
              </w:rPr>
              <w:t>M5C2–17</w:t>
            </w:r>
          </w:p>
        </w:tc>
        <w:tc>
          <w:tcPr>
            <w:tcW w:w="509" w:type="pct"/>
            <w:shd w:val="clear" w:color="auto" w:fill="C6EFCE"/>
            <w:vAlign w:val="center"/>
            <w:hideMark/>
          </w:tcPr>
          <w:p w14:paraId="321C150C" w14:textId="77777777" w:rsidR="003F5418" w:rsidRDefault="002A6C25">
            <w:pPr>
              <w:pStyle w:val="P68B1DB1-Normal4"/>
              <w:jc w:val="center"/>
              <w:rPr>
                <w:noProof/>
              </w:rPr>
            </w:pPr>
            <w:r>
              <w:rPr>
                <w:noProof/>
              </w:rPr>
              <w:t xml:space="preserve">Beruházás – Városi integrált tervek – EBB-alap – </w:t>
            </w:r>
            <w:r>
              <w:rPr>
                <w:noProof/>
              </w:rPr>
              <w:t>Alap</w:t>
            </w:r>
          </w:p>
        </w:tc>
        <w:tc>
          <w:tcPr>
            <w:tcW w:w="361" w:type="pct"/>
            <w:shd w:val="clear" w:color="auto" w:fill="C6EFCE"/>
            <w:vAlign w:val="center"/>
            <w:hideMark/>
          </w:tcPr>
          <w:p w14:paraId="7A603969" w14:textId="77777777" w:rsidR="003F5418" w:rsidRDefault="002A6C25">
            <w:pPr>
              <w:pStyle w:val="P68B1DB1-Normal4"/>
              <w:jc w:val="center"/>
              <w:rPr>
                <w:noProof/>
              </w:rPr>
            </w:pPr>
            <w:r>
              <w:rPr>
                <w:noProof/>
              </w:rPr>
              <w:t>Mérföldkő</w:t>
            </w:r>
          </w:p>
        </w:tc>
        <w:tc>
          <w:tcPr>
            <w:tcW w:w="505" w:type="pct"/>
            <w:shd w:val="clear" w:color="auto" w:fill="C6EFCE"/>
            <w:vAlign w:val="center"/>
            <w:hideMark/>
          </w:tcPr>
          <w:p w14:paraId="588758FE" w14:textId="77777777" w:rsidR="003F5418" w:rsidRDefault="002A6C25">
            <w:pPr>
              <w:pStyle w:val="P68B1DB1-Normal4"/>
              <w:jc w:val="center"/>
              <w:rPr>
                <w:noProof/>
              </w:rPr>
            </w:pPr>
            <w:r>
              <w:rPr>
                <w:noProof/>
              </w:rPr>
              <w:t>Az Alap beruházási stratégiáját a Pénzügyminisztérium hagyja jóvá.</w:t>
            </w:r>
          </w:p>
        </w:tc>
        <w:tc>
          <w:tcPr>
            <w:tcW w:w="505" w:type="pct"/>
            <w:shd w:val="clear" w:color="auto" w:fill="C6EFCE"/>
            <w:vAlign w:val="center"/>
            <w:hideMark/>
          </w:tcPr>
          <w:p w14:paraId="5B6DFF2F" w14:textId="77777777" w:rsidR="003F5418" w:rsidRDefault="002A6C25">
            <w:pPr>
              <w:pStyle w:val="P68B1DB1-Normal4"/>
              <w:jc w:val="center"/>
              <w:rPr>
                <w:noProof/>
              </w:rPr>
            </w:pPr>
            <w:r>
              <w:rPr>
                <w:noProof/>
              </w:rPr>
              <w:t>Az Alap beruházási stratégiáját a Pénzügyminisztérium hagyja jóvá.</w:t>
            </w:r>
          </w:p>
        </w:tc>
        <w:tc>
          <w:tcPr>
            <w:tcW w:w="478" w:type="pct"/>
            <w:shd w:val="clear" w:color="auto" w:fill="C6EFCE"/>
            <w:vAlign w:val="center"/>
            <w:hideMark/>
          </w:tcPr>
          <w:p w14:paraId="25E39208" w14:textId="77777777" w:rsidR="003F5418" w:rsidRDefault="002A6C25">
            <w:pPr>
              <w:pStyle w:val="P68B1DB1-Normal4"/>
              <w:jc w:val="center"/>
              <w:rPr>
                <w:noProof/>
              </w:rPr>
            </w:pPr>
            <w:r>
              <w:rPr>
                <w:noProof/>
              </w:rPr>
              <w:t>NINCS</w:t>
            </w:r>
          </w:p>
        </w:tc>
        <w:tc>
          <w:tcPr>
            <w:tcW w:w="318" w:type="pct"/>
            <w:shd w:val="clear" w:color="auto" w:fill="C6EFCE"/>
            <w:vAlign w:val="center"/>
            <w:hideMark/>
          </w:tcPr>
          <w:p w14:paraId="2665FC39" w14:textId="77777777" w:rsidR="003F5418" w:rsidRDefault="002A6C25">
            <w:pPr>
              <w:pStyle w:val="P68B1DB1-Normal4"/>
              <w:jc w:val="center"/>
              <w:rPr>
                <w:noProof/>
              </w:rPr>
            </w:pPr>
            <w:r>
              <w:rPr>
                <w:noProof/>
              </w:rPr>
              <w:t>NINCS</w:t>
            </w:r>
          </w:p>
        </w:tc>
        <w:tc>
          <w:tcPr>
            <w:tcW w:w="384" w:type="pct"/>
            <w:shd w:val="clear" w:color="auto" w:fill="C6EFCE"/>
            <w:vAlign w:val="center"/>
            <w:hideMark/>
          </w:tcPr>
          <w:p w14:paraId="3189DCD7" w14:textId="77777777" w:rsidR="003F5418" w:rsidRDefault="002A6C25">
            <w:pPr>
              <w:pStyle w:val="P68B1DB1-Normal4"/>
              <w:jc w:val="center"/>
              <w:rPr>
                <w:noProof/>
              </w:rPr>
            </w:pPr>
            <w:r>
              <w:rPr>
                <w:noProof/>
              </w:rPr>
              <w:t>NINCS</w:t>
            </w:r>
          </w:p>
        </w:tc>
        <w:tc>
          <w:tcPr>
            <w:tcW w:w="275" w:type="pct"/>
            <w:shd w:val="clear" w:color="auto" w:fill="C6EFCE"/>
            <w:vAlign w:val="center"/>
            <w:hideMark/>
          </w:tcPr>
          <w:p w14:paraId="10E9FE8C" w14:textId="77777777" w:rsidR="003F5418" w:rsidRDefault="002A6C25">
            <w:pPr>
              <w:pStyle w:val="P68B1DB1-Normal4"/>
              <w:jc w:val="center"/>
              <w:rPr>
                <w:noProof/>
              </w:rPr>
            </w:pPr>
            <w:r>
              <w:rPr>
                <w:noProof/>
              </w:rPr>
              <w:t>Q3</w:t>
            </w:r>
          </w:p>
        </w:tc>
        <w:tc>
          <w:tcPr>
            <w:tcW w:w="200" w:type="pct"/>
            <w:shd w:val="clear" w:color="auto" w:fill="C6EFCE"/>
            <w:vAlign w:val="center"/>
            <w:hideMark/>
          </w:tcPr>
          <w:p w14:paraId="7BD6FD8C" w14:textId="77777777" w:rsidR="003F5418" w:rsidRDefault="002A6C25">
            <w:pPr>
              <w:pStyle w:val="P68B1DB1-Normal4"/>
              <w:jc w:val="center"/>
              <w:rPr>
                <w:noProof/>
              </w:rPr>
            </w:pPr>
            <w:r>
              <w:rPr>
                <w:noProof/>
              </w:rPr>
              <w:t>2022</w:t>
            </w:r>
          </w:p>
        </w:tc>
        <w:tc>
          <w:tcPr>
            <w:tcW w:w="1081" w:type="pct"/>
            <w:shd w:val="clear" w:color="auto" w:fill="C6EFCE"/>
            <w:vAlign w:val="center"/>
            <w:hideMark/>
          </w:tcPr>
          <w:p w14:paraId="01C9E903" w14:textId="77777777" w:rsidR="003F5418" w:rsidRDefault="002A6C25">
            <w:pPr>
              <w:pStyle w:val="P68B1DB1-Normal4"/>
              <w:rPr>
                <w:rFonts w:eastAsia="Calibri"/>
                <w:noProof/>
              </w:rPr>
            </w:pPr>
            <w:r>
              <w:rPr>
                <w:noProof/>
              </w:rPr>
              <w:t xml:space="preserve">Az Alap befektetési stratégiája legalább a következőket határozza meg: i. a </w:t>
            </w:r>
            <w:r>
              <w:rPr>
                <w:noProof/>
              </w:rPr>
              <w:t xml:space="preserve">támogatott beruházások jellege és hatóköre, amelyeknek elő kell mozdítaniuk a fenntartható városrehabilitációs és -fejlesztési projekteket, és összhangban kell lenniük a Helyreállítási és Rezilienciaépítési Eszköz célkitűzéseivel, többek között a jelentős </w:t>
            </w:r>
            <w:r>
              <w:rPr>
                <w:noProof/>
              </w:rPr>
              <w:t>károkozás elkerülését célzó elvnek való megfelelés tekintetében, a 2021. február 12-i bizottsági iránymutató feljegyzésben részletesebben meghatározottak szerint, ii. a támogatott műveletek, iii. a megcélzott kedvezményezettek, amelyek olyan pénzügyi önfen</w:t>
            </w:r>
            <w:r>
              <w:rPr>
                <w:noProof/>
              </w:rPr>
              <w:t>ntartó projektek magángazdái, amelyek esetében az állami támogatást piaci hiányosság vagy kockázati profil indokolja, valamint azok támogathatósági kritériumai, iv. a pénzügyi kedvezményezettek támogathatósági kritériumai és nyílt felhívás útján történő ki</w:t>
            </w:r>
            <w:r>
              <w:rPr>
                <w:noProof/>
              </w:rPr>
              <w:t>választása; v. a mezőgazdasági és ipari ágazatban dolgozók számára a tisztességes lakhatási megoldásokra vonatkozó külön sor beillesztése, valamint vi. az ugyanazon szakpolitikai célkitűzésekhez kapcsolódó potenciális visszaáramlások újbóli befektetésére v</w:t>
            </w:r>
            <w:r>
              <w:rPr>
                <w:noProof/>
              </w:rPr>
              <w:t>onatkozó rendelkezések 2026 után is.</w:t>
            </w:r>
          </w:p>
          <w:p w14:paraId="39FCC306" w14:textId="77777777" w:rsidR="003F5418" w:rsidRDefault="003F5418">
            <w:pPr>
              <w:rPr>
                <w:rFonts w:ascii="Arial Narrow" w:eastAsia="Calibri" w:hAnsi="Arial Narrow"/>
                <w:noProof/>
                <w:color w:val="006100"/>
                <w:sz w:val="20"/>
              </w:rPr>
            </w:pPr>
          </w:p>
          <w:p w14:paraId="30D29A18" w14:textId="77777777" w:rsidR="003F5418" w:rsidRDefault="002A6C25">
            <w:pPr>
              <w:pStyle w:val="P68B1DB1-Normal4"/>
              <w:rPr>
                <w:noProof/>
              </w:rPr>
            </w:pPr>
            <w:r>
              <w:rPr>
                <w:noProof/>
              </w:rPr>
              <w:t>A megbízott szervezettel kötött szerződéses megállapodásnak elő kell írnia a DNSH-iránymutatás használatát.</w:t>
            </w:r>
          </w:p>
        </w:tc>
      </w:tr>
      <w:tr w:rsidR="003F5418" w14:paraId="6E7838D7" w14:textId="77777777">
        <w:trPr>
          <w:trHeight w:val="20"/>
          <w:jc w:val="center"/>
        </w:trPr>
        <w:tc>
          <w:tcPr>
            <w:tcW w:w="384" w:type="pct"/>
            <w:shd w:val="clear" w:color="auto" w:fill="C6EFCE"/>
            <w:vAlign w:val="center"/>
          </w:tcPr>
          <w:p w14:paraId="17203E9E" w14:textId="77777777" w:rsidR="003F5418" w:rsidRDefault="002A6C25">
            <w:pPr>
              <w:pStyle w:val="P68B1DB1-Normal4"/>
              <w:jc w:val="center"/>
              <w:rPr>
                <w:noProof/>
              </w:rPr>
            </w:pPr>
            <w:r>
              <w:rPr>
                <w:noProof/>
              </w:rPr>
              <w:t>M5C2–18</w:t>
            </w:r>
          </w:p>
        </w:tc>
        <w:tc>
          <w:tcPr>
            <w:tcW w:w="509" w:type="pct"/>
            <w:shd w:val="clear" w:color="auto" w:fill="C6EFCE"/>
            <w:vAlign w:val="center"/>
          </w:tcPr>
          <w:p w14:paraId="4B0EEB72" w14:textId="77777777" w:rsidR="003F5418" w:rsidRDefault="002A6C25">
            <w:pPr>
              <w:pStyle w:val="P68B1DB1-Normal4"/>
              <w:jc w:val="center"/>
              <w:rPr>
                <w:rFonts w:eastAsia="Calibri"/>
                <w:noProof/>
              </w:rPr>
            </w:pPr>
            <w:r>
              <w:rPr>
                <w:noProof/>
              </w:rPr>
              <w:t>Beruházás – Városi integrált tervek – EBB-alap – Alap</w:t>
            </w:r>
          </w:p>
        </w:tc>
        <w:tc>
          <w:tcPr>
            <w:tcW w:w="361" w:type="pct"/>
            <w:shd w:val="clear" w:color="auto" w:fill="C6EFCE"/>
            <w:vAlign w:val="center"/>
          </w:tcPr>
          <w:p w14:paraId="166B4929" w14:textId="77777777" w:rsidR="003F5418" w:rsidRDefault="002A6C25">
            <w:pPr>
              <w:pStyle w:val="P68B1DB1-Normal4"/>
              <w:jc w:val="center"/>
              <w:rPr>
                <w:rFonts w:eastAsia="Calibri"/>
                <w:noProof/>
              </w:rPr>
            </w:pPr>
            <w:r>
              <w:rPr>
                <w:noProof/>
              </w:rPr>
              <w:t>Cél</w:t>
            </w:r>
          </w:p>
        </w:tc>
        <w:tc>
          <w:tcPr>
            <w:tcW w:w="505" w:type="pct"/>
            <w:shd w:val="clear" w:color="auto" w:fill="C6EFCE"/>
            <w:vAlign w:val="center"/>
          </w:tcPr>
          <w:p w14:paraId="2CE26E15" w14:textId="77777777" w:rsidR="003F5418" w:rsidRDefault="002A6C25">
            <w:pPr>
              <w:pStyle w:val="P68B1DB1-Normal4"/>
              <w:jc w:val="center"/>
              <w:rPr>
                <w:rFonts w:eastAsia="Calibri"/>
                <w:noProof/>
              </w:rPr>
            </w:pPr>
            <w:r>
              <w:rPr>
                <w:noProof/>
              </w:rPr>
              <w:t xml:space="preserve">A tematikus alaphoz való hozzájárulás </w:t>
            </w:r>
            <w:r>
              <w:rPr>
                <w:noProof/>
              </w:rPr>
              <w:t>pénzbeli értéke és a városi projektek támogatása</w:t>
            </w:r>
          </w:p>
        </w:tc>
        <w:tc>
          <w:tcPr>
            <w:tcW w:w="505" w:type="pct"/>
            <w:shd w:val="clear" w:color="auto" w:fill="C6EFCE"/>
            <w:vAlign w:val="center"/>
          </w:tcPr>
          <w:p w14:paraId="05A5DA59" w14:textId="77777777" w:rsidR="003F5418" w:rsidRDefault="002A6C25">
            <w:pPr>
              <w:pStyle w:val="P68B1DB1-Normal4"/>
              <w:jc w:val="center"/>
              <w:rPr>
                <w:noProof/>
              </w:rPr>
            </w:pPr>
            <w:r>
              <w:rPr>
                <w:noProof/>
              </w:rPr>
              <w:t>NINCS</w:t>
            </w:r>
          </w:p>
        </w:tc>
        <w:tc>
          <w:tcPr>
            <w:tcW w:w="478" w:type="pct"/>
            <w:shd w:val="clear" w:color="auto" w:fill="C6EFCE"/>
            <w:vAlign w:val="center"/>
          </w:tcPr>
          <w:p w14:paraId="46B63D15" w14:textId="77777777" w:rsidR="003F5418" w:rsidRDefault="002A6C25">
            <w:pPr>
              <w:pStyle w:val="P68B1DB1-Normal4"/>
              <w:jc w:val="center"/>
              <w:rPr>
                <w:rFonts w:eastAsia="Calibri"/>
                <w:noProof/>
              </w:rPr>
            </w:pPr>
            <w:r>
              <w:rPr>
                <w:noProof/>
              </w:rPr>
              <w:t>EUR</w:t>
            </w:r>
          </w:p>
        </w:tc>
        <w:tc>
          <w:tcPr>
            <w:tcW w:w="318" w:type="pct"/>
            <w:shd w:val="clear" w:color="auto" w:fill="C6EFCE"/>
            <w:vAlign w:val="center"/>
          </w:tcPr>
          <w:p w14:paraId="585223AC" w14:textId="77777777" w:rsidR="003F5418" w:rsidRDefault="002A6C25">
            <w:pPr>
              <w:pStyle w:val="P68B1DB1-Normal4"/>
              <w:jc w:val="center"/>
              <w:rPr>
                <w:rFonts w:eastAsia="Calibri"/>
                <w:noProof/>
              </w:rPr>
            </w:pPr>
            <w:r>
              <w:rPr>
                <w:noProof/>
              </w:rPr>
              <w:t>0</w:t>
            </w:r>
          </w:p>
        </w:tc>
        <w:tc>
          <w:tcPr>
            <w:tcW w:w="384" w:type="pct"/>
            <w:shd w:val="clear" w:color="auto" w:fill="C6EFCE"/>
            <w:vAlign w:val="center"/>
          </w:tcPr>
          <w:p w14:paraId="622F5D8A" w14:textId="77777777" w:rsidR="003F5418" w:rsidRDefault="002A6C25">
            <w:pPr>
              <w:pStyle w:val="P68B1DB1-Normal4"/>
              <w:jc w:val="center"/>
              <w:rPr>
                <w:rFonts w:eastAsia="Calibri"/>
                <w:noProof/>
              </w:rPr>
            </w:pPr>
            <w:r>
              <w:rPr>
                <w:noProof/>
              </w:rPr>
              <w:t>545 000 000</w:t>
            </w:r>
          </w:p>
        </w:tc>
        <w:tc>
          <w:tcPr>
            <w:tcW w:w="275" w:type="pct"/>
            <w:shd w:val="clear" w:color="auto" w:fill="C6EFCE"/>
            <w:vAlign w:val="center"/>
          </w:tcPr>
          <w:p w14:paraId="4E247217" w14:textId="77777777" w:rsidR="003F5418" w:rsidRDefault="002A6C25">
            <w:pPr>
              <w:pStyle w:val="P68B1DB1-Normal4"/>
              <w:jc w:val="center"/>
              <w:rPr>
                <w:rFonts w:eastAsia="Calibri"/>
                <w:noProof/>
              </w:rPr>
            </w:pPr>
            <w:r>
              <w:rPr>
                <w:noProof/>
              </w:rPr>
              <w:t>Q2</w:t>
            </w:r>
          </w:p>
        </w:tc>
        <w:tc>
          <w:tcPr>
            <w:tcW w:w="200" w:type="pct"/>
            <w:shd w:val="clear" w:color="auto" w:fill="C6EFCE"/>
            <w:vAlign w:val="center"/>
          </w:tcPr>
          <w:p w14:paraId="6739B8F7" w14:textId="77777777" w:rsidR="003F5418" w:rsidRDefault="002A6C25">
            <w:pPr>
              <w:pStyle w:val="P68B1DB1-Normal4"/>
              <w:jc w:val="center"/>
              <w:rPr>
                <w:rFonts w:eastAsia="Calibri"/>
                <w:noProof/>
              </w:rPr>
            </w:pPr>
            <w:r>
              <w:rPr>
                <w:noProof/>
              </w:rPr>
              <w:t>2026</w:t>
            </w:r>
          </w:p>
        </w:tc>
        <w:tc>
          <w:tcPr>
            <w:tcW w:w="1081" w:type="pct"/>
            <w:shd w:val="clear" w:color="auto" w:fill="C6EFCE"/>
            <w:vAlign w:val="center"/>
          </w:tcPr>
          <w:p w14:paraId="2C79C90D" w14:textId="36D850F9" w:rsidR="003F5418" w:rsidRDefault="002A6C25">
            <w:pPr>
              <w:pStyle w:val="P68B1DB1-Normal4"/>
              <w:rPr>
                <w:rFonts w:eastAsia="Calibri"/>
                <w:noProof/>
              </w:rPr>
            </w:pPr>
            <w:r>
              <w:rPr>
                <w:noProof/>
              </w:rPr>
              <w:t>Legalább 545 000 000 EUR-val járultak hozzá a tematikus alaphoz.</w:t>
            </w:r>
          </w:p>
          <w:p w14:paraId="5722D216" w14:textId="77777777" w:rsidR="003F5418" w:rsidRDefault="003F5418">
            <w:pPr>
              <w:rPr>
                <w:rFonts w:ascii="Arial Narrow" w:hAnsi="Arial Narrow"/>
                <w:noProof/>
                <w:color w:val="006100"/>
                <w:sz w:val="20"/>
              </w:rPr>
            </w:pPr>
          </w:p>
          <w:p w14:paraId="6DE27214" w14:textId="77777777" w:rsidR="003F5418" w:rsidRDefault="002A6C25">
            <w:pPr>
              <w:pStyle w:val="P68B1DB1-Normal4"/>
              <w:rPr>
                <w:rFonts w:eastAsia="Calibri"/>
                <w:noProof/>
              </w:rPr>
            </w:pPr>
            <w:r>
              <w:rPr>
                <w:noProof/>
              </w:rPr>
              <w:t xml:space="preserve">A cél kielégítő teljesítése a másodlagos cél kielégítő teljesítésétől is függ: legalább 10 városi projekt </w:t>
            </w:r>
            <w:r>
              <w:rPr>
                <w:noProof/>
              </w:rPr>
              <w:t>támogatása.</w:t>
            </w:r>
          </w:p>
          <w:p w14:paraId="233F4C2C" w14:textId="77777777" w:rsidR="003F5418" w:rsidRDefault="003F5418">
            <w:pPr>
              <w:rPr>
                <w:rFonts w:ascii="Arial Narrow" w:hAnsi="Arial Narrow"/>
                <w:noProof/>
                <w:color w:val="006100"/>
                <w:sz w:val="20"/>
              </w:rPr>
            </w:pPr>
          </w:p>
          <w:p w14:paraId="4E5A04D5" w14:textId="4B634AA6" w:rsidR="003F5418" w:rsidRDefault="002A6C25">
            <w:pPr>
              <w:pStyle w:val="P68B1DB1-Normal4"/>
              <w:rPr>
                <w:rFonts w:eastAsia="Calibri"/>
                <w:noProof/>
              </w:rPr>
            </w:pPr>
            <w:r>
              <w:rPr>
                <w:noProof/>
              </w:rPr>
              <w:t>Az Alap beruházási tanácsa (amelynek a Pénzügyminisztérium is tagja) legalább 545 000 000 EUR összegű projekt jóváhagyása, valamint legalább 10 projektnek az Alap Befektetési Tanácsa (amelynek a Pénzügyminisztérium a részét képezi) általi jóvá</w:t>
            </w:r>
            <w:r>
              <w:rPr>
                <w:noProof/>
              </w:rPr>
              <w:t>hagyása.</w:t>
            </w:r>
          </w:p>
        </w:tc>
      </w:tr>
      <w:tr w:rsidR="003F5418" w14:paraId="41B638CB" w14:textId="77777777">
        <w:trPr>
          <w:trHeight w:val="1291"/>
          <w:jc w:val="center"/>
        </w:trPr>
        <w:tc>
          <w:tcPr>
            <w:tcW w:w="384" w:type="pct"/>
            <w:shd w:val="clear" w:color="auto" w:fill="C6EFCE"/>
            <w:vAlign w:val="center"/>
            <w:hideMark/>
          </w:tcPr>
          <w:p w14:paraId="15298BAA" w14:textId="77777777" w:rsidR="003F5418" w:rsidRDefault="002A6C25">
            <w:pPr>
              <w:pStyle w:val="P68B1DB1-Normal4"/>
              <w:jc w:val="center"/>
              <w:rPr>
                <w:noProof/>
              </w:rPr>
            </w:pPr>
            <w:r>
              <w:rPr>
                <w:noProof/>
              </w:rPr>
              <w:t>M5C2–19</w:t>
            </w:r>
          </w:p>
        </w:tc>
        <w:tc>
          <w:tcPr>
            <w:tcW w:w="509" w:type="pct"/>
            <w:shd w:val="clear" w:color="auto" w:fill="C6EFCE"/>
            <w:vAlign w:val="center"/>
            <w:hideMark/>
          </w:tcPr>
          <w:p w14:paraId="75DFC076" w14:textId="77777777" w:rsidR="003F5418" w:rsidRDefault="002A6C25">
            <w:pPr>
              <w:pStyle w:val="P68B1DB1-Normal4"/>
              <w:jc w:val="center"/>
              <w:rPr>
                <w:noProof/>
              </w:rPr>
            </w:pPr>
            <w:r>
              <w:rPr>
                <w:noProof/>
              </w:rPr>
              <w:t>Beruházás – Innovációs program a lakásminőségért</w:t>
            </w:r>
          </w:p>
        </w:tc>
        <w:tc>
          <w:tcPr>
            <w:tcW w:w="361" w:type="pct"/>
            <w:shd w:val="clear" w:color="auto" w:fill="C6EFCE"/>
            <w:vAlign w:val="center"/>
            <w:hideMark/>
          </w:tcPr>
          <w:p w14:paraId="23E7688E" w14:textId="77777777" w:rsidR="003F5418" w:rsidRDefault="002A6C25">
            <w:pPr>
              <w:pStyle w:val="P68B1DB1-Normal4"/>
              <w:jc w:val="center"/>
              <w:rPr>
                <w:noProof/>
              </w:rPr>
            </w:pPr>
            <w:r>
              <w:rPr>
                <w:noProof/>
              </w:rPr>
              <w:t>Mérföldkő</w:t>
            </w:r>
          </w:p>
        </w:tc>
        <w:tc>
          <w:tcPr>
            <w:tcW w:w="505" w:type="pct"/>
            <w:shd w:val="clear" w:color="auto" w:fill="C6EFCE"/>
            <w:vAlign w:val="center"/>
            <w:hideMark/>
          </w:tcPr>
          <w:p w14:paraId="7FA2C275" w14:textId="77777777" w:rsidR="003F5418" w:rsidRDefault="002A6C25">
            <w:pPr>
              <w:pStyle w:val="P68B1DB1-Normal4"/>
              <w:jc w:val="center"/>
              <w:rPr>
                <w:noProof/>
              </w:rPr>
            </w:pPr>
            <w:r>
              <w:rPr>
                <w:noProof/>
              </w:rPr>
              <w:t xml:space="preserve">Régiók és autonóm tartományok (beleértve az ezeken a területeken található településeket és/vagy nagyvárosokat) aláírták a szociális lakások átépítéséről és bővítéséről szóló </w:t>
            </w:r>
            <w:r>
              <w:rPr>
                <w:noProof/>
              </w:rPr>
              <w:t>megállapodásokat</w:t>
            </w:r>
          </w:p>
        </w:tc>
        <w:tc>
          <w:tcPr>
            <w:tcW w:w="505" w:type="pct"/>
            <w:shd w:val="clear" w:color="auto" w:fill="C6EFCE"/>
            <w:vAlign w:val="center"/>
            <w:hideMark/>
          </w:tcPr>
          <w:p w14:paraId="220B0F85" w14:textId="77777777" w:rsidR="003F5418" w:rsidRDefault="002A6C25">
            <w:pPr>
              <w:pStyle w:val="P68B1DB1-Normal4"/>
              <w:jc w:val="center"/>
              <w:rPr>
                <w:noProof/>
              </w:rPr>
            </w:pPr>
            <w:r>
              <w:rPr>
                <w:noProof/>
              </w:rPr>
              <w:t>A helyi önkormányzatokkal kötött megállapodások aláírása</w:t>
            </w:r>
          </w:p>
        </w:tc>
        <w:tc>
          <w:tcPr>
            <w:tcW w:w="478" w:type="pct"/>
            <w:shd w:val="clear" w:color="auto" w:fill="C6EFCE"/>
            <w:vAlign w:val="center"/>
            <w:hideMark/>
          </w:tcPr>
          <w:p w14:paraId="1D5F3577" w14:textId="77777777" w:rsidR="003F5418" w:rsidRDefault="002A6C25">
            <w:pPr>
              <w:pStyle w:val="P68B1DB1-Normal4"/>
              <w:jc w:val="center"/>
              <w:rPr>
                <w:noProof/>
              </w:rPr>
            </w:pPr>
            <w:r>
              <w:rPr>
                <w:noProof/>
              </w:rPr>
              <w:t>NINCS</w:t>
            </w:r>
          </w:p>
        </w:tc>
        <w:tc>
          <w:tcPr>
            <w:tcW w:w="318" w:type="pct"/>
            <w:shd w:val="clear" w:color="auto" w:fill="C6EFCE"/>
            <w:vAlign w:val="center"/>
            <w:hideMark/>
          </w:tcPr>
          <w:p w14:paraId="6892C908" w14:textId="77777777" w:rsidR="003F5418" w:rsidRDefault="002A6C25">
            <w:pPr>
              <w:pStyle w:val="P68B1DB1-Normal4"/>
              <w:jc w:val="center"/>
              <w:rPr>
                <w:noProof/>
              </w:rPr>
            </w:pPr>
            <w:r>
              <w:rPr>
                <w:noProof/>
              </w:rPr>
              <w:t>NINCS</w:t>
            </w:r>
          </w:p>
        </w:tc>
        <w:tc>
          <w:tcPr>
            <w:tcW w:w="384" w:type="pct"/>
            <w:shd w:val="clear" w:color="auto" w:fill="C6EFCE"/>
            <w:vAlign w:val="center"/>
            <w:hideMark/>
          </w:tcPr>
          <w:p w14:paraId="62371797" w14:textId="77777777" w:rsidR="003F5418" w:rsidRDefault="002A6C25">
            <w:pPr>
              <w:pStyle w:val="P68B1DB1-Normal4"/>
              <w:jc w:val="center"/>
              <w:rPr>
                <w:noProof/>
              </w:rPr>
            </w:pPr>
            <w:r>
              <w:rPr>
                <w:noProof/>
              </w:rPr>
              <w:t>NINCS</w:t>
            </w:r>
          </w:p>
        </w:tc>
        <w:tc>
          <w:tcPr>
            <w:tcW w:w="275" w:type="pct"/>
            <w:shd w:val="clear" w:color="auto" w:fill="C6EFCE"/>
            <w:vAlign w:val="center"/>
            <w:hideMark/>
          </w:tcPr>
          <w:p w14:paraId="7690D3F8" w14:textId="77777777" w:rsidR="003F5418" w:rsidRDefault="002A6C25">
            <w:pPr>
              <w:pStyle w:val="P68B1DB1-Normal4"/>
              <w:jc w:val="center"/>
              <w:rPr>
                <w:noProof/>
              </w:rPr>
            </w:pPr>
            <w:r>
              <w:rPr>
                <w:noProof/>
              </w:rPr>
              <w:t>Q1</w:t>
            </w:r>
          </w:p>
        </w:tc>
        <w:tc>
          <w:tcPr>
            <w:tcW w:w="200" w:type="pct"/>
            <w:shd w:val="clear" w:color="auto" w:fill="C6EFCE"/>
            <w:vAlign w:val="center"/>
            <w:hideMark/>
          </w:tcPr>
          <w:p w14:paraId="2D20C250" w14:textId="77777777" w:rsidR="003F5418" w:rsidRDefault="002A6C25">
            <w:pPr>
              <w:pStyle w:val="P68B1DB1-Normal4"/>
              <w:jc w:val="center"/>
              <w:rPr>
                <w:noProof/>
              </w:rPr>
            </w:pPr>
            <w:r>
              <w:rPr>
                <w:noProof/>
              </w:rPr>
              <w:t>2022</w:t>
            </w:r>
          </w:p>
        </w:tc>
        <w:tc>
          <w:tcPr>
            <w:tcW w:w="1081" w:type="pct"/>
            <w:shd w:val="clear" w:color="auto" w:fill="C6EFCE"/>
            <w:vAlign w:val="center"/>
            <w:hideMark/>
          </w:tcPr>
          <w:p w14:paraId="5CCB3C38" w14:textId="77777777" w:rsidR="003F5418" w:rsidRDefault="002A6C25">
            <w:pPr>
              <w:pStyle w:val="P68B1DB1-Normal4"/>
              <w:rPr>
                <w:noProof/>
              </w:rPr>
            </w:pPr>
            <w:r>
              <w:rPr>
                <w:noProof/>
              </w:rPr>
              <w:t xml:space="preserve">Legalább 15 régió és autonóm tartomány (beleértve az ezeken a területeken található településeket és/vagy nagyvárosokat) írta alá a szociális lakások </w:t>
            </w:r>
            <w:r>
              <w:rPr>
                <w:noProof/>
              </w:rPr>
              <w:t>átépítéséről és bővítéséről szóló megállapodásokat.</w:t>
            </w:r>
          </w:p>
          <w:p w14:paraId="7BD22348" w14:textId="77777777" w:rsidR="003F5418" w:rsidRDefault="002A6C25">
            <w:pPr>
              <w:pStyle w:val="P68B1DB1-Normal4"/>
              <w:rPr>
                <w:noProof/>
              </w:rPr>
            </w:pPr>
            <w:r>
              <w:rPr>
                <w:noProof/>
              </w:rPr>
              <w:t xml:space="preserve"> </w:t>
            </w:r>
          </w:p>
          <w:p w14:paraId="47A0736C" w14:textId="77777777" w:rsidR="003F5418" w:rsidRDefault="002A6C25">
            <w:pPr>
              <w:pStyle w:val="P68B1DB1-Normal4"/>
              <w:rPr>
                <w:rFonts w:eastAsia="Calibri"/>
                <w:noProof/>
              </w:rPr>
            </w:pPr>
            <w:r>
              <w:rPr>
                <w:noProof/>
              </w:rPr>
              <w:t>A projektekben részt vevő legalább 15 régióval és autonóm megyével aláírt megállapodások. </w:t>
            </w:r>
          </w:p>
          <w:p w14:paraId="7178D038" w14:textId="77777777" w:rsidR="003F5418" w:rsidRDefault="003F5418">
            <w:pPr>
              <w:rPr>
                <w:rFonts w:ascii="Arial Narrow" w:eastAsia="Calibri" w:hAnsi="Arial Narrow"/>
                <w:noProof/>
                <w:color w:val="006100"/>
                <w:sz w:val="20"/>
              </w:rPr>
            </w:pPr>
          </w:p>
          <w:p w14:paraId="42D8FA51" w14:textId="77777777" w:rsidR="003F5418" w:rsidRDefault="002A6C25">
            <w:pPr>
              <w:pStyle w:val="P68B1DB1-Normal4"/>
              <w:rPr>
                <w:rFonts w:eastAsia="Calibri"/>
                <w:noProof/>
              </w:rPr>
            </w:pPr>
            <w:r>
              <w:rPr>
                <w:noProof/>
              </w:rPr>
              <w:t>Épület: új állami lakhatási szálláshelyek:</w:t>
            </w:r>
          </w:p>
          <w:p w14:paraId="1907C693" w14:textId="77777777" w:rsidR="003F5418" w:rsidRDefault="003F5418">
            <w:pPr>
              <w:rPr>
                <w:rFonts w:ascii="Arial Narrow" w:eastAsia="Calibri" w:hAnsi="Arial Narrow"/>
                <w:noProof/>
                <w:color w:val="006100"/>
                <w:sz w:val="20"/>
              </w:rPr>
            </w:pPr>
          </w:p>
          <w:p w14:paraId="5A59C460" w14:textId="77777777" w:rsidR="003F5418" w:rsidRDefault="002A6C25">
            <w:pPr>
              <w:pStyle w:val="P68B1DB1-Normal4"/>
              <w:rPr>
                <w:noProof/>
              </w:rPr>
            </w:pPr>
            <w:r>
              <w:rPr>
                <w:noProof/>
              </w:rPr>
              <w:t>– az állami lakáscélú eszközök átrendezése, átszervezése és növelé</w:t>
            </w:r>
            <w:r>
              <w:rPr>
                <w:noProof/>
              </w:rPr>
              <w:t>se;</w:t>
            </w:r>
          </w:p>
          <w:p w14:paraId="40CF81F3" w14:textId="77777777" w:rsidR="003F5418" w:rsidRDefault="002A6C25">
            <w:pPr>
              <w:pStyle w:val="P68B1DB1-Normal4"/>
              <w:rPr>
                <w:noProof/>
              </w:rPr>
            </w:pPr>
            <w:r>
              <w:rPr>
                <w:noProof/>
              </w:rPr>
              <w:t>a területek, terek, valamint köz- és magántulajdonban lévő ingatlanok átalakítása, többek között a városi és társadalmi-gazdasági szerkezet rehabilitációja révén;</w:t>
            </w:r>
          </w:p>
          <w:p w14:paraId="73B91068" w14:textId="77777777" w:rsidR="003F5418" w:rsidRDefault="002A6C25">
            <w:pPr>
              <w:pStyle w:val="P68B1DB1-Normal4"/>
              <w:rPr>
                <w:noProof/>
              </w:rPr>
            </w:pPr>
            <w:r>
              <w:rPr>
                <w:noProof/>
              </w:rPr>
              <w:t>a városi területek megközelíthetőségének és biztonságának, valamint a szolgáltatásnyújtás</w:t>
            </w:r>
            <w:r>
              <w:rPr>
                <w:noProof/>
              </w:rPr>
              <w:t>nak és a városi-helyi infrastruktúráknak a javítása;</w:t>
            </w:r>
          </w:p>
          <w:p w14:paraId="1DB74A6A" w14:textId="77777777" w:rsidR="003F5418" w:rsidRDefault="002A6C25">
            <w:pPr>
              <w:pStyle w:val="P68B1DB1-Normal4"/>
              <w:rPr>
                <w:noProof/>
              </w:rPr>
            </w:pPr>
            <w:r>
              <w:rPr>
                <w:noProof/>
              </w:rPr>
              <w:t>– a már megépített területek és területek regenerálása, a környezet minőségének javítása és az éghajlatváltozással szembeni ellenálló képesség javítása, többek között a városok tömörülésére hatást gyakor</w:t>
            </w:r>
            <w:r>
              <w:rPr>
                <w:noProof/>
              </w:rPr>
              <w:t>ló műveletek révén;</w:t>
            </w:r>
          </w:p>
          <w:p w14:paraId="1BAE75E3" w14:textId="77777777" w:rsidR="003F5418" w:rsidRDefault="002A6C25">
            <w:pPr>
              <w:pStyle w:val="P68B1DB1-Normal4"/>
              <w:rPr>
                <w:rFonts w:eastAsia="Calibri"/>
                <w:noProof/>
              </w:rPr>
            </w:pPr>
            <w:r>
              <w:rPr>
                <w:noProof/>
              </w:rPr>
              <w:t>innovatív irányítási és befogadási modellek és eszközök, társadalmi és városi jólét, valamint részvételi folyamatok azonosítása és alkalmazása.</w:t>
            </w:r>
          </w:p>
          <w:p w14:paraId="0EED53D8" w14:textId="77777777" w:rsidR="003F5418" w:rsidRDefault="002A6C25">
            <w:pPr>
              <w:pStyle w:val="P68B1DB1-Normal4"/>
              <w:rPr>
                <w:noProof/>
              </w:rPr>
            </w:pPr>
            <w:r>
              <w:rPr>
                <w:noProof/>
              </w:rPr>
              <w:t>A támogatott lakóegységek és nyilvános terek a kapcsolódó mérföldkőben leírt tevékenységek k</w:t>
            </w:r>
            <w:r>
              <w:rPr>
                <w:noProof/>
              </w:rPr>
              <w:t>edvezményezettjei.</w:t>
            </w:r>
          </w:p>
        </w:tc>
      </w:tr>
      <w:tr w:rsidR="003F5418" w14:paraId="0D8789E2" w14:textId="77777777">
        <w:trPr>
          <w:trHeight w:val="20"/>
          <w:jc w:val="center"/>
        </w:trPr>
        <w:tc>
          <w:tcPr>
            <w:tcW w:w="384" w:type="pct"/>
            <w:shd w:val="clear" w:color="auto" w:fill="C6EFCE"/>
            <w:vAlign w:val="center"/>
            <w:hideMark/>
          </w:tcPr>
          <w:p w14:paraId="06ADADD9" w14:textId="77777777" w:rsidR="003F5418" w:rsidRDefault="002A6C25">
            <w:pPr>
              <w:pStyle w:val="P68B1DB1-Normal4"/>
              <w:jc w:val="center"/>
              <w:rPr>
                <w:noProof/>
              </w:rPr>
            </w:pPr>
            <w:r>
              <w:rPr>
                <w:noProof/>
              </w:rPr>
              <w:t>M5C2–20</w:t>
            </w:r>
          </w:p>
        </w:tc>
        <w:tc>
          <w:tcPr>
            <w:tcW w:w="509" w:type="pct"/>
            <w:shd w:val="clear" w:color="auto" w:fill="C6EFCE"/>
            <w:vAlign w:val="center"/>
            <w:hideMark/>
          </w:tcPr>
          <w:p w14:paraId="4FF3191A" w14:textId="77777777" w:rsidR="003F5418" w:rsidRDefault="002A6C25">
            <w:pPr>
              <w:pStyle w:val="P68B1DB1-Normal4"/>
              <w:jc w:val="center"/>
              <w:rPr>
                <w:noProof/>
              </w:rPr>
            </w:pPr>
            <w:r>
              <w:rPr>
                <w:noProof/>
              </w:rPr>
              <w:t>Beruházás – Innovációs program a lakásminőségért</w:t>
            </w:r>
          </w:p>
        </w:tc>
        <w:tc>
          <w:tcPr>
            <w:tcW w:w="361" w:type="pct"/>
            <w:shd w:val="clear" w:color="auto" w:fill="C6EFCE"/>
            <w:vAlign w:val="center"/>
            <w:hideMark/>
          </w:tcPr>
          <w:p w14:paraId="3C16C7EC" w14:textId="77777777" w:rsidR="003F5418" w:rsidRDefault="002A6C25">
            <w:pPr>
              <w:pStyle w:val="P68B1DB1-Normal4"/>
              <w:jc w:val="center"/>
              <w:rPr>
                <w:noProof/>
              </w:rPr>
            </w:pPr>
            <w:r>
              <w:rPr>
                <w:noProof/>
              </w:rPr>
              <w:t>Cél</w:t>
            </w:r>
          </w:p>
        </w:tc>
        <w:tc>
          <w:tcPr>
            <w:tcW w:w="505" w:type="pct"/>
            <w:shd w:val="clear" w:color="auto" w:fill="C6EFCE"/>
            <w:vAlign w:val="center"/>
            <w:hideMark/>
          </w:tcPr>
          <w:p w14:paraId="51007B88" w14:textId="77777777" w:rsidR="003F5418" w:rsidRDefault="002A6C25">
            <w:pPr>
              <w:pStyle w:val="P68B1DB1-Normal4"/>
              <w:jc w:val="center"/>
              <w:rPr>
                <w:noProof/>
              </w:rPr>
            </w:pPr>
            <w:r>
              <w:rPr>
                <w:noProof/>
              </w:rPr>
              <w:t>A támogatott lakóegységek száma (az építés és a rehabilitáció tekintetében) és a támogatott közterületek négyzetméterben kifejezett száma</w:t>
            </w:r>
          </w:p>
        </w:tc>
        <w:tc>
          <w:tcPr>
            <w:tcW w:w="505" w:type="pct"/>
            <w:shd w:val="clear" w:color="auto" w:fill="C6EFCE"/>
            <w:vAlign w:val="center"/>
            <w:hideMark/>
          </w:tcPr>
          <w:p w14:paraId="1A8FDF3C" w14:textId="77777777" w:rsidR="003F5418" w:rsidRDefault="002A6C25">
            <w:pPr>
              <w:pStyle w:val="P68B1DB1-Normal4"/>
              <w:jc w:val="center"/>
              <w:rPr>
                <w:noProof/>
              </w:rPr>
            </w:pPr>
            <w:r>
              <w:rPr>
                <w:noProof/>
              </w:rPr>
              <w:t>NINCS</w:t>
            </w:r>
          </w:p>
        </w:tc>
        <w:tc>
          <w:tcPr>
            <w:tcW w:w="478" w:type="pct"/>
            <w:shd w:val="clear" w:color="auto" w:fill="C6EFCE"/>
            <w:vAlign w:val="center"/>
            <w:hideMark/>
          </w:tcPr>
          <w:p w14:paraId="1C73B792" w14:textId="77777777" w:rsidR="003F5418" w:rsidRDefault="002A6C25">
            <w:pPr>
              <w:pStyle w:val="P68B1DB1-Normal4"/>
              <w:jc w:val="center"/>
              <w:rPr>
                <w:noProof/>
              </w:rPr>
            </w:pPr>
            <w:r>
              <w:rPr>
                <w:noProof/>
              </w:rPr>
              <w:t>Szám</w:t>
            </w:r>
          </w:p>
        </w:tc>
        <w:tc>
          <w:tcPr>
            <w:tcW w:w="318" w:type="pct"/>
            <w:shd w:val="clear" w:color="auto" w:fill="C6EFCE"/>
            <w:vAlign w:val="center"/>
            <w:hideMark/>
          </w:tcPr>
          <w:p w14:paraId="1E562D6A" w14:textId="77777777" w:rsidR="003F5418" w:rsidRDefault="002A6C25">
            <w:pPr>
              <w:pStyle w:val="P68B1DB1-Normal4"/>
              <w:jc w:val="center"/>
              <w:rPr>
                <w:noProof/>
              </w:rPr>
            </w:pPr>
            <w:r>
              <w:rPr>
                <w:noProof/>
              </w:rPr>
              <w:t>0</w:t>
            </w:r>
          </w:p>
        </w:tc>
        <w:tc>
          <w:tcPr>
            <w:tcW w:w="384" w:type="pct"/>
            <w:shd w:val="clear" w:color="auto" w:fill="C6EFCE"/>
            <w:vAlign w:val="center"/>
            <w:hideMark/>
          </w:tcPr>
          <w:p w14:paraId="6B18F906" w14:textId="1F1BB6C7" w:rsidR="003F5418" w:rsidRDefault="002A6C25">
            <w:pPr>
              <w:pStyle w:val="P68B1DB1-Normal4"/>
              <w:jc w:val="center"/>
              <w:rPr>
                <w:noProof/>
              </w:rPr>
            </w:pPr>
            <w:r>
              <w:rPr>
                <w:noProof/>
              </w:rPr>
              <w:t>10 000</w:t>
            </w:r>
          </w:p>
        </w:tc>
        <w:tc>
          <w:tcPr>
            <w:tcW w:w="275" w:type="pct"/>
            <w:shd w:val="clear" w:color="auto" w:fill="C6EFCE"/>
            <w:vAlign w:val="center"/>
            <w:hideMark/>
          </w:tcPr>
          <w:p w14:paraId="381639E4" w14:textId="77777777" w:rsidR="003F5418" w:rsidRDefault="002A6C25">
            <w:pPr>
              <w:pStyle w:val="P68B1DB1-Normal4"/>
              <w:jc w:val="center"/>
              <w:rPr>
                <w:noProof/>
              </w:rPr>
            </w:pPr>
            <w:r>
              <w:rPr>
                <w:noProof/>
              </w:rPr>
              <w:t>Q1</w:t>
            </w:r>
          </w:p>
        </w:tc>
        <w:tc>
          <w:tcPr>
            <w:tcW w:w="200" w:type="pct"/>
            <w:shd w:val="clear" w:color="auto" w:fill="C6EFCE"/>
            <w:vAlign w:val="center"/>
            <w:hideMark/>
          </w:tcPr>
          <w:p w14:paraId="47B7AA15" w14:textId="77777777" w:rsidR="003F5418" w:rsidRDefault="002A6C25">
            <w:pPr>
              <w:pStyle w:val="P68B1DB1-Normal4"/>
              <w:rPr>
                <w:noProof/>
              </w:rPr>
            </w:pPr>
            <w:r>
              <w:rPr>
                <w:noProof/>
              </w:rPr>
              <w:t>2026</w:t>
            </w:r>
          </w:p>
        </w:tc>
        <w:tc>
          <w:tcPr>
            <w:tcW w:w="1081" w:type="pct"/>
            <w:shd w:val="clear" w:color="auto" w:fill="C6EFCE"/>
            <w:vAlign w:val="center"/>
            <w:hideMark/>
          </w:tcPr>
          <w:p w14:paraId="6C04C1B1" w14:textId="769FC10B" w:rsidR="003F5418" w:rsidRDefault="002A6C25">
            <w:pPr>
              <w:pStyle w:val="P68B1DB1-Normal4"/>
              <w:rPr>
                <w:noProof/>
              </w:rPr>
            </w:pPr>
            <w:r>
              <w:rPr>
                <w:noProof/>
              </w:rPr>
              <w:t xml:space="preserve">Legalább </w:t>
            </w:r>
            <w:r>
              <w:rPr>
                <w:noProof/>
              </w:rPr>
              <w:t>10000 lakóegység támogatása (az építés és a rehabilitáció tekintetében egyaránt). A cél kielégítő teljesítése a legalább 800000 négyzetméternyi közterületet lefedő másodlagos cél kielégítő teljesítésétől is függ.</w:t>
            </w:r>
          </w:p>
        </w:tc>
      </w:tr>
      <w:tr w:rsidR="003F5418" w14:paraId="50CF2423" w14:textId="77777777">
        <w:trPr>
          <w:trHeight w:val="6917"/>
          <w:jc w:val="center"/>
        </w:trPr>
        <w:tc>
          <w:tcPr>
            <w:tcW w:w="384" w:type="pct"/>
            <w:shd w:val="clear" w:color="auto" w:fill="C6EFCE"/>
            <w:vAlign w:val="center"/>
            <w:hideMark/>
          </w:tcPr>
          <w:p w14:paraId="23C149D7" w14:textId="77777777" w:rsidR="003F5418" w:rsidRDefault="002A6C25">
            <w:pPr>
              <w:pStyle w:val="P68B1DB1-Normal4"/>
              <w:jc w:val="center"/>
              <w:rPr>
                <w:noProof/>
              </w:rPr>
            </w:pPr>
            <w:r>
              <w:rPr>
                <w:noProof/>
              </w:rPr>
              <w:t>M5C2–21</w:t>
            </w:r>
          </w:p>
        </w:tc>
        <w:tc>
          <w:tcPr>
            <w:tcW w:w="509" w:type="pct"/>
            <w:shd w:val="clear" w:color="auto" w:fill="C6EFCE"/>
            <w:vAlign w:val="center"/>
            <w:hideMark/>
          </w:tcPr>
          <w:p w14:paraId="493A936C" w14:textId="77777777" w:rsidR="003F5418" w:rsidRDefault="002A6C25">
            <w:pPr>
              <w:pStyle w:val="P68B1DB1-Normal4"/>
              <w:jc w:val="center"/>
              <w:rPr>
                <w:noProof/>
              </w:rPr>
            </w:pPr>
            <w:r>
              <w:rPr>
                <w:noProof/>
              </w:rPr>
              <w:t xml:space="preserve">Beruházás – Sport és társadalmi </w:t>
            </w:r>
            <w:r>
              <w:rPr>
                <w:noProof/>
              </w:rPr>
              <w:t>befogadás projekt</w:t>
            </w:r>
          </w:p>
        </w:tc>
        <w:tc>
          <w:tcPr>
            <w:tcW w:w="361" w:type="pct"/>
            <w:shd w:val="clear" w:color="auto" w:fill="C6EFCE"/>
            <w:vAlign w:val="center"/>
            <w:hideMark/>
          </w:tcPr>
          <w:p w14:paraId="673679AA" w14:textId="77777777" w:rsidR="003F5418" w:rsidRDefault="002A6C25">
            <w:pPr>
              <w:pStyle w:val="P68B1DB1-Normal4"/>
              <w:jc w:val="center"/>
              <w:rPr>
                <w:noProof/>
              </w:rPr>
            </w:pPr>
            <w:r>
              <w:rPr>
                <w:noProof/>
              </w:rPr>
              <w:t>Mérföldkő</w:t>
            </w:r>
          </w:p>
        </w:tc>
        <w:tc>
          <w:tcPr>
            <w:tcW w:w="505" w:type="pct"/>
            <w:shd w:val="clear" w:color="auto" w:fill="C6EFCE"/>
            <w:vAlign w:val="center"/>
            <w:hideMark/>
          </w:tcPr>
          <w:p w14:paraId="2FE64A06" w14:textId="77777777" w:rsidR="003F5418" w:rsidRDefault="002A6C25">
            <w:pPr>
              <w:pStyle w:val="P68B1DB1-Normal4"/>
              <w:jc w:val="center"/>
              <w:rPr>
                <w:noProof/>
              </w:rPr>
            </w:pPr>
            <w:r>
              <w:rPr>
                <w:noProof/>
              </w:rPr>
              <w:t>A sporttal és a társadalmi befogadással kapcsolatos projektekre vonatkozó valamennyi közbeszerzési szerződés odaítélése nyilvános pályázati felhívást követően</w:t>
            </w:r>
          </w:p>
        </w:tc>
        <w:tc>
          <w:tcPr>
            <w:tcW w:w="505" w:type="pct"/>
            <w:shd w:val="clear" w:color="auto" w:fill="C6EFCE"/>
            <w:vAlign w:val="center"/>
            <w:hideMark/>
          </w:tcPr>
          <w:p w14:paraId="30B284CC" w14:textId="77777777" w:rsidR="003F5418" w:rsidRDefault="002A6C25">
            <w:pPr>
              <w:pStyle w:val="P68B1DB1-Normal4"/>
              <w:jc w:val="center"/>
              <w:rPr>
                <w:noProof/>
              </w:rPr>
            </w:pPr>
            <w:r>
              <w:rPr>
                <w:noProof/>
              </w:rPr>
              <w:t xml:space="preserve">Értesítés a sporttal és a társadalmi befogadással kapcsolatos </w:t>
            </w:r>
            <w:r>
              <w:rPr>
                <w:noProof/>
              </w:rPr>
              <w:t>projektekre vonatkozó valamennyi közbeszerzési szerződés odaítéléséről</w:t>
            </w:r>
          </w:p>
        </w:tc>
        <w:tc>
          <w:tcPr>
            <w:tcW w:w="478" w:type="pct"/>
            <w:shd w:val="clear" w:color="auto" w:fill="C6EFCE"/>
            <w:vAlign w:val="center"/>
            <w:hideMark/>
          </w:tcPr>
          <w:p w14:paraId="4B9D5DED" w14:textId="77777777" w:rsidR="003F5418" w:rsidRDefault="002A6C25">
            <w:pPr>
              <w:pStyle w:val="P68B1DB1-Normal4"/>
              <w:jc w:val="center"/>
              <w:rPr>
                <w:noProof/>
              </w:rPr>
            </w:pPr>
            <w:r>
              <w:rPr>
                <w:noProof/>
              </w:rPr>
              <w:t>NINCS</w:t>
            </w:r>
          </w:p>
        </w:tc>
        <w:tc>
          <w:tcPr>
            <w:tcW w:w="318" w:type="pct"/>
            <w:shd w:val="clear" w:color="auto" w:fill="C6EFCE"/>
            <w:vAlign w:val="center"/>
            <w:hideMark/>
          </w:tcPr>
          <w:p w14:paraId="6F292270" w14:textId="77777777" w:rsidR="003F5418" w:rsidRDefault="002A6C25">
            <w:pPr>
              <w:pStyle w:val="P68B1DB1-Normal4"/>
              <w:jc w:val="center"/>
              <w:rPr>
                <w:noProof/>
              </w:rPr>
            </w:pPr>
            <w:r>
              <w:rPr>
                <w:noProof/>
              </w:rPr>
              <w:t>NINCS</w:t>
            </w:r>
          </w:p>
        </w:tc>
        <w:tc>
          <w:tcPr>
            <w:tcW w:w="384" w:type="pct"/>
            <w:shd w:val="clear" w:color="auto" w:fill="C6EFCE"/>
            <w:vAlign w:val="center"/>
            <w:hideMark/>
          </w:tcPr>
          <w:p w14:paraId="181B1E9F" w14:textId="77777777" w:rsidR="003F5418" w:rsidRDefault="002A6C25">
            <w:pPr>
              <w:pStyle w:val="P68B1DB1-Normal4"/>
              <w:jc w:val="center"/>
              <w:rPr>
                <w:noProof/>
              </w:rPr>
            </w:pPr>
            <w:r>
              <w:rPr>
                <w:noProof/>
              </w:rPr>
              <w:t>NINCS</w:t>
            </w:r>
          </w:p>
        </w:tc>
        <w:tc>
          <w:tcPr>
            <w:tcW w:w="275" w:type="pct"/>
            <w:shd w:val="clear" w:color="auto" w:fill="C6EFCE"/>
            <w:vAlign w:val="center"/>
            <w:hideMark/>
          </w:tcPr>
          <w:p w14:paraId="63727E05" w14:textId="77777777" w:rsidR="003F5418" w:rsidRDefault="002A6C25">
            <w:pPr>
              <w:pStyle w:val="P68B1DB1-Normal4"/>
              <w:jc w:val="center"/>
              <w:rPr>
                <w:noProof/>
              </w:rPr>
            </w:pPr>
            <w:r>
              <w:rPr>
                <w:noProof/>
              </w:rPr>
              <w:t>Q1</w:t>
            </w:r>
          </w:p>
        </w:tc>
        <w:tc>
          <w:tcPr>
            <w:tcW w:w="200" w:type="pct"/>
            <w:shd w:val="clear" w:color="auto" w:fill="C6EFCE"/>
            <w:vAlign w:val="center"/>
            <w:hideMark/>
          </w:tcPr>
          <w:p w14:paraId="3A5971DD" w14:textId="77777777" w:rsidR="003F5418" w:rsidRDefault="002A6C25">
            <w:pPr>
              <w:pStyle w:val="P68B1DB1-Normal4"/>
              <w:jc w:val="center"/>
              <w:rPr>
                <w:noProof/>
              </w:rPr>
            </w:pPr>
            <w:r>
              <w:rPr>
                <w:noProof/>
              </w:rPr>
              <w:t>2023</w:t>
            </w:r>
          </w:p>
        </w:tc>
        <w:tc>
          <w:tcPr>
            <w:tcW w:w="1081" w:type="pct"/>
            <w:shd w:val="clear" w:color="auto" w:fill="C6EFCE"/>
            <w:vAlign w:val="center"/>
            <w:hideMark/>
          </w:tcPr>
          <w:p w14:paraId="14720248" w14:textId="77777777" w:rsidR="003F5418" w:rsidRDefault="002A6C25">
            <w:pPr>
              <w:pStyle w:val="P68B1DB1-Normal4"/>
              <w:rPr>
                <w:rFonts w:eastAsia="Calibri"/>
                <w:noProof/>
              </w:rPr>
            </w:pPr>
            <w:r>
              <w:rPr>
                <w:noProof/>
              </w:rPr>
              <w:t>A közbeszerzési szerződések odaítéléséről szóló értesítés, amely legalább a következő elemek egyikét tartalmazza:</w:t>
            </w:r>
          </w:p>
          <w:p w14:paraId="74CE3335" w14:textId="77777777" w:rsidR="003F5418" w:rsidRDefault="003F5418">
            <w:pPr>
              <w:rPr>
                <w:rFonts w:ascii="Arial Narrow" w:hAnsi="Arial Narrow"/>
                <w:noProof/>
                <w:color w:val="006100"/>
                <w:sz w:val="20"/>
              </w:rPr>
            </w:pPr>
          </w:p>
          <w:p w14:paraId="258F7B28" w14:textId="77777777" w:rsidR="003F5418" w:rsidRDefault="002A6C25">
            <w:pPr>
              <w:pStyle w:val="P68B1DB1-Normal4"/>
              <w:rPr>
                <w:noProof/>
              </w:rPr>
            </w:pPr>
            <w:r>
              <w:rPr>
                <w:noProof/>
              </w:rPr>
              <w:t>1. új sportlétesítmények építése az ország h</w:t>
            </w:r>
            <w:r>
              <w:rPr>
                <w:noProof/>
              </w:rPr>
              <w:t>átrányos helyzetű területein;</w:t>
            </w:r>
          </w:p>
          <w:p w14:paraId="0C746D99" w14:textId="77777777" w:rsidR="003F5418" w:rsidRDefault="002A6C25">
            <w:pPr>
              <w:pStyle w:val="P68B1DB1-Normal4"/>
              <w:rPr>
                <w:noProof/>
              </w:rPr>
            </w:pPr>
            <w:r>
              <w:rPr>
                <w:noProof/>
              </w:rPr>
              <w:t>2. sportfelszerelések biztosítása, beleértve a technológia sportra való alkalmazását);</w:t>
            </w:r>
          </w:p>
          <w:p w14:paraId="699D45AB" w14:textId="77777777" w:rsidR="003F5418" w:rsidRDefault="002A6C25">
            <w:pPr>
              <w:pStyle w:val="P68B1DB1-Normal4"/>
              <w:rPr>
                <w:rFonts w:eastAsia="Calibri"/>
                <w:noProof/>
              </w:rPr>
            </w:pPr>
            <w:r>
              <w:rPr>
                <w:noProof/>
              </w:rPr>
              <w:t>3. a meglévő sportlétesítmények átminősítése és átalakítása (például: az építészeti akadályok felszámolása, energiahatékonyság stb.).</w:t>
            </w:r>
          </w:p>
          <w:p w14:paraId="5186AF13" w14:textId="77777777" w:rsidR="003F5418" w:rsidRDefault="003F5418">
            <w:pPr>
              <w:rPr>
                <w:rFonts w:ascii="Arial Narrow" w:hAnsi="Arial Narrow"/>
                <w:noProof/>
                <w:color w:val="006100"/>
                <w:sz w:val="20"/>
              </w:rPr>
            </w:pPr>
          </w:p>
          <w:p w14:paraId="36F752B4" w14:textId="77777777" w:rsidR="003F5418" w:rsidRDefault="002A6C25">
            <w:pPr>
              <w:pStyle w:val="P68B1DB1-Normal4"/>
              <w:rPr>
                <w:noProof/>
              </w:rPr>
            </w:pPr>
            <w:r>
              <w:rPr>
                <w:noProof/>
              </w:rPr>
              <w:t xml:space="preserve">A </w:t>
            </w:r>
            <w:r>
              <w:rPr>
                <w:noProof/>
              </w:rPr>
              <w:t>projekt célja a városi területek rehabilitációjának biztosítása a sportlétesítményekre összpontosítva, a társadalmi befogadás és integráció előmozdítása érdekében, különösen Olaszország leghátrányosabb helyzetű területein.</w:t>
            </w:r>
          </w:p>
          <w:p w14:paraId="492CA552" w14:textId="77777777" w:rsidR="003F5418" w:rsidRDefault="002A6C25">
            <w:pPr>
              <w:pStyle w:val="P68B1DB1-Normal4"/>
              <w:rPr>
                <w:noProof/>
              </w:rPr>
            </w:pPr>
            <w:r>
              <w:rPr>
                <w:noProof/>
              </w:rPr>
              <w:t>A kiválasztási kritériumoknak gar</w:t>
            </w:r>
            <w:r>
              <w:rPr>
                <w:noProof/>
              </w:rPr>
              <w:t>antálniuk kell, hogy a beruházás legalább 50%-át az (EU) 2021/241 rendelet VI. mellékletének 5. lábjegyzetében foglalt vonatkozó követelményeknek megfelelő új építkezésekre fordítsák.</w:t>
            </w:r>
          </w:p>
        </w:tc>
      </w:tr>
      <w:tr w:rsidR="003F5418" w14:paraId="6FB0A7B0" w14:textId="77777777">
        <w:trPr>
          <w:trHeight w:val="20"/>
          <w:jc w:val="center"/>
        </w:trPr>
        <w:tc>
          <w:tcPr>
            <w:tcW w:w="384" w:type="pct"/>
            <w:shd w:val="clear" w:color="auto" w:fill="C6EFCE"/>
            <w:vAlign w:val="center"/>
            <w:hideMark/>
          </w:tcPr>
          <w:p w14:paraId="35AA3B64" w14:textId="77777777" w:rsidR="003F5418" w:rsidRDefault="002A6C25">
            <w:pPr>
              <w:pStyle w:val="P68B1DB1-Normal4"/>
              <w:jc w:val="center"/>
              <w:rPr>
                <w:noProof/>
              </w:rPr>
            </w:pPr>
            <w:r>
              <w:rPr>
                <w:noProof/>
              </w:rPr>
              <w:t>M5C2–22</w:t>
            </w:r>
          </w:p>
        </w:tc>
        <w:tc>
          <w:tcPr>
            <w:tcW w:w="509" w:type="pct"/>
            <w:shd w:val="clear" w:color="auto" w:fill="C6EFCE"/>
            <w:vAlign w:val="center"/>
            <w:hideMark/>
          </w:tcPr>
          <w:p w14:paraId="5EB53BA6" w14:textId="77777777" w:rsidR="003F5418" w:rsidRDefault="002A6C25">
            <w:pPr>
              <w:pStyle w:val="P68B1DB1-Normal4"/>
              <w:jc w:val="center"/>
              <w:rPr>
                <w:noProof/>
              </w:rPr>
            </w:pPr>
            <w:r>
              <w:rPr>
                <w:noProof/>
              </w:rPr>
              <w:t>Beruházás – Sport és társadalmi befogadás projekt</w:t>
            </w:r>
          </w:p>
        </w:tc>
        <w:tc>
          <w:tcPr>
            <w:tcW w:w="361" w:type="pct"/>
            <w:shd w:val="clear" w:color="auto" w:fill="C6EFCE"/>
            <w:vAlign w:val="center"/>
            <w:hideMark/>
          </w:tcPr>
          <w:p w14:paraId="69BE44B7" w14:textId="77777777" w:rsidR="003F5418" w:rsidRDefault="002A6C25">
            <w:pPr>
              <w:pStyle w:val="P68B1DB1-Normal4"/>
              <w:jc w:val="center"/>
              <w:rPr>
                <w:noProof/>
              </w:rPr>
            </w:pPr>
            <w:r>
              <w:rPr>
                <w:noProof/>
              </w:rPr>
              <w:t>Cél</w:t>
            </w:r>
          </w:p>
        </w:tc>
        <w:tc>
          <w:tcPr>
            <w:tcW w:w="505" w:type="pct"/>
            <w:shd w:val="clear" w:color="auto" w:fill="C6EFCE"/>
            <w:vAlign w:val="center"/>
            <w:hideMark/>
          </w:tcPr>
          <w:p w14:paraId="435F1285" w14:textId="77777777" w:rsidR="003F5418" w:rsidRDefault="002A6C25">
            <w:pPr>
              <w:pStyle w:val="P68B1DB1-Normal4"/>
              <w:jc w:val="center"/>
              <w:rPr>
                <w:noProof/>
              </w:rPr>
            </w:pPr>
            <w:r>
              <w:rPr>
                <w:noProof/>
              </w:rPr>
              <w:t xml:space="preserve">A </w:t>
            </w:r>
            <w:r>
              <w:rPr>
                <w:noProof/>
              </w:rPr>
              <w:t>sportlétesítményekre vonatkozó szerződésekkel kapcsolatos beavatkozások</w:t>
            </w:r>
          </w:p>
        </w:tc>
        <w:tc>
          <w:tcPr>
            <w:tcW w:w="505" w:type="pct"/>
            <w:shd w:val="clear" w:color="auto" w:fill="C6EFCE"/>
            <w:vAlign w:val="center"/>
            <w:hideMark/>
          </w:tcPr>
          <w:p w14:paraId="315663B1" w14:textId="77777777" w:rsidR="003F5418" w:rsidRDefault="002A6C25">
            <w:pPr>
              <w:pStyle w:val="P68B1DB1-Normal4"/>
              <w:jc w:val="center"/>
              <w:rPr>
                <w:noProof/>
              </w:rPr>
            </w:pPr>
            <w:r>
              <w:rPr>
                <w:noProof/>
              </w:rPr>
              <w:t>NINCS</w:t>
            </w:r>
          </w:p>
        </w:tc>
        <w:tc>
          <w:tcPr>
            <w:tcW w:w="478" w:type="pct"/>
            <w:shd w:val="clear" w:color="auto" w:fill="C6EFCE"/>
            <w:vAlign w:val="center"/>
            <w:hideMark/>
          </w:tcPr>
          <w:p w14:paraId="5A3B3BF1" w14:textId="77777777" w:rsidR="003F5418" w:rsidRDefault="002A6C25">
            <w:pPr>
              <w:pStyle w:val="P68B1DB1-Normal4"/>
              <w:jc w:val="center"/>
              <w:rPr>
                <w:noProof/>
              </w:rPr>
            </w:pPr>
            <w:r>
              <w:rPr>
                <w:noProof/>
              </w:rPr>
              <w:t>Szám</w:t>
            </w:r>
          </w:p>
        </w:tc>
        <w:tc>
          <w:tcPr>
            <w:tcW w:w="318" w:type="pct"/>
            <w:shd w:val="clear" w:color="auto" w:fill="C6EFCE"/>
            <w:vAlign w:val="center"/>
            <w:hideMark/>
          </w:tcPr>
          <w:p w14:paraId="2D7760B2" w14:textId="77777777" w:rsidR="003F5418" w:rsidRDefault="002A6C25">
            <w:pPr>
              <w:pStyle w:val="P68B1DB1-Normal4"/>
              <w:jc w:val="center"/>
              <w:rPr>
                <w:noProof/>
              </w:rPr>
            </w:pPr>
            <w:r>
              <w:rPr>
                <w:noProof/>
              </w:rPr>
              <w:t>0</w:t>
            </w:r>
          </w:p>
        </w:tc>
        <w:tc>
          <w:tcPr>
            <w:tcW w:w="384" w:type="pct"/>
            <w:shd w:val="clear" w:color="auto" w:fill="C6EFCE"/>
            <w:vAlign w:val="center"/>
            <w:hideMark/>
          </w:tcPr>
          <w:p w14:paraId="57C565D4" w14:textId="77777777" w:rsidR="003F5418" w:rsidRDefault="002A6C25">
            <w:pPr>
              <w:pStyle w:val="P68B1DB1-Normal4"/>
              <w:jc w:val="center"/>
              <w:rPr>
                <w:noProof/>
              </w:rPr>
            </w:pPr>
            <w:r>
              <w:rPr>
                <w:noProof/>
              </w:rPr>
              <w:t>100</w:t>
            </w:r>
          </w:p>
        </w:tc>
        <w:tc>
          <w:tcPr>
            <w:tcW w:w="275" w:type="pct"/>
            <w:shd w:val="clear" w:color="auto" w:fill="C6EFCE"/>
            <w:vAlign w:val="center"/>
            <w:hideMark/>
          </w:tcPr>
          <w:p w14:paraId="4AE055B3" w14:textId="77777777" w:rsidR="003F5418" w:rsidRDefault="002A6C25">
            <w:pPr>
              <w:pStyle w:val="P68B1DB1-Normal4"/>
              <w:jc w:val="center"/>
              <w:rPr>
                <w:noProof/>
              </w:rPr>
            </w:pPr>
            <w:r>
              <w:rPr>
                <w:noProof/>
              </w:rPr>
              <w:t>Q2</w:t>
            </w:r>
          </w:p>
        </w:tc>
        <w:tc>
          <w:tcPr>
            <w:tcW w:w="200" w:type="pct"/>
            <w:shd w:val="clear" w:color="auto" w:fill="C6EFCE"/>
            <w:vAlign w:val="center"/>
            <w:hideMark/>
          </w:tcPr>
          <w:p w14:paraId="1B448C25" w14:textId="77777777" w:rsidR="003F5418" w:rsidRDefault="002A6C25">
            <w:pPr>
              <w:pStyle w:val="P68B1DB1-Normal4"/>
              <w:jc w:val="center"/>
              <w:rPr>
                <w:noProof/>
              </w:rPr>
            </w:pPr>
            <w:r>
              <w:rPr>
                <w:noProof/>
              </w:rPr>
              <w:t>2026</w:t>
            </w:r>
          </w:p>
        </w:tc>
        <w:tc>
          <w:tcPr>
            <w:tcW w:w="1081" w:type="pct"/>
            <w:shd w:val="clear" w:color="auto" w:fill="C6EFCE"/>
            <w:vAlign w:val="center"/>
            <w:hideMark/>
          </w:tcPr>
          <w:p w14:paraId="2FC1324C" w14:textId="77777777" w:rsidR="003F5418" w:rsidRDefault="002A6C25">
            <w:pPr>
              <w:pStyle w:val="P68B1DB1-Normal4"/>
              <w:rPr>
                <w:rFonts w:eastAsia="Calibri"/>
                <w:noProof/>
              </w:rPr>
            </w:pPr>
            <w:r>
              <w:rPr>
                <w:noProof/>
              </w:rPr>
              <w:t>Legalább 100 beavatkozás a sportlétesítményekre vonatkozó szerződésekhez kapcsolódóan.</w:t>
            </w:r>
          </w:p>
          <w:p w14:paraId="21B352B2" w14:textId="77777777" w:rsidR="003F5418" w:rsidRDefault="003F5418">
            <w:pPr>
              <w:rPr>
                <w:rFonts w:ascii="Arial Narrow" w:hAnsi="Arial Narrow"/>
                <w:noProof/>
                <w:color w:val="006100"/>
                <w:sz w:val="20"/>
              </w:rPr>
            </w:pPr>
          </w:p>
          <w:p w14:paraId="77783C45" w14:textId="77777777" w:rsidR="003F5418" w:rsidRDefault="002A6C25">
            <w:pPr>
              <w:pStyle w:val="P68B1DB1-Normal4"/>
              <w:rPr>
                <w:rFonts w:eastAsia="Calibri"/>
                <w:noProof/>
              </w:rPr>
            </w:pPr>
            <w:r>
              <w:rPr>
                <w:noProof/>
              </w:rPr>
              <w:t xml:space="preserve">A cél kielégítő teljesítése a másodlagos cél kielégítő teljesítésétől </w:t>
            </w:r>
            <w:r>
              <w:rPr>
                <w:noProof/>
              </w:rPr>
              <w:t>is függ: a végrehajtott beavatkozásoknak legalább 200000 négyzetméternyi területet kell lefedniük.</w:t>
            </w:r>
          </w:p>
          <w:p w14:paraId="5AAD1974" w14:textId="77777777" w:rsidR="003F5418" w:rsidRDefault="003F5418">
            <w:pPr>
              <w:rPr>
                <w:rFonts w:ascii="Arial Narrow" w:hAnsi="Arial Narrow"/>
                <w:noProof/>
                <w:color w:val="006100"/>
                <w:sz w:val="20"/>
              </w:rPr>
            </w:pPr>
          </w:p>
          <w:p w14:paraId="3DB650AE" w14:textId="77777777" w:rsidR="003F5418" w:rsidRDefault="002A6C25">
            <w:pPr>
              <w:pStyle w:val="P68B1DB1-Normal4"/>
              <w:rPr>
                <w:rFonts w:eastAsia="Calibri"/>
                <w:noProof/>
              </w:rPr>
            </w:pPr>
            <w:r>
              <w:rPr>
                <w:noProof/>
              </w:rPr>
              <w:t>A projektnek foglalkoznia kell a városrehabilitáció kérdéseivel a fenntarthatóság és a reziliencia elveinek megfelelően, a sportlétesítményekre összpontosít</w:t>
            </w:r>
            <w:r>
              <w:rPr>
                <w:noProof/>
              </w:rPr>
              <w:t>va, a társadalmi befogadás és integráció előmozdítása érdekében, különösen Olaszország leghátrányosabb helyzetű területein.</w:t>
            </w:r>
          </w:p>
          <w:p w14:paraId="1641FF60" w14:textId="77777777" w:rsidR="003F5418" w:rsidRDefault="003F5418">
            <w:pPr>
              <w:rPr>
                <w:rFonts w:ascii="Arial Narrow" w:eastAsia="Calibri" w:hAnsi="Arial Narrow"/>
                <w:noProof/>
                <w:color w:val="006100"/>
                <w:sz w:val="20"/>
              </w:rPr>
            </w:pPr>
          </w:p>
          <w:p w14:paraId="7CEEC962" w14:textId="77777777" w:rsidR="003F5418" w:rsidRDefault="002A6C25">
            <w:pPr>
              <w:pStyle w:val="P68B1DB1-Normal6"/>
              <w:rPr>
                <w:noProof/>
                <w:color w:val="006100"/>
              </w:rPr>
            </w:pPr>
            <w:r>
              <w:rPr>
                <w:noProof/>
                <w:color w:val="006100"/>
              </w:rPr>
              <w:t>A beruházás legalább 50%-át az (EU) 2021/241 rendelet VI. mellékletének 5. lábjegyzetében foglalt vonatkozó követelményeknek megfel</w:t>
            </w:r>
            <w:r>
              <w:rPr>
                <w:noProof/>
                <w:color w:val="006100"/>
              </w:rPr>
              <w:t>elő új építkezésekre kell fordítani.</w:t>
            </w:r>
            <w:r>
              <w:rPr>
                <w:noProof/>
                <w:color w:val="000000"/>
              </w:rPr>
              <w:t xml:space="preserve"> </w:t>
            </w:r>
          </w:p>
        </w:tc>
      </w:tr>
    </w:tbl>
    <w:p w14:paraId="671E0B23" w14:textId="77777777" w:rsidR="003F5418" w:rsidRDefault="003F5418">
      <w:pPr>
        <w:keepNext/>
        <w:tabs>
          <w:tab w:val="left" w:pos="4252"/>
        </w:tabs>
        <w:spacing w:before="720"/>
        <w:jc w:val="both"/>
        <w:rPr>
          <w:i/>
          <w:noProof/>
        </w:rPr>
        <w:sectPr w:rsidR="003F5418">
          <w:headerReference w:type="even" r:id="rId344"/>
          <w:headerReference w:type="default" r:id="rId345"/>
          <w:footerReference w:type="even" r:id="rId346"/>
          <w:footerReference w:type="default" r:id="rId347"/>
          <w:headerReference w:type="first" r:id="rId348"/>
          <w:footerReference w:type="first" r:id="rId349"/>
          <w:pgSz w:w="20160" w:h="12240" w:orient="landscape"/>
          <w:pgMar w:top="1440" w:right="1440" w:bottom="1440" w:left="1440" w:header="709" w:footer="709" w:gutter="0"/>
          <w:cols w:space="720"/>
          <w:docGrid w:linePitch="360"/>
        </w:sectPr>
      </w:pPr>
    </w:p>
    <w:p w14:paraId="069E35D4" w14:textId="77777777" w:rsidR="003F5418" w:rsidRDefault="002A6C25">
      <w:pPr>
        <w:pStyle w:val="Heading2"/>
        <w:numPr>
          <w:ilvl w:val="0"/>
          <w:numId w:val="0"/>
        </w:numPr>
        <w:ind w:left="850" w:hanging="850"/>
        <w:rPr>
          <w:noProof/>
        </w:rPr>
      </w:pPr>
      <w:r>
        <w:rPr>
          <w:noProof/>
        </w:rPr>
        <w:t>N. 5. KÜLDETÉS, 3. KOMPONENS: Különleges beavatkozások a területi kohézió érdekében</w:t>
      </w:r>
    </w:p>
    <w:p w14:paraId="7E83C002" w14:textId="77777777" w:rsidR="003F5418" w:rsidRDefault="002A6C25">
      <w:pPr>
        <w:tabs>
          <w:tab w:val="left" w:pos="1134"/>
        </w:tabs>
        <w:spacing w:before="120" w:after="120"/>
        <w:jc w:val="both"/>
        <w:rPr>
          <w:rFonts w:eastAsia="Calibri"/>
          <w:noProof/>
        </w:rPr>
      </w:pPr>
      <w:r>
        <w:rPr>
          <w:noProof/>
        </w:rPr>
        <w:t>A helyreállítási és rezilienciaépítési terv e komponense két beavatkozási területet</w:t>
      </w:r>
      <w:r>
        <w:rPr>
          <w:noProof/>
        </w:rPr>
        <w:t xml:space="preserve"> foglal magában: a belső, peremterületek és hegyvidéki területek rezilienciájára vonatkozó terv; a déli területek fejlesztésére irányuló projektek, beleértve az oktatási szegénység kezelésére, a vidéki gyógyszertárak helyi egészségügyi szolgáltatásokként v</w:t>
      </w:r>
      <w:r>
        <w:rPr>
          <w:noProof/>
        </w:rPr>
        <w:t>aló megszilárdítására, a szervezett bűnözésből elkobzott vagyon növelésére és a különleges gazdasági övezetekbe történő infrastrukturális beruházásokra irányuló beruházásokat.  Ezen intézkedések célja a területi szakadék kezelése három területen: demográfi</w:t>
      </w:r>
      <w:r>
        <w:rPr>
          <w:noProof/>
        </w:rPr>
        <w:t xml:space="preserve">a és szolgáltatások; készségfejlesztés; beruházások. </w:t>
      </w:r>
    </w:p>
    <w:p w14:paraId="1F69FD32" w14:textId="77777777" w:rsidR="003F5418" w:rsidRDefault="002A6C25">
      <w:pPr>
        <w:tabs>
          <w:tab w:val="left" w:pos="1134"/>
        </w:tabs>
        <w:spacing w:before="120" w:after="120"/>
        <w:jc w:val="both"/>
        <w:rPr>
          <w:rFonts w:eastAsia="Calibri"/>
          <w:noProof/>
        </w:rPr>
      </w:pPr>
      <w:r>
        <w:rPr>
          <w:noProof/>
        </w:rPr>
        <w:t>Az e komponens alá tartozó beruházásoknak és reformoknak hozzá kell járulniuk a 2019-ben és 2020-ban Olaszországnak címzett, „A kutatásra és innovációra vonatkozó, beruházásokkal kapcsolatos gazdaságpol</w:t>
      </w:r>
      <w:r>
        <w:rPr>
          <w:noProof/>
        </w:rPr>
        <w:t xml:space="preserve">itika és az infrastruktúra minősége, figyelembe véve a regionális különbségeket” (2019.3. országspecifikus ajánlás) szükségességéről szóló országspecifikus ajánlások teljesítéséhez; </w:t>
      </w:r>
      <w:r>
        <w:rPr>
          <w:rStyle w:val="normaltextrun"/>
          <w:rFonts w:hAnsi="Calibri"/>
          <w:noProof/>
          <w:shd w:val="clear" w:color="auto" w:fill="FFFFFF"/>
        </w:rPr>
        <w:t>„</w:t>
      </w:r>
      <w:r>
        <w:rPr>
          <w:rStyle w:val="normaltextrun"/>
          <w:rFonts w:hAnsi="Calibri"/>
          <w:noProof/>
          <w:shd w:val="clear" w:color="auto" w:fill="FFFFFF"/>
        </w:rPr>
        <w:t>az oktat</w:t>
      </w:r>
      <w:r>
        <w:rPr>
          <w:rStyle w:val="normaltextrun"/>
          <w:rFonts w:hAnsi="Calibri"/>
          <w:noProof/>
          <w:shd w:val="clear" w:color="auto" w:fill="FFFFFF"/>
        </w:rPr>
        <w:t>á</w:t>
      </w:r>
      <w:r>
        <w:rPr>
          <w:rStyle w:val="normaltextrun"/>
          <w:rFonts w:hAnsi="Calibri"/>
          <w:noProof/>
          <w:shd w:val="clear" w:color="auto" w:fill="FFFFFF"/>
        </w:rPr>
        <w:t>si eredm</w:t>
      </w:r>
      <w:r>
        <w:rPr>
          <w:rStyle w:val="normaltextrun"/>
          <w:rFonts w:hAnsi="Calibri"/>
          <w:noProof/>
          <w:shd w:val="clear" w:color="auto" w:fill="FFFFFF"/>
        </w:rPr>
        <w:t>é</w:t>
      </w:r>
      <w:r>
        <w:rPr>
          <w:rStyle w:val="normaltextrun"/>
          <w:rFonts w:hAnsi="Calibri"/>
          <w:noProof/>
          <w:shd w:val="clear" w:color="auto" w:fill="FFFFFF"/>
        </w:rPr>
        <w:t>nyek jav</w:t>
      </w:r>
      <w:r>
        <w:rPr>
          <w:rStyle w:val="normaltextrun"/>
          <w:rFonts w:hAnsi="Calibri"/>
          <w:noProof/>
          <w:shd w:val="clear" w:color="auto" w:fill="FFFFFF"/>
        </w:rPr>
        <w:t>í</w:t>
      </w:r>
      <w:r>
        <w:rPr>
          <w:rStyle w:val="normaltextrun"/>
          <w:rFonts w:hAnsi="Calibri"/>
          <w:noProof/>
          <w:shd w:val="clear" w:color="auto" w:fill="FFFFFF"/>
        </w:rPr>
        <w:t>t</w:t>
      </w:r>
      <w:r>
        <w:rPr>
          <w:rStyle w:val="normaltextrun"/>
          <w:rFonts w:hAnsi="Calibri"/>
          <w:noProof/>
          <w:shd w:val="clear" w:color="auto" w:fill="FFFFFF"/>
        </w:rPr>
        <w:t>á</w:t>
      </w:r>
      <w:r>
        <w:rPr>
          <w:rStyle w:val="normaltextrun"/>
          <w:rFonts w:hAnsi="Calibri"/>
          <w:noProof/>
          <w:shd w:val="clear" w:color="auto" w:fill="FFFFFF"/>
        </w:rPr>
        <w:t>sa</w:t>
      </w:r>
      <w:r>
        <w:rPr>
          <w:rStyle w:val="normaltextrun"/>
          <w:rFonts w:hAnsi="Calibri"/>
          <w:noProof/>
          <w:shd w:val="clear" w:color="auto" w:fill="FFFFFF"/>
        </w:rPr>
        <w:t>”</w:t>
      </w:r>
      <w:r>
        <w:rPr>
          <w:rStyle w:val="normaltextrun"/>
          <w:rFonts w:hAnsi="Calibri"/>
          <w:noProof/>
          <w:shd w:val="clear" w:color="auto" w:fill="FFFFFF"/>
        </w:rPr>
        <w:t xml:space="preserve"> (2019.2. orsz</w:t>
      </w:r>
      <w:r>
        <w:rPr>
          <w:rStyle w:val="normaltextrun"/>
          <w:rFonts w:hAnsi="Calibri"/>
          <w:noProof/>
          <w:shd w:val="clear" w:color="auto" w:fill="FFFFFF"/>
        </w:rPr>
        <w:t>á</w:t>
      </w:r>
      <w:r>
        <w:rPr>
          <w:rStyle w:val="normaltextrun"/>
          <w:rFonts w:hAnsi="Calibri"/>
          <w:noProof/>
          <w:shd w:val="clear" w:color="auto" w:fill="FFFFFF"/>
        </w:rPr>
        <w:t>gspecifikus aj</w:t>
      </w:r>
      <w:r>
        <w:rPr>
          <w:rStyle w:val="normaltextrun"/>
          <w:rFonts w:hAnsi="Calibri"/>
          <w:noProof/>
          <w:shd w:val="clear" w:color="auto" w:fill="FFFFFF"/>
        </w:rPr>
        <w:t>á</w:t>
      </w:r>
      <w:r>
        <w:rPr>
          <w:rStyle w:val="normaltextrun"/>
          <w:rFonts w:hAnsi="Calibri"/>
          <w:noProof/>
          <w:shd w:val="clear" w:color="auto" w:fill="FFFFFF"/>
        </w:rPr>
        <w:t>nl</w:t>
      </w:r>
      <w:r>
        <w:rPr>
          <w:rStyle w:val="normaltextrun"/>
          <w:rFonts w:hAnsi="Calibri"/>
          <w:noProof/>
          <w:shd w:val="clear" w:color="auto" w:fill="FFFFFF"/>
        </w:rPr>
        <w:t>á</w:t>
      </w:r>
      <w:r>
        <w:rPr>
          <w:rStyle w:val="normaltextrun"/>
          <w:rFonts w:hAnsi="Calibri"/>
          <w:noProof/>
          <w:shd w:val="clear" w:color="auto" w:fill="FFFFFF"/>
        </w:rPr>
        <w:t>s);</w:t>
      </w:r>
      <w:r>
        <w:rPr>
          <w:rStyle w:val="normaltextrun"/>
          <w:rFonts w:hAnsi="Calibri"/>
          <w:noProof/>
          <w:shd w:val="clear" w:color="auto" w:fill="FFFFFF"/>
        </w:rPr>
        <w:t> „</w:t>
      </w:r>
      <w:r>
        <w:rPr>
          <w:rStyle w:val="normaltextrun"/>
          <w:rFonts w:hAnsi="Calibri"/>
          <w:noProof/>
          <w:shd w:val="clear" w:color="auto" w:fill="FFFFFF"/>
        </w:rPr>
        <w:t xml:space="preserve">Az </w:t>
      </w:r>
      <w:r>
        <w:rPr>
          <w:rStyle w:val="normaltextrun"/>
          <w:rFonts w:hAnsi="Calibri"/>
          <w:noProof/>
          <w:shd w:val="clear" w:color="auto" w:fill="FFFFFF"/>
        </w:rPr>
        <w:t>eg</w:t>
      </w:r>
      <w:r>
        <w:rPr>
          <w:rStyle w:val="normaltextrun"/>
          <w:rFonts w:hAnsi="Calibri"/>
          <w:noProof/>
          <w:shd w:val="clear" w:color="auto" w:fill="FFFFFF"/>
        </w:rPr>
        <w:t>é</w:t>
      </w:r>
      <w:r>
        <w:rPr>
          <w:rStyle w:val="normaltextrun"/>
          <w:rFonts w:hAnsi="Calibri"/>
          <w:noProof/>
          <w:shd w:val="clear" w:color="auto" w:fill="FFFFFF"/>
        </w:rPr>
        <w:t>szs</w:t>
      </w:r>
      <w:r>
        <w:rPr>
          <w:rStyle w:val="normaltextrun"/>
          <w:rFonts w:hAnsi="Calibri"/>
          <w:noProof/>
          <w:shd w:val="clear" w:color="auto" w:fill="FFFFFF"/>
        </w:rPr>
        <w:t>é</w:t>
      </w:r>
      <w:r>
        <w:rPr>
          <w:rStyle w:val="normaltextrun"/>
          <w:rFonts w:hAnsi="Calibri"/>
          <w:noProof/>
          <w:shd w:val="clear" w:color="auto" w:fill="FFFFFF"/>
        </w:rPr>
        <w:t>g</w:t>
      </w:r>
      <w:r>
        <w:rPr>
          <w:rStyle w:val="normaltextrun"/>
          <w:rFonts w:hAnsi="Calibri"/>
          <w:noProof/>
          <w:shd w:val="clear" w:color="auto" w:fill="FFFFFF"/>
        </w:rPr>
        <w:t>ü</w:t>
      </w:r>
      <w:r>
        <w:rPr>
          <w:rStyle w:val="normaltextrun"/>
          <w:rFonts w:hAnsi="Calibri"/>
          <w:noProof/>
          <w:shd w:val="clear" w:color="auto" w:fill="FFFFFF"/>
        </w:rPr>
        <w:t>gyi rendszer rezilienci</w:t>
      </w:r>
      <w:r>
        <w:rPr>
          <w:rStyle w:val="normaltextrun"/>
          <w:rFonts w:hAnsi="Calibri"/>
          <w:noProof/>
          <w:shd w:val="clear" w:color="auto" w:fill="FFFFFF"/>
        </w:rPr>
        <w:t>á</w:t>
      </w:r>
      <w:r>
        <w:rPr>
          <w:rStyle w:val="normaltextrun"/>
          <w:rFonts w:hAnsi="Calibri"/>
          <w:noProof/>
          <w:shd w:val="clear" w:color="auto" w:fill="FFFFFF"/>
        </w:rPr>
        <w:t>j</w:t>
      </w:r>
      <w:r>
        <w:rPr>
          <w:rStyle w:val="normaltextrun"/>
          <w:rFonts w:hAnsi="Calibri"/>
          <w:noProof/>
          <w:shd w:val="clear" w:color="auto" w:fill="FFFFFF"/>
        </w:rPr>
        <w:t>á</w:t>
      </w:r>
      <w:r>
        <w:rPr>
          <w:rStyle w:val="normaltextrun"/>
          <w:rFonts w:hAnsi="Calibri"/>
          <w:noProof/>
          <w:shd w:val="clear" w:color="auto" w:fill="FFFFFF"/>
        </w:rPr>
        <w:t xml:space="preserve">nak </w:t>
      </w:r>
      <w:r>
        <w:rPr>
          <w:rStyle w:val="normaltextrun"/>
          <w:rFonts w:hAnsi="Calibri"/>
          <w:noProof/>
          <w:shd w:val="clear" w:color="auto" w:fill="FFFFFF"/>
        </w:rPr>
        <w:t>é</w:t>
      </w:r>
      <w:r>
        <w:rPr>
          <w:rStyle w:val="normaltextrun"/>
          <w:rFonts w:hAnsi="Calibri"/>
          <w:noProof/>
          <w:shd w:val="clear" w:color="auto" w:fill="FFFFFF"/>
        </w:rPr>
        <w:t>s kapacit</w:t>
      </w:r>
      <w:r>
        <w:rPr>
          <w:rStyle w:val="normaltextrun"/>
          <w:rFonts w:hAnsi="Calibri"/>
          <w:noProof/>
          <w:shd w:val="clear" w:color="auto" w:fill="FFFFFF"/>
        </w:rPr>
        <w:t>á</w:t>
      </w:r>
      <w:r>
        <w:rPr>
          <w:rStyle w:val="normaltextrun"/>
          <w:rFonts w:hAnsi="Calibri"/>
          <w:noProof/>
          <w:shd w:val="clear" w:color="auto" w:fill="FFFFFF"/>
        </w:rPr>
        <w:t>s</w:t>
      </w:r>
      <w:r>
        <w:rPr>
          <w:rStyle w:val="normaltextrun"/>
          <w:rFonts w:hAnsi="Calibri"/>
          <w:noProof/>
          <w:shd w:val="clear" w:color="auto" w:fill="FFFFFF"/>
        </w:rPr>
        <w:t>á</w:t>
      </w:r>
      <w:r>
        <w:rPr>
          <w:rStyle w:val="normaltextrun"/>
          <w:rFonts w:hAnsi="Calibri"/>
          <w:noProof/>
          <w:shd w:val="clear" w:color="auto" w:fill="FFFFFF"/>
        </w:rPr>
        <w:t>nak meger</w:t>
      </w:r>
      <w:r>
        <w:rPr>
          <w:rStyle w:val="normaltextrun"/>
          <w:rFonts w:hAnsi="Calibri"/>
          <w:noProof/>
          <w:shd w:val="clear" w:color="auto" w:fill="FFFFFF"/>
        </w:rPr>
        <w:t>ő</w:t>
      </w:r>
      <w:r>
        <w:rPr>
          <w:rStyle w:val="normaltextrun"/>
          <w:rFonts w:hAnsi="Calibri"/>
          <w:noProof/>
          <w:shd w:val="clear" w:color="auto" w:fill="FFFFFF"/>
        </w:rPr>
        <w:t>s</w:t>
      </w:r>
      <w:r>
        <w:rPr>
          <w:rStyle w:val="normaltextrun"/>
          <w:rFonts w:hAnsi="Calibri"/>
          <w:noProof/>
          <w:shd w:val="clear" w:color="auto" w:fill="FFFFFF"/>
        </w:rPr>
        <w:t>í</w:t>
      </w:r>
      <w:r>
        <w:rPr>
          <w:rStyle w:val="normaltextrun"/>
          <w:rFonts w:hAnsi="Calibri"/>
          <w:noProof/>
          <w:shd w:val="clear" w:color="auto" w:fill="FFFFFF"/>
        </w:rPr>
        <w:t>t</w:t>
      </w:r>
      <w:r>
        <w:rPr>
          <w:rStyle w:val="normaltextrun"/>
          <w:rFonts w:hAnsi="Calibri"/>
          <w:noProof/>
          <w:shd w:val="clear" w:color="auto" w:fill="FFFFFF"/>
        </w:rPr>
        <w:t>é</w:t>
      </w:r>
      <w:r>
        <w:rPr>
          <w:rStyle w:val="normaltextrun"/>
          <w:rFonts w:hAnsi="Calibri"/>
          <w:noProof/>
          <w:shd w:val="clear" w:color="auto" w:fill="FFFFFF"/>
        </w:rPr>
        <w:t>se</w:t>
      </w:r>
      <w:r>
        <w:rPr>
          <w:rStyle w:val="normaltextrun"/>
          <w:rFonts w:ascii="Calibri" w:hAnsi="Calibri"/>
          <w:noProof/>
          <w:shd w:val="clear" w:color="auto" w:fill="FFFFFF"/>
        </w:rPr>
        <w:t xml:space="preserve"> [...]</w:t>
      </w:r>
      <w:r>
        <w:rPr>
          <w:rStyle w:val="normaltextrun"/>
          <w:noProof/>
          <w:shd w:val="clear" w:color="auto" w:fill="FFFFFF"/>
        </w:rPr>
        <w:t>” (2020.1. országspecifikus ajánlás)</w:t>
      </w:r>
      <w:r>
        <w:rPr>
          <w:rStyle w:val="normaltextrun"/>
          <w:rFonts w:ascii="Calibri" w:hAnsi="Calibri"/>
          <w:noProof/>
          <w:shd w:val="clear" w:color="auto" w:fill="FFFFFF"/>
        </w:rPr>
        <w:t>; </w:t>
      </w:r>
      <w:r>
        <w:rPr>
          <w:rStyle w:val="normaltextrun"/>
          <w:noProof/>
          <w:shd w:val="clear" w:color="auto" w:fill="FFFFFF"/>
        </w:rPr>
        <w:t>„megfelelő [...] és a szociális védelemhez való hozzáférés biztosítása” (2020.2. országspecifikus ajánlás)</w:t>
      </w:r>
      <w:r>
        <w:rPr>
          <w:rStyle w:val="normaltextrun"/>
          <w:rFonts w:ascii="Calibri" w:hAnsi="Calibri"/>
          <w:noProof/>
          <w:shd w:val="clear" w:color="auto" w:fill="FFFFFF"/>
        </w:rPr>
        <w:t xml:space="preserve">. </w:t>
      </w:r>
    </w:p>
    <w:p w14:paraId="4023335E" w14:textId="77777777" w:rsidR="003F5418" w:rsidRDefault="003F5418">
      <w:pPr>
        <w:spacing w:before="120" w:after="120"/>
        <w:jc w:val="both"/>
        <w:rPr>
          <w:noProof/>
        </w:rPr>
      </w:pPr>
    </w:p>
    <w:p w14:paraId="21766C93"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N.1. </w:t>
      </w:r>
      <w:r>
        <w:rPr>
          <w:noProof/>
        </w:rPr>
        <w:t xml:space="preserve"> </w:t>
      </w:r>
      <w:r>
        <w:rPr>
          <w:b/>
          <w:i w:val="0"/>
          <w:noProof/>
          <w:u w:val="single"/>
        </w:rPr>
        <w:t>Vissza nem térítendő pénzügy</w:t>
      </w:r>
      <w:r>
        <w:rPr>
          <w:b/>
          <w:i w:val="0"/>
          <w:noProof/>
          <w:u w:val="single"/>
        </w:rPr>
        <w:t>i támogatás – a reformok és beruházások ismertetése</w:t>
      </w:r>
    </w:p>
    <w:p w14:paraId="57300B8F" w14:textId="62E9B098" w:rsidR="003F5418" w:rsidRDefault="00AF4CCB">
      <w:pPr>
        <w:pStyle w:val="P68B1DB1-Normal2"/>
        <w:spacing w:before="120" w:after="120"/>
        <w:jc w:val="both"/>
        <w:rPr>
          <w:noProof/>
        </w:rPr>
      </w:pPr>
      <w:r>
        <w:rPr>
          <w:noProof/>
        </w:rPr>
        <w:t>1</w:t>
      </w:r>
      <w:r w:rsidRPr="00B07E42">
        <w:rPr>
          <w:noProof/>
        </w:rPr>
        <w:t>.</w:t>
      </w:r>
      <w:r>
        <w:rPr>
          <w:noProof/>
        </w:rPr>
        <w:t>1. Beruházás Belső területek – 1. A közösségi szociális szolgáltatások és infrastruktúrák fejlesztése</w:t>
      </w:r>
    </w:p>
    <w:p w14:paraId="693843B7" w14:textId="77777777" w:rsidR="003F5418" w:rsidRDefault="002A6C25">
      <w:pPr>
        <w:spacing w:before="120" w:after="120"/>
        <w:jc w:val="both"/>
        <w:rPr>
          <w:noProof/>
        </w:rPr>
      </w:pPr>
      <w:r>
        <w:rPr>
          <w:noProof/>
        </w:rPr>
        <w:t>A beavatkozás célja a társadalmi kirekesztés és a marginalizálódás problémájának kezelése azáltal, h</w:t>
      </w:r>
      <w:r>
        <w:rPr>
          <w:noProof/>
        </w:rPr>
        <w:t>ogy a helyi hatóságok által nyújtott közszolgáltatások finanszírozásának növelésével fokozza a szolgáltatásnyújtást (a megvalósítási mechanizmus az önkormányzatoknak nyújtott támogatásokból áll). A finanszírozott projektek a következőkre vonatkozhatnak: id</w:t>
      </w:r>
      <w:r>
        <w:rPr>
          <w:noProof/>
        </w:rPr>
        <w:t>ősek otthoni ápolása; közösségi ápolók és szülésznők; kis kórházak (elsősegélynyújtás nélkül) vagy néhány alapszolgáltatás (pl. radiológia, kardiológia, nőgyógyászat) és járóbeteg-központok megerősítése; helikoptermentési infrastruktúrák; a fogyatékkal élő</w:t>
      </w:r>
      <w:r>
        <w:rPr>
          <w:noProof/>
        </w:rPr>
        <w:t>ket segítő központok megerősítése; tanácsadó központok, kulturális szolgáltatások, sportszolgáltatások és migránsok befogadása. A beavatkozásnak vagy új szolgáltatások és infrastruktúrák létrehozását, vagy a meglévők javítását kell előirányoznia a kedvezmé</w:t>
      </w:r>
      <w:r>
        <w:rPr>
          <w:noProof/>
        </w:rPr>
        <w:t xml:space="preserve">nyezettek számának vagy az ellátás minőségének növelése révén. </w:t>
      </w:r>
    </w:p>
    <w:p w14:paraId="2E8AAA5C" w14:textId="77777777" w:rsidR="003F5418" w:rsidRDefault="002A6C25">
      <w:pPr>
        <w:spacing w:before="120" w:after="120"/>
        <w:jc w:val="both"/>
        <w:rPr>
          <w:noProof/>
        </w:rPr>
      </w:pPr>
      <w:r>
        <w:rPr>
          <w:noProof/>
        </w:rPr>
        <w:t>Annak biztosítása érdekében, hogy az intézkedés megfeleljen a jelentős károkozás elkerülését célzó elvről szóló technikai iránymutatásnak (2021/C58/01), a soron következő pályázati felhívásokr</w:t>
      </w:r>
      <w:r>
        <w:rPr>
          <w:noProof/>
        </w:rPr>
        <w:t>a vonatkozó feladatmeghatározásban szereplő támogathatósági kritériumok nem tartalmazzák a tevékenységek alábbi listáját</w:t>
      </w:r>
      <w:r w:rsidRPr="00AF4CCB">
        <w:rPr>
          <w:noProof/>
        </w:rPr>
        <w:t xml:space="preserve">: a fosszilis tüzelőanyagokkal kapcsolatostevékenységek, beleértve </w:t>
      </w:r>
      <w:r>
        <w:rPr>
          <w:noProof/>
        </w:rPr>
        <w:t>a továbbfelhasználást is</w:t>
      </w:r>
      <w:r>
        <w:rPr>
          <w:rStyle w:val="FootnoteReference"/>
          <w:noProof/>
        </w:rPr>
        <w:footnoteReference w:id="115"/>
      </w:r>
      <w:r>
        <w:rPr>
          <w:noProof/>
        </w:rPr>
        <w:t>; ii. az uniós kibocsátáskereskedelmi rendsz</w:t>
      </w:r>
      <w:r>
        <w:rPr>
          <w:noProof/>
        </w:rPr>
        <w:t>er (ETS) keretében végzett tevékenységek, amelyek elérik a vonatkozó referenciaértékeket meg nem haladó, előre jelzett üvegházhatásúgáz-kibocsátást</w:t>
      </w:r>
      <w:r>
        <w:rPr>
          <w:rStyle w:val="FootnoteReference"/>
          <w:noProof/>
        </w:rPr>
        <w:footnoteReference w:id="116"/>
      </w:r>
      <w:r>
        <w:rPr>
          <w:noProof/>
        </w:rPr>
        <w:t>; hulladéklerakókkal, hulladékégetőkkel</w:t>
      </w:r>
      <w:r>
        <w:rPr>
          <w:rStyle w:val="FootnoteReference"/>
          <w:noProof/>
        </w:rPr>
        <w:footnoteReference w:id="117"/>
      </w:r>
      <w:r>
        <w:rPr>
          <w:noProof/>
        </w:rPr>
        <w:t xml:space="preserve"> és mechanikai-biológiai hulladékkezelő létesítményekkel kapcsolatos tevékenységek</w:t>
      </w:r>
      <w:r>
        <w:rPr>
          <w:rStyle w:val="FootnoteReference"/>
          <w:noProof/>
        </w:rPr>
        <w:footnoteReference w:id="118"/>
      </w:r>
      <w:r>
        <w:rPr>
          <w:noProof/>
        </w:rPr>
        <w:t>; valamint iv. azok a tevékenységek, amelyek esetében a hulladék hosszú távú ártalmatlanítása károsíthatja a környezetet. A feladatmeghatározás előírja továbbá, hogy csak ol</w:t>
      </w:r>
      <w:r>
        <w:rPr>
          <w:noProof/>
        </w:rPr>
        <w:t>yan tevékenységek választhatók ki, amelyek megfelelnek a vonatkozó uniós és nemzeti környezetvédelmi jogszabályoknak.</w:t>
      </w:r>
    </w:p>
    <w:p w14:paraId="18B64DF6" w14:textId="77777777" w:rsidR="003F5418" w:rsidRDefault="003F5418">
      <w:pPr>
        <w:spacing w:before="120" w:after="120"/>
        <w:jc w:val="both"/>
        <w:rPr>
          <w:b/>
          <w:noProof/>
        </w:rPr>
      </w:pPr>
    </w:p>
    <w:p w14:paraId="24D9953C" w14:textId="4D8B7030" w:rsidR="003F5418" w:rsidRDefault="00AF4CCB">
      <w:pPr>
        <w:pStyle w:val="P68B1DB1-Normal2"/>
        <w:spacing w:before="120" w:after="120"/>
        <w:jc w:val="both"/>
        <w:rPr>
          <w:noProof/>
        </w:rPr>
      </w:pPr>
      <w:r>
        <w:rPr>
          <w:noProof/>
        </w:rPr>
        <w:t>1</w:t>
      </w:r>
      <w:r w:rsidRPr="00B07E42">
        <w:rPr>
          <w:noProof/>
        </w:rPr>
        <w:t>.</w:t>
      </w:r>
      <w:r>
        <w:rPr>
          <w:noProof/>
        </w:rPr>
        <w:t xml:space="preserve">1.2. Beruházás: Területi közelségi egészségügyi létesítmények </w:t>
      </w:r>
    </w:p>
    <w:p w14:paraId="4A3EE17C" w14:textId="77777777" w:rsidR="003F5418" w:rsidRDefault="002A6C25">
      <w:pPr>
        <w:spacing w:before="120" w:after="120"/>
        <w:jc w:val="both"/>
        <w:rPr>
          <w:noProof/>
        </w:rPr>
      </w:pPr>
      <w:r>
        <w:rPr>
          <w:noProof/>
        </w:rPr>
        <w:t>A beavatkozás célja a vidéki gyógyszertárak helyi egészségügyi szolgálta</w:t>
      </w:r>
      <w:r>
        <w:rPr>
          <w:noProof/>
        </w:rPr>
        <w:t>tásokként történő megszilárdítása (a vidéki gyógyszertárak meghatározása az L. 1968. március 27-i 221. szám alapján történik). Ez az intézkedés azonnali támogatást nyújt azoknak a vidéki gyógyszertáraknak, amelyek a Covid19-vészhelyzet idején alapvető refe</w:t>
      </w:r>
      <w:r>
        <w:rPr>
          <w:noProof/>
        </w:rPr>
        <w:t xml:space="preserve">renciapontot jelentettek a helyi lakosság számára. Az egészségügyi létesítmények biztosításában betöltött szerepük megerősítésével a gyógyszertárak továbbra is a közösségi élet központi elemét képezhetik, és az egészségügyi ellátást a polgárokhoz a lehető </w:t>
      </w:r>
      <w:r>
        <w:rPr>
          <w:noProof/>
        </w:rPr>
        <w:t>legközelebb állóvá tehetik. Ezek a gyógyszertárak várhatóan megerősítik szerepüket a következők révén: az integrált otthoni segítségnyújtási szolgáltatásban való részvétel; ii. másodszintű szolgáltatások nyújtása az egyes betegségekre előirányzott diagnosz</w:t>
      </w:r>
      <w:r>
        <w:rPr>
          <w:noProof/>
        </w:rPr>
        <w:t xml:space="preserve">tikai-terápiás útvonalakkal összhangban; iii. olyan gyógyszerek kiadása, amelyeket a beteg most kénytelen a kórházban begyűjteni; iv. a beteg figyelemmel kísérése az elektronikus egészségügyi dokumentációval és a gyógyszerdokumentációval. </w:t>
      </w:r>
    </w:p>
    <w:p w14:paraId="695D1ED9" w14:textId="77777777" w:rsidR="003F5418" w:rsidRDefault="003F5418">
      <w:pPr>
        <w:spacing w:before="120" w:after="120"/>
        <w:jc w:val="both"/>
        <w:rPr>
          <w:b/>
          <w:noProof/>
        </w:rPr>
      </w:pPr>
    </w:p>
    <w:p w14:paraId="34754BA4" w14:textId="2C880056" w:rsidR="003F5418" w:rsidRDefault="00AF4CCB">
      <w:pPr>
        <w:pStyle w:val="P68B1DB1-Normal2"/>
        <w:spacing w:before="120" w:after="120"/>
        <w:jc w:val="both"/>
        <w:rPr>
          <w:noProof/>
        </w:rPr>
      </w:pPr>
      <w:r>
        <w:rPr>
          <w:noProof/>
        </w:rPr>
        <w:t>1</w:t>
      </w:r>
      <w:r w:rsidRPr="00B07E42">
        <w:rPr>
          <w:noProof/>
        </w:rPr>
        <w:t>.</w:t>
      </w:r>
      <w:r>
        <w:rPr>
          <w:noProof/>
        </w:rPr>
        <w:t>3. Beruházás: Strukturált társadalmi-oktatási beavatkozások a déli oktatási szegénység elleni küzdelem érdekében, támogatva a harmadik szektort</w:t>
      </w:r>
    </w:p>
    <w:p w14:paraId="12E3A022" w14:textId="77777777" w:rsidR="003F5418" w:rsidRDefault="002A6C25">
      <w:pPr>
        <w:spacing w:before="120" w:after="120"/>
        <w:jc w:val="both"/>
        <w:rPr>
          <w:noProof/>
        </w:rPr>
      </w:pPr>
      <w:r>
        <w:rPr>
          <w:noProof/>
        </w:rPr>
        <w:t>Az intézkedés célja a harmadik szektor támogatása, valamint társadalmi-oktatási szolgáltatások nyújtása kiskorúak számára a d</w:t>
      </w:r>
      <w:r>
        <w:rPr>
          <w:noProof/>
        </w:rPr>
        <w:t xml:space="preserve">éli régiókban (Abruzzo, Basilicata, Campania, Calabria, Molise, Puglia, Szardínia és Szicília), összefüggésben az európai kohéziós politika 2021–2027-es programozási időszakára vonatkozó partnerségi megállapodás rendelkezéseivel. </w:t>
      </w:r>
    </w:p>
    <w:p w14:paraId="4182EBC1" w14:textId="77777777" w:rsidR="003F5418" w:rsidRDefault="002A6C25">
      <w:pPr>
        <w:spacing w:before="120" w:after="120"/>
        <w:jc w:val="both"/>
        <w:rPr>
          <w:noProof/>
        </w:rPr>
      </w:pPr>
      <w:r>
        <w:rPr>
          <w:noProof/>
        </w:rPr>
        <w:t>Az oktatási szegénység el</w:t>
      </w:r>
      <w:r>
        <w:rPr>
          <w:noProof/>
        </w:rPr>
        <w:t>leni küzdelmet és a harmadik szektor támogatását célzó társadalmi-oktatási beavatkozások várhatóan a következő területek valamelyikére fognak irányulni:</w:t>
      </w:r>
    </w:p>
    <w:p w14:paraId="569B15D1" w14:textId="77777777" w:rsidR="003F5418" w:rsidRDefault="002A6C25">
      <w:pPr>
        <w:pStyle w:val="ListParagraph"/>
        <w:numPr>
          <w:ilvl w:val="0"/>
          <w:numId w:val="48"/>
        </w:numPr>
        <w:ind w:left="360"/>
        <w:rPr>
          <w:noProof/>
        </w:rPr>
      </w:pPr>
      <w:r>
        <w:rPr>
          <w:noProof/>
        </w:rPr>
        <w:t xml:space="preserve"> A 0–6 éves gyermekekre irányuló intézkedések, amelyek célja a bölcsődékhez és az óvodákhoz való hozzáf</w:t>
      </w:r>
      <w:r>
        <w:rPr>
          <w:noProof/>
        </w:rPr>
        <w:t>érés feltételeinek javítása és a szülők támogatása,</w:t>
      </w:r>
    </w:p>
    <w:p w14:paraId="16A0D070" w14:textId="77777777" w:rsidR="003F5418" w:rsidRDefault="002A6C25">
      <w:pPr>
        <w:pStyle w:val="ListParagraph"/>
        <w:numPr>
          <w:ilvl w:val="0"/>
          <w:numId w:val="48"/>
        </w:numPr>
        <w:ind w:left="360"/>
        <w:rPr>
          <w:noProof/>
        </w:rPr>
      </w:pPr>
      <w:r>
        <w:rPr>
          <w:noProof/>
        </w:rPr>
        <w:t>Az 5–10 éves gyermekekre irányuló intézkedések, amelyek célja a hatékony oktatási lehetőségek biztosítása, valamint az iskolai lemorzsolódás és megfélemlítés, valamint más káros pszichés helyzetek korai m</w:t>
      </w:r>
      <w:r>
        <w:rPr>
          <w:noProof/>
        </w:rPr>
        <w:t xml:space="preserve">egelőzése, </w:t>
      </w:r>
    </w:p>
    <w:p w14:paraId="3269268A" w14:textId="77777777" w:rsidR="003F5418" w:rsidRDefault="002A6C25">
      <w:pPr>
        <w:pStyle w:val="ListParagraph"/>
        <w:numPr>
          <w:ilvl w:val="0"/>
          <w:numId w:val="48"/>
        </w:numPr>
        <w:ind w:left="360"/>
        <w:rPr>
          <w:noProof/>
        </w:rPr>
      </w:pPr>
      <w:r>
        <w:rPr>
          <w:noProof/>
        </w:rPr>
        <w:t>A 11–17 éves gyermekekre irányuló intézkedések, amelyek célja az oktatási kínálat javítása és a korai iskolaelhagyás megelőzése.</w:t>
      </w:r>
    </w:p>
    <w:p w14:paraId="06F84B69" w14:textId="77777777" w:rsidR="003F5418" w:rsidRDefault="002A6C25">
      <w:pPr>
        <w:spacing w:before="120" w:after="120"/>
        <w:jc w:val="both"/>
        <w:rPr>
          <w:noProof/>
        </w:rPr>
      </w:pPr>
      <w:r>
        <w:rPr>
          <w:noProof/>
        </w:rPr>
        <w:t>A pályázati felhívások legfontosabb jellemzői a következők lesznek:</w:t>
      </w:r>
    </w:p>
    <w:p w14:paraId="7E71B55C" w14:textId="117650BC" w:rsidR="003F5418" w:rsidRDefault="002A6C25">
      <w:pPr>
        <w:pStyle w:val="ListParagraph"/>
        <w:numPr>
          <w:ilvl w:val="0"/>
          <w:numId w:val="48"/>
        </w:numPr>
        <w:ind w:left="360"/>
        <w:rPr>
          <w:noProof/>
        </w:rPr>
      </w:pPr>
      <w:r>
        <w:rPr>
          <w:noProof/>
        </w:rPr>
        <w:t xml:space="preserve">A hirdetmények egyenként legalább 50 000 000 EUR-t tesznek ki. </w:t>
      </w:r>
    </w:p>
    <w:p w14:paraId="6B478FCB" w14:textId="77777777" w:rsidR="003F5418" w:rsidRDefault="002A6C25">
      <w:pPr>
        <w:pStyle w:val="ListParagraph"/>
        <w:numPr>
          <w:ilvl w:val="0"/>
          <w:numId w:val="48"/>
        </w:numPr>
        <w:ind w:left="360"/>
        <w:rPr>
          <w:noProof/>
        </w:rPr>
      </w:pPr>
      <w:r>
        <w:rPr>
          <w:noProof/>
        </w:rPr>
        <w:t>A harmadik szektorbeli jogalanyok projektjeinek időtartama legalább egy és legfeljebb két év.</w:t>
      </w:r>
    </w:p>
    <w:p w14:paraId="28B30F08" w14:textId="77777777" w:rsidR="003F5418" w:rsidRDefault="003F5418">
      <w:pPr>
        <w:rPr>
          <w:noProof/>
        </w:rPr>
      </w:pPr>
    </w:p>
    <w:p w14:paraId="78546E95" w14:textId="77777777" w:rsidR="003F5418" w:rsidRDefault="002A6C25">
      <w:pPr>
        <w:pStyle w:val="Heading3"/>
        <w:numPr>
          <w:ilvl w:val="0"/>
          <w:numId w:val="0"/>
        </w:numPr>
        <w:ind w:left="850" w:hanging="850"/>
        <w:rPr>
          <w:b/>
          <w:i w:val="0"/>
          <w:noProof/>
        </w:rPr>
      </w:pPr>
      <w:r>
        <w:rPr>
          <w:b/>
          <w:i w:val="0"/>
          <w:noProof/>
        </w:rPr>
        <w:t xml:space="preserve">N.2. </w:t>
      </w:r>
      <w:r>
        <w:rPr>
          <w:noProof/>
        </w:rPr>
        <w:t xml:space="preserve"> </w:t>
      </w:r>
      <w:r>
        <w:rPr>
          <w:b/>
          <w:i w:val="0"/>
          <w:noProof/>
        </w:rPr>
        <w:t>Vissza nem térítendő pénzügyi támogatás – a végrehajtáshoz és a nyomon követéshez kapcsolód</w:t>
      </w:r>
      <w:r>
        <w:rPr>
          <w:b/>
          <w:i w:val="0"/>
          <w:noProof/>
        </w:rPr>
        <w:t>ó mérföldkövek, célok, mutatók és ütemterv</w:t>
      </w:r>
    </w:p>
    <w:p w14:paraId="5A2351AC" w14:textId="77777777" w:rsidR="003F5418" w:rsidRDefault="003F5418">
      <w:pPr>
        <w:spacing w:before="120" w:after="120"/>
        <w:ind w:left="709"/>
        <w:jc w:val="both"/>
        <w:rPr>
          <w:noProof/>
        </w:rPr>
        <w:sectPr w:rsidR="003F5418">
          <w:headerReference w:type="even" r:id="rId350"/>
          <w:headerReference w:type="default" r:id="rId351"/>
          <w:footerReference w:type="even" r:id="rId352"/>
          <w:footerReference w:type="default" r:id="rId353"/>
          <w:headerReference w:type="first" r:id="rId354"/>
          <w:footerReference w:type="first" r:id="rId355"/>
          <w:pgSz w:w="11907" w:h="16839"/>
          <w:pgMar w:top="1440" w:right="1440" w:bottom="1440" w:left="1440" w:header="567" w:footer="567" w:gutter="0"/>
          <w:cols w:space="720"/>
          <w:docGrid w:linePitch="360"/>
        </w:sectPr>
      </w:pPr>
    </w:p>
    <w:tbl>
      <w:tblPr>
        <w:tblW w:w="157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772"/>
        <w:gridCol w:w="1412"/>
        <w:gridCol w:w="1566"/>
        <w:gridCol w:w="1560"/>
        <w:gridCol w:w="1310"/>
        <w:gridCol w:w="1134"/>
        <w:gridCol w:w="992"/>
        <w:gridCol w:w="991"/>
        <w:gridCol w:w="812"/>
        <w:gridCol w:w="3271"/>
      </w:tblGrid>
      <w:tr w:rsidR="003F5418" w14:paraId="1ECA877A" w14:textId="77777777">
        <w:trPr>
          <w:trHeight w:val="927"/>
          <w:tblHeader/>
        </w:trPr>
        <w:tc>
          <w:tcPr>
            <w:tcW w:w="1207" w:type="dxa"/>
            <w:vMerge w:val="restart"/>
            <w:shd w:val="clear" w:color="auto" w:fill="BDD7EE"/>
            <w:vAlign w:val="center"/>
            <w:hideMark/>
          </w:tcPr>
          <w:p w14:paraId="180123F4" w14:textId="77777777" w:rsidR="003F5418" w:rsidRDefault="002A6C25">
            <w:pPr>
              <w:pStyle w:val="P68B1DB1-Normal3"/>
              <w:jc w:val="center"/>
              <w:rPr>
                <w:noProof/>
              </w:rPr>
            </w:pPr>
            <w:r>
              <w:rPr>
                <w:noProof/>
              </w:rPr>
              <w:t>Sorszám</w:t>
            </w:r>
          </w:p>
        </w:tc>
        <w:tc>
          <w:tcPr>
            <w:tcW w:w="1772" w:type="dxa"/>
            <w:vMerge w:val="restart"/>
            <w:shd w:val="clear" w:color="auto" w:fill="BDD7EE"/>
            <w:vAlign w:val="center"/>
            <w:hideMark/>
          </w:tcPr>
          <w:p w14:paraId="7ECD13C4" w14:textId="77777777" w:rsidR="003F5418" w:rsidRDefault="002A6C25">
            <w:pPr>
              <w:pStyle w:val="P68B1DB1-Normal3"/>
              <w:jc w:val="center"/>
              <w:rPr>
                <w:noProof/>
              </w:rPr>
            </w:pPr>
            <w:r>
              <w:rPr>
                <w:noProof/>
              </w:rPr>
              <w:t>Kapcsolódó intézkedés (reform vagy beruházás)</w:t>
            </w:r>
          </w:p>
        </w:tc>
        <w:tc>
          <w:tcPr>
            <w:tcW w:w="1412" w:type="dxa"/>
            <w:vMerge w:val="restart"/>
            <w:shd w:val="clear" w:color="auto" w:fill="BDD7EE"/>
            <w:vAlign w:val="center"/>
            <w:hideMark/>
          </w:tcPr>
          <w:p w14:paraId="1C7C3506" w14:textId="77777777" w:rsidR="003F5418" w:rsidRDefault="002A6C25">
            <w:pPr>
              <w:pStyle w:val="P68B1DB1-Normal3"/>
              <w:jc w:val="center"/>
              <w:rPr>
                <w:noProof/>
              </w:rPr>
            </w:pPr>
            <w:r>
              <w:rPr>
                <w:noProof/>
              </w:rPr>
              <w:t>Mérföldkő/cél</w:t>
            </w:r>
          </w:p>
        </w:tc>
        <w:tc>
          <w:tcPr>
            <w:tcW w:w="1559" w:type="dxa"/>
            <w:vMerge w:val="restart"/>
            <w:shd w:val="clear" w:color="auto" w:fill="BDD7EE"/>
            <w:vAlign w:val="center"/>
            <w:hideMark/>
          </w:tcPr>
          <w:p w14:paraId="640AF388" w14:textId="77777777" w:rsidR="003F5418" w:rsidRDefault="002A6C25">
            <w:pPr>
              <w:pStyle w:val="P68B1DB1-Normal3"/>
              <w:jc w:val="center"/>
              <w:rPr>
                <w:noProof/>
              </w:rPr>
            </w:pPr>
            <w:r>
              <w:rPr>
                <w:noProof/>
              </w:rPr>
              <w:t>Név</w:t>
            </w:r>
          </w:p>
        </w:tc>
        <w:tc>
          <w:tcPr>
            <w:tcW w:w="1560" w:type="dxa"/>
            <w:vMerge w:val="restart"/>
            <w:shd w:val="clear" w:color="auto" w:fill="BDD7EE"/>
            <w:vAlign w:val="center"/>
            <w:hideMark/>
          </w:tcPr>
          <w:p w14:paraId="132D85C5"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3260" w:type="dxa"/>
            <w:gridSpan w:val="3"/>
            <w:shd w:val="clear" w:color="auto" w:fill="BDD7EE"/>
            <w:vAlign w:val="center"/>
            <w:hideMark/>
          </w:tcPr>
          <w:p w14:paraId="5471967B"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(célok esetében)</w:t>
            </w:r>
          </w:p>
        </w:tc>
        <w:tc>
          <w:tcPr>
            <w:tcW w:w="1728" w:type="dxa"/>
            <w:gridSpan w:val="2"/>
            <w:shd w:val="clear" w:color="auto" w:fill="BDD7EE"/>
            <w:vAlign w:val="center"/>
            <w:hideMark/>
          </w:tcPr>
          <w:p w14:paraId="24A6C434" w14:textId="77777777" w:rsidR="003F5418" w:rsidRDefault="002A6C25">
            <w:pPr>
              <w:pStyle w:val="P68B1DB1-Normal3"/>
              <w:jc w:val="center"/>
              <w:rPr>
                <w:noProof/>
              </w:rPr>
            </w:pPr>
            <w:r>
              <w:rPr>
                <w:noProof/>
              </w:rPr>
              <w:t xml:space="preserve">A </w:t>
            </w:r>
            <w:r>
              <w:rPr>
                <w:noProof/>
              </w:rPr>
              <w:t>végrehajtás indikatív ütemterve</w:t>
            </w:r>
          </w:p>
        </w:tc>
        <w:tc>
          <w:tcPr>
            <w:tcW w:w="3271" w:type="dxa"/>
            <w:vMerge w:val="restart"/>
            <w:shd w:val="clear" w:color="auto" w:fill="BDD7EE"/>
            <w:vAlign w:val="center"/>
            <w:hideMark/>
          </w:tcPr>
          <w:p w14:paraId="2CC1B85D" w14:textId="77777777" w:rsidR="003F5418" w:rsidRDefault="002A6C25">
            <w:pPr>
              <w:pStyle w:val="P68B1DB1-Normal3"/>
              <w:jc w:val="center"/>
              <w:rPr>
                <w:noProof/>
              </w:rPr>
            </w:pPr>
            <w:r>
              <w:rPr>
                <w:noProof/>
              </w:rPr>
              <w:t>Az egyes mérföldkövek és célértékek leírása</w:t>
            </w:r>
          </w:p>
        </w:tc>
      </w:tr>
      <w:tr w:rsidR="003F5418" w14:paraId="178F1D1B" w14:textId="77777777">
        <w:trPr>
          <w:trHeight w:val="1013"/>
        </w:trPr>
        <w:tc>
          <w:tcPr>
            <w:tcW w:w="1207" w:type="dxa"/>
            <w:vMerge/>
            <w:vAlign w:val="center"/>
            <w:hideMark/>
          </w:tcPr>
          <w:p w14:paraId="5ABC15EE" w14:textId="77777777" w:rsidR="003F5418" w:rsidRDefault="003F5418">
            <w:pPr>
              <w:jc w:val="center"/>
              <w:rPr>
                <w:rFonts w:ascii="Arial Narrow" w:hAnsi="Arial Narrow"/>
                <w:b/>
                <w:noProof/>
                <w:sz w:val="20"/>
              </w:rPr>
            </w:pPr>
          </w:p>
        </w:tc>
        <w:tc>
          <w:tcPr>
            <w:tcW w:w="1772" w:type="dxa"/>
            <w:vMerge/>
            <w:vAlign w:val="center"/>
            <w:hideMark/>
          </w:tcPr>
          <w:p w14:paraId="7CA237A7" w14:textId="77777777" w:rsidR="003F5418" w:rsidRDefault="003F5418">
            <w:pPr>
              <w:jc w:val="center"/>
              <w:rPr>
                <w:rFonts w:ascii="Arial Narrow" w:hAnsi="Arial Narrow"/>
                <w:b/>
                <w:noProof/>
                <w:sz w:val="20"/>
              </w:rPr>
            </w:pPr>
          </w:p>
        </w:tc>
        <w:tc>
          <w:tcPr>
            <w:tcW w:w="1412" w:type="dxa"/>
            <w:vMerge/>
            <w:vAlign w:val="center"/>
            <w:hideMark/>
          </w:tcPr>
          <w:p w14:paraId="763E0CF5" w14:textId="77777777" w:rsidR="003F5418" w:rsidRDefault="003F5418">
            <w:pPr>
              <w:jc w:val="center"/>
              <w:rPr>
                <w:rFonts w:ascii="Arial Narrow" w:hAnsi="Arial Narrow"/>
                <w:b/>
                <w:noProof/>
                <w:sz w:val="20"/>
              </w:rPr>
            </w:pPr>
          </w:p>
        </w:tc>
        <w:tc>
          <w:tcPr>
            <w:tcW w:w="1559" w:type="dxa"/>
            <w:vMerge/>
            <w:vAlign w:val="center"/>
            <w:hideMark/>
          </w:tcPr>
          <w:p w14:paraId="4584069E" w14:textId="77777777" w:rsidR="003F5418" w:rsidRDefault="003F5418">
            <w:pPr>
              <w:jc w:val="center"/>
              <w:rPr>
                <w:rFonts w:ascii="Arial Narrow" w:hAnsi="Arial Narrow"/>
                <w:b/>
                <w:noProof/>
                <w:sz w:val="20"/>
              </w:rPr>
            </w:pPr>
          </w:p>
        </w:tc>
        <w:tc>
          <w:tcPr>
            <w:tcW w:w="1560" w:type="dxa"/>
            <w:vMerge/>
            <w:vAlign w:val="center"/>
            <w:hideMark/>
          </w:tcPr>
          <w:p w14:paraId="74FEBFB9" w14:textId="77777777" w:rsidR="003F5418" w:rsidRDefault="003F5418">
            <w:pPr>
              <w:jc w:val="center"/>
              <w:rPr>
                <w:rFonts w:ascii="Arial Narrow" w:hAnsi="Arial Narrow"/>
                <w:b/>
                <w:noProof/>
                <w:sz w:val="20"/>
              </w:rPr>
            </w:pPr>
          </w:p>
        </w:tc>
        <w:tc>
          <w:tcPr>
            <w:tcW w:w="1134" w:type="dxa"/>
            <w:shd w:val="clear" w:color="auto" w:fill="BDD7EE"/>
            <w:vAlign w:val="center"/>
            <w:hideMark/>
          </w:tcPr>
          <w:p w14:paraId="6C0E24B9" w14:textId="77777777" w:rsidR="003F5418" w:rsidRDefault="002A6C25">
            <w:pPr>
              <w:pStyle w:val="P68B1DB1-Normal3"/>
              <w:jc w:val="center"/>
              <w:rPr>
                <w:noProof/>
              </w:rPr>
            </w:pPr>
            <w:r>
              <w:rPr>
                <w:noProof/>
              </w:rPr>
              <w:t>Mértékegység</w:t>
            </w:r>
          </w:p>
        </w:tc>
        <w:tc>
          <w:tcPr>
            <w:tcW w:w="1134" w:type="dxa"/>
            <w:shd w:val="clear" w:color="auto" w:fill="BDD7EE"/>
            <w:vAlign w:val="center"/>
            <w:hideMark/>
          </w:tcPr>
          <w:p w14:paraId="75A3CB9C" w14:textId="77777777" w:rsidR="003F5418" w:rsidRDefault="002A6C25">
            <w:pPr>
              <w:pStyle w:val="P68B1DB1-Normal3"/>
              <w:jc w:val="center"/>
              <w:rPr>
                <w:noProof/>
              </w:rPr>
            </w:pPr>
            <w:r>
              <w:rPr>
                <w:noProof/>
              </w:rPr>
              <w:t>Kiindulási</w:t>
            </w:r>
          </w:p>
        </w:tc>
        <w:tc>
          <w:tcPr>
            <w:tcW w:w="992" w:type="dxa"/>
            <w:shd w:val="clear" w:color="auto" w:fill="BDD7EE"/>
            <w:vAlign w:val="center"/>
            <w:hideMark/>
          </w:tcPr>
          <w:p w14:paraId="27C709FF" w14:textId="77777777" w:rsidR="003F5418" w:rsidRDefault="002A6C25">
            <w:pPr>
              <w:pStyle w:val="P68B1DB1-Normal3"/>
              <w:jc w:val="center"/>
              <w:rPr>
                <w:noProof/>
              </w:rPr>
            </w:pPr>
            <w:r>
              <w:rPr>
                <w:noProof/>
              </w:rPr>
              <w:t>Cél</w:t>
            </w:r>
          </w:p>
        </w:tc>
        <w:tc>
          <w:tcPr>
            <w:tcW w:w="916" w:type="dxa"/>
            <w:shd w:val="clear" w:color="auto" w:fill="BDD7EE"/>
            <w:vAlign w:val="center"/>
            <w:hideMark/>
          </w:tcPr>
          <w:p w14:paraId="19D74BE3" w14:textId="77777777" w:rsidR="003F5418" w:rsidRDefault="002A6C25">
            <w:pPr>
              <w:pStyle w:val="P68B1DB1-Normal3"/>
              <w:jc w:val="center"/>
              <w:rPr>
                <w:noProof/>
              </w:rPr>
            </w:pPr>
            <w:r>
              <w:rPr>
                <w:noProof/>
              </w:rPr>
              <w:t>Negyedév</w:t>
            </w:r>
          </w:p>
        </w:tc>
        <w:tc>
          <w:tcPr>
            <w:tcW w:w="812" w:type="dxa"/>
            <w:shd w:val="clear" w:color="auto" w:fill="BDD7EE"/>
            <w:vAlign w:val="center"/>
            <w:hideMark/>
          </w:tcPr>
          <w:p w14:paraId="73870B8B" w14:textId="77777777" w:rsidR="003F5418" w:rsidRDefault="002A6C25">
            <w:pPr>
              <w:pStyle w:val="P68B1DB1-Normal3"/>
              <w:jc w:val="center"/>
              <w:rPr>
                <w:noProof/>
              </w:rPr>
            </w:pPr>
            <w:r>
              <w:rPr>
                <w:noProof/>
              </w:rPr>
              <w:t>Éve</w:t>
            </w:r>
          </w:p>
        </w:tc>
        <w:tc>
          <w:tcPr>
            <w:tcW w:w="3271" w:type="dxa"/>
            <w:vMerge/>
            <w:vAlign w:val="center"/>
            <w:hideMark/>
          </w:tcPr>
          <w:p w14:paraId="1ED2C9A9" w14:textId="77777777" w:rsidR="003F5418" w:rsidRDefault="003F5418">
            <w:pPr>
              <w:jc w:val="center"/>
              <w:rPr>
                <w:rFonts w:ascii="Arial Narrow" w:hAnsi="Arial Narrow"/>
                <w:b/>
                <w:noProof/>
                <w:sz w:val="20"/>
              </w:rPr>
            </w:pPr>
          </w:p>
        </w:tc>
      </w:tr>
      <w:tr w:rsidR="003F5418" w14:paraId="6CB79C3E" w14:textId="77777777">
        <w:trPr>
          <w:trHeight w:val="309"/>
        </w:trPr>
        <w:tc>
          <w:tcPr>
            <w:tcW w:w="1207" w:type="dxa"/>
            <w:shd w:val="clear" w:color="auto" w:fill="C6EFCE"/>
            <w:noWrap/>
            <w:vAlign w:val="center"/>
            <w:hideMark/>
          </w:tcPr>
          <w:p w14:paraId="685C5DF0" w14:textId="77777777" w:rsidR="003F5418" w:rsidRDefault="002A6C25">
            <w:pPr>
              <w:pStyle w:val="P68B1DB1-Normal4"/>
              <w:jc w:val="center"/>
              <w:rPr>
                <w:noProof/>
              </w:rPr>
            </w:pPr>
            <w:r>
              <w:rPr>
                <w:noProof/>
              </w:rPr>
              <w:t>M5C3–1</w:t>
            </w:r>
          </w:p>
        </w:tc>
        <w:tc>
          <w:tcPr>
            <w:tcW w:w="1772" w:type="dxa"/>
            <w:shd w:val="clear" w:color="auto" w:fill="C6EFCE"/>
            <w:noWrap/>
            <w:vAlign w:val="center"/>
            <w:hideMark/>
          </w:tcPr>
          <w:p w14:paraId="3A8CA4D1" w14:textId="77777777" w:rsidR="003F5418" w:rsidRDefault="002A6C25">
            <w:pPr>
              <w:pStyle w:val="P68B1DB1-Normal4"/>
              <w:jc w:val="center"/>
              <w:rPr>
                <w:noProof/>
              </w:rPr>
            </w:pPr>
            <w:r>
              <w:rPr>
                <w:noProof/>
              </w:rPr>
              <w:t>1.1.1. beruházás: Belső területek – A közösségi szociális szolgáltatások és infrastruktúrák megerősítése</w:t>
            </w:r>
          </w:p>
        </w:tc>
        <w:tc>
          <w:tcPr>
            <w:tcW w:w="1412" w:type="dxa"/>
            <w:shd w:val="clear" w:color="auto" w:fill="C6EFCE"/>
            <w:noWrap/>
            <w:vAlign w:val="center"/>
            <w:hideMark/>
          </w:tcPr>
          <w:p w14:paraId="409BBD98" w14:textId="77777777" w:rsidR="003F5418" w:rsidRDefault="002A6C25">
            <w:pPr>
              <w:pStyle w:val="P68B1DB1-Normal4"/>
              <w:jc w:val="center"/>
              <w:rPr>
                <w:noProof/>
              </w:rPr>
            </w:pPr>
            <w:r>
              <w:rPr>
                <w:noProof/>
              </w:rPr>
              <w:t>Mérföldkő</w:t>
            </w:r>
          </w:p>
        </w:tc>
        <w:tc>
          <w:tcPr>
            <w:tcW w:w="1559" w:type="dxa"/>
            <w:shd w:val="clear" w:color="auto" w:fill="C6EFCE"/>
            <w:noWrap/>
            <w:vAlign w:val="center"/>
            <w:hideMark/>
          </w:tcPr>
          <w:p w14:paraId="31C537A0" w14:textId="77777777" w:rsidR="003F5418" w:rsidRDefault="002A6C25">
            <w:pPr>
              <w:pStyle w:val="P68B1DB1-Normal4"/>
              <w:jc w:val="center"/>
              <w:rPr>
                <w:noProof/>
              </w:rPr>
            </w:pPr>
            <w:r>
              <w:rPr>
                <w:noProof/>
              </w:rPr>
              <w:t xml:space="preserve">A belső </w:t>
            </w:r>
            <w:r>
              <w:rPr>
                <w:noProof/>
              </w:rPr>
              <w:t>területek szociális szolgáltatásainak és infrastruktúrájának javítását célzó beavatkozásokra, valamint a 3000 főnél kevesebb lakosú települések gyógyszertárainak támogatására irányuló pályázat odaítélése</w:t>
            </w:r>
          </w:p>
        </w:tc>
        <w:tc>
          <w:tcPr>
            <w:tcW w:w="1560" w:type="dxa"/>
            <w:shd w:val="clear" w:color="auto" w:fill="C6EFCE"/>
            <w:noWrap/>
            <w:vAlign w:val="center"/>
            <w:hideMark/>
          </w:tcPr>
          <w:p w14:paraId="75F3D2EF" w14:textId="77777777" w:rsidR="003F5418" w:rsidRDefault="002A6C25">
            <w:pPr>
              <w:pStyle w:val="P68B1DB1-Normal4"/>
              <w:jc w:val="center"/>
              <w:rPr>
                <w:noProof/>
              </w:rPr>
            </w:pPr>
            <w:r>
              <w:rPr>
                <w:noProof/>
              </w:rPr>
              <w:t>Értesítés a beavatkozásokra vonatkozó valamennyi köz</w:t>
            </w:r>
            <w:r>
              <w:rPr>
                <w:noProof/>
              </w:rPr>
              <w:t>beszerzési szerződés odaítéléséről</w:t>
            </w:r>
          </w:p>
        </w:tc>
        <w:tc>
          <w:tcPr>
            <w:tcW w:w="1134" w:type="dxa"/>
            <w:shd w:val="clear" w:color="auto" w:fill="C6EFCE"/>
            <w:noWrap/>
            <w:vAlign w:val="center"/>
            <w:hideMark/>
          </w:tcPr>
          <w:p w14:paraId="25F0048D"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3EB5417" w14:textId="77777777" w:rsidR="003F5418" w:rsidRDefault="002A6C25">
            <w:pPr>
              <w:pStyle w:val="P68B1DB1-Normal4"/>
              <w:jc w:val="center"/>
              <w:rPr>
                <w:noProof/>
              </w:rPr>
            </w:pPr>
            <w:r>
              <w:rPr>
                <w:noProof/>
              </w:rPr>
              <w:t>NINCS</w:t>
            </w:r>
          </w:p>
        </w:tc>
        <w:tc>
          <w:tcPr>
            <w:tcW w:w="992" w:type="dxa"/>
            <w:shd w:val="clear" w:color="auto" w:fill="C6EFCE"/>
            <w:noWrap/>
            <w:vAlign w:val="center"/>
            <w:hideMark/>
          </w:tcPr>
          <w:p w14:paraId="7605B90A" w14:textId="77777777" w:rsidR="003F5418" w:rsidRDefault="002A6C25">
            <w:pPr>
              <w:pStyle w:val="P68B1DB1-Normal4"/>
              <w:jc w:val="center"/>
              <w:rPr>
                <w:noProof/>
              </w:rPr>
            </w:pPr>
            <w:r>
              <w:rPr>
                <w:noProof/>
              </w:rPr>
              <w:t>NINCS</w:t>
            </w:r>
          </w:p>
        </w:tc>
        <w:tc>
          <w:tcPr>
            <w:tcW w:w="916" w:type="dxa"/>
            <w:shd w:val="clear" w:color="auto" w:fill="C6EFCE"/>
            <w:noWrap/>
            <w:vAlign w:val="center"/>
            <w:hideMark/>
          </w:tcPr>
          <w:p w14:paraId="5498A7CC" w14:textId="77777777" w:rsidR="003F5418" w:rsidRDefault="002A6C25">
            <w:pPr>
              <w:pStyle w:val="P68B1DB1-Normal4"/>
              <w:jc w:val="center"/>
              <w:rPr>
                <w:noProof/>
              </w:rPr>
            </w:pPr>
            <w:r>
              <w:rPr>
                <w:noProof/>
              </w:rPr>
              <w:t>Q4</w:t>
            </w:r>
          </w:p>
        </w:tc>
        <w:tc>
          <w:tcPr>
            <w:tcW w:w="812" w:type="dxa"/>
            <w:shd w:val="clear" w:color="auto" w:fill="C6EFCE"/>
            <w:noWrap/>
            <w:vAlign w:val="center"/>
            <w:hideMark/>
          </w:tcPr>
          <w:p w14:paraId="7F6A1DFD" w14:textId="77777777" w:rsidR="003F5418" w:rsidRDefault="002A6C25">
            <w:pPr>
              <w:pStyle w:val="P68B1DB1-Normal4"/>
              <w:jc w:val="center"/>
              <w:rPr>
                <w:noProof/>
              </w:rPr>
            </w:pPr>
            <w:r>
              <w:rPr>
                <w:noProof/>
              </w:rPr>
              <w:t>2022</w:t>
            </w:r>
          </w:p>
        </w:tc>
        <w:tc>
          <w:tcPr>
            <w:tcW w:w="3271" w:type="dxa"/>
            <w:shd w:val="clear" w:color="auto" w:fill="C6EFCE"/>
            <w:noWrap/>
            <w:vAlign w:val="center"/>
            <w:hideMark/>
          </w:tcPr>
          <w:p w14:paraId="250D6DCB" w14:textId="77777777" w:rsidR="003F5418" w:rsidRDefault="003F5418">
            <w:pPr>
              <w:jc w:val="center"/>
              <w:rPr>
                <w:rFonts w:ascii="Arial Narrow" w:hAnsi="Arial Narrow"/>
                <w:noProof/>
                <w:sz w:val="20"/>
              </w:rPr>
            </w:pPr>
          </w:p>
          <w:p w14:paraId="0F39DA64" w14:textId="77777777" w:rsidR="003F5418" w:rsidRDefault="002A6C25">
            <w:pPr>
              <w:pStyle w:val="P68B1DB1-Normal4"/>
              <w:rPr>
                <w:noProof/>
              </w:rPr>
            </w:pPr>
            <w:r>
              <w:rPr>
                <w:noProof/>
              </w:rPr>
              <w:t>A beavatkozásnak új szolgáltatásokat és infrastruktúrákat kell létrehoznia, vagy javítania kell a meglévőket a címzettek számának vagy az ellátás minőségének növelésével.</w:t>
            </w:r>
          </w:p>
          <w:p w14:paraId="397BF968" w14:textId="77777777" w:rsidR="003F5418" w:rsidRDefault="003F5418">
            <w:pPr>
              <w:rPr>
                <w:rFonts w:ascii="Arial Narrow" w:hAnsi="Arial Narrow"/>
                <w:noProof/>
                <w:sz w:val="20"/>
              </w:rPr>
            </w:pPr>
          </w:p>
          <w:p w14:paraId="641BE4C5" w14:textId="77777777" w:rsidR="003F5418" w:rsidRDefault="002A6C25">
            <w:pPr>
              <w:pStyle w:val="P68B1DB1-Normal4"/>
              <w:rPr>
                <w:noProof/>
              </w:rPr>
            </w:pPr>
            <w:r>
              <w:rPr>
                <w:noProof/>
              </w:rPr>
              <w:t>Valamennyi versenyfelh</w:t>
            </w:r>
            <w:r>
              <w:rPr>
                <w:noProof/>
              </w:rPr>
              <w:t>ívást olyan feladatmeghatározással kell közzétenni, amely támogathatósági kritériumokat is tartalmaz, amelyek biztosítják, hogy a kiválasztott projektek megfeleljenek a jelentős károkozás elkerülését célzó technikai iránymutatásnak (2021/C58/01) a kizárási</w:t>
            </w:r>
            <w:r>
              <w:rPr>
                <w:noProof/>
              </w:rPr>
              <w:t xml:space="preserve"> lista, valamint a vonatkozó uniós és nemzeti környezetvédelmi jogszabályoknak való megfelelés követelménye révén.</w:t>
            </w:r>
          </w:p>
          <w:p w14:paraId="1D24392D" w14:textId="77777777" w:rsidR="003F5418" w:rsidRDefault="003F5418">
            <w:pPr>
              <w:rPr>
                <w:rFonts w:ascii="Arial Narrow" w:hAnsi="Arial Narrow"/>
                <w:noProof/>
                <w:color w:val="006100"/>
                <w:sz w:val="20"/>
              </w:rPr>
            </w:pPr>
          </w:p>
          <w:p w14:paraId="11B24480" w14:textId="77777777" w:rsidR="003F5418" w:rsidRDefault="002A6C25">
            <w:pPr>
              <w:pStyle w:val="P68B1DB1-Normal4"/>
              <w:rPr>
                <w:noProof/>
              </w:rPr>
            </w:pPr>
            <w:r>
              <w:rPr>
                <w:noProof/>
              </w:rPr>
              <w:t>A belső területek a Strategia Nazionale Aree Interne által azonosított területek; A rural Pharmacies fogalmát a törvény határozza meg. 1968.</w:t>
            </w:r>
            <w:r>
              <w:rPr>
                <w:noProof/>
              </w:rPr>
              <w:t xml:space="preserve"> március 27., 221. pont.</w:t>
            </w:r>
          </w:p>
          <w:p w14:paraId="7EFA8B1C" w14:textId="77777777" w:rsidR="003F5418" w:rsidRDefault="003F5418">
            <w:pPr>
              <w:jc w:val="center"/>
              <w:rPr>
                <w:rFonts w:ascii="Arial Narrow" w:hAnsi="Arial Narrow"/>
                <w:noProof/>
                <w:sz w:val="20"/>
              </w:rPr>
            </w:pPr>
          </w:p>
        </w:tc>
      </w:tr>
      <w:tr w:rsidR="003F5418" w14:paraId="146B831A" w14:textId="77777777">
        <w:trPr>
          <w:trHeight w:val="309"/>
        </w:trPr>
        <w:tc>
          <w:tcPr>
            <w:tcW w:w="1207" w:type="dxa"/>
            <w:shd w:val="clear" w:color="auto" w:fill="C6EFCE"/>
            <w:noWrap/>
            <w:vAlign w:val="center"/>
            <w:hideMark/>
          </w:tcPr>
          <w:p w14:paraId="5AF1E617" w14:textId="77777777" w:rsidR="003F5418" w:rsidRDefault="002A6C25">
            <w:pPr>
              <w:pStyle w:val="P68B1DB1-Normal4"/>
              <w:jc w:val="center"/>
              <w:rPr>
                <w:noProof/>
              </w:rPr>
            </w:pPr>
            <w:r>
              <w:rPr>
                <w:noProof/>
              </w:rPr>
              <w:t>M5C3–3</w:t>
            </w:r>
          </w:p>
        </w:tc>
        <w:tc>
          <w:tcPr>
            <w:tcW w:w="1772" w:type="dxa"/>
            <w:shd w:val="clear" w:color="auto" w:fill="C6EFCE"/>
            <w:noWrap/>
            <w:vAlign w:val="center"/>
            <w:hideMark/>
          </w:tcPr>
          <w:p w14:paraId="0D14EC08" w14:textId="0D67B9A6" w:rsidR="003F5418" w:rsidRDefault="002A6C25">
            <w:pPr>
              <w:pStyle w:val="P68B1DB1-Normal4"/>
              <w:jc w:val="center"/>
              <w:rPr>
                <w:noProof/>
              </w:rPr>
            </w:pPr>
            <w:r>
              <w:rPr>
                <w:noProof/>
              </w:rPr>
              <w:t>Beruházás: Területi közelségben lévő egészségügyi létesítmények</w:t>
            </w:r>
          </w:p>
        </w:tc>
        <w:tc>
          <w:tcPr>
            <w:tcW w:w="1412" w:type="dxa"/>
            <w:shd w:val="clear" w:color="auto" w:fill="C6EFCE"/>
            <w:noWrap/>
            <w:vAlign w:val="center"/>
            <w:hideMark/>
          </w:tcPr>
          <w:p w14:paraId="76AFA30E" w14:textId="77777777" w:rsidR="003F5418" w:rsidRDefault="002A6C25">
            <w:pPr>
              <w:pStyle w:val="P68B1DB1-Normal4"/>
              <w:jc w:val="center"/>
              <w:rPr>
                <w:noProof/>
              </w:rPr>
            </w:pPr>
            <w:r>
              <w:rPr>
                <w:noProof/>
              </w:rPr>
              <w:t>Cél</w:t>
            </w:r>
          </w:p>
        </w:tc>
        <w:tc>
          <w:tcPr>
            <w:tcW w:w="1559" w:type="dxa"/>
            <w:shd w:val="clear" w:color="auto" w:fill="C6EFCE"/>
            <w:noWrap/>
            <w:vAlign w:val="center"/>
            <w:hideMark/>
          </w:tcPr>
          <w:p w14:paraId="4B0F3A1C" w14:textId="77777777" w:rsidR="003F5418" w:rsidRDefault="002A6C25">
            <w:pPr>
              <w:pStyle w:val="P68B1DB1-Normal4"/>
              <w:jc w:val="center"/>
              <w:rPr>
                <w:noProof/>
              </w:rPr>
            </w:pPr>
            <w:r>
              <w:rPr>
                <w:noProof/>
              </w:rPr>
              <w:t>Az 5000 főnél kevesebb lakosú településeken, mocsarakban vagy településeken működő vidéki gyógyszertárak támogatása (első tétel)</w:t>
            </w:r>
          </w:p>
        </w:tc>
        <w:tc>
          <w:tcPr>
            <w:tcW w:w="1560" w:type="dxa"/>
            <w:shd w:val="clear" w:color="auto" w:fill="C6EFCE"/>
            <w:noWrap/>
            <w:vAlign w:val="center"/>
            <w:hideMark/>
          </w:tcPr>
          <w:p w14:paraId="22351EEA"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6AEFA935" w14:textId="77777777" w:rsidR="003F5418" w:rsidRDefault="002A6C25">
            <w:pPr>
              <w:pStyle w:val="P68B1DB1-Normal4"/>
              <w:jc w:val="center"/>
              <w:rPr>
                <w:noProof/>
              </w:rPr>
            </w:pPr>
            <w:r>
              <w:rPr>
                <w:noProof/>
              </w:rPr>
              <w:t>Szám</w:t>
            </w:r>
          </w:p>
        </w:tc>
        <w:tc>
          <w:tcPr>
            <w:tcW w:w="1134" w:type="dxa"/>
            <w:shd w:val="clear" w:color="auto" w:fill="C6EFCE"/>
            <w:noWrap/>
            <w:vAlign w:val="center"/>
            <w:hideMark/>
          </w:tcPr>
          <w:p w14:paraId="073B4AEC" w14:textId="77777777" w:rsidR="003F5418" w:rsidRDefault="002A6C25">
            <w:pPr>
              <w:pStyle w:val="P68B1DB1-Normal4"/>
              <w:jc w:val="center"/>
              <w:rPr>
                <w:noProof/>
              </w:rPr>
            </w:pPr>
            <w:r>
              <w:rPr>
                <w:noProof/>
              </w:rPr>
              <w:t>0</w:t>
            </w:r>
          </w:p>
        </w:tc>
        <w:tc>
          <w:tcPr>
            <w:tcW w:w="992" w:type="dxa"/>
            <w:shd w:val="clear" w:color="auto" w:fill="C6EFCE"/>
            <w:noWrap/>
            <w:vAlign w:val="center"/>
            <w:hideMark/>
          </w:tcPr>
          <w:p w14:paraId="08B5EC2C" w14:textId="77777777" w:rsidR="003F5418" w:rsidRDefault="002A6C25">
            <w:pPr>
              <w:pStyle w:val="P68B1DB1-Normal4"/>
              <w:jc w:val="center"/>
              <w:rPr>
                <w:noProof/>
              </w:rPr>
            </w:pPr>
            <w:r>
              <w:rPr>
                <w:noProof/>
              </w:rPr>
              <w:t>500</w:t>
            </w:r>
          </w:p>
        </w:tc>
        <w:tc>
          <w:tcPr>
            <w:tcW w:w="916" w:type="dxa"/>
            <w:shd w:val="clear" w:color="auto" w:fill="C6EFCE"/>
            <w:noWrap/>
            <w:vAlign w:val="center"/>
            <w:hideMark/>
          </w:tcPr>
          <w:p w14:paraId="4631FC72" w14:textId="77777777" w:rsidR="003F5418" w:rsidRDefault="002A6C25">
            <w:pPr>
              <w:pStyle w:val="P68B1DB1-Normal4"/>
              <w:jc w:val="center"/>
              <w:rPr>
                <w:noProof/>
              </w:rPr>
            </w:pPr>
            <w:r>
              <w:rPr>
                <w:noProof/>
              </w:rPr>
              <w:t>Q4</w:t>
            </w:r>
          </w:p>
        </w:tc>
        <w:tc>
          <w:tcPr>
            <w:tcW w:w="812" w:type="dxa"/>
            <w:shd w:val="clear" w:color="auto" w:fill="C6EFCE"/>
            <w:noWrap/>
            <w:vAlign w:val="center"/>
            <w:hideMark/>
          </w:tcPr>
          <w:p w14:paraId="06AE7E8E" w14:textId="77777777" w:rsidR="003F5418" w:rsidRDefault="002A6C25">
            <w:pPr>
              <w:pStyle w:val="P68B1DB1-Normal4"/>
              <w:jc w:val="center"/>
              <w:rPr>
                <w:noProof/>
              </w:rPr>
            </w:pPr>
            <w:r>
              <w:rPr>
                <w:noProof/>
              </w:rPr>
              <w:t>2023</w:t>
            </w:r>
          </w:p>
        </w:tc>
        <w:tc>
          <w:tcPr>
            <w:tcW w:w="3271" w:type="dxa"/>
            <w:shd w:val="clear" w:color="auto" w:fill="C6EFCE"/>
            <w:noWrap/>
            <w:vAlign w:val="center"/>
            <w:hideMark/>
          </w:tcPr>
          <w:p w14:paraId="6F39B898" w14:textId="5C065216" w:rsidR="003F5418" w:rsidRDefault="002A6C25">
            <w:pPr>
              <w:pStyle w:val="P68B1DB1-Normal4"/>
              <w:rPr>
                <w:noProof/>
              </w:rPr>
            </w:pPr>
            <w:r>
              <w:rPr>
                <w:noProof/>
              </w:rPr>
              <w:t>A beavatkozás legalább 500 vidéki gyógyszertárnak kell részesülnie az 5000 főnél kevesebb lakosú településeken, mogyoróhelyeken vagy településeken.</w:t>
            </w:r>
          </w:p>
        </w:tc>
      </w:tr>
      <w:tr w:rsidR="003F5418" w14:paraId="5A3DFB67" w14:textId="77777777">
        <w:trPr>
          <w:trHeight w:val="309"/>
        </w:trPr>
        <w:tc>
          <w:tcPr>
            <w:tcW w:w="1207" w:type="dxa"/>
            <w:shd w:val="clear" w:color="auto" w:fill="C6EFCE"/>
            <w:noWrap/>
            <w:vAlign w:val="center"/>
            <w:hideMark/>
          </w:tcPr>
          <w:p w14:paraId="7B9134DD" w14:textId="77777777" w:rsidR="003F5418" w:rsidRDefault="002A6C25">
            <w:pPr>
              <w:pStyle w:val="P68B1DB1-Normal4"/>
              <w:jc w:val="center"/>
              <w:rPr>
                <w:noProof/>
              </w:rPr>
            </w:pPr>
            <w:r>
              <w:rPr>
                <w:noProof/>
              </w:rPr>
              <w:t>M5C3–4</w:t>
            </w:r>
          </w:p>
        </w:tc>
        <w:tc>
          <w:tcPr>
            <w:tcW w:w="1772" w:type="dxa"/>
            <w:shd w:val="clear" w:color="auto" w:fill="C6EFCE"/>
            <w:noWrap/>
            <w:vAlign w:val="center"/>
            <w:hideMark/>
          </w:tcPr>
          <w:p w14:paraId="0CA5F9E0" w14:textId="481ACF4E" w:rsidR="003F5418" w:rsidRDefault="002A6C25">
            <w:pPr>
              <w:pStyle w:val="P68B1DB1-Normal4"/>
              <w:jc w:val="center"/>
              <w:rPr>
                <w:noProof/>
              </w:rPr>
            </w:pPr>
            <w:r>
              <w:rPr>
                <w:noProof/>
              </w:rPr>
              <w:t>Beruházás: Területi közelségben lévő egészségügyi létesítmények</w:t>
            </w:r>
          </w:p>
        </w:tc>
        <w:tc>
          <w:tcPr>
            <w:tcW w:w="1412" w:type="dxa"/>
            <w:shd w:val="clear" w:color="auto" w:fill="C6EFCE"/>
            <w:noWrap/>
            <w:vAlign w:val="center"/>
            <w:hideMark/>
          </w:tcPr>
          <w:p w14:paraId="566FB5F4" w14:textId="77777777" w:rsidR="003F5418" w:rsidRDefault="002A6C25">
            <w:pPr>
              <w:pStyle w:val="P68B1DB1-Normal4"/>
              <w:jc w:val="center"/>
              <w:rPr>
                <w:noProof/>
              </w:rPr>
            </w:pPr>
            <w:r>
              <w:rPr>
                <w:noProof/>
              </w:rPr>
              <w:t>Cél</w:t>
            </w:r>
          </w:p>
        </w:tc>
        <w:tc>
          <w:tcPr>
            <w:tcW w:w="1559" w:type="dxa"/>
            <w:shd w:val="clear" w:color="auto" w:fill="C6EFCE"/>
            <w:noWrap/>
            <w:vAlign w:val="center"/>
            <w:hideMark/>
          </w:tcPr>
          <w:p w14:paraId="16A43898" w14:textId="77777777" w:rsidR="003F5418" w:rsidRDefault="002A6C25">
            <w:pPr>
              <w:pStyle w:val="P68B1DB1-Normal4"/>
              <w:jc w:val="center"/>
              <w:rPr>
                <w:noProof/>
              </w:rPr>
            </w:pPr>
            <w:r>
              <w:rPr>
                <w:noProof/>
              </w:rPr>
              <w:t xml:space="preserve">Az 5000 főnél kevesebb lakosú </w:t>
            </w:r>
            <w:r>
              <w:rPr>
                <w:noProof/>
              </w:rPr>
              <w:t>településeken, mocsarakban vagy településeken működő vidéki gyógyszertárak támogatása (második tétel)</w:t>
            </w:r>
          </w:p>
        </w:tc>
        <w:tc>
          <w:tcPr>
            <w:tcW w:w="1560" w:type="dxa"/>
            <w:shd w:val="clear" w:color="auto" w:fill="C6EFCE"/>
            <w:noWrap/>
            <w:vAlign w:val="center"/>
            <w:hideMark/>
          </w:tcPr>
          <w:p w14:paraId="351BE8B9" w14:textId="77777777" w:rsidR="003F5418" w:rsidRDefault="002A6C25">
            <w:pPr>
              <w:pStyle w:val="P68B1DB1-Normal4"/>
              <w:jc w:val="center"/>
              <w:rPr>
                <w:noProof/>
              </w:rPr>
            </w:pPr>
            <w:r>
              <w:rPr>
                <w:noProof/>
              </w:rPr>
              <w:t>NINCS</w:t>
            </w:r>
          </w:p>
        </w:tc>
        <w:tc>
          <w:tcPr>
            <w:tcW w:w="1134" w:type="dxa"/>
            <w:shd w:val="clear" w:color="auto" w:fill="C6EFCE"/>
            <w:noWrap/>
            <w:vAlign w:val="center"/>
            <w:hideMark/>
          </w:tcPr>
          <w:p w14:paraId="0ABBE251" w14:textId="77777777" w:rsidR="003F5418" w:rsidRDefault="002A6C25">
            <w:pPr>
              <w:pStyle w:val="P68B1DB1-Normal4"/>
              <w:jc w:val="center"/>
              <w:rPr>
                <w:noProof/>
              </w:rPr>
            </w:pPr>
            <w:r>
              <w:rPr>
                <w:noProof/>
              </w:rPr>
              <w:t>Szám</w:t>
            </w:r>
          </w:p>
        </w:tc>
        <w:tc>
          <w:tcPr>
            <w:tcW w:w="1134" w:type="dxa"/>
            <w:shd w:val="clear" w:color="auto" w:fill="C6EFCE"/>
            <w:noWrap/>
            <w:vAlign w:val="center"/>
            <w:hideMark/>
          </w:tcPr>
          <w:p w14:paraId="64E6007C" w14:textId="77777777" w:rsidR="003F5418" w:rsidRDefault="002A6C25">
            <w:pPr>
              <w:pStyle w:val="P68B1DB1-Normal4"/>
              <w:jc w:val="center"/>
              <w:rPr>
                <w:noProof/>
              </w:rPr>
            </w:pPr>
            <w:r>
              <w:rPr>
                <w:noProof/>
              </w:rPr>
              <w:t>500</w:t>
            </w:r>
          </w:p>
        </w:tc>
        <w:tc>
          <w:tcPr>
            <w:tcW w:w="992" w:type="dxa"/>
            <w:shd w:val="clear" w:color="auto" w:fill="C6EFCE"/>
            <w:noWrap/>
            <w:vAlign w:val="center"/>
            <w:hideMark/>
          </w:tcPr>
          <w:p w14:paraId="66AD84B0" w14:textId="6FA3C911" w:rsidR="003F5418" w:rsidRDefault="002A6C25">
            <w:pPr>
              <w:pStyle w:val="P68B1DB1-Normal4"/>
              <w:jc w:val="center"/>
              <w:rPr>
                <w:noProof/>
              </w:rPr>
            </w:pPr>
            <w:r>
              <w:rPr>
                <w:noProof/>
              </w:rPr>
              <w:t>2 000</w:t>
            </w:r>
          </w:p>
        </w:tc>
        <w:tc>
          <w:tcPr>
            <w:tcW w:w="916" w:type="dxa"/>
            <w:shd w:val="clear" w:color="auto" w:fill="C6EFCE"/>
            <w:noWrap/>
            <w:vAlign w:val="center"/>
            <w:hideMark/>
          </w:tcPr>
          <w:p w14:paraId="29C84681" w14:textId="77777777" w:rsidR="003F5418" w:rsidRDefault="002A6C25">
            <w:pPr>
              <w:pStyle w:val="P68B1DB1-Normal4"/>
              <w:jc w:val="center"/>
              <w:rPr>
                <w:noProof/>
              </w:rPr>
            </w:pPr>
            <w:r>
              <w:rPr>
                <w:noProof/>
              </w:rPr>
              <w:t>Q2</w:t>
            </w:r>
          </w:p>
        </w:tc>
        <w:tc>
          <w:tcPr>
            <w:tcW w:w="812" w:type="dxa"/>
            <w:shd w:val="clear" w:color="auto" w:fill="C6EFCE"/>
            <w:noWrap/>
            <w:vAlign w:val="center"/>
            <w:hideMark/>
          </w:tcPr>
          <w:p w14:paraId="0345924B" w14:textId="77777777" w:rsidR="003F5418" w:rsidRDefault="002A6C25">
            <w:pPr>
              <w:pStyle w:val="P68B1DB1-Normal4"/>
              <w:jc w:val="center"/>
              <w:rPr>
                <w:noProof/>
              </w:rPr>
            </w:pPr>
            <w:r>
              <w:rPr>
                <w:noProof/>
              </w:rPr>
              <w:t>2026</w:t>
            </w:r>
          </w:p>
        </w:tc>
        <w:tc>
          <w:tcPr>
            <w:tcW w:w="3271" w:type="dxa"/>
            <w:shd w:val="clear" w:color="auto" w:fill="C6EFCE"/>
            <w:noWrap/>
            <w:vAlign w:val="center"/>
            <w:hideMark/>
          </w:tcPr>
          <w:p w14:paraId="1F09E90B" w14:textId="7ED1F660" w:rsidR="003F5418" w:rsidRDefault="002A6C25">
            <w:pPr>
              <w:pStyle w:val="P68B1DB1-Normal4"/>
              <w:rPr>
                <w:noProof/>
              </w:rPr>
            </w:pPr>
            <w:r>
              <w:rPr>
                <w:noProof/>
              </w:rPr>
              <w:t xml:space="preserve">A beavatkozás legalább 2000 falusi gyógyszertárnak kell részesülnie az 5000 főnél kevesebb lakosú településeken vagy </w:t>
            </w:r>
            <w:r>
              <w:rPr>
                <w:noProof/>
              </w:rPr>
              <w:t>településeken.</w:t>
            </w:r>
          </w:p>
        </w:tc>
      </w:tr>
      <w:tr w:rsidR="003F5418" w14:paraId="37219929" w14:textId="77777777">
        <w:trPr>
          <w:trHeight w:val="309"/>
        </w:trPr>
        <w:tc>
          <w:tcPr>
            <w:tcW w:w="1207" w:type="dxa"/>
            <w:shd w:val="clear" w:color="auto" w:fill="C6EFCE"/>
            <w:noWrap/>
            <w:vAlign w:val="center"/>
          </w:tcPr>
          <w:p w14:paraId="16E275F0" w14:textId="77777777" w:rsidR="003F5418" w:rsidRDefault="002A6C25">
            <w:pPr>
              <w:pStyle w:val="P68B1DB1-Normal4"/>
              <w:jc w:val="center"/>
              <w:rPr>
                <w:noProof/>
              </w:rPr>
            </w:pPr>
            <w:r>
              <w:rPr>
                <w:noProof/>
              </w:rPr>
              <w:t>M5C3–8</w:t>
            </w:r>
          </w:p>
        </w:tc>
        <w:tc>
          <w:tcPr>
            <w:tcW w:w="1772" w:type="dxa"/>
            <w:shd w:val="clear" w:color="auto" w:fill="C6EFCE"/>
            <w:noWrap/>
            <w:vAlign w:val="center"/>
          </w:tcPr>
          <w:p w14:paraId="08D331A9" w14:textId="77777777" w:rsidR="003F5418" w:rsidRDefault="002A6C25">
            <w:pPr>
              <w:pStyle w:val="P68B1DB1-Normal4"/>
              <w:jc w:val="center"/>
              <w:rPr>
                <w:noProof/>
              </w:rPr>
            </w:pPr>
            <w:r>
              <w:rPr>
                <w:noProof/>
              </w:rPr>
              <w:t>Beruházás: Strukturált társadalmi-oktatási beavatkozások a déli oktatási szegénység elleni küzdelem érdekében, támogatva a harmadik szektort</w:t>
            </w:r>
          </w:p>
        </w:tc>
        <w:tc>
          <w:tcPr>
            <w:tcW w:w="1412" w:type="dxa"/>
            <w:shd w:val="clear" w:color="auto" w:fill="C6EFCE"/>
            <w:noWrap/>
            <w:vAlign w:val="center"/>
          </w:tcPr>
          <w:p w14:paraId="2924E016"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06B56E9B" w14:textId="77777777" w:rsidR="003F5418" w:rsidRDefault="002A6C25">
            <w:pPr>
              <w:pStyle w:val="P68B1DB1-Normal4"/>
              <w:jc w:val="center"/>
              <w:rPr>
                <w:noProof/>
              </w:rPr>
            </w:pPr>
            <w:r>
              <w:rPr>
                <w:noProof/>
              </w:rPr>
              <w:t>Oktatási támogatás kiskorúaknak (első csomag)</w:t>
            </w:r>
          </w:p>
        </w:tc>
        <w:tc>
          <w:tcPr>
            <w:tcW w:w="1560" w:type="dxa"/>
            <w:shd w:val="clear" w:color="auto" w:fill="C6EFCE"/>
            <w:noWrap/>
            <w:vAlign w:val="center"/>
          </w:tcPr>
          <w:p w14:paraId="7960F623"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17CFA802"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146D21FB" w14:textId="77777777" w:rsidR="003F5418" w:rsidRDefault="002A6C25">
            <w:pPr>
              <w:pStyle w:val="P68B1DB1-Normal4"/>
              <w:jc w:val="center"/>
              <w:rPr>
                <w:noProof/>
              </w:rPr>
            </w:pPr>
            <w:r>
              <w:rPr>
                <w:noProof/>
              </w:rPr>
              <w:t>0</w:t>
            </w:r>
          </w:p>
        </w:tc>
        <w:tc>
          <w:tcPr>
            <w:tcW w:w="992" w:type="dxa"/>
            <w:shd w:val="clear" w:color="auto" w:fill="C6EFCE"/>
            <w:noWrap/>
            <w:vAlign w:val="center"/>
          </w:tcPr>
          <w:p w14:paraId="39BD5813" w14:textId="43DB3DC9" w:rsidR="003F5418" w:rsidRDefault="002A6C25">
            <w:pPr>
              <w:pStyle w:val="P68B1DB1-Normal4"/>
              <w:jc w:val="center"/>
              <w:rPr>
                <w:noProof/>
              </w:rPr>
            </w:pPr>
            <w:r>
              <w:rPr>
                <w:noProof/>
              </w:rPr>
              <w:t>20 000</w:t>
            </w:r>
          </w:p>
        </w:tc>
        <w:tc>
          <w:tcPr>
            <w:tcW w:w="916" w:type="dxa"/>
            <w:shd w:val="clear" w:color="auto" w:fill="C6EFCE"/>
            <w:noWrap/>
            <w:vAlign w:val="center"/>
          </w:tcPr>
          <w:p w14:paraId="2FE8AC17" w14:textId="77777777" w:rsidR="003F5418" w:rsidRDefault="002A6C25">
            <w:pPr>
              <w:pStyle w:val="P68B1DB1-Normal4"/>
              <w:jc w:val="center"/>
              <w:rPr>
                <w:noProof/>
              </w:rPr>
            </w:pPr>
            <w:r>
              <w:rPr>
                <w:noProof/>
              </w:rPr>
              <w:t>Q2</w:t>
            </w:r>
          </w:p>
        </w:tc>
        <w:tc>
          <w:tcPr>
            <w:tcW w:w="812" w:type="dxa"/>
            <w:shd w:val="clear" w:color="auto" w:fill="C6EFCE"/>
            <w:noWrap/>
            <w:vAlign w:val="center"/>
          </w:tcPr>
          <w:p w14:paraId="0C1ECA5F" w14:textId="77777777" w:rsidR="003F5418" w:rsidRDefault="002A6C25">
            <w:pPr>
              <w:pStyle w:val="P68B1DB1-Normal4"/>
              <w:jc w:val="center"/>
              <w:rPr>
                <w:noProof/>
              </w:rPr>
            </w:pPr>
            <w:r>
              <w:rPr>
                <w:noProof/>
              </w:rPr>
              <w:t>2023</w:t>
            </w:r>
          </w:p>
        </w:tc>
        <w:tc>
          <w:tcPr>
            <w:tcW w:w="3271" w:type="dxa"/>
            <w:shd w:val="clear" w:color="auto" w:fill="C6EFCE"/>
            <w:noWrap/>
            <w:vAlign w:val="center"/>
          </w:tcPr>
          <w:p w14:paraId="14465417" w14:textId="5E6F1874" w:rsidR="003F5418" w:rsidRDefault="002A6C25">
            <w:pPr>
              <w:pStyle w:val="P68B1DB1-Normal4"/>
              <w:rPr>
                <w:noProof/>
              </w:rPr>
            </w:pPr>
            <w:r>
              <w:rPr>
                <w:noProof/>
              </w:rPr>
              <w:t xml:space="preserve">Legalább 20000 legfeljebb 17 éves kiskorú részesül oktatási támogatásban. Az oktatási támogatási projekteknek a következő területek valamelyikére kell irányulniuk: </w:t>
            </w:r>
          </w:p>
          <w:p w14:paraId="6914A4F5" w14:textId="77777777" w:rsidR="003F5418" w:rsidRDefault="003F5418">
            <w:pPr>
              <w:rPr>
                <w:rFonts w:ascii="Arial Narrow" w:hAnsi="Arial Narrow"/>
                <w:noProof/>
                <w:color w:val="006100"/>
                <w:sz w:val="20"/>
              </w:rPr>
            </w:pPr>
          </w:p>
          <w:p w14:paraId="58094A75" w14:textId="77777777" w:rsidR="003F5418" w:rsidRDefault="002A6C25">
            <w:pPr>
              <w:pStyle w:val="P68B1DB1-Normal4"/>
              <w:rPr>
                <w:noProof/>
              </w:rPr>
            </w:pPr>
            <w:r>
              <w:rPr>
                <w:noProof/>
              </w:rPr>
              <w:t xml:space="preserve">• A nulla és hat év közötti gyermekekre irányuló beavatkozások, amelyek célja a bölcsődei </w:t>
            </w:r>
            <w:r>
              <w:rPr>
                <w:noProof/>
              </w:rPr>
              <w:t xml:space="preserve">és óvodai szolgáltatásokhoz való hozzáférés feltételeinek javítása és a leszármazás támogatása; </w:t>
            </w:r>
          </w:p>
          <w:p w14:paraId="777A4337" w14:textId="77777777" w:rsidR="003F5418" w:rsidRDefault="003F5418">
            <w:pPr>
              <w:rPr>
                <w:rFonts w:ascii="Arial Narrow" w:hAnsi="Arial Narrow"/>
                <w:noProof/>
                <w:color w:val="006100"/>
                <w:sz w:val="20"/>
              </w:rPr>
            </w:pPr>
          </w:p>
          <w:p w14:paraId="28719795" w14:textId="77777777" w:rsidR="003F5418" w:rsidRDefault="002A6C25">
            <w:pPr>
              <w:pStyle w:val="P68B1DB1-Normal4"/>
              <w:rPr>
                <w:noProof/>
              </w:rPr>
            </w:pPr>
            <w:r>
              <w:rPr>
                <w:noProof/>
              </w:rPr>
              <w:t xml:space="preserve">• Az öt és tíz év közötti gyermekekre irányuló beavatkozások, amelyek célja a hatékony oktatási lehetőségek biztosítása, valamint az iskolai lemorzsolódás, a </w:t>
            </w:r>
            <w:r>
              <w:rPr>
                <w:noProof/>
              </w:rPr>
              <w:t xml:space="preserve">megfélemlítés és a stressz egyéb formáinak korai megelőzése; </w:t>
            </w:r>
          </w:p>
          <w:p w14:paraId="28D0F9AF" w14:textId="77777777" w:rsidR="003F5418" w:rsidRDefault="003F5418">
            <w:pPr>
              <w:rPr>
                <w:rFonts w:ascii="Arial Narrow" w:hAnsi="Arial Narrow"/>
                <w:noProof/>
                <w:color w:val="006100"/>
                <w:sz w:val="20"/>
              </w:rPr>
            </w:pPr>
          </w:p>
          <w:p w14:paraId="74077E25" w14:textId="77777777" w:rsidR="003F5418" w:rsidRDefault="002A6C25">
            <w:pPr>
              <w:pStyle w:val="P68B1DB1-Normal4"/>
              <w:rPr>
                <w:noProof/>
              </w:rPr>
            </w:pPr>
            <w:r>
              <w:rPr>
                <w:noProof/>
              </w:rPr>
              <w:t>• A 11–17 éves gyermekekre irányuló beavatkozások, amelyek célja az oktatási kínálat javítása és a korai iskolaelhagyás jelenségének megelőzése.</w:t>
            </w:r>
          </w:p>
          <w:p w14:paraId="5E7F4DE5" w14:textId="77777777" w:rsidR="003F5418" w:rsidRDefault="003F5418">
            <w:pPr>
              <w:rPr>
                <w:rFonts w:ascii="Arial Narrow" w:hAnsi="Arial Narrow"/>
                <w:noProof/>
                <w:color w:val="006100"/>
                <w:sz w:val="20"/>
              </w:rPr>
            </w:pPr>
          </w:p>
          <w:p w14:paraId="18EA764E" w14:textId="77777777" w:rsidR="003F5418" w:rsidRDefault="002A6C25">
            <w:pPr>
              <w:pStyle w:val="P68B1DB1-Normal4"/>
              <w:rPr>
                <w:noProof/>
              </w:rPr>
            </w:pPr>
            <w:r>
              <w:rPr>
                <w:noProof/>
              </w:rPr>
              <w:t>A pályázati felhívások legfontosabb jellemzői:</w:t>
            </w:r>
          </w:p>
          <w:p w14:paraId="206FA9C4" w14:textId="2D93C49D" w:rsidR="003F5418" w:rsidRDefault="002A6C25">
            <w:pPr>
              <w:rPr>
                <w:rFonts w:ascii="Arial Narrow" w:hAnsi="Arial Narrow"/>
                <w:noProof/>
                <w:color w:val="006100"/>
                <w:sz w:val="20"/>
              </w:rPr>
            </w:pPr>
            <w:r>
              <w:rPr>
                <w:noProof/>
              </w:rPr>
              <w:t>A hirdetmények egyenként legalább 50 000 000 EUR-t tesznek ki.</w:t>
            </w:r>
            <w:r>
              <w:rPr>
                <w:rFonts w:ascii="Arial Narrow" w:hAnsi="Arial Narrow"/>
                <w:noProof/>
                <w:color w:val="006100"/>
                <w:sz w:val="20"/>
              </w:rPr>
              <w:t xml:space="preserve"> </w:t>
            </w:r>
            <w:r>
              <w:rPr>
                <w:rFonts w:ascii="Arial Narrow" w:hAnsi="Arial Narrow"/>
                <w:noProof/>
                <w:sz w:val="20"/>
              </w:rPr>
              <w:t xml:space="preserve"> </w:t>
            </w:r>
            <w:r>
              <w:rPr>
                <w:noProof/>
              </w:rPr>
              <w:t xml:space="preserve"> </w:t>
            </w:r>
            <w:r>
              <w:rPr>
                <w:noProof/>
              </w:rPr>
              <w:br/>
            </w:r>
            <w:r>
              <w:rPr>
                <w:rFonts w:ascii="Arial Narrow" w:hAnsi="Arial Narrow"/>
                <w:noProof/>
                <w:color w:val="006100"/>
                <w:sz w:val="20"/>
              </w:rPr>
              <w:t>– A harmadik ágazatbeli szervezetek projektjeinek legalább egy és legfeljebb két évig kell tartaniuk.</w:t>
            </w:r>
          </w:p>
          <w:p w14:paraId="76D07B92" w14:textId="77777777" w:rsidR="003F5418" w:rsidRDefault="002A6C25">
            <w:pPr>
              <w:rPr>
                <w:rFonts w:ascii="Arial Narrow" w:hAnsi="Arial Narrow"/>
                <w:noProof/>
                <w:color w:val="006100"/>
                <w:sz w:val="20"/>
              </w:rPr>
            </w:pPr>
            <w:r>
              <w:rPr>
                <w:noProof/>
              </w:rPr>
              <w:t xml:space="preserve"> </w:t>
            </w:r>
            <w:r>
              <w:rPr>
                <w:noProof/>
              </w:rPr>
              <w:br/>
            </w:r>
            <w:r>
              <w:rPr>
                <w:rFonts w:ascii="Arial Narrow" w:hAnsi="Arial Narrow"/>
                <w:noProof/>
                <w:color w:val="006100"/>
                <w:sz w:val="20"/>
              </w:rPr>
              <w:t xml:space="preserve">A projekteknek a déli régiókra kell irányulniuk (Abruzzo, Basilicata, Campania, </w:t>
            </w:r>
            <w:r>
              <w:rPr>
                <w:rFonts w:ascii="Arial Narrow" w:hAnsi="Arial Narrow"/>
                <w:noProof/>
                <w:color w:val="006100"/>
                <w:sz w:val="20"/>
              </w:rPr>
              <w:t>Calabria, Molise, Puglia, Szardínia és Szicília).</w:t>
            </w:r>
          </w:p>
        </w:tc>
      </w:tr>
      <w:tr w:rsidR="003F5418" w14:paraId="64D4B6DE" w14:textId="77777777">
        <w:trPr>
          <w:trHeight w:val="309"/>
        </w:trPr>
        <w:tc>
          <w:tcPr>
            <w:tcW w:w="1207" w:type="dxa"/>
            <w:shd w:val="clear" w:color="auto" w:fill="C6EFCE"/>
            <w:noWrap/>
            <w:vAlign w:val="center"/>
          </w:tcPr>
          <w:p w14:paraId="1EFD7CF5" w14:textId="77777777" w:rsidR="003F5418" w:rsidRDefault="002A6C25">
            <w:pPr>
              <w:pStyle w:val="P68B1DB1-Normal4"/>
              <w:jc w:val="center"/>
              <w:rPr>
                <w:noProof/>
              </w:rPr>
            </w:pPr>
            <w:r>
              <w:rPr>
                <w:noProof/>
              </w:rPr>
              <w:t>M5C3–9</w:t>
            </w:r>
          </w:p>
        </w:tc>
        <w:tc>
          <w:tcPr>
            <w:tcW w:w="1772" w:type="dxa"/>
            <w:shd w:val="clear" w:color="auto" w:fill="C6EFCE"/>
            <w:noWrap/>
            <w:vAlign w:val="center"/>
          </w:tcPr>
          <w:p w14:paraId="7DAF8C48" w14:textId="77777777" w:rsidR="003F5418" w:rsidRDefault="002A6C25">
            <w:pPr>
              <w:pStyle w:val="P68B1DB1-Normal4"/>
              <w:jc w:val="center"/>
              <w:rPr>
                <w:noProof/>
              </w:rPr>
            </w:pPr>
            <w:r>
              <w:rPr>
                <w:noProof/>
              </w:rPr>
              <w:t>Beruházás: Strukturált társadalmi-oktatási beavatkozások a déli oktatási szegénység elleni küzdelem érdekében, támogatva a harmadik szektort</w:t>
            </w:r>
          </w:p>
        </w:tc>
        <w:tc>
          <w:tcPr>
            <w:tcW w:w="1412" w:type="dxa"/>
            <w:shd w:val="clear" w:color="auto" w:fill="C6EFCE"/>
            <w:noWrap/>
            <w:vAlign w:val="center"/>
          </w:tcPr>
          <w:p w14:paraId="52A598B9" w14:textId="77777777" w:rsidR="003F5418" w:rsidRDefault="002A6C25">
            <w:pPr>
              <w:pStyle w:val="P68B1DB1-Normal4"/>
              <w:jc w:val="center"/>
              <w:rPr>
                <w:noProof/>
              </w:rPr>
            </w:pPr>
            <w:r>
              <w:rPr>
                <w:noProof/>
              </w:rPr>
              <w:t>Cél</w:t>
            </w:r>
          </w:p>
        </w:tc>
        <w:tc>
          <w:tcPr>
            <w:tcW w:w="1559" w:type="dxa"/>
            <w:shd w:val="clear" w:color="auto" w:fill="C6EFCE"/>
            <w:noWrap/>
            <w:vAlign w:val="center"/>
          </w:tcPr>
          <w:p w14:paraId="35E0C0B5" w14:textId="77777777" w:rsidR="003F5418" w:rsidRDefault="002A6C25">
            <w:pPr>
              <w:pStyle w:val="P68B1DB1-Normal4"/>
              <w:jc w:val="center"/>
              <w:rPr>
                <w:noProof/>
              </w:rPr>
            </w:pPr>
            <w:r>
              <w:rPr>
                <w:noProof/>
              </w:rPr>
              <w:t xml:space="preserve">Oktatási támogatás kiskorúak számára (második </w:t>
            </w:r>
            <w:r>
              <w:rPr>
                <w:noProof/>
              </w:rPr>
              <w:t>csoport)</w:t>
            </w:r>
          </w:p>
        </w:tc>
        <w:tc>
          <w:tcPr>
            <w:tcW w:w="1560" w:type="dxa"/>
            <w:shd w:val="clear" w:color="auto" w:fill="C6EFCE"/>
            <w:noWrap/>
            <w:vAlign w:val="center"/>
          </w:tcPr>
          <w:p w14:paraId="0A4DAEE2"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613AC062" w14:textId="77777777" w:rsidR="003F5418" w:rsidRDefault="002A6C25">
            <w:pPr>
              <w:pStyle w:val="P68B1DB1-Normal4"/>
              <w:jc w:val="center"/>
              <w:rPr>
                <w:noProof/>
              </w:rPr>
            </w:pPr>
            <w:r>
              <w:rPr>
                <w:noProof/>
              </w:rPr>
              <w:t>Szám</w:t>
            </w:r>
          </w:p>
        </w:tc>
        <w:tc>
          <w:tcPr>
            <w:tcW w:w="1134" w:type="dxa"/>
            <w:shd w:val="clear" w:color="auto" w:fill="C6EFCE"/>
            <w:noWrap/>
            <w:vAlign w:val="center"/>
          </w:tcPr>
          <w:p w14:paraId="25F356DB" w14:textId="55699AE4" w:rsidR="003F5418" w:rsidRDefault="002A6C25">
            <w:pPr>
              <w:pStyle w:val="P68B1DB1-Normal4"/>
              <w:jc w:val="center"/>
              <w:rPr>
                <w:noProof/>
              </w:rPr>
            </w:pPr>
            <w:r>
              <w:rPr>
                <w:noProof/>
              </w:rPr>
              <w:t>20 000</w:t>
            </w:r>
          </w:p>
        </w:tc>
        <w:tc>
          <w:tcPr>
            <w:tcW w:w="992" w:type="dxa"/>
            <w:shd w:val="clear" w:color="auto" w:fill="C6EFCE"/>
            <w:noWrap/>
            <w:vAlign w:val="center"/>
          </w:tcPr>
          <w:p w14:paraId="0357CE94" w14:textId="48D40D5C" w:rsidR="003F5418" w:rsidRDefault="002A6C25">
            <w:pPr>
              <w:pStyle w:val="P68B1DB1-Normal4"/>
              <w:jc w:val="center"/>
              <w:rPr>
                <w:noProof/>
              </w:rPr>
            </w:pPr>
            <w:r>
              <w:rPr>
                <w:noProof/>
              </w:rPr>
              <w:t>44 000</w:t>
            </w:r>
          </w:p>
        </w:tc>
        <w:tc>
          <w:tcPr>
            <w:tcW w:w="916" w:type="dxa"/>
            <w:shd w:val="clear" w:color="auto" w:fill="C6EFCE"/>
            <w:noWrap/>
            <w:vAlign w:val="center"/>
          </w:tcPr>
          <w:p w14:paraId="5A9CAE06" w14:textId="77777777" w:rsidR="003F5418" w:rsidRDefault="002A6C25">
            <w:pPr>
              <w:pStyle w:val="P68B1DB1-Normal4"/>
              <w:jc w:val="center"/>
              <w:rPr>
                <w:noProof/>
              </w:rPr>
            </w:pPr>
            <w:r>
              <w:rPr>
                <w:noProof/>
              </w:rPr>
              <w:t>Q2</w:t>
            </w:r>
          </w:p>
        </w:tc>
        <w:tc>
          <w:tcPr>
            <w:tcW w:w="812" w:type="dxa"/>
            <w:shd w:val="clear" w:color="auto" w:fill="C6EFCE"/>
            <w:noWrap/>
            <w:vAlign w:val="center"/>
          </w:tcPr>
          <w:p w14:paraId="47CD071A" w14:textId="77777777" w:rsidR="003F5418" w:rsidRDefault="002A6C25">
            <w:pPr>
              <w:pStyle w:val="P68B1DB1-Normal4"/>
              <w:jc w:val="center"/>
              <w:rPr>
                <w:noProof/>
              </w:rPr>
            </w:pPr>
            <w:r>
              <w:rPr>
                <w:noProof/>
              </w:rPr>
              <w:t>2026</w:t>
            </w:r>
          </w:p>
        </w:tc>
        <w:tc>
          <w:tcPr>
            <w:tcW w:w="3271" w:type="dxa"/>
            <w:shd w:val="clear" w:color="auto" w:fill="C6EFCE"/>
            <w:noWrap/>
            <w:vAlign w:val="center"/>
          </w:tcPr>
          <w:p w14:paraId="1F965201" w14:textId="3EDE332B" w:rsidR="003F5418" w:rsidRDefault="002A6C25">
            <w:pPr>
              <w:pStyle w:val="P68B1DB1-Normal4"/>
              <w:rPr>
                <w:noProof/>
              </w:rPr>
            </w:pPr>
            <w:r>
              <w:rPr>
                <w:noProof/>
              </w:rPr>
              <w:t>Legalább 44000, nulla és 17 év közötti kiskorú részesül oktatási támogatásban.</w:t>
            </w:r>
          </w:p>
        </w:tc>
      </w:tr>
    </w:tbl>
    <w:p w14:paraId="4F785FEE" w14:textId="77777777" w:rsidR="003F5418" w:rsidRDefault="003F5418">
      <w:pPr>
        <w:spacing w:before="120" w:after="120"/>
        <w:ind w:left="709"/>
        <w:jc w:val="both"/>
        <w:rPr>
          <w:noProof/>
        </w:rPr>
        <w:sectPr w:rsidR="003F5418">
          <w:headerReference w:type="even" r:id="rId356"/>
          <w:headerReference w:type="default" r:id="rId357"/>
          <w:footerReference w:type="even" r:id="rId358"/>
          <w:footerReference w:type="default" r:id="rId359"/>
          <w:headerReference w:type="first" r:id="rId360"/>
          <w:footerReference w:type="first" r:id="rId361"/>
          <w:pgSz w:w="16839" w:h="11907" w:orient="landscape"/>
          <w:pgMar w:top="720" w:right="720" w:bottom="720" w:left="720" w:header="709" w:footer="709" w:gutter="0"/>
          <w:cols w:space="720"/>
          <w:docGrid w:linePitch="360"/>
        </w:sectPr>
      </w:pPr>
    </w:p>
    <w:p w14:paraId="5804FBE9" w14:textId="77777777" w:rsidR="003F5418" w:rsidRDefault="002A6C25">
      <w:pPr>
        <w:pStyle w:val="P68B1DB1-Normal10"/>
        <w:spacing w:before="120" w:after="120"/>
        <w:ind w:left="709"/>
        <w:jc w:val="both"/>
        <w:rPr>
          <w:noProof/>
        </w:rPr>
      </w:pPr>
      <w:r>
        <w:rPr>
          <w:noProof/>
        </w:rPr>
        <w:t xml:space="preserve"> </w:t>
      </w:r>
    </w:p>
    <w:p w14:paraId="5240FA4D" w14:textId="77777777" w:rsidR="003F5418" w:rsidRDefault="002A6C25">
      <w:pPr>
        <w:pStyle w:val="Heading3"/>
        <w:numPr>
          <w:ilvl w:val="0"/>
          <w:numId w:val="0"/>
        </w:numPr>
        <w:ind w:left="850" w:hanging="850"/>
        <w:rPr>
          <w:b/>
          <w:i w:val="0"/>
          <w:noProof/>
          <w:u w:val="single"/>
        </w:rPr>
      </w:pPr>
      <w:r>
        <w:rPr>
          <w:b/>
          <w:i w:val="0"/>
          <w:noProof/>
          <w:u w:val="single"/>
        </w:rPr>
        <w:t xml:space="preserve">N.3. </w:t>
      </w:r>
      <w:r>
        <w:rPr>
          <w:noProof/>
        </w:rPr>
        <w:t xml:space="preserve"> </w:t>
      </w:r>
      <w:r>
        <w:rPr>
          <w:b/>
          <w:i w:val="0"/>
          <w:noProof/>
          <w:u w:val="single"/>
        </w:rPr>
        <w:t xml:space="preserve">A hitelhez kapcsolódó reformok és beruházások ismertetése </w:t>
      </w:r>
    </w:p>
    <w:p w14:paraId="21CF41F4" w14:textId="73F15907" w:rsidR="003F5418" w:rsidRDefault="002A6C25">
      <w:pPr>
        <w:pStyle w:val="P68B1DB1-Normal2"/>
        <w:spacing w:before="120" w:after="120"/>
        <w:jc w:val="both"/>
        <w:rPr>
          <w:noProof/>
        </w:rPr>
      </w:pPr>
      <w:r>
        <w:rPr>
          <w:noProof/>
        </w:rPr>
        <w:t xml:space="preserve">1. </w:t>
      </w:r>
      <w:r w:rsidR="00AF4CCB">
        <w:rPr>
          <w:noProof/>
        </w:rPr>
        <w:t>R</w:t>
      </w:r>
      <w:r>
        <w:rPr>
          <w:noProof/>
        </w:rPr>
        <w:t>eform</w:t>
      </w:r>
      <w:r w:rsidR="00AF4CCB">
        <w:rPr>
          <w:noProof/>
        </w:rPr>
        <w:t>:</w:t>
      </w:r>
      <w:r>
        <w:rPr>
          <w:noProof/>
        </w:rPr>
        <w:t xml:space="preserve"> Az eljárások egyszerűsítése és a biztos szerepének megerősítése a különleges gazdasági övezetekben</w:t>
      </w:r>
    </w:p>
    <w:p w14:paraId="2721E949" w14:textId="77777777" w:rsidR="003F5418" w:rsidRDefault="002A6C25">
      <w:pPr>
        <w:spacing w:before="120" w:after="120"/>
        <w:jc w:val="both"/>
        <w:rPr>
          <w:noProof/>
        </w:rPr>
      </w:pPr>
      <w:r>
        <w:rPr>
          <w:noProof/>
        </w:rPr>
        <w:t>A reform hozzájárul az irányítási rendszer egyszerűsítés</w:t>
      </w:r>
      <w:r>
        <w:rPr>
          <w:noProof/>
        </w:rPr>
        <w:t xml:space="preserve">éhez és a különleges gazdasági övezetekben történő beavatkozások végrehajtási idejének észszerűsítéséhez. A reformnak létre kell hoznia a különleges gazdasági övezetek digitális egyablakos ügyintézését, és meg kell erősítenie a biztos szerepét.  </w:t>
      </w:r>
    </w:p>
    <w:p w14:paraId="5AFF5F79" w14:textId="75997DAA" w:rsidR="003F5418" w:rsidRDefault="00AF4CCB">
      <w:pPr>
        <w:pStyle w:val="P68B1DB1-Normal2"/>
        <w:spacing w:before="120" w:after="120"/>
        <w:jc w:val="both"/>
        <w:rPr>
          <w:noProof/>
        </w:rPr>
      </w:pPr>
      <w:r>
        <w:rPr>
          <w:noProof/>
        </w:rPr>
        <w:t>1</w:t>
      </w:r>
      <w:r w:rsidRPr="00B07E42">
        <w:rPr>
          <w:noProof/>
        </w:rPr>
        <w:t>.</w:t>
      </w:r>
      <w:r>
        <w:rPr>
          <w:noProof/>
        </w:rPr>
        <w:t xml:space="preserve">4. Beruházás: Infrastrukturális beruházások a különleges gazdasági övezetek számára  </w:t>
      </w:r>
    </w:p>
    <w:p w14:paraId="11FE8984" w14:textId="77777777" w:rsidR="003F5418" w:rsidRDefault="002A6C25">
      <w:pPr>
        <w:spacing w:before="120" w:after="120"/>
        <w:jc w:val="both"/>
        <w:rPr>
          <w:noProof/>
        </w:rPr>
      </w:pPr>
      <w:r>
        <w:rPr>
          <w:noProof/>
        </w:rPr>
        <w:t>E beruházások célja, hogy biztosítsák a különleges gazdasági övezeteket bevezető reform hatékonyságát, elkerülve a gazdasági fejlődés további késedelmét a már termelő bázissal r</w:t>
      </w:r>
      <w:r>
        <w:rPr>
          <w:noProof/>
        </w:rPr>
        <w:t xml:space="preserve">endelkező déli területeken. </w:t>
      </w:r>
    </w:p>
    <w:p w14:paraId="6CEE3749" w14:textId="77777777" w:rsidR="003F5418" w:rsidRDefault="002A6C25">
      <w:pPr>
        <w:spacing w:before="120" w:after="120"/>
        <w:jc w:val="both"/>
        <w:rPr>
          <w:noProof/>
        </w:rPr>
      </w:pPr>
      <w:r>
        <w:rPr>
          <w:noProof/>
        </w:rPr>
        <w:t>Az intézkedés hatálya alá tartozó projekteknek elő kell segíteniük a versenyképességet és a gazdasági fejlődést a különleges gazdasági övezetekben az olasz jogszabályokban meghatározott elsődleges urbanizációs munkálatok, valam</w:t>
      </w:r>
      <w:r>
        <w:rPr>
          <w:noProof/>
        </w:rPr>
        <w:t>int e területek közúti és vasúti hálózatokkal való összekapcsolása révén. A beavatkozások célja, hogy ösztönözzék a vállalatokat és a vállalatokat arra, hogy termelőtevékenységeiket a különleges gazdasági övezetekbe helyezzék. Az infrastrukturális beruházá</w:t>
      </w:r>
      <w:r>
        <w:rPr>
          <w:noProof/>
        </w:rPr>
        <w:t>sok várhatóan a kikötőkkel vagy ipari területekkel való utolsó mérföldes összeköttetésekhez kapcsolódnak; digitális logisztika, urbanizáció vagy energiahatékonysági munkák; a kikötők rezilienciájának megerősítése.</w:t>
      </w:r>
    </w:p>
    <w:p w14:paraId="09CBDD6A" w14:textId="77777777" w:rsidR="003F5418" w:rsidRDefault="002A6C25">
      <w:pPr>
        <w:spacing w:before="120" w:after="120"/>
        <w:jc w:val="both"/>
        <w:rPr>
          <w:i/>
          <w:noProof/>
          <w:color w:val="4472C4" w:themeColor="accent1"/>
        </w:rPr>
      </w:pPr>
      <w:r>
        <w:rPr>
          <w:noProof/>
        </w:rPr>
        <w:t>Annak biztosítása érdekében, hogy az intéz</w:t>
      </w:r>
      <w:r>
        <w:rPr>
          <w:noProof/>
        </w:rPr>
        <w:t>kedés megfeleljen a jelentős károkozás elkerülését célzó elvről szóló technikai iránymutatásnak (2021/C58/01), a soron következő pályázati felhívásokra vonatkozó feladatmeghatározásban szereplő támogathatósági kritériumok nem tartalmazzák a tevékenységek a</w:t>
      </w:r>
      <w:r>
        <w:rPr>
          <w:noProof/>
        </w:rPr>
        <w:t>lábbi listáját</w:t>
      </w:r>
      <w:r w:rsidRPr="00AF4CCB">
        <w:rPr>
          <w:noProof/>
        </w:rPr>
        <w:t>: a fosszilis tüzelőanyagokkal kapcsolatostevékenységek, bel</w:t>
      </w:r>
      <w:r>
        <w:rPr>
          <w:noProof/>
        </w:rPr>
        <w:t>eértve a továbbfelhasználást is</w:t>
      </w:r>
      <w:r>
        <w:rPr>
          <w:rStyle w:val="FootnoteReference"/>
          <w:noProof/>
        </w:rPr>
        <w:footnoteReference w:id="119"/>
      </w:r>
      <w:r>
        <w:rPr>
          <w:noProof/>
        </w:rPr>
        <w:t>; ii. az uniós kibocsátáskereskedelmi rendszer (ETS) keretében végzett tevékenységek, amelyek elérik a vonatkozó referenciaértékeket meg nem haladó, e</w:t>
      </w:r>
      <w:r>
        <w:rPr>
          <w:noProof/>
        </w:rPr>
        <w:t>lőre jelzett üvegházhatásúgáz-kibocsátást</w:t>
      </w:r>
      <w:r>
        <w:rPr>
          <w:rStyle w:val="FootnoteReference"/>
          <w:noProof/>
        </w:rPr>
        <w:footnoteReference w:id="120"/>
      </w:r>
      <w:r>
        <w:rPr>
          <w:noProof/>
        </w:rPr>
        <w:t>; hulladéklerakókkal, hulladékégetőkkel</w:t>
      </w:r>
      <w:r>
        <w:rPr>
          <w:rStyle w:val="FootnoteReference"/>
          <w:noProof/>
        </w:rPr>
        <w:footnoteReference w:id="121"/>
      </w:r>
      <w:r>
        <w:rPr>
          <w:noProof/>
        </w:rPr>
        <w:t xml:space="preserve"> és mechanikai-biológiai hulladékkezelő létesítményekkel kapcsolatos tevékenységek</w:t>
      </w:r>
      <w:r>
        <w:rPr>
          <w:rStyle w:val="FootnoteReference"/>
          <w:noProof/>
        </w:rPr>
        <w:footnoteReference w:id="122"/>
      </w:r>
      <w:r>
        <w:rPr>
          <w:noProof/>
        </w:rPr>
        <w:t>; valamint iv. azok a tevékenységek, amelyek esetében a hulladék hosszú távú ártalmatlanítá</w:t>
      </w:r>
      <w:r>
        <w:rPr>
          <w:noProof/>
        </w:rPr>
        <w:t>sa károsíthatja a környezetet. A feladatmeghatározás előírja továbbá, hogy csak olyan tevékenységek választhatók ki, amelyek megfelelnek a vonatkozó uniós és nemzeti környezetvédelmi jogszabályoknak.</w:t>
      </w:r>
      <w:r>
        <w:rPr>
          <w:i/>
          <w:noProof/>
          <w:color w:val="4472C4" w:themeColor="accent1"/>
        </w:rPr>
        <w:t xml:space="preserve"> </w:t>
      </w:r>
    </w:p>
    <w:p w14:paraId="6CF9E294" w14:textId="77777777" w:rsidR="003F5418" w:rsidRDefault="003F5418">
      <w:pPr>
        <w:spacing w:before="120" w:after="120"/>
        <w:ind w:left="709"/>
        <w:contextualSpacing/>
        <w:jc w:val="both"/>
        <w:rPr>
          <w:noProof/>
        </w:rPr>
        <w:sectPr w:rsidR="003F5418">
          <w:headerReference w:type="even" r:id="rId362"/>
          <w:headerReference w:type="default" r:id="rId363"/>
          <w:footerReference w:type="even" r:id="rId364"/>
          <w:footerReference w:type="default" r:id="rId365"/>
          <w:headerReference w:type="first" r:id="rId366"/>
          <w:footerReference w:type="first" r:id="rId367"/>
          <w:pgSz w:w="11907" w:h="16839"/>
          <w:pgMar w:top="1134" w:right="1417" w:bottom="1134" w:left="1417" w:header="709" w:footer="709" w:gutter="0"/>
          <w:cols w:space="720"/>
          <w:docGrid w:linePitch="360"/>
        </w:sectPr>
      </w:pPr>
    </w:p>
    <w:p w14:paraId="49763503" w14:textId="77777777" w:rsidR="003F5418" w:rsidRDefault="002A6C25">
      <w:pPr>
        <w:pStyle w:val="Heading3"/>
        <w:numPr>
          <w:ilvl w:val="0"/>
          <w:numId w:val="0"/>
        </w:numPr>
        <w:ind w:left="850" w:hanging="850"/>
        <w:rPr>
          <w:b/>
          <w:i w:val="0"/>
          <w:noProof/>
          <w:u w:val="single"/>
        </w:rPr>
      </w:pPr>
      <w:r>
        <w:rPr>
          <w:b/>
          <w:i w:val="0"/>
          <w:noProof/>
          <w:u w:val="single"/>
        </w:rPr>
        <w:t xml:space="preserve">N.4. </w:t>
      </w:r>
      <w:r>
        <w:rPr>
          <w:noProof/>
        </w:rPr>
        <w:t xml:space="preserve"> </w:t>
      </w:r>
      <w:r>
        <w:rPr>
          <w:b/>
          <w:i w:val="0"/>
          <w:noProof/>
          <w:u w:val="single"/>
        </w:rPr>
        <w:t xml:space="preserve">Hitel – a végrehajtáshoz és a nyomon követéshez kapcsolódó mérföldkövek, célok, mutatók és ütemterv </w:t>
      </w:r>
    </w:p>
    <w:tbl>
      <w:tblPr>
        <w:tblW w:w="15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666"/>
        <w:gridCol w:w="1274"/>
        <w:gridCol w:w="1559"/>
        <w:gridCol w:w="1701"/>
        <w:gridCol w:w="1417"/>
        <w:gridCol w:w="1134"/>
        <w:gridCol w:w="993"/>
        <w:gridCol w:w="992"/>
        <w:gridCol w:w="709"/>
        <w:gridCol w:w="2595"/>
      </w:tblGrid>
      <w:tr w:rsidR="003F5418" w14:paraId="51C37016" w14:textId="77777777">
        <w:trPr>
          <w:trHeight w:val="939"/>
          <w:tblHeader/>
        </w:trPr>
        <w:tc>
          <w:tcPr>
            <w:tcW w:w="1419" w:type="dxa"/>
            <w:vMerge w:val="restart"/>
            <w:shd w:val="clear" w:color="auto" w:fill="BDD7EE"/>
            <w:vAlign w:val="center"/>
            <w:hideMark/>
          </w:tcPr>
          <w:p w14:paraId="56DC87A2" w14:textId="77777777" w:rsidR="003F5418" w:rsidRDefault="002A6C25">
            <w:pPr>
              <w:pStyle w:val="P68B1DB1-Normal3"/>
              <w:jc w:val="center"/>
              <w:rPr>
                <w:rFonts w:eastAsiaTheme="minorEastAsia"/>
                <w:noProof/>
              </w:rPr>
            </w:pPr>
            <w:r>
              <w:rPr>
                <w:noProof/>
              </w:rPr>
              <w:t>Sorszám</w:t>
            </w:r>
          </w:p>
        </w:tc>
        <w:tc>
          <w:tcPr>
            <w:tcW w:w="1666" w:type="dxa"/>
            <w:vMerge w:val="restart"/>
            <w:shd w:val="clear" w:color="auto" w:fill="BDD7EE"/>
            <w:vAlign w:val="center"/>
            <w:hideMark/>
          </w:tcPr>
          <w:p w14:paraId="654C3FFF" w14:textId="77777777" w:rsidR="003F5418" w:rsidRDefault="002A6C25">
            <w:pPr>
              <w:pStyle w:val="P68B1DB1-Normal3"/>
              <w:jc w:val="center"/>
              <w:rPr>
                <w:rFonts w:eastAsiaTheme="minorEastAsia"/>
                <w:noProof/>
              </w:rPr>
            </w:pPr>
            <w:r>
              <w:rPr>
                <w:noProof/>
              </w:rPr>
              <w:t>Kapcsolódó intézkedés (reform vagy beruházás)</w:t>
            </w:r>
          </w:p>
        </w:tc>
        <w:tc>
          <w:tcPr>
            <w:tcW w:w="1169" w:type="dxa"/>
            <w:vMerge w:val="restart"/>
            <w:shd w:val="clear" w:color="auto" w:fill="BDD7EE"/>
            <w:vAlign w:val="center"/>
            <w:hideMark/>
          </w:tcPr>
          <w:p w14:paraId="393FF3ED" w14:textId="77777777" w:rsidR="003F5418" w:rsidRDefault="002A6C25">
            <w:pPr>
              <w:pStyle w:val="P68B1DB1-Normal3"/>
              <w:jc w:val="center"/>
              <w:rPr>
                <w:rFonts w:eastAsiaTheme="minorEastAsia"/>
                <w:noProof/>
              </w:rPr>
            </w:pPr>
            <w:r>
              <w:rPr>
                <w:noProof/>
              </w:rPr>
              <w:t>Mérföldkő/cél</w:t>
            </w:r>
          </w:p>
        </w:tc>
        <w:tc>
          <w:tcPr>
            <w:tcW w:w="1559" w:type="dxa"/>
            <w:vMerge w:val="restart"/>
            <w:shd w:val="clear" w:color="auto" w:fill="BDD7EE"/>
            <w:vAlign w:val="center"/>
            <w:hideMark/>
          </w:tcPr>
          <w:p w14:paraId="657DA037" w14:textId="77777777" w:rsidR="003F5418" w:rsidRDefault="002A6C25">
            <w:pPr>
              <w:pStyle w:val="P68B1DB1-Normal3"/>
              <w:jc w:val="center"/>
              <w:rPr>
                <w:rFonts w:eastAsiaTheme="minorEastAsia"/>
                <w:noProof/>
              </w:rPr>
            </w:pPr>
            <w:r>
              <w:rPr>
                <w:noProof/>
              </w:rPr>
              <w:t>Név</w:t>
            </w:r>
          </w:p>
        </w:tc>
        <w:tc>
          <w:tcPr>
            <w:tcW w:w="1701" w:type="dxa"/>
            <w:vMerge w:val="restart"/>
            <w:shd w:val="clear" w:color="auto" w:fill="BDD7EE"/>
            <w:vAlign w:val="center"/>
            <w:hideMark/>
          </w:tcPr>
          <w:p w14:paraId="1F784502" w14:textId="77777777" w:rsidR="003F5418" w:rsidRDefault="002A6C25">
            <w:pPr>
              <w:jc w:val="center"/>
              <w:rPr>
                <w:rFonts w:ascii="Arial Narrow" w:eastAsiaTheme="minorEastAsia" w:hAnsi="Arial Narrow"/>
                <w:b/>
                <w:noProof/>
                <w:sz w:val="20"/>
              </w:rPr>
            </w:pPr>
            <w:r>
              <w:rPr>
                <w:rFonts w:ascii="Arial Narrow" w:hAnsi="Arial Narrow"/>
                <w:b/>
                <w:noProof/>
                <w:sz w:val="20"/>
              </w:rPr>
              <w:t xml:space="preserve">Minőségi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(a részcélokra vonatkozóan)</w:t>
            </w:r>
          </w:p>
        </w:tc>
        <w:tc>
          <w:tcPr>
            <w:tcW w:w="3544" w:type="dxa"/>
            <w:gridSpan w:val="3"/>
            <w:shd w:val="clear" w:color="auto" w:fill="BDD7EE"/>
            <w:vAlign w:val="center"/>
            <w:hideMark/>
          </w:tcPr>
          <w:p w14:paraId="63FC2E33" w14:textId="77777777" w:rsidR="003F5418" w:rsidRDefault="002A6C25">
            <w:pPr>
              <w:jc w:val="center"/>
              <w:rPr>
                <w:rFonts w:ascii="Arial Narrow" w:eastAsiaTheme="minorEastAsia" w:hAnsi="Arial Narrow"/>
                <w:b/>
                <w:noProof/>
                <w:sz w:val="20"/>
              </w:rPr>
            </w:pPr>
            <w:r>
              <w:rPr>
                <w:rFonts w:ascii="Arial Narrow" w:hAnsi="Arial Narrow"/>
                <w:b/>
                <w:noProof/>
                <w:sz w:val="20"/>
              </w:rPr>
              <w:t xml:space="preserve">Mennyiségi mutatók </w:t>
            </w:r>
            <w:r>
              <w:rPr>
                <w:rFonts w:ascii="Arial Narrow" w:hAnsi="Arial Narrow"/>
                <w:noProof/>
                <w:sz w:val="20"/>
              </w:rPr>
              <w:t xml:space="preserve"> </w:t>
            </w:r>
            <w:r>
              <w:rPr>
                <w:noProof/>
              </w:rPr>
              <w:t xml:space="preserve"> </w:t>
            </w:r>
            <w:r>
              <w:rPr>
                <w:noProof/>
              </w:rPr>
              <w:br/>
            </w:r>
            <w:r>
              <w:rPr>
                <w:rFonts w:ascii="Arial Narrow" w:hAnsi="Arial Narrow"/>
                <w:b/>
                <w:noProof/>
                <w:sz w:val="20"/>
              </w:rPr>
              <w:t>(célok</w:t>
            </w:r>
            <w:r>
              <w:rPr>
                <w:rFonts w:ascii="Arial Narrow" w:hAnsi="Arial Narrow"/>
                <w:b/>
                <w:noProof/>
                <w:sz w:val="20"/>
              </w:rPr>
              <w:t xml:space="preserve"> esetében)</w:t>
            </w:r>
          </w:p>
        </w:tc>
        <w:tc>
          <w:tcPr>
            <w:tcW w:w="1701" w:type="dxa"/>
            <w:gridSpan w:val="2"/>
            <w:shd w:val="clear" w:color="auto" w:fill="BDD7EE"/>
            <w:vAlign w:val="center"/>
            <w:hideMark/>
          </w:tcPr>
          <w:p w14:paraId="5C853783" w14:textId="77777777" w:rsidR="003F5418" w:rsidRDefault="002A6C25">
            <w:pPr>
              <w:pStyle w:val="P68B1DB1-Normal3"/>
              <w:jc w:val="center"/>
              <w:rPr>
                <w:rFonts w:eastAsiaTheme="minorEastAsia"/>
                <w:noProof/>
              </w:rPr>
            </w:pPr>
            <w:r>
              <w:rPr>
                <w:noProof/>
              </w:rPr>
              <w:t>A végrehajtás indikatív ütemterve</w:t>
            </w:r>
          </w:p>
        </w:tc>
        <w:tc>
          <w:tcPr>
            <w:tcW w:w="2595" w:type="dxa"/>
            <w:vMerge w:val="restart"/>
            <w:shd w:val="clear" w:color="auto" w:fill="BDD7EE"/>
            <w:vAlign w:val="center"/>
            <w:hideMark/>
          </w:tcPr>
          <w:p w14:paraId="7DAF8663" w14:textId="77777777" w:rsidR="003F5418" w:rsidRDefault="002A6C25">
            <w:pPr>
              <w:pStyle w:val="P68B1DB1-Normal3"/>
              <w:jc w:val="center"/>
              <w:rPr>
                <w:rFonts w:eastAsiaTheme="minorEastAsia"/>
                <w:noProof/>
              </w:rPr>
            </w:pPr>
            <w:r>
              <w:rPr>
                <w:noProof/>
              </w:rPr>
              <w:t>Az egyes mérföldkövek és célértékek leírása</w:t>
            </w:r>
          </w:p>
        </w:tc>
      </w:tr>
      <w:tr w:rsidR="003F5418" w14:paraId="39F803E7" w14:textId="77777777">
        <w:trPr>
          <w:trHeight w:val="741"/>
        </w:trPr>
        <w:tc>
          <w:tcPr>
            <w:tcW w:w="1419" w:type="dxa"/>
            <w:vMerge/>
            <w:vAlign w:val="center"/>
            <w:hideMark/>
          </w:tcPr>
          <w:p w14:paraId="51AFDA07" w14:textId="77777777" w:rsidR="003F5418" w:rsidRDefault="003F5418">
            <w:pPr>
              <w:jc w:val="center"/>
              <w:rPr>
                <w:rFonts w:ascii="Arial Narrow" w:eastAsiaTheme="minorEastAsia" w:hAnsi="Arial Narrow"/>
                <w:b/>
                <w:noProof/>
                <w:sz w:val="20"/>
              </w:rPr>
            </w:pPr>
          </w:p>
        </w:tc>
        <w:tc>
          <w:tcPr>
            <w:tcW w:w="1666" w:type="dxa"/>
            <w:vMerge/>
            <w:vAlign w:val="center"/>
            <w:hideMark/>
          </w:tcPr>
          <w:p w14:paraId="624C16CF" w14:textId="77777777" w:rsidR="003F5418" w:rsidRDefault="003F5418">
            <w:pPr>
              <w:jc w:val="center"/>
              <w:rPr>
                <w:rFonts w:ascii="Arial Narrow" w:eastAsiaTheme="minorEastAsia" w:hAnsi="Arial Narrow"/>
                <w:b/>
                <w:noProof/>
                <w:sz w:val="20"/>
              </w:rPr>
            </w:pPr>
          </w:p>
        </w:tc>
        <w:tc>
          <w:tcPr>
            <w:tcW w:w="1169" w:type="dxa"/>
            <w:vMerge/>
            <w:vAlign w:val="center"/>
            <w:hideMark/>
          </w:tcPr>
          <w:p w14:paraId="1C13DBFE" w14:textId="77777777" w:rsidR="003F5418" w:rsidRDefault="003F5418">
            <w:pPr>
              <w:jc w:val="center"/>
              <w:rPr>
                <w:rFonts w:ascii="Arial Narrow" w:eastAsiaTheme="minorEastAsia" w:hAnsi="Arial Narrow"/>
                <w:b/>
                <w:noProof/>
                <w:sz w:val="20"/>
              </w:rPr>
            </w:pPr>
          </w:p>
        </w:tc>
        <w:tc>
          <w:tcPr>
            <w:tcW w:w="1559" w:type="dxa"/>
            <w:vMerge/>
            <w:vAlign w:val="center"/>
            <w:hideMark/>
          </w:tcPr>
          <w:p w14:paraId="40EB5C1E" w14:textId="77777777" w:rsidR="003F5418" w:rsidRDefault="003F5418">
            <w:pPr>
              <w:jc w:val="center"/>
              <w:rPr>
                <w:rFonts w:ascii="Arial Narrow" w:eastAsiaTheme="minorEastAsia" w:hAnsi="Arial Narrow"/>
                <w:b/>
                <w:noProof/>
                <w:sz w:val="20"/>
              </w:rPr>
            </w:pPr>
          </w:p>
        </w:tc>
        <w:tc>
          <w:tcPr>
            <w:tcW w:w="1701" w:type="dxa"/>
            <w:vMerge/>
            <w:vAlign w:val="center"/>
            <w:hideMark/>
          </w:tcPr>
          <w:p w14:paraId="2039B142" w14:textId="77777777" w:rsidR="003F5418" w:rsidRDefault="003F5418">
            <w:pPr>
              <w:jc w:val="center"/>
              <w:rPr>
                <w:rFonts w:ascii="Arial Narrow" w:eastAsiaTheme="minorEastAsia" w:hAnsi="Arial Narrow"/>
                <w:b/>
                <w:noProof/>
                <w:sz w:val="20"/>
              </w:rPr>
            </w:pPr>
          </w:p>
        </w:tc>
        <w:tc>
          <w:tcPr>
            <w:tcW w:w="1417" w:type="dxa"/>
            <w:shd w:val="clear" w:color="auto" w:fill="BDD7EE"/>
            <w:vAlign w:val="center"/>
            <w:hideMark/>
          </w:tcPr>
          <w:p w14:paraId="6051F9F4" w14:textId="77777777" w:rsidR="003F5418" w:rsidRDefault="002A6C25">
            <w:pPr>
              <w:pStyle w:val="P68B1DB1-Normal3"/>
              <w:jc w:val="center"/>
              <w:rPr>
                <w:rFonts w:eastAsiaTheme="minorEastAsia"/>
                <w:noProof/>
              </w:rPr>
            </w:pPr>
            <w:r>
              <w:rPr>
                <w:noProof/>
              </w:rPr>
              <w:t>Mértékegység</w:t>
            </w:r>
          </w:p>
        </w:tc>
        <w:tc>
          <w:tcPr>
            <w:tcW w:w="1134" w:type="dxa"/>
            <w:shd w:val="clear" w:color="auto" w:fill="BDD7EE"/>
            <w:vAlign w:val="center"/>
            <w:hideMark/>
          </w:tcPr>
          <w:p w14:paraId="43EF02B2" w14:textId="77777777" w:rsidR="003F5418" w:rsidRDefault="002A6C25">
            <w:pPr>
              <w:pStyle w:val="P68B1DB1-Normal3"/>
              <w:jc w:val="center"/>
              <w:rPr>
                <w:rFonts w:eastAsiaTheme="minorEastAsia"/>
                <w:noProof/>
              </w:rPr>
            </w:pPr>
            <w:r>
              <w:rPr>
                <w:noProof/>
              </w:rPr>
              <w:t>Kiindulási</w:t>
            </w:r>
          </w:p>
        </w:tc>
        <w:tc>
          <w:tcPr>
            <w:tcW w:w="993" w:type="dxa"/>
            <w:shd w:val="clear" w:color="auto" w:fill="BDD7EE"/>
            <w:vAlign w:val="center"/>
            <w:hideMark/>
          </w:tcPr>
          <w:p w14:paraId="43474693" w14:textId="77777777" w:rsidR="003F5418" w:rsidRDefault="002A6C25">
            <w:pPr>
              <w:pStyle w:val="P68B1DB1-Normal3"/>
              <w:jc w:val="center"/>
              <w:rPr>
                <w:rFonts w:eastAsiaTheme="minorEastAsia"/>
                <w:noProof/>
              </w:rPr>
            </w:pPr>
            <w:r>
              <w:rPr>
                <w:noProof/>
              </w:rPr>
              <w:t>Cél</w:t>
            </w:r>
          </w:p>
        </w:tc>
        <w:tc>
          <w:tcPr>
            <w:tcW w:w="992" w:type="dxa"/>
            <w:shd w:val="clear" w:color="auto" w:fill="BDD7EE"/>
            <w:vAlign w:val="center"/>
            <w:hideMark/>
          </w:tcPr>
          <w:p w14:paraId="206B3C10" w14:textId="77777777" w:rsidR="003F5418" w:rsidRDefault="002A6C25">
            <w:pPr>
              <w:pStyle w:val="P68B1DB1-Normal3"/>
              <w:jc w:val="center"/>
              <w:rPr>
                <w:rFonts w:eastAsiaTheme="minorEastAsia"/>
                <w:noProof/>
              </w:rPr>
            </w:pPr>
            <w:r>
              <w:rPr>
                <w:noProof/>
              </w:rPr>
              <w:t>Negyedév</w:t>
            </w:r>
          </w:p>
        </w:tc>
        <w:tc>
          <w:tcPr>
            <w:tcW w:w="709" w:type="dxa"/>
            <w:shd w:val="clear" w:color="auto" w:fill="BDD7EE"/>
            <w:vAlign w:val="center"/>
            <w:hideMark/>
          </w:tcPr>
          <w:p w14:paraId="4CEBF04D" w14:textId="77777777" w:rsidR="003F5418" w:rsidRDefault="002A6C25">
            <w:pPr>
              <w:pStyle w:val="P68B1DB1-Normal3"/>
              <w:jc w:val="center"/>
              <w:rPr>
                <w:rFonts w:eastAsiaTheme="minorEastAsia"/>
                <w:noProof/>
              </w:rPr>
            </w:pPr>
            <w:r>
              <w:rPr>
                <w:noProof/>
              </w:rPr>
              <w:t>Éve</w:t>
            </w:r>
          </w:p>
        </w:tc>
        <w:tc>
          <w:tcPr>
            <w:tcW w:w="2595" w:type="dxa"/>
            <w:vMerge/>
            <w:vAlign w:val="center"/>
            <w:hideMark/>
          </w:tcPr>
          <w:p w14:paraId="126EA68C" w14:textId="77777777" w:rsidR="003F5418" w:rsidRDefault="003F5418">
            <w:pPr>
              <w:jc w:val="center"/>
              <w:rPr>
                <w:rFonts w:ascii="Arial Narrow" w:eastAsiaTheme="minorEastAsia" w:hAnsi="Arial Narrow"/>
                <w:b/>
                <w:noProof/>
                <w:sz w:val="20"/>
              </w:rPr>
            </w:pPr>
          </w:p>
        </w:tc>
      </w:tr>
      <w:tr w:rsidR="003F5418" w14:paraId="0F239373" w14:textId="77777777">
        <w:trPr>
          <w:trHeight w:val="313"/>
        </w:trPr>
        <w:tc>
          <w:tcPr>
            <w:tcW w:w="1419" w:type="dxa"/>
            <w:shd w:val="clear" w:color="auto" w:fill="C6EFCE"/>
            <w:noWrap/>
            <w:vAlign w:val="center"/>
          </w:tcPr>
          <w:p w14:paraId="7ABA93D9" w14:textId="77777777" w:rsidR="003F5418" w:rsidRDefault="002A6C25">
            <w:pPr>
              <w:pStyle w:val="P68B1DB1-Normal4"/>
              <w:jc w:val="center"/>
              <w:rPr>
                <w:rFonts w:eastAsiaTheme="minorEastAsia"/>
                <w:noProof/>
              </w:rPr>
            </w:pPr>
            <w:r>
              <w:rPr>
                <w:noProof/>
              </w:rPr>
              <w:t>M5C3–10</w:t>
            </w:r>
          </w:p>
        </w:tc>
        <w:tc>
          <w:tcPr>
            <w:tcW w:w="1666" w:type="dxa"/>
            <w:shd w:val="clear" w:color="auto" w:fill="C6EFCE"/>
            <w:noWrap/>
            <w:vAlign w:val="center"/>
            <w:hideMark/>
          </w:tcPr>
          <w:p w14:paraId="62C6F15A" w14:textId="77777777" w:rsidR="003F5418" w:rsidRDefault="002A6C25">
            <w:pPr>
              <w:pStyle w:val="P68B1DB1-Normal4"/>
              <w:jc w:val="center"/>
              <w:rPr>
                <w:rFonts w:eastAsiaTheme="minorEastAsia"/>
                <w:noProof/>
              </w:rPr>
            </w:pPr>
            <w:r>
              <w:rPr>
                <w:noProof/>
              </w:rPr>
              <w:t>Reform1: Az eljárások egyszerűsítése és a biztos szerepének megerősítése a különleges gazdasági övezetekben</w:t>
            </w:r>
          </w:p>
        </w:tc>
        <w:tc>
          <w:tcPr>
            <w:tcW w:w="1169" w:type="dxa"/>
            <w:shd w:val="clear" w:color="auto" w:fill="C6EFCE"/>
            <w:noWrap/>
            <w:vAlign w:val="center"/>
            <w:hideMark/>
          </w:tcPr>
          <w:p w14:paraId="0525FDEA" w14:textId="77777777" w:rsidR="003F5418" w:rsidRDefault="002A6C25">
            <w:pPr>
              <w:pStyle w:val="P68B1DB1-Normal4"/>
              <w:jc w:val="center"/>
              <w:rPr>
                <w:rFonts w:eastAsiaTheme="minorEastAsia"/>
                <w:noProof/>
              </w:rPr>
            </w:pPr>
            <w:r>
              <w:rPr>
                <w:noProof/>
              </w:rPr>
              <w:t>Mérföldkő</w:t>
            </w:r>
          </w:p>
        </w:tc>
        <w:tc>
          <w:tcPr>
            <w:tcW w:w="1559" w:type="dxa"/>
            <w:shd w:val="clear" w:color="auto" w:fill="C6EFCE"/>
            <w:noWrap/>
            <w:vAlign w:val="center"/>
            <w:hideMark/>
          </w:tcPr>
          <w:p w14:paraId="1D8AA2EC" w14:textId="77777777" w:rsidR="003F5418" w:rsidRDefault="002A6C25">
            <w:pPr>
              <w:pStyle w:val="P68B1DB1-Normal4"/>
              <w:jc w:val="center"/>
              <w:rPr>
                <w:rFonts w:eastAsiaTheme="minorEastAsia"/>
                <w:noProof/>
              </w:rPr>
            </w:pPr>
            <w:r>
              <w:rPr>
                <w:noProof/>
              </w:rPr>
              <w:t>A rendelet hatálybalépése pusztán az eljárások és a biztos különleges gazdasági övezetekben betöltött szerepének megerősítése érdekében</w:t>
            </w:r>
          </w:p>
        </w:tc>
        <w:tc>
          <w:tcPr>
            <w:tcW w:w="1701" w:type="dxa"/>
            <w:shd w:val="clear" w:color="auto" w:fill="C6EFCE"/>
            <w:noWrap/>
            <w:vAlign w:val="center"/>
            <w:hideMark/>
          </w:tcPr>
          <w:p w14:paraId="6A98F1F4" w14:textId="77777777" w:rsidR="003F5418" w:rsidRDefault="002A6C25">
            <w:pPr>
              <w:pStyle w:val="P68B1DB1-Normal4"/>
              <w:jc w:val="center"/>
              <w:rPr>
                <w:rFonts w:eastAsiaTheme="minorEastAsia"/>
                <w:noProof/>
              </w:rPr>
            </w:pPr>
            <w:r>
              <w:rPr>
                <w:noProof/>
              </w:rPr>
              <w:t>A rendeletnek a rendelet hatálybalépésére vonatkozó rendelkezése, amely egyszerűen meghatározza az eljárásokat</w:t>
            </w:r>
            <w:r>
              <w:rPr>
                <w:noProof/>
              </w:rPr>
              <w:t xml:space="preserve"> és erősíti a biztos különleges gazdasági övezetekben betöltött szerepét</w:t>
            </w:r>
          </w:p>
        </w:tc>
        <w:tc>
          <w:tcPr>
            <w:tcW w:w="1417" w:type="dxa"/>
            <w:shd w:val="clear" w:color="auto" w:fill="C6EFCE"/>
            <w:noWrap/>
            <w:vAlign w:val="center"/>
          </w:tcPr>
          <w:p w14:paraId="0886FCA7"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3D97526F" w14:textId="77777777" w:rsidR="003F5418" w:rsidRDefault="002A6C25">
            <w:pPr>
              <w:pStyle w:val="P68B1DB1-Normal4"/>
              <w:jc w:val="center"/>
              <w:rPr>
                <w:noProof/>
              </w:rPr>
            </w:pPr>
            <w:r>
              <w:rPr>
                <w:noProof/>
              </w:rPr>
              <w:t>NINCS</w:t>
            </w:r>
          </w:p>
        </w:tc>
        <w:tc>
          <w:tcPr>
            <w:tcW w:w="993" w:type="dxa"/>
            <w:shd w:val="clear" w:color="auto" w:fill="C6EFCE"/>
            <w:noWrap/>
            <w:vAlign w:val="center"/>
          </w:tcPr>
          <w:p w14:paraId="714235E7" w14:textId="77777777" w:rsidR="003F5418" w:rsidRDefault="002A6C25">
            <w:pPr>
              <w:pStyle w:val="P68B1DB1-Normal4"/>
              <w:jc w:val="center"/>
              <w:rPr>
                <w:noProof/>
              </w:rPr>
            </w:pPr>
            <w:r>
              <w:rPr>
                <w:noProof/>
              </w:rPr>
              <w:t>NINCS</w:t>
            </w:r>
          </w:p>
        </w:tc>
        <w:tc>
          <w:tcPr>
            <w:tcW w:w="992" w:type="dxa"/>
            <w:shd w:val="clear" w:color="auto" w:fill="C6EFCE"/>
            <w:noWrap/>
            <w:vAlign w:val="center"/>
            <w:hideMark/>
          </w:tcPr>
          <w:p w14:paraId="141AC6FF" w14:textId="77777777" w:rsidR="003F5418" w:rsidRDefault="002A6C25">
            <w:pPr>
              <w:pStyle w:val="P68B1DB1-Normal4"/>
              <w:jc w:val="center"/>
              <w:rPr>
                <w:rFonts w:eastAsiaTheme="minorEastAsia"/>
                <w:noProof/>
              </w:rPr>
            </w:pPr>
            <w:r>
              <w:rPr>
                <w:noProof/>
              </w:rPr>
              <w:t>Q4</w:t>
            </w:r>
          </w:p>
        </w:tc>
        <w:tc>
          <w:tcPr>
            <w:tcW w:w="709" w:type="dxa"/>
            <w:shd w:val="clear" w:color="auto" w:fill="C6EFCE"/>
            <w:noWrap/>
            <w:vAlign w:val="center"/>
            <w:hideMark/>
          </w:tcPr>
          <w:p w14:paraId="6250E3A6" w14:textId="77777777" w:rsidR="003F5418" w:rsidRDefault="002A6C25">
            <w:pPr>
              <w:pStyle w:val="P68B1DB1-Normal4"/>
              <w:rPr>
                <w:rFonts w:eastAsiaTheme="minorEastAsia"/>
                <w:noProof/>
              </w:rPr>
            </w:pPr>
            <w:r>
              <w:rPr>
                <w:noProof/>
              </w:rPr>
              <w:t>2021</w:t>
            </w:r>
          </w:p>
        </w:tc>
        <w:tc>
          <w:tcPr>
            <w:tcW w:w="2595" w:type="dxa"/>
            <w:shd w:val="clear" w:color="auto" w:fill="C6EFCE"/>
            <w:noWrap/>
            <w:vAlign w:val="center"/>
            <w:hideMark/>
          </w:tcPr>
          <w:p w14:paraId="543A4E4A" w14:textId="77777777" w:rsidR="003F5418" w:rsidRDefault="002A6C25">
            <w:pPr>
              <w:pStyle w:val="P68B1DB1-Normal4"/>
              <w:rPr>
                <w:noProof/>
              </w:rPr>
            </w:pPr>
            <w:r>
              <w:rPr>
                <w:noProof/>
              </w:rPr>
              <w:t>A rendelet a következőket tartalmazza: az</w:t>
            </w:r>
          </w:p>
          <w:p w14:paraId="5BDA57CE" w14:textId="77777777" w:rsidR="003F5418" w:rsidRDefault="002A6C25">
            <w:pPr>
              <w:pStyle w:val="P68B1DB1-Normal4"/>
              <w:rPr>
                <w:noProof/>
              </w:rPr>
            </w:pPr>
            <w:r>
              <w:rPr>
                <w:noProof/>
              </w:rPr>
              <w:t>a különleges gazdasági övezetekre vonatkozó digitális egyablakos ügyintézés létrehozása az eljárások egyszerűsítése</w:t>
            </w:r>
            <w:r>
              <w:rPr>
                <w:noProof/>
              </w:rPr>
              <w:t xml:space="preserve"> érdekében; rendelkezések a biztos ZES-ben betöltött szerepének megerősítésére.</w:t>
            </w:r>
          </w:p>
          <w:p w14:paraId="62675B64" w14:textId="77777777" w:rsidR="003F5418" w:rsidRDefault="002A6C25">
            <w:pPr>
              <w:pStyle w:val="P68B1DB1-Normal4"/>
              <w:rPr>
                <w:noProof/>
              </w:rPr>
            </w:pPr>
            <w:r>
              <w:rPr>
                <w:noProof/>
              </w:rPr>
              <w:t xml:space="preserve"> </w:t>
            </w:r>
          </w:p>
          <w:p w14:paraId="3229F833" w14:textId="77777777" w:rsidR="003F5418" w:rsidRDefault="002A6C25">
            <w:pPr>
              <w:pStyle w:val="P68B1DB1-Normal4"/>
              <w:rPr>
                <w:rFonts w:eastAsiaTheme="minorEastAsia"/>
                <w:noProof/>
              </w:rPr>
            </w:pPr>
            <w:r>
              <w:rPr>
                <w:noProof/>
              </w:rPr>
              <w:t>A különleges gazdasági övezetek a 91/2017. sz. törvényerejű rendelet (közzétéve a Hivatalos Lap 141/2017. számában) által meghatározott konkrét területek, amelyeket az L 123/</w:t>
            </w:r>
            <w:r>
              <w:rPr>
                <w:noProof/>
              </w:rPr>
              <w:t>2017. sz. törvény alakított ki (közzétéve a Hivatalos Lap Mezzogiorno 188/2017. számában).</w:t>
            </w:r>
          </w:p>
        </w:tc>
      </w:tr>
      <w:tr w:rsidR="003F5418" w14:paraId="2167B221" w14:textId="77777777">
        <w:trPr>
          <w:trHeight w:val="313"/>
        </w:trPr>
        <w:tc>
          <w:tcPr>
            <w:tcW w:w="1419" w:type="dxa"/>
            <w:shd w:val="clear" w:color="auto" w:fill="C6EFCE"/>
            <w:noWrap/>
            <w:vAlign w:val="center"/>
            <w:hideMark/>
          </w:tcPr>
          <w:p w14:paraId="62DC4ADD" w14:textId="77777777" w:rsidR="003F5418" w:rsidRDefault="002A6C25">
            <w:pPr>
              <w:pStyle w:val="P68B1DB1-Normal4"/>
              <w:jc w:val="center"/>
              <w:rPr>
                <w:rFonts w:eastAsiaTheme="minorEastAsia"/>
                <w:noProof/>
              </w:rPr>
            </w:pPr>
            <w:r>
              <w:rPr>
                <w:noProof/>
              </w:rPr>
              <w:t>M5C3–11</w:t>
            </w:r>
          </w:p>
        </w:tc>
        <w:tc>
          <w:tcPr>
            <w:tcW w:w="1666" w:type="dxa"/>
            <w:shd w:val="clear" w:color="auto" w:fill="C6EFCE"/>
            <w:noWrap/>
            <w:vAlign w:val="center"/>
            <w:hideMark/>
          </w:tcPr>
          <w:p w14:paraId="3830E0F2" w14:textId="77777777" w:rsidR="003F5418" w:rsidRDefault="002A6C25">
            <w:pPr>
              <w:pStyle w:val="P68B1DB1-Normal4"/>
              <w:jc w:val="center"/>
              <w:rPr>
                <w:rFonts w:eastAsiaTheme="minorEastAsia"/>
                <w:noProof/>
              </w:rPr>
            </w:pPr>
            <w:r>
              <w:rPr>
                <w:noProof/>
              </w:rPr>
              <w:t>Beruházás: Infrastrukturális beruházások a különleges gazdasági övezet számára</w:t>
            </w:r>
            <w:r>
              <w:rPr>
                <w:noProof/>
                <w:shd w:val="clear" w:color="auto" w:fill="E6E6E6"/>
              </w:rPr>
              <w:t xml:space="preserve"> </w:t>
            </w:r>
          </w:p>
        </w:tc>
        <w:tc>
          <w:tcPr>
            <w:tcW w:w="1169" w:type="dxa"/>
            <w:shd w:val="clear" w:color="auto" w:fill="C6EFCE"/>
            <w:noWrap/>
            <w:vAlign w:val="center"/>
            <w:hideMark/>
          </w:tcPr>
          <w:p w14:paraId="46326387" w14:textId="77777777" w:rsidR="003F5418" w:rsidRDefault="002A6C25">
            <w:pPr>
              <w:pStyle w:val="P68B1DB1-Normal4"/>
              <w:jc w:val="center"/>
              <w:rPr>
                <w:rFonts w:eastAsiaTheme="minorEastAsia"/>
                <w:noProof/>
              </w:rPr>
            </w:pPr>
            <w:r>
              <w:rPr>
                <w:noProof/>
              </w:rPr>
              <w:t>Mérföldkő</w:t>
            </w:r>
          </w:p>
        </w:tc>
        <w:tc>
          <w:tcPr>
            <w:tcW w:w="1559" w:type="dxa"/>
            <w:shd w:val="clear" w:color="auto" w:fill="C6EFCE"/>
            <w:noWrap/>
            <w:vAlign w:val="center"/>
            <w:hideMark/>
          </w:tcPr>
          <w:p w14:paraId="1621140D" w14:textId="77777777" w:rsidR="003F5418" w:rsidRDefault="002A6C25">
            <w:pPr>
              <w:pStyle w:val="P68B1DB1-Normal4"/>
              <w:jc w:val="center"/>
              <w:rPr>
                <w:rFonts w:eastAsiaTheme="minorEastAsia"/>
                <w:noProof/>
              </w:rPr>
            </w:pPr>
            <w:r>
              <w:rPr>
                <w:noProof/>
              </w:rPr>
              <w:t xml:space="preserve">A mind a nyolc különleges gazdasági övezet működési tervét </w:t>
            </w:r>
            <w:r>
              <w:rPr>
                <w:noProof/>
              </w:rPr>
              <w:t>jóváhagyó miniszteri rendeletek hatálybalépése</w:t>
            </w:r>
          </w:p>
        </w:tc>
        <w:tc>
          <w:tcPr>
            <w:tcW w:w="1701" w:type="dxa"/>
            <w:shd w:val="clear" w:color="auto" w:fill="C6EFCE"/>
            <w:noWrap/>
            <w:vAlign w:val="center"/>
            <w:hideMark/>
          </w:tcPr>
          <w:p w14:paraId="0E0B00AE" w14:textId="77777777" w:rsidR="003F5418" w:rsidRDefault="002A6C25">
            <w:pPr>
              <w:pStyle w:val="P68B1DB1-Normal4"/>
              <w:jc w:val="center"/>
              <w:rPr>
                <w:rFonts w:eastAsiaTheme="minorEastAsia"/>
                <w:noProof/>
              </w:rPr>
            </w:pPr>
            <w:r>
              <w:rPr>
                <w:noProof/>
              </w:rPr>
              <w:t>A minisztériumi rendeletek hatálybalépésének feltüntetésére vonatkozó törvényi rendelkezés.</w:t>
            </w:r>
          </w:p>
        </w:tc>
        <w:tc>
          <w:tcPr>
            <w:tcW w:w="1417" w:type="dxa"/>
            <w:shd w:val="clear" w:color="auto" w:fill="C6EFCE"/>
            <w:noWrap/>
            <w:vAlign w:val="center"/>
            <w:hideMark/>
          </w:tcPr>
          <w:p w14:paraId="5725D166" w14:textId="77777777" w:rsidR="003F5418" w:rsidRDefault="002A6C25">
            <w:pPr>
              <w:pStyle w:val="P68B1DB1-Normal4"/>
              <w:jc w:val="center"/>
              <w:rPr>
                <w:noProof/>
              </w:rPr>
            </w:pPr>
            <w:r>
              <w:rPr>
                <w:noProof/>
              </w:rPr>
              <w:t>NINCS</w:t>
            </w:r>
          </w:p>
        </w:tc>
        <w:tc>
          <w:tcPr>
            <w:tcW w:w="1134" w:type="dxa"/>
            <w:shd w:val="clear" w:color="auto" w:fill="C6EFCE"/>
            <w:noWrap/>
            <w:vAlign w:val="center"/>
          </w:tcPr>
          <w:p w14:paraId="60DF2D1D" w14:textId="77777777" w:rsidR="003F5418" w:rsidRDefault="002A6C25">
            <w:pPr>
              <w:pStyle w:val="P68B1DB1-Normal4"/>
              <w:jc w:val="center"/>
              <w:rPr>
                <w:noProof/>
              </w:rPr>
            </w:pPr>
            <w:r>
              <w:rPr>
                <w:noProof/>
              </w:rPr>
              <w:t>NINCS</w:t>
            </w:r>
          </w:p>
        </w:tc>
        <w:tc>
          <w:tcPr>
            <w:tcW w:w="993" w:type="dxa"/>
            <w:shd w:val="clear" w:color="auto" w:fill="C6EFCE"/>
            <w:noWrap/>
            <w:vAlign w:val="center"/>
          </w:tcPr>
          <w:p w14:paraId="6CD2A36C" w14:textId="77777777" w:rsidR="003F5418" w:rsidRDefault="002A6C25">
            <w:pPr>
              <w:pStyle w:val="P68B1DB1-Normal4"/>
              <w:jc w:val="center"/>
              <w:rPr>
                <w:noProof/>
              </w:rPr>
            </w:pPr>
            <w:r>
              <w:rPr>
                <w:noProof/>
              </w:rPr>
              <w:t>NINCS</w:t>
            </w:r>
          </w:p>
        </w:tc>
        <w:tc>
          <w:tcPr>
            <w:tcW w:w="992" w:type="dxa"/>
            <w:shd w:val="clear" w:color="auto" w:fill="C6EFCE"/>
            <w:noWrap/>
            <w:vAlign w:val="center"/>
            <w:hideMark/>
          </w:tcPr>
          <w:p w14:paraId="67D46A08" w14:textId="77777777" w:rsidR="003F5418" w:rsidRDefault="002A6C25">
            <w:pPr>
              <w:pStyle w:val="P68B1DB1-Normal4"/>
              <w:jc w:val="center"/>
              <w:rPr>
                <w:rFonts w:eastAsiaTheme="minorEastAsia"/>
                <w:noProof/>
              </w:rPr>
            </w:pPr>
            <w:r>
              <w:rPr>
                <w:noProof/>
              </w:rPr>
              <w:t>Q4</w:t>
            </w:r>
          </w:p>
        </w:tc>
        <w:tc>
          <w:tcPr>
            <w:tcW w:w="709" w:type="dxa"/>
            <w:shd w:val="clear" w:color="auto" w:fill="C6EFCE"/>
            <w:noWrap/>
            <w:vAlign w:val="center"/>
            <w:hideMark/>
          </w:tcPr>
          <w:p w14:paraId="5AF4A23A" w14:textId="77777777" w:rsidR="003F5418" w:rsidRDefault="002A6C25">
            <w:pPr>
              <w:pStyle w:val="P68B1DB1-Normal4"/>
              <w:jc w:val="center"/>
              <w:rPr>
                <w:rFonts w:eastAsiaTheme="minorEastAsia"/>
                <w:noProof/>
              </w:rPr>
            </w:pPr>
            <w:r>
              <w:rPr>
                <w:noProof/>
              </w:rPr>
              <w:t>2021</w:t>
            </w:r>
          </w:p>
        </w:tc>
        <w:tc>
          <w:tcPr>
            <w:tcW w:w="2595" w:type="dxa"/>
            <w:shd w:val="clear" w:color="auto" w:fill="C6EFCE"/>
            <w:noWrap/>
            <w:vAlign w:val="center"/>
            <w:hideMark/>
          </w:tcPr>
          <w:p w14:paraId="7600656E" w14:textId="77777777" w:rsidR="003F5418" w:rsidRDefault="002A6C25">
            <w:pPr>
              <w:pStyle w:val="P68B1DB1-Normal4"/>
              <w:rPr>
                <w:rFonts w:eastAsiaTheme="minorEastAsia"/>
                <w:noProof/>
              </w:rPr>
            </w:pPr>
            <w:r>
              <w:rPr>
                <w:noProof/>
              </w:rPr>
              <w:t>A rendelet forrásokat biztosít a végrehajtásért felelős alanyok számára, és konkrét feltéte</w:t>
            </w:r>
            <w:r>
              <w:rPr>
                <w:noProof/>
              </w:rPr>
              <w:t>leket határoz meg a beavatkozások környezeti hatásainak elkerülése érdekében.</w:t>
            </w:r>
          </w:p>
          <w:p w14:paraId="08402F6A" w14:textId="77777777" w:rsidR="003F5418" w:rsidRDefault="002A6C25">
            <w:pPr>
              <w:pStyle w:val="P68B1DB1-Normal4"/>
              <w:rPr>
                <w:rFonts w:eastAsiaTheme="minorEastAsia"/>
                <w:noProof/>
              </w:rPr>
            </w:pPr>
            <w:r>
              <w:rPr>
                <w:noProof/>
              </w:rPr>
              <w:t>Valamennyi versenyfelhívást olyan feladatmeghatározással kell közzétenni, amely támogathatósági kritériumokat is tartalmaz, amelyek biztosítják, hogy a kiválasztott projektek meg</w:t>
            </w:r>
            <w:r>
              <w:rPr>
                <w:noProof/>
              </w:rPr>
              <w:t>feleljenek a jelentős károkozás elkerülését célzó technikai iránymutatásnak (2021/C58/01) a kizárási lista, valamint a vonatkozó uniós és nemzeti környezetvédelmi jogszabályoknak való megfelelés követelménye révén.</w:t>
            </w:r>
          </w:p>
        </w:tc>
      </w:tr>
      <w:tr w:rsidR="003F5418" w14:paraId="68A05DCE" w14:textId="77777777">
        <w:trPr>
          <w:trHeight w:val="313"/>
        </w:trPr>
        <w:tc>
          <w:tcPr>
            <w:tcW w:w="1419" w:type="dxa"/>
            <w:shd w:val="clear" w:color="auto" w:fill="C6EFCE"/>
            <w:noWrap/>
            <w:vAlign w:val="center"/>
            <w:hideMark/>
          </w:tcPr>
          <w:p w14:paraId="22294D71" w14:textId="77777777" w:rsidR="003F5418" w:rsidRDefault="002A6C25">
            <w:pPr>
              <w:pStyle w:val="P68B1DB1-Normal4"/>
              <w:jc w:val="center"/>
              <w:rPr>
                <w:rFonts w:eastAsiaTheme="minorEastAsia"/>
                <w:noProof/>
              </w:rPr>
            </w:pPr>
            <w:r>
              <w:rPr>
                <w:noProof/>
              </w:rPr>
              <w:t>M5C3–12</w:t>
            </w:r>
          </w:p>
        </w:tc>
        <w:tc>
          <w:tcPr>
            <w:tcW w:w="1666" w:type="dxa"/>
            <w:shd w:val="clear" w:color="auto" w:fill="C6EFCE"/>
            <w:noWrap/>
            <w:vAlign w:val="center"/>
            <w:hideMark/>
          </w:tcPr>
          <w:p w14:paraId="258CBD65" w14:textId="77777777" w:rsidR="003F5418" w:rsidRDefault="002A6C25">
            <w:pPr>
              <w:pStyle w:val="P68B1DB1-Normal4"/>
              <w:jc w:val="center"/>
              <w:rPr>
                <w:rFonts w:eastAsiaTheme="minorEastAsia"/>
                <w:noProof/>
              </w:rPr>
            </w:pPr>
            <w:r>
              <w:rPr>
                <w:noProof/>
              </w:rPr>
              <w:t xml:space="preserve">Beruházás: Infrastrukturális </w:t>
            </w:r>
            <w:r>
              <w:rPr>
                <w:noProof/>
              </w:rPr>
              <w:t>beruházások a különleges gazdasági övezet számára</w:t>
            </w:r>
          </w:p>
        </w:tc>
        <w:tc>
          <w:tcPr>
            <w:tcW w:w="1169" w:type="dxa"/>
            <w:shd w:val="clear" w:color="auto" w:fill="C6EFCE"/>
            <w:noWrap/>
            <w:vAlign w:val="center"/>
            <w:hideMark/>
          </w:tcPr>
          <w:p w14:paraId="234AA143" w14:textId="77777777" w:rsidR="003F5418" w:rsidRDefault="002A6C25">
            <w:pPr>
              <w:pStyle w:val="P68B1DB1-Normal4"/>
              <w:jc w:val="center"/>
              <w:rPr>
                <w:rFonts w:eastAsiaTheme="minorEastAsia"/>
                <w:noProof/>
              </w:rPr>
            </w:pPr>
            <w:r>
              <w:rPr>
                <w:noProof/>
              </w:rPr>
              <w:t>Cél</w:t>
            </w:r>
          </w:p>
        </w:tc>
        <w:tc>
          <w:tcPr>
            <w:tcW w:w="1559" w:type="dxa"/>
            <w:shd w:val="clear" w:color="auto" w:fill="C6EFCE"/>
            <w:noWrap/>
            <w:vAlign w:val="center"/>
          </w:tcPr>
          <w:p w14:paraId="01194B74" w14:textId="77777777" w:rsidR="003F5418" w:rsidRDefault="002A6C25">
            <w:pPr>
              <w:pStyle w:val="P68B1DB1-Normal4"/>
              <w:jc w:val="center"/>
              <w:rPr>
                <w:rFonts w:eastAsiaTheme="minorEastAsia"/>
                <w:noProof/>
              </w:rPr>
            </w:pPr>
            <w:r>
              <w:rPr>
                <w:noProof/>
              </w:rPr>
              <w:t>Infrastrukturális beavatkozások megkezdése a különleges gazdasági övezetekben</w:t>
            </w:r>
          </w:p>
        </w:tc>
        <w:tc>
          <w:tcPr>
            <w:tcW w:w="1701" w:type="dxa"/>
            <w:shd w:val="clear" w:color="auto" w:fill="C6EFCE"/>
            <w:noWrap/>
            <w:vAlign w:val="center"/>
            <w:hideMark/>
          </w:tcPr>
          <w:p w14:paraId="427058E3" w14:textId="77777777" w:rsidR="003F5418" w:rsidRDefault="002A6C25">
            <w:pPr>
              <w:pStyle w:val="P68B1DB1-Normal4"/>
              <w:jc w:val="center"/>
              <w:rPr>
                <w:noProof/>
              </w:rPr>
            </w:pPr>
            <w:r>
              <w:rPr>
                <w:noProof/>
              </w:rPr>
              <w:t>NINCS</w:t>
            </w:r>
          </w:p>
        </w:tc>
        <w:tc>
          <w:tcPr>
            <w:tcW w:w="1417" w:type="dxa"/>
            <w:shd w:val="clear" w:color="auto" w:fill="C6EFCE"/>
            <w:noWrap/>
            <w:vAlign w:val="center"/>
            <w:hideMark/>
          </w:tcPr>
          <w:p w14:paraId="6B0EDBB3" w14:textId="77777777" w:rsidR="003F5418" w:rsidRDefault="002A6C25">
            <w:pPr>
              <w:pStyle w:val="P68B1DB1-Normal4"/>
              <w:jc w:val="center"/>
              <w:rPr>
                <w:rFonts w:eastAsiaTheme="minorEastAsia"/>
                <w:noProof/>
              </w:rPr>
            </w:pPr>
            <w:r>
              <w:rPr>
                <w:noProof/>
              </w:rPr>
              <w:t>Szám</w:t>
            </w:r>
          </w:p>
        </w:tc>
        <w:tc>
          <w:tcPr>
            <w:tcW w:w="1134" w:type="dxa"/>
            <w:shd w:val="clear" w:color="auto" w:fill="C6EFCE"/>
            <w:noWrap/>
            <w:vAlign w:val="center"/>
            <w:hideMark/>
          </w:tcPr>
          <w:p w14:paraId="340F4229" w14:textId="77777777" w:rsidR="003F5418" w:rsidRDefault="002A6C25">
            <w:pPr>
              <w:pStyle w:val="P68B1DB1-Normal4"/>
              <w:jc w:val="center"/>
              <w:rPr>
                <w:rFonts w:eastAsiaTheme="minorEastAsia"/>
                <w:noProof/>
              </w:rPr>
            </w:pPr>
            <w:r>
              <w:rPr>
                <w:noProof/>
              </w:rPr>
              <w:t>0</w:t>
            </w:r>
          </w:p>
        </w:tc>
        <w:tc>
          <w:tcPr>
            <w:tcW w:w="993" w:type="dxa"/>
            <w:shd w:val="clear" w:color="auto" w:fill="C6EFCE"/>
            <w:noWrap/>
            <w:vAlign w:val="center"/>
            <w:hideMark/>
          </w:tcPr>
          <w:p w14:paraId="4869FA88" w14:textId="77777777" w:rsidR="003F5418" w:rsidRDefault="002A6C25">
            <w:pPr>
              <w:pStyle w:val="P68B1DB1-Normal4"/>
              <w:jc w:val="center"/>
              <w:rPr>
                <w:rFonts w:eastAsiaTheme="minorEastAsia"/>
                <w:noProof/>
              </w:rPr>
            </w:pPr>
            <w:r>
              <w:rPr>
                <w:noProof/>
              </w:rPr>
              <w:t>41</w:t>
            </w:r>
          </w:p>
        </w:tc>
        <w:tc>
          <w:tcPr>
            <w:tcW w:w="992" w:type="dxa"/>
            <w:shd w:val="clear" w:color="auto" w:fill="C6EFCE"/>
            <w:noWrap/>
            <w:vAlign w:val="center"/>
            <w:hideMark/>
          </w:tcPr>
          <w:p w14:paraId="24BD12DE" w14:textId="77777777" w:rsidR="003F5418" w:rsidRDefault="002A6C25">
            <w:pPr>
              <w:pStyle w:val="P68B1DB1-Normal4"/>
              <w:jc w:val="center"/>
              <w:rPr>
                <w:rFonts w:eastAsiaTheme="minorEastAsia"/>
                <w:noProof/>
              </w:rPr>
            </w:pPr>
            <w:r>
              <w:rPr>
                <w:noProof/>
              </w:rPr>
              <w:t>Q2</w:t>
            </w:r>
          </w:p>
        </w:tc>
        <w:tc>
          <w:tcPr>
            <w:tcW w:w="709" w:type="dxa"/>
            <w:shd w:val="clear" w:color="auto" w:fill="C6EFCE"/>
            <w:noWrap/>
            <w:vAlign w:val="center"/>
            <w:hideMark/>
          </w:tcPr>
          <w:p w14:paraId="048991DD" w14:textId="77777777" w:rsidR="003F5418" w:rsidRDefault="002A6C25">
            <w:pPr>
              <w:pStyle w:val="P68B1DB1-Normal4"/>
              <w:jc w:val="center"/>
              <w:rPr>
                <w:rFonts w:eastAsiaTheme="minorEastAsia"/>
                <w:noProof/>
              </w:rPr>
            </w:pPr>
            <w:r>
              <w:rPr>
                <w:noProof/>
              </w:rPr>
              <w:t>2024</w:t>
            </w:r>
          </w:p>
        </w:tc>
        <w:tc>
          <w:tcPr>
            <w:tcW w:w="2595" w:type="dxa"/>
            <w:shd w:val="clear" w:color="auto" w:fill="C6EFCE"/>
            <w:noWrap/>
            <w:vAlign w:val="center"/>
            <w:hideMark/>
          </w:tcPr>
          <w:p w14:paraId="2CAD7C24" w14:textId="77777777" w:rsidR="003F5418" w:rsidRDefault="002A6C25">
            <w:pPr>
              <w:pStyle w:val="P68B1DB1-Normal4"/>
              <w:rPr>
                <w:rFonts w:eastAsiaTheme="minorEastAsia"/>
                <w:noProof/>
              </w:rPr>
            </w:pPr>
            <w:r>
              <w:rPr>
                <w:noProof/>
              </w:rPr>
              <w:t>A tervezett lépések a következők:</w:t>
            </w:r>
          </w:p>
          <w:p w14:paraId="1680350A" w14:textId="77777777" w:rsidR="003F5418" w:rsidRDefault="002A6C25">
            <w:pPr>
              <w:pStyle w:val="P68B1DB1-Normal4"/>
              <w:rPr>
                <w:rFonts w:eastAsiaTheme="minorEastAsia"/>
                <w:noProof/>
              </w:rPr>
            </w:pPr>
            <w:r>
              <w:rPr>
                <w:noProof/>
              </w:rPr>
              <w:t xml:space="preserve">– „utolsó mérföld” link: hatékony összeköttetések kialakítása az </w:t>
            </w:r>
            <w:r>
              <w:rPr>
                <w:noProof/>
              </w:rPr>
              <w:t>ipari területek és a TEN-T vasúti hálózat között;</w:t>
            </w:r>
          </w:p>
          <w:p w14:paraId="4F7F90CE" w14:textId="77777777" w:rsidR="003F5418" w:rsidRDefault="002A6C25">
            <w:pPr>
              <w:pStyle w:val="P68B1DB1-Normal4"/>
              <w:rPr>
                <w:rFonts w:eastAsiaTheme="minorEastAsia"/>
                <w:noProof/>
              </w:rPr>
            </w:pPr>
            <w:r>
              <w:rPr>
                <w:noProof/>
              </w:rPr>
              <w:t>Digitális logisztika, valamint energia- és környezetvédelmi hatékonysági munkák;</w:t>
            </w:r>
          </w:p>
          <w:p w14:paraId="6BE3164F" w14:textId="77777777" w:rsidR="003F5418" w:rsidRDefault="002A6C25">
            <w:pPr>
              <w:pStyle w:val="P68B1DB1-Normal4"/>
              <w:rPr>
                <w:rFonts w:eastAsiaTheme="minorEastAsia"/>
                <w:noProof/>
              </w:rPr>
            </w:pPr>
            <w:r>
              <w:rPr>
                <w:noProof/>
              </w:rPr>
              <w:t>– Az infrastruktúra rezilienciájának és biztonságának megerősítése a kikötőkhöz való hozzáféréssel kapcsolatban.</w:t>
            </w:r>
          </w:p>
          <w:p w14:paraId="01DBCEFC" w14:textId="77777777" w:rsidR="003F5418" w:rsidRDefault="002A6C25">
            <w:pPr>
              <w:pStyle w:val="P68B1DB1-Normal4"/>
              <w:rPr>
                <w:rFonts w:eastAsiaTheme="minorEastAsia"/>
                <w:noProof/>
              </w:rPr>
            </w:pPr>
            <w:r>
              <w:rPr>
                <w:noProof/>
              </w:rPr>
              <w:t>A beavatkozá</w:t>
            </w:r>
            <w:r>
              <w:rPr>
                <w:noProof/>
              </w:rPr>
              <w:t xml:space="preserve">sokat (amint azt a munkálatok megkezdésére vonatkozó tanúsítvány igazolja) legalább 22 utolsó mérföldes összeköttetésen keresztül meg kell kezdeni a ZES kikötőivel vagy ipari területeivel; legalább 15 beavatkozás digitális logisztikára, urbanizációra vagy </w:t>
            </w:r>
            <w:r>
              <w:rPr>
                <w:noProof/>
              </w:rPr>
              <w:t>energiahatékonysági munkálatokra ugyanazon a területen; négy beavatkozás, amelyek megerősítik a kikötők rezilienciáját.</w:t>
            </w:r>
          </w:p>
        </w:tc>
      </w:tr>
      <w:tr w:rsidR="003F5418" w14:paraId="75F598D2" w14:textId="77777777">
        <w:trPr>
          <w:trHeight w:val="313"/>
        </w:trPr>
        <w:tc>
          <w:tcPr>
            <w:tcW w:w="1419" w:type="dxa"/>
            <w:shd w:val="clear" w:color="auto" w:fill="C6EFCE"/>
            <w:noWrap/>
            <w:vAlign w:val="center"/>
            <w:hideMark/>
          </w:tcPr>
          <w:p w14:paraId="6B3B93E2" w14:textId="77777777" w:rsidR="003F5418" w:rsidRDefault="002A6C25">
            <w:pPr>
              <w:pStyle w:val="P68B1DB1-Normal4"/>
              <w:jc w:val="center"/>
              <w:rPr>
                <w:rFonts w:eastAsiaTheme="minorEastAsia"/>
                <w:noProof/>
              </w:rPr>
            </w:pPr>
            <w:r>
              <w:rPr>
                <w:noProof/>
              </w:rPr>
              <w:t>M5C3–13</w:t>
            </w:r>
          </w:p>
        </w:tc>
        <w:tc>
          <w:tcPr>
            <w:tcW w:w="1666" w:type="dxa"/>
            <w:shd w:val="clear" w:color="auto" w:fill="C6EFCE"/>
            <w:noWrap/>
            <w:vAlign w:val="center"/>
            <w:hideMark/>
          </w:tcPr>
          <w:p w14:paraId="67A53318" w14:textId="77777777" w:rsidR="003F5418" w:rsidRDefault="002A6C25">
            <w:pPr>
              <w:pStyle w:val="P68B1DB1-Normal4"/>
              <w:jc w:val="center"/>
              <w:rPr>
                <w:rFonts w:eastAsiaTheme="minorEastAsia"/>
                <w:noProof/>
              </w:rPr>
            </w:pPr>
            <w:r>
              <w:rPr>
                <w:noProof/>
              </w:rPr>
              <w:t>Beruházás: Infrastrukturális beruházások a különleges gazdasági övezet számára</w:t>
            </w:r>
          </w:p>
        </w:tc>
        <w:tc>
          <w:tcPr>
            <w:tcW w:w="1169" w:type="dxa"/>
            <w:shd w:val="clear" w:color="auto" w:fill="C6EFCE"/>
            <w:noWrap/>
            <w:vAlign w:val="center"/>
            <w:hideMark/>
          </w:tcPr>
          <w:p w14:paraId="47A6126F" w14:textId="77777777" w:rsidR="003F5418" w:rsidRDefault="002A6C25">
            <w:pPr>
              <w:pStyle w:val="P68B1DB1-Normal4"/>
              <w:jc w:val="center"/>
              <w:rPr>
                <w:rFonts w:eastAsiaTheme="minorEastAsia"/>
                <w:noProof/>
              </w:rPr>
            </w:pPr>
            <w:r>
              <w:rPr>
                <w:noProof/>
              </w:rPr>
              <w:t>Cél</w:t>
            </w:r>
          </w:p>
        </w:tc>
        <w:tc>
          <w:tcPr>
            <w:tcW w:w="1559" w:type="dxa"/>
            <w:shd w:val="clear" w:color="auto" w:fill="C6EFCE"/>
            <w:noWrap/>
            <w:vAlign w:val="center"/>
            <w:hideMark/>
          </w:tcPr>
          <w:p w14:paraId="491E09AF" w14:textId="77777777" w:rsidR="003F5418" w:rsidRDefault="002A6C25">
            <w:pPr>
              <w:pStyle w:val="P68B1DB1-Normal4"/>
              <w:jc w:val="center"/>
              <w:rPr>
                <w:rFonts w:eastAsia="Calibri"/>
                <w:noProof/>
              </w:rPr>
            </w:pPr>
            <w:r>
              <w:rPr>
                <w:noProof/>
              </w:rPr>
              <w:t>Infrastrukturális beavatkozások befejezése a</w:t>
            </w:r>
            <w:r>
              <w:rPr>
                <w:noProof/>
              </w:rPr>
              <w:t xml:space="preserve"> különleges gazdasági övezetekben.</w:t>
            </w:r>
          </w:p>
        </w:tc>
        <w:tc>
          <w:tcPr>
            <w:tcW w:w="1701" w:type="dxa"/>
            <w:shd w:val="clear" w:color="auto" w:fill="C6EFCE"/>
            <w:noWrap/>
            <w:vAlign w:val="center"/>
            <w:hideMark/>
          </w:tcPr>
          <w:p w14:paraId="206664DB" w14:textId="77777777" w:rsidR="003F5418" w:rsidRDefault="002A6C25">
            <w:pPr>
              <w:pStyle w:val="P68B1DB1-Normal4"/>
              <w:jc w:val="center"/>
              <w:rPr>
                <w:noProof/>
              </w:rPr>
            </w:pPr>
            <w:r>
              <w:rPr>
                <w:noProof/>
              </w:rPr>
              <w:t>NINCS</w:t>
            </w:r>
          </w:p>
        </w:tc>
        <w:tc>
          <w:tcPr>
            <w:tcW w:w="1417" w:type="dxa"/>
            <w:shd w:val="clear" w:color="auto" w:fill="C6EFCE"/>
            <w:noWrap/>
            <w:vAlign w:val="center"/>
            <w:hideMark/>
          </w:tcPr>
          <w:p w14:paraId="1337D6B7" w14:textId="77777777" w:rsidR="003F5418" w:rsidRDefault="002A6C25">
            <w:pPr>
              <w:pStyle w:val="P68B1DB1-Normal4"/>
              <w:jc w:val="center"/>
              <w:rPr>
                <w:rFonts w:eastAsiaTheme="minorEastAsia"/>
                <w:noProof/>
              </w:rPr>
            </w:pPr>
            <w:r>
              <w:rPr>
                <w:noProof/>
              </w:rPr>
              <w:t>Szám</w:t>
            </w:r>
          </w:p>
        </w:tc>
        <w:tc>
          <w:tcPr>
            <w:tcW w:w="1134" w:type="dxa"/>
            <w:shd w:val="clear" w:color="auto" w:fill="C6EFCE"/>
            <w:noWrap/>
            <w:vAlign w:val="center"/>
            <w:hideMark/>
          </w:tcPr>
          <w:p w14:paraId="6034E3F3" w14:textId="77777777" w:rsidR="003F5418" w:rsidRDefault="002A6C25">
            <w:pPr>
              <w:pStyle w:val="P68B1DB1-Normal4"/>
              <w:jc w:val="center"/>
              <w:rPr>
                <w:rFonts w:eastAsiaTheme="minorEastAsia"/>
                <w:noProof/>
              </w:rPr>
            </w:pPr>
            <w:r>
              <w:rPr>
                <w:noProof/>
              </w:rPr>
              <w:t>0</w:t>
            </w:r>
          </w:p>
        </w:tc>
        <w:tc>
          <w:tcPr>
            <w:tcW w:w="993" w:type="dxa"/>
            <w:shd w:val="clear" w:color="auto" w:fill="C6EFCE"/>
            <w:noWrap/>
            <w:vAlign w:val="center"/>
            <w:hideMark/>
          </w:tcPr>
          <w:p w14:paraId="6819C754" w14:textId="77777777" w:rsidR="003F5418" w:rsidRDefault="002A6C25">
            <w:pPr>
              <w:pStyle w:val="P68B1DB1-Normal4"/>
              <w:jc w:val="center"/>
              <w:rPr>
                <w:rFonts w:eastAsiaTheme="minorEastAsia"/>
                <w:noProof/>
              </w:rPr>
            </w:pPr>
            <w:r>
              <w:rPr>
                <w:noProof/>
              </w:rPr>
              <w:t>41</w:t>
            </w:r>
          </w:p>
        </w:tc>
        <w:tc>
          <w:tcPr>
            <w:tcW w:w="992" w:type="dxa"/>
            <w:shd w:val="clear" w:color="auto" w:fill="C6EFCE"/>
            <w:noWrap/>
            <w:vAlign w:val="center"/>
            <w:hideMark/>
          </w:tcPr>
          <w:p w14:paraId="4000CA7E" w14:textId="77777777" w:rsidR="003F5418" w:rsidRDefault="002A6C25">
            <w:pPr>
              <w:pStyle w:val="P68B1DB1-Normal4"/>
              <w:jc w:val="center"/>
              <w:rPr>
                <w:rFonts w:eastAsiaTheme="minorEastAsia"/>
                <w:noProof/>
              </w:rPr>
            </w:pPr>
            <w:r>
              <w:rPr>
                <w:noProof/>
              </w:rPr>
              <w:t>Q2</w:t>
            </w:r>
          </w:p>
        </w:tc>
        <w:tc>
          <w:tcPr>
            <w:tcW w:w="709" w:type="dxa"/>
            <w:shd w:val="clear" w:color="auto" w:fill="C6EFCE"/>
            <w:noWrap/>
            <w:vAlign w:val="center"/>
            <w:hideMark/>
          </w:tcPr>
          <w:p w14:paraId="7965099A" w14:textId="77777777" w:rsidR="003F5418" w:rsidRDefault="002A6C25">
            <w:pPr>
              <w:pStyle w:val="P68B1DB1-Normal4"/>
              <w:jc w:val="center"/>
              <w:rPr>
                <w:rFonts w:eastAsiaTheme="minorEastAsia"/>
                <w:noProof/>
              </w:rPr>
            </w:pPr>
            <w:r>
              <w:rPr>
                <w:noProof/>
              </w:rPr>
              <w:t>2026</w:t>
            </w:r>
          </w:p>
        </w:tc>
        <w:tc>
          <w:tcPr>
            <w:tcW w:w="2595" w:type="dxa"/>
            <w:shd w:val="clear" w:color="auto" w:fill="C6EFCE"/>
            <w:noWrap/>
            <w:vAlign w:val="center"/>
          </w:tcPr>
          <w:p w14:paraId="342E643D" w14:textId="77777777" w:rsidR="003F5418" w:rsidRDefault="002A6C25">
            <w:pPr>
              <w:pStyle w:val="P68B1DB1-Normal4"/>
              <w:rPr>
                <w:rFonts w:eastAsia="Calibri"/>
                <w:noProof/>
              </w:rPr>
            </w:pPr>
            <w:r>
              <w:rPr>
                <w:noProof/>
              </w:rPr>
              <w:t>Legalább 22 utolsó mérföldes összeköttetés befejezése a ZES kikötőivel vagy ipari területeivel; legalább 15 beavatkozás digitális logisztikára, urbanizációra vagy energiahatékonysági munkálatokra u</w:t>
            </w:r>
            <w:r>
              <w:rPr>
                <w:noProof/>
              </w:rPr>
              <w:t>gyanazon a területen; és legalább 4 olyan beavatkozást hajtottak végre, amelyek megerősítik a kikötők rezilienciáját.</w:t>
            </w:r>
          </w:p>
          <w:p w14:paraId="72C84569" w14:textId="77777777" w:rsidR="003F5418" w:rsidRDefault="003F5418">
            <w:pPr>
              <w:rPr>
                <w:rFonts w:ascii="Arial Narrow" w:eastAsiaTheme="minorEastAsia" w:hAnsi="Arial Narrow"/>
                <w:noProof/>
                <w:color w:val="006100"/>
                <w:sz w:val="20"/>
              </w:rPr>
            </w:pPr>
          </w:p>
          <w:p w14:paraId="081BB167" w14:textId="77777777" w:rsidR="003F5418" w:rsidRDefault="002A6C25">
            <w:pPr>
              <w:pStyle w:val="P68B1DB1-Normal4"/>
              <w:rPr>
                <w:rFonts w:eastAsiaTheme="minorEastAsia"/>
                <w:noProof/>
              </w:rPr>
            </w:pPr>
            <w:r>
              <w:rPr>
                <w:noProof/>
              </w:rPr>
              <w:t>A beavatkozások e-listája például a következő intézkedéseket vagy azokkal egyenértékű intézkedéseket tartalmazza:</w:t>
            </w:r>
          </w:p>
          <w:p w14:paraId="29717165" w14:textId="77777777" w:rsidR="003F5418" w:rsidRDefault="003F5418">
            <w:pPr>
              <w:rPr>
                <w:rFonts w:ascii="Arial Narrow" w:eastAsiaTheme="minorEastAsia" w:hAnsi="Arial Narrow"/>
                <w:noProof/>
                <w:color w:val="006100"/>
                <w:sz w:val="20"/>
              </w:rPr>
            </w:pPr>
          </w:p>
          <w:p w14:paraId="0017F348" w14:textId="77777777" w:rsidR="003F5418" w:rsidRDefault="002A6C25">
            <w:pPr>
              <w:pStyle w:val="P68B1DB1-Normal4"/>
              <w:rPr>
                <w:rFonts w:eastAsiaTheme="minorEastAsia"/>
                <w:noProof/>
              </w:rPr>
            </w:pPr>
            <w:r>
              <w:rPr>
                <w:noProof/>
              </w:rPr>
              <w:t xml:space="preserve">• A TEN-T átfogó </w:t>
            </w:r>
            <w:r>
              <w:rPr>
                <w:noProof/>
              </w:rPr>
              <w:t>hálózati infrastruktúra kiépítése Vasto és Ortona kikötőjében, valamint Saletti és Manoppello (Abruzzo) ipari területein</w:t>
            </w:r>
          </w:p>
          <w:p w14:paraId="31DCBE7D" w14:textId="6442CD48" w:rsidR="003F5418" w:rsidRDefault="002A6C25">
            <w:pPr>
              <w:pStyle w:val="P68B1DB1-Normal4"/>
              <w:rPr>
                <w:rFonts w:eastAsiaTheme="minorEastAsia"/>
                <w:noProof/>
              </w:rPr>
            </w:pPr>
            <w:r>
              <w:rPr>
                <w:noProof/>
              </w:rPr>
              <w:t>•Infrastruktúra Salerno kikötőjében, valamint Ufita, Marcianise, Battipaglia és Nola (Campania) ipari területein</w:t>
            </w:r>
          </w:p>
          <w:p w14:paraId="7C849720" w14:textId="77777777" w:rsidR="003F5418" w:rsidRDefault="002A6C25">
            <w:pPr>
              <w:pStyle w:val="P68B1DB1-Normal4"/>
              <w:rPr>
                <w:rFonts w:eastAsiaTheme="minorEastAsia"/>
                <w:noProof/>
              </w:rPr>
            </w:pPr>
            <w:r>
              <w:rPr>
                <w:noProof/>
              </w:rPr>
              <w:t>•A manfredoniai kikötő</w:t>
            </w:r>
            <w:r>
              <w:rPr>
                <w:noProof/>
              </w:rPr>
              <w:t xml:space="preserve"> és Termoli, Brindisi és Lecce (Puglia és Molise) városi területeinek összekapcsolása.</w:t>
            </w:r>
          </w:p>
          <w:p w14:paraId="05A6ACAD" w14:textId="77777777" w:rsidR="003F5418" w:rsidRDefault="003F5418">
            <w:pPr>
              <w:rPr>
                <w:rFonts w:ascii="Arial Narrow" w:eastAsiaTheme="minorEastAsia" w:hAnsi="Arial Narrow"/>
                <w:noProof/>
                <w:color w:val="006100"/>
                <w:sz w:val="20"/>
              </w:rPr>
            </w:pPr>
          </w:p>
          <w:p w14:paraId="663B1AAC" w14:textId="77777777" w:rsidR="003F5418" w:rsidRDefault="002A6C25">
            <w:pPr>
              <w:pStyle w:val="P68B1DB1-Normal4"/>
              <w:rPr>
                <w:rFonts w:eastAsiaTheme="minorEastAsia"/>
                <w:noProof/>
              </w:rPr>
            </w:pPr>
            <w:r>
              <w:rPr>
                <w:noProof/>
              </w:rPr>
              <w:t>• A tarantói kikötő és Taranto, Potenza és Matera (Puglia és Basilicata) városi területei közötti összeköttetések.</w:t>
            </w:r>
          </w:p>
          <w:p w14:paraId="047B30AC" w14:textId="77777777" w:rsidR="003F5418" w:rsidRDefault="003F5418">
            <w:pPr>
              <w:jc w:val="center"/>
              <w:rPr>
                <w:rFonts w:ascii="Arial Narrow" w:eastAsiaTheme="minorEastAsia" w:hAnsi="Arial Narrow"/>
                <w:noProof/>
                <w:color w:val="006100"/>
                <w:sz w:val="20"/>
              </w:rPr>
            </w:pPr>
          </w:p>
          <w:p w14:paraId="0506F773" w14:textId="77777777" w:rsidR="003F5418" w:rsidRDefault="002A6C25">
            <w:pPr>
              <w:pStyle w:val="P68B1DB1-Normal4"/>
              <w:rPr>
                <w:rFonts w:eastAsiaTheme="minorEastAsia"/>
                <w:noProof/>
              </w:rPr>
            </w:pPr>
            <w:r>
              <w:rPr>
                <w:noProof/>
              </w:rPr>
              <w:t>• Infrastrukturális beavatkozások Gioia Tauro (Kalab</w:t>
            </w:r>
            <w:r>
              <w:rPr>
                <w:noProof/>
              </w:rPr>
              <w:t>ria) kikötőjének megközelíthetősége érdekében.</w:t>
            </w:r>
          </w:p>
          <w:p w14:paraId="774FBCC2" w14:textId="77777777" w:rsidR="003F5418" w:rsidRDefault="003F5418">
            <w:pPr>
              <w:rPr>
                <w:rFonts w:ascii="Arial Narrow" w:eastAsiaTheme="minorEastAsia" w:hAnsi="Arial Narrow"/>
                <w:noProof/>
                <w:color w:val="006100"/>
                <w:sz w:val="20"/>
              </w:rPr>
            </w:pPr>
          </w:p>
          <w:p w14:paraId="49095157" w14:textId="77777777" w:rsidR="003F5418" w:rsidRDefault="002A6C25">
            <w:pPr>
              <w:pStyle w:val="P68B1DB1-Normal4"/>
              <w:rPr>
                <w:rFonts w:eastAsiaTheme="minorEastAsia"/>
                <w:noProof/>
              </w:rPr>
            </w:pPr>
            <w:r>
              <w:rPr>
                <w:noProof/>
              </w:rPr>
              <w:t>•Az infrastruktúra megközelíthetősége Cagliari kikötőjéhez (Szardínia)</w:t>
            </w:r>
          </w:p>
          <w:p w14:paraId="058261FB" w14:textId="72BE692F" w:rsidR="003F5418" w:rsidRDefault="002A6C25">
            <w:pPr>
              <w:pStyle w:val="P68B1DB1-Normal4"/>
              <w:rPr>
                <w:rFonts w:eastAsiaTheme="minorEastAsia"/>
                <w:noProof/>
              </w:rPr>
            </w:pPr>
            <w:r>
              <w:rPr>
                <w:noProof/>
              </w:rPr>
              <w:t>•Infrastrukturális beavatkozások az Augusta, Riporto, Sant’Agata di Militello és Gela (Szicília) kikötőinek megközelíthetősége érdekében.</w:t>
            </w:r>
          </w:p>
        </w:tc>
      </w:tr>
    </w:tbl>
    <w:p w14:paraId="69F4AACB" w14:textId="77777777" w:rsidR="003F5418" w:rsidRDefault="003F5418">
      <w:pPr>
        <w:spacing w:before="120" w:after="120"/>
        <w:rPr>
          <w:noProof/>
        </w:rPr>
        <w:sectPr w:rsidR="003F5418">
          <w:headerReference w:type="even" r:id="rId368"/>
          <w:headerReference w:type="default" r:id="rId369"/>
          <w:footerReference w:type="even" r:id="rId370"/>
          <w:footerReference w:type="default" r:id="rId371"/>
          <w:headerReference w:type="first" r:id="rId372"/>
          <w:footerReference w:type="first" r:id="rId373"/>
          <w:pgSz w:w="16839" w:h="11907" w:orient="landscape"/>
          <w:pgMar w:top="1440" w:right="1440" w:bottom="1440" w:left="1440" w:header="567" w:footer="567" w:gutter="0"/>
          <w:cols w:space="720"/>
          <w:docGrid w:linePitch="360"/>
        </w:sectPr>
      </w:pPr>
    </w:p>
    <w:p w14:paraId="6A492D59" w14:textId="77777777" w:rsidR="003F5418" w:rsidRDefault="002A6C25">
      <w:pPr>
        <w:pStyle w:val="Heading2"/>
        <w:numPr>
          <w:ilvl w:val="0"/>
          <w:numId w:val="0"/>
        </w:numPr>
        <w:ind w:left="850" w:hanging="850"/>
        <w:rPr>
          <w:noProof/>
        </w:rPr>
      </w:pPr>
      <w:r>
        <w:rPr>
          <w:noProof/>
        </w:rPr>
        <w:t>KÜLDETÉS: 1. KOMPONENS: Közeli hálózatok, létesítmények és távorvoslás a területi egészségügyi segítségnyújtáshoz</w:t>
      </w:r>
    </w:p>
    <w:p w14:paraId="145D95FD" w14:textId="77777777" w:rsidR="003F5418" w:rsidRDefault="002A6C25">
      <w:pPr>
        <w:spacing w:before="120"/>
        <w:jc w:val="both"/>
        <w:rPr>
          <w:noProof/>
        </w:rPr>
      </w:pPr>
      <w:r>
        <w:rPr>
          <w:noProof/>
        </w:rPr>
        <w:t xml:space="preserve">E komponens célja az olasz nemzeti egészségügyi szolgálat (NHS) megerősítése, többek </w:t>
      </w:r>
      <w:r>
        <w:rPr>
          <w:noProof/>
        </w:rPr>
        <w:t>között a környezettel és az éghajlatváltozással kapcsolatos egészségügyi kockázatokkal szembeni védelem fokozása, valamint a közösségek helyi ellátással és segítségnyújtással kapcsolatos igényeinek jobb kielégítése révén. A helyi egészségügyi ellátás szétt</w:t>
      </w:r>
      <w:r>
        <w:rPr>
          <w:noProof/>
        </w:rPr>
        <w:t>agolt, és regionális különbségektől függ, amelyek eltérő szintű egészségügyi ellátást és egészségügyi eredményeket eredményeznek az egyes régiókban. Az integrált otthoni ápolási-gondozási szolgáltatások nyújtása alacsonynak tekinthető, és a különböző egész</w:t>
      </w:r>
      <w:r>
        <w:rPr>
          <w:noProof/>
        </w:rPr>
        <w:t>ségügyi és szociális szolgáltatókat csak gyengén integráltnak tekintik. Emellett az olasz nemzeti egészségügyi szolgálatnak (NHS) a környezeti kitettséggel és az éghajlatváltozással kapcsolatos egészségügyi kockázatok kezelésére való képességét számos körn</w:t>
      </w:r>
      <w:r>
        <w:rPr>
          <w:noProof/>
        </w:rPr>
        <w:t>yezeti válság és vészhelyzet tesztelte, amelyek rávilágítottak a megfelelő megelőző intézkedések hiányából eredő kihívásokra. Az olasz helyreállítási és rezilienciaépítési terv e komponensének célja az olasz nemzeti egészségügyi szolgálat (NHS) megerősítés</w:t>
      </w:r>
      <w:r>
        <w:rPr>
          <w:noProof/>
        </w:rPr>
        <w:t xml:space="preserve">e, többek között a környezeti és éghajlatváltozással kapcsolatos egészségügyi kockázatokkal szembeni védelem fokozása, valamint a közösségek helyi ellátással és segítségnyújtással kapcsolatos igényeinek jobb kielégítése révén. </w:t>
      </w:r>
    </w:p>
    <w:p w14:paraId="654FB88A" w14:textId="77777777" w:rsidR="003F5418" w:rsidRDefault="002A6C25">
      <w:pPr>
        <w:spacing w:before="120"/>
        <w:jc w:val="both"/>
        <w:rPr>
          <w:noProof/>
        </w:rPr>
      </w:pPr>
      <w:r>
        <w:rPr>
          <w:noProof/>
        </w:rPr>
        <w:t>Az e komponenshez tartozó be</w:t>
      </w:r>
      <w:r>
        <w:rPr>
          <w:noProof/>
        </w:rPr>
        <w:t>ruházásoknak és reformoknak hozzá kell járulniuk a 2019-ben és 2020-ban Olaszországnak címzett országspecifikus ajánlások megvalósításához, amelyek szerint</w:t>
      </w:r>
      <w:r>
        <w:rPr>
          <w:noProof/>
          <w:color w:val="333333"/>
        </w:rPr>
        <w:t xml:space="preserve"> „a beruházásokkal kapcsolatos gazdaságpolitikát a kutatásra és innovációra, valamint az infrastruktú</w:t>
      </w:r>
      <w:r>
        <w:rPr>
          <w:noProof/>
          <w:color w:val="333333"/>
        </w:rPr>
        <w:t>ra minőségére kell összpontosítani, figyelembe véve a regionális egyenlőtlenségeket</w:t>
      </w:r>
      <w:r>
        <w:rPr>
          <w:noProof/>
        </w:rPr>
        <w:t xml:space="preserve"> (3. országspecifikus ajánlás, 2019. évi 3. országspecifikus ajánlás), „az egészségügyi rendszer rezilienciájának és kapacitásának megerősítését az egészségügyi dolgozók, a </w:t>
      </w:r>
      <w:r>
        <w:rPr>
          <w:noProof/>
        </w:rPr>
        <w:t>kritikus fontosságú orvosi termékek és az infrastruktúra területén” (1. országspecifikus ajánlás, 2020. évi 1. országspecifikus ajánlás), valamint „a beruházásoknak a zöld és digitális átállásra, különösen [...] a megerősített digitális infrastruktúrára ke</w:t>
      </w:r>
      <w:r>
        <w:rPr>
          <w:noProof/>
        </w:rPr>
        <w:t>ll összpontosítaniuk az alapvető szolgáltatások nyújtásának biztosítása érdekében”.</w:t>
      </w:r>
    </w:p>
    <w:p w14:paraId="3E6777B9" w14:textId="77777777" w:rsidR="003F5418" w:rsidRDefault="003F5418">
      <w:pPr>
        <w:spacing w:before="120"/>
        <w:jc w:val="both"/>
        <w:rPr>
          <w:noProof/>
        </w:rPr>
      </w:pPr>
    </w:p>
    <w:p w14:paraId="2268DC22"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O.1. </w:t>
      </w:r>
      <w:r>
        <w:rPr>
          <w:noProof/>
        </w:rPr>
        <w:t xml:space="preserve"> </w:t>
      </w:r>
      <w:r>
        <w:rPr>
          <w:b/>
          <w:i w:val="0"/>
          <w:noProof/>
          <w:u w:val="single"/>
        </w:rPr>
        <w:t>Vissza nem térítendő pénzügyi támogatás – a reformok és beruházások ismertetése</w:t>
      </w:r>
    </w:p>
    <w:p w14:paraId="2BD1DBB8" w14:textId="77777777" w:rsidR="003F5418" w:rsidRDefault="002A6C25">
      <w:pPr>
        <w:pStyle w:val="P68B1DB1-Normal11"/>
        <w:spacing w:before="120" w:after="120"/>
        <w:jc w:val="both"/>
        <w:rPr>
          <w:noProof/>
        </w:rPr>
      </w:pPr>
      <w:r>
        <w:rPr>
          <w:noProof/>
        </w:rPr>
        <w:t>NINCS</w:t>
      </w:r>
    </w:p>
    <w:p w14:paraId="2CE6F3BE" w14:textId="77777777" w:rsidR="003F5418" w:rsidRDefault="002A6C25">
      <w:pPr>
        <w:pStyle w:val="Heading3"/>
        <w:numPr>
          <w:ilvl w:val="0"/>
          <w:numId w:val="0"/>
        </w:numPr>
        <w:ind w:left="850" w:hanging="850"/>
        <w:rPr>
          <w:b/>
          <w:i w:val="0"/>
          <w:noProof/>
          <w:u w:val="single"/>
        </w:rPr>
      </w:pPr>
      <w:r>
        <w:rPr>
          <w:b/>
          <w:i w:val="0"/>
          <w:noProof/>
          <w:u w:val="single"/>
        </w:rPr>
        <w:t xml:space="preserve">O.2. </w:t>
      </w:r>
      <w:r>
        <w:rPr>
          <w:noProof/>
        </w:rPr>
        <w:t xml:space="preserve"> </w:t>
      </w:r>
      <w:r>
        <w:rPr>
          <w:b/>
          <w:i w:val="0"/>
          <w:noProof/>
          <w:u w:val="single"/>
        </w:rPr>
        <w:t>Vissza nem térítendő pénzügyi támogatás – a végrehajtáshoz és a nyomon kö</w:t>
      </w:r>
      <w:r>
        <w:rPr>
          <w:b/>
          <w:i w:val="0"/>
          <w:noProof/>
          <w:u w:val="single"/>
        </w:rPr>
        <w:t>vetéshez kapcsolódó mérföldkövek, célok, mutatók és ütemterv</w:t>
      </w:r>
    </w:p>
    <w:p w14:paraId="332187F5" w14:textId="77777777" w:rsidR="003F5418" w:rsidRDefault="002A6C25">
      <w:pPr>
        <w:pStyle w:val="P68B1DB1-Normal11"/>
        <w:spacing w:before="120" w:after="120"/>
        <w:jc w:val="both"/>
        <w:rPr>
          <w:noProof/>
        </w:rPr>
      </w:pPr>
      <w:r>
        <w:rPr>
          <w:noProof/>
        </w:rPr>
        <w:t>NINCS</w:t>
      </w:r>
    </w:p>
    <w:p w14:paraId="286983DE" w14:textId="77777777" w:rsidR="003F5418" w:rsidRDefault="002A6C25">
      <w:pPr>
        <w:spacing w:after="200" w:line="276" w:lineRule="auto"/>
        <w:rPr>
          <w:noProof/>
        </w:rPr>
      </w:pPr>
      <w:r>
        <w:rPr>
          <w:noProof/>
        </w:rPr>
        <w:br w:type="page"/>
      </w:r>
    </w:p>
    <w:p w14:paraId="72F4A886" w14:textId="77777777" w:rsidR="003F5418" w:rsidRDefault="002A6C25">
      <w:pPr>
        <w:pStyle w:val="Heading3"/>
        <w:numPr>
          <w:ilvl w:val="2"/>
          <w:numId w:val="0"/>
        </w:numPr>
        <w:ind w:left="850" w:hanging="850"/>
        <w:rPr>
          <w:b/>
          <w:i w:val="0"/>
          <w:noProof/>
          <w:color w:val="4472C4" w:themeColor="accent1"/>
          <w:u w:val="single"/>
        </w:rPr>
      </w:pPr>
      <w:r>
        <w:rPr>
          <w:b/>
          <w:i w:val="0"/>
          <w:noProof/>
          <w:u w:val="single"/>
        </w:rPr>
        <w:t xml:space="preserve">O.3. </w:t>
      </w:r>
      <w:r>
        <w:rPr>
          <w:noProof/>
        </w:rPr>
        <w:t xml:space="preserve"> </w:t>
      </w:r>
      <w:r>
        <w:rPr>
          <w:b/>
          <w:i w:val="0"/>
          <w:noProof/>
          <w:u w:val="single"/>
        </w:rPr>
        <w:t xml:space="preserve">A hitelhez kapcsolódó reformok és beruházások ismertetése </w:t>
      </w:r>
    </w:p>
    <w:p w14:paraId="2EF20475" w14:textId="05DE56A0" w:rsidR="003F5418" w:rsidRDefault="002A6C25">
      <w:pPr>
        <w:pStyle w:val="P68B1DB1-Normal2"/>
        <w:spacing w:before="120" w:after="120"/>
        <w:jc w:val="both"/>
        <w:rPr>
          <w:rFonts w:eastAsia="Calibri"/>
          <w:noProof/>
        </w:rPr>
      </w:pPr>
      <w:r>
        <w:rPr>
          <w:noProof/>
        </w:rPr>
        <w:t xml:space="preserve">1. </w:t>
      </w:r>
      <w:r w:rsidR="002F198A">
        <w:rPr>
          <w:noProof/>
        </w:rPr>
        <w:t>R</w:t>
      </w:r>
      <w:r>
        <w:rPr>
          <w:noProof/>
        </w:rPr>
        <w:t>eform</w:t>
      </w:r>
      <w:r w:rsidR="002F198A">
        <w:rPr>
          <w:noProof/>
        </w:rPr>
        <w:t>:</w:t>
      </w:r>
      <w:r>
        <w:rPr>
          <w:noProof/>
        </w:rPr>
        <w:t xml:space="preserve">  A területi egészségügyi segítségnyújtási hálózat új szervezeti modelljének meghatározása.</w:t>
      </w:r>
    </w:p>
    <w:p w14:paraId="15A1C603" w14:textId="77777777" w:rsidR="003F5418" w:rsidRDefault="002A6C25">
      <w:pPr>
        <w:spacing w:before="120" w:after="120"/>
        <w:jc w:val="both"/>
        <w:rPr>
          <w:rFonts w:eastAsia="Calibri"/>
          <w:noProof/>
        </w:rPr>
      </w:pPr>
      <w:r>
        <w:rPr>
          <w:noProof/>
        </w:rPr>
        <w:t>A reform a komponens</w:t>
      </w:r>
      <w:r>
        <w:rPr>
          <w:noProof/>
        </w:rPr>
        <w:t xml:space="preserve"> beruházásainak előkészítő eleme. Új modellt hoz létre a területi egészségügyi ellátás terén, és új intézményi struktúrát hoz létre az egészségügyi-környezetvédelmi-éghajlat-megelőzés terén. Ezt a következők révén kell elérni:</w:t>
      </w:r>
    </w:p>
    <w:p w14:paraId="7A361BD5" w14:textId="77777777" w:rsidR="003F5418" w:rsidRDefault="002A6C25">
      <w:pPr>
        <w:numPr>
          <w:ilvl w:val="0"/>
          <w:numId w:val="44"/>
        </w:numPr>
        <w:spacing w:before="120" w:after="120"/>
        <w:ind w:left="360"/>
        <w:jc w:val="both"/>
        <w:rPr>
          <w:rFonts w:eastAsiaTheme="minorEastAsia"/>
          <w:noProof/>
        </w:rPr>
      </w:pPr>
      <w:r>
        <w:rPr>
          <w:noProof/>
        </w:rPr>
        <w:t>A területi egészségügyi segít</w:t>
      </w:r>
      <w:r>
        <w:rPr>
          <w:noProof/>
        </w:rPr>
        <w:t>ségnyújtási hálózat új szervezeti modelljének létrehozása a strukturális, technológiai és szervezeti normákat meghatározó szabályozási keret meghatározása révén.</w:t>
      </w:r>
    </w:p>
    <w:p w14:paraId="08D6A3CF" w14:textId="77777777" w:rsidR="003F5418" w:rsidRDefault="002A6C25">
      <w:pPr>
        <w:numPr>
          <w:ilvl w:val="0"/>
          <w:numId w:val="44"/>
        </w:numPr>
        <w:spacing w:before="120" w:after="120"/>
        <w:ind w:left="360"/>
        <w:jc w:val="both"/>
        <w:rPr>
          <w:rFonts w:eastAsiaTheme="minorEastAsia"/>
          <w:noProof/>
        </w:rPr>
      </w:pPr>
      <w:r>
        <w:rPr>
          <w:noProof/>
        </w:rPr>
        <w:t xml:space="preserve">Az egészség-környezet-éghajlat-megelőzés új intézményi struktúrájának meghatározása integrált </w:t>
      </w:r>
      <w:r>
        <w:rPr>
          <w:noProof/>
        </w:rPr>
        <w:t>megközelítést („Egy az egészség”) és holisztikus szemléletet („Planetary Health”) követve.</w:t>
      </w:r>
    </w:p>
    <w:p w14:paraId="2D56DF31" w14:textId="3DADDE57" w:rsidR="003F5418" w:rsidRDefault="002F198A">
      <w:pPr>
        <w:pStyle w:val="P68B1DB1-Normal2"/>
        <w:spacing w:before="120" w:after="120"/>
        <w:jc w:val="both"/>
        <w:rPr>
          <w:rFonts w:eastAsia="Calibri"/>
          <w:noProof/>
        </w:rPr>
      </w:pPr>
      <w:r>
        <w:rPr>
          <w:noProof/>
        </w:rPr>
        <w:t>1</w:t>
      </w:r>
      <w:r w:rsidRPr="00B07E42">
        <w:rPr>
          <w:noProof/>
        </w:rPr>
        <w:t>.</w:t>
      </w:r>
      <w:r>
        <w:rPr>
          <w:noProof/>
        </w:rPr>
        <w:t>1. Beruházás: Közösségi egészségügyi központok a területi egészségügyi támogatás javítása érdekében.</w:t>
      </w:r>
    </w:p>
    <w:p w14:paraId="78BD2DF8" w14:textId="77777777" w:rsidR="003F5418" w:rsidRDefault="002A6C25">
      <w:pPr>
        <w:spacing w:before="120" w:after="120"/>
        <w:jc w:val="both"/>
        <w:rPr>
          <w:rFonts w:eastAsia="Calibri"/>
          <w:noProof/>
        </w:rPr>
      </w:pPr>
      <w:r>
        <w:rPr>
          <w:noProof/>
        </w:rPr>
        <w:t>A beruházási projekt legalább 1038 közösségi egészségügyi közp</w:t>
      </w:r>
      <w:r>
        <w:rPr>
          <w:noProof/>
        </w:rPr>
        <w:t>ont létrehozását és működőképessé tételét foglalja magában az alapellátási szolgáltatások aktiválása, fejlesztése és összevonása, valamint az ellátási szükségletekre való integrált reagálást szolgáló (energiahatékony) segítségnyújtó központok létrehozása r</w:t>
      </w:r>
      <w:r>
        <w:rPr>
          <w:noProof/>
        </w:rPr>
        <w:t>évén.</w:t>
      </w:r>
    </w:p>
    <w:p w14:paraId="0C9974C3" w14:textId="0ACDB1B9" w:rsidR="003F5418" w:rsidRDefault="002F198A">
      <w:pPr>
        <w:pStyle w:val="P68B1DB1-Normal2"/>
        <w:spacing w:before="120" w:after="120"/>
        <w:jc w:val="both"/>
        <w:rPr>
          <w:rFonts w:eastAsia="Calibri"/>
          <w:noProof/>
        </w:rPr>
      </w:pPr>
      <w:r>
        <w:rPr>
          <w:noProof/>
        </w:rPr>
        <w:t>1</w:t>
      </w:r>
      <w:r w:rsidRPr="00B07E42">
        <w:rPr>
          <w:noProof/>
        </w:rPr>
        <w:t>.</w:t>
      </w:r>
      <w:r>
        <w:rPr>
          <w:noProof/>
        </w:rPr>
        <w:t>2. Beruházás: Az otthon mint a gondozás és a távorvoslás első helye</w:t>
      </w:r>
    </w:p>
    <w:p w14:paraId="76212571" w14:textId="77777777" w:rsidR="003F5418" w:rsidRDefault="002A6C25">
      <w:pPr>
        <w:spacing w:before="120" w:after="120"/>
        <w:jc w:val="both"/>
        <w:rPr>
          <w:rFonts w:eastAsia="Calibri"/>
          <w:noProof/>
        </w:rPr>
      </w:pPr>
      <w:r>
        <w:rPr>
          <w:noProof/>
        </w:rPr>
        <w:t>A beruházás a távorvoslási megoldások széles körű bevezetéséből és az egészségügyi innováció támogatásából áll, a következő intézkedések révén:</w:t>
      </w:r>
    </w:p>
    <w:p w14:paraId="70A660A0" w14:textId="77777777" w:rsidR="003F5418" w:rsidRDefault="002A6C25">
      <w:pPr>
        <w:numPr>
          <w:ilvl w:val="0"/>
          <w:numId w:val="43"/>
        </w:numPr>
        <w:spacing w:before="120" w:after="120"/>
        <w:ind w:left="357" w:hanging="357"/>
        <w:jc w:val="both"/>
        <w:rPr>
          <w:rFonts w:eastAsiaTheme="minorEastAsia"/>
          <w:noProof/>
        </w:rPr>
      </w:pPr>
      <w:r>
        <w:rPr>
          <w:noProof/>
        </w:rPr>
        <w:t>Az otthoni gondozás mint a segítségn</w:t>
      </w:r>
      <w:r>
        <w:rPr>
          <w:noProof/>
        </w:rPr>
        <w:t xml:space="preserve">yújtás első pontja (1.2.1. beruházás) – A cél az, hogy az otthoni gondozásban részesülők száma a 65 év feletti lakosság 10%-ára emelkedjen a hardverbe való beruházás és a fokozott szolgáltatásnyújtás révén.   </w:t>
      </w:r>
    </w:p>
    <w:p w14:paraId="39D5CEA4" w14:textId="77777777" w:rsidR="003F5418" w:rsidRDefault="002A6C25">
      <w:pPr>
        <w:numPr>
          <w:ilvl w:val="0"/>
          <w:numId w:val="43"/>
        </w:numPr>
        <w:spacing w:before="120" w:after="120"/>
        <w:ind w:left="357" w:hanging="357"/>
        <w:jc w:val="both"/>
        <w:rPr>
          <w:rFonts w:eastAsiaTheme="minorEastAsia"/>
          <w:noProof/>
        </w:rPr>
      </w:pPr>
      <w:r>
        <w:rPr>
          <w:noProof/>
        </w:rPr>
        <w:t>Területi koordinációs központok (1.2.2. beruhá</w:t>
      </w:r>
      <w:r>
        <w:rPr>
          <w:noProof/>
        </w:rPr>
        <w:t>zás) – A tervezett beruházás legalább 480 területi koordinációs központ („Centrali Operation Territoriali”) létrehozására irányul, amelyek célja a különböző területi, szociális-egészségügyi és kórházi szolgáltatások, valamint a sürgősségi hálózat összekapc</w:t>
      </w:r>
      <w:r>
        <w:rPr>
          <w:noProof/>
        </w:rPr>
        <w:t xml:space="preserve">solása és koordinálása. A területi koordinációs központoknak biztosítaniuk kell a betegeknek biztosított eszközök távirányítását, támogatniuk kell az egészségügyi szakemberek közötti információcserét, és referenciapontként kell szolgálniuk a gondozók és a </w:t>
      </w:r>
      <w:r>
        <w:rPr>
          <w:noProof/>
        </w:rPr>
        <w:t>betegek szükségletei számára.</w:t>
      </w:r>
    </w:p>
    <w:p w14:paraId="5A652E70" w14:textId="77777777" w:rsidR="003F5418" w:rsidRDefault="002A6C25">
      <w:pPr>
        <w:numPr>
          <w:ilvl w:val="0"/>
          <w:numId w:val="43"/>
        </w:numPr>
        <w:spacing w:before="120" w:after="120"/>
        <w:ind w:left="357" w:hanging="357"/>
        <w:jc w:val="both"/>
        <w:rPr>
          <w:rFonts w:eastAsiaTheme="minorEastAsia"/>
          <w:noProof/>
        </w:rPr>
      </w:pPr>
      <w:r>
        <w:rPr>
          <w:noProof/>
        </w:rPr>
        <w:t>Távorvoslás a krónikus betegségekben szenvedő betegek jobb támogatása érdekében (1.2.3. beruházás) – A beruházás célja (1) olyan projektek finanszírozása, amelyek lehetővé teszik az orvos és a beteg közötti távoli interakcióka</w:t>
      </w:r>
      <w:r>
        <w:rPr>
          <w:noProof/>
        </w:rPr>
        <w:t>t, különösen a diagnosztikát és a nyomon követést, (2) a távorvoslási projektek szűrésére szolgáló nemzeti platform létrehozása (a 6. küldetés 2. komponense 1.3. beruházásához kapcsolódóan) és (3) a digitális egészségügyi és gondozási technológiákkal kapcs</w:t>
      </w:r>
      <w:r>
        <w:rPr>
          <w:noProof/>
        </w:rPr>
        <w:t>olatos ad hoc kutatási kezdeményezések finanszírozása.</w:t>
      </w:r>
    </w:p>
    <w:p w14:paraId="76B355C0" w14:textId="77777777" w:rsidR="003F5418" w:rsidRDefault="002A6C25">
      <w:pPr>
        <w:spacing w:before="120" w:after="120"/>
        <w:jc w:val="both"/>
        <w:rPr>
          <w:rFonts w:eastAsiaTheme="minorEastAsia"/>
          <w:noProof/>
        </w:rPr>
      </w:pPr>
      <w:r>
        <w:rPr>
          <w:noProof/>
        </w:rPr>
        <w:t>Az otthoni gondozáshoz kapcsolódó további beavatkozásokat az 5. küldetés 2. komponense, különösen az 1. és 2. reform, valamint az 1. és 2. beruházás sorolja fel.</w:t>
      </w:r>
    </w:p>
    <w:p w14:paraId="58EDA980" w14:textId="06E54EF3" w:rsidR="003F5418" w:rsidRDefault="002F198A">
      <w:pPr>
        <w:pStyle w:val="P68B1DB1-Normal2"/>
        <w:spacing w:before="120" w:after="120"/>
        <w:jc w:val="both"/>
        <w:rPr>
          <w:rFonts w:eastAsia="Calibri"/>
          <w:noProof/>
        </w:rPr>
      </w:pPr>
      <w:r>
        <w:rPr>
          <w:noProof/>
        </w:rPr>
        <w:t>1</w:t>
      </w:r>
      <w:r w:rsidRPr="00B07E42">
        <w:rPr>
          <w:noProof/>
        </w:rPr>
        <w:t>.</w:t>
      </w:r>
      <w:r>
        <w:rPr>
          <w:noProof/>
        </w:rPr>
        <w:t>3. Beruházás: Az időközi egészségügyi ellátás és létesítményeinek (közösségi kórházak) megerősítése</w:t>
      </w:r>
    </w:p>
    <w:p w14:paraId="308C6BFE" w14:textId="77777777" w:rsidR="003F5418" w:rsidRDefault="002A6C25">
      <w:pPr>
        <w:spacing w:before="120" w:after="120"/>
        <w:jc w:val="both"/>
        <w:rPr>
          <w:noProof/>
        </w:rPr>
      </w:pPr>
      <w:r>
        <w:rPr>
          <w:noProof/>
        </w:rPr>
        <w:t>A beruházásnak legalább 307 közösségi kórházat kell létrehoznia, azaz egészségügyi létesítményeket kell létrehoznia azon betegek számára, akik kisebb érzést vagy krónikus betegséget követően al</w:t>
      </w:r>
      <w:r>
        <w:rPr>
          <w:noProof/>
        </w:rPr>
        <w:t>acsony intenzitású és rövid távú klinikai beavatkozást igényelnek.</w:t>
      </w:r>
    </w:p>
    <w:p w14:paraId="1617B69C" w14:textId="77777777" w:rsidR="003F5418" w:rsidRDefault="002A6C25">
      <w:pPr>
        <w:pStyle w:val="Heading3"/>
        <w:numPr>
          <w:ilvl w:val="0"/>
          <w:numId w:val="0"/>
        </w:numPr>
        <w:ind w:left="850" w:hanging="850"/>
        <w:rPr>
          <w:b/>
          <w:i w:val="0"/>
          <w:noProof/>
          <w:u w:val="single"/>
        </w:rPr>
      </w:pPr>
      <w:r>
        <w:rPr>
          <w:b/>
          <w:i w:val="0"/>
          <w:noProof/>
          <w:u w:val="single"/>
        </w:rPr>
        <w:t xml:space="preserve">O.4. </w:t>
      </w:r>
      <w:r>
        <w:rPr>
          <w:noProof/>
        </w:rPr>
        <w:t xml:space="preserve"> </w:t>
      </w:r>
      <w:r>
        <w:rPr>
          <w:b/>
          <w:i w:val="0"/>
          <w:noProof/>
          <w:u w:val="single"/>
        </w:rPr>
        <w:t xml:space="preserve">Hitel – a végrehajtáshoz és a nyomon követéshez kapcsolódó mérföldkövek, célok, mutatók és ütemterv </w:t>
      </w:r>
    </w:p>
    <w:p w14:paraId="26C52F27" w14:textId="77777777" w:rsidR="003F5418" w:rsidRDefault="003F5418">
      <w:pPr>
        <w:spacing w:before="120" w:after="120"/>
        <w:ind w:left="709"/>
        <w:contextualSpacing/>
        <w:jc w:val="both"/>
        <w:rPr>
          <w:noProof/>
        </w:rPr>
        <w:sectPr w:rsidR="003F5418">
          <w:headerReference w:type="even" r:id="rId374"/>
          <w:headerReference w:type="default" r:id="rId375"/>
          <w:footerReference w:type="even" r:id="rId376"/>
          <w:footerReference w:type="default" r:id="rId377"/>
          <w:headerReference w:type="first" r:id="rId378"/>
          <w:footerReference w:type="first" r:id="rId379"/>
          <w:pgSz w:w="11907" w:h="16839"/>
          <w:pgMar w:top="1134" w:right="1417" w:bottom="1134" w:left="1417" w:header="709" w:footer="709" w:gutter="0"/>
          <w:cols w:space="720"/>
          <w:docGrid w:linePitch="360"/>
        </w:sectPr>
      </w:pPr>
    </w:p>
    <w:tbl>
      <w:tblPr>
        <w:tblW w:w="151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134"/>
        <w:gridCol w:w="1417"/>
        <w:gridCol w:w="1363"/>
        <w:gridCol w:w="948"/>
        <w:gridCol w:w="950"/>
        <w:gridCol w:w="992"/>
        <w:gridCol w:w="992"/>
        <w:gridCol w:w="709"/>
        <w:gridCol w:w="3634"/>
      </w:tblGrid>
      <w:tr w:rsidR="003F5418" w14:paraId="3E9FE876" w14:textId="77777777">
        <w:trPr>
          <w:trHeight w:val="945"/>
          <w:tblHeader/>
        </w:trPr>
        <w:tc>
          <w:tcPr>
            <w:tcW w:w="1277" w:type="dxa"/>
            <w:vMerge w:val="restart"/>
            <w:shd w:val="clear" w:color="auto" w:fill="BDD7EE"/>
            <w:vAlign w:val="center"/>
          </w:tcPr>
          <w:p w14:paraId="75AEB2A6" w14:textId="77777777" w:rsidR="003F5418" w:rsidRDefault="002A6C25">
            <w:pPr>
              <w:pStyle w:val="P68B1DB1-Normal3"/>
              <w:jc w:val="center"/>
              <w:rPr>
                <w:noProof/>
              </w:rPr>
            </w:pPr>
            <w:r>
              <w:rPr>
                <w:noProof/>
              </w:rPr>
              <w:t>Sorszám</w:t>
            </w:r>
          </w:p>
        </w:tc>
        <w:tc>
          <w:tcPr>
            <w:tcW w:w="1701" w:type="dxa"/>
            <w:vMerge w:val="restart"/>
            <w:shd w:val="clear" w:color="auto" w:fill="BDD7EE"/>
            <w:vAlign w:val="center"/>
          </w:tcPr>
          <w:p w14:paraId="4A086F15" w14:textId="77777777" w:rsidR="003F5418" w:rsidRDefault="002A6C25">
            <w:pPr>
              <w:pStyle w:val="P68B1DB1-Normal3"/>
              <w:jc w:val="center"/>
              <w:rPr>
                <w:noProof/>
              </w:rPr>
            </w:pPr>
            <w:r>
              <w:rPr>
                <w:noProof/>
              </w:rPr>
              <w:t xml:space="preserve">Kapcsolódó </w:t>
            </w:r>
            <w:r>
              <w:rPr>
                <w:noProof/>
              </w:rPr>
              <w:t>intézkedés (reform vagy beruházás)</w:t>
            </w:r>
          </w:p>
        </w:tc>
        <w:tc>
          <w:tcPr>
            <w:tcW w:w="1134" w:type="dxa"/>
            <w:vMerge w:val="restart"/>
            <w:shd w:val="clear" w:color="auto" w:fill="BDD7EE"/>
            <w:vAlign w:val="center"/>
          </w:tcPr>
          <w:p w14:paraId="409A5E4F" w14:textId="77777777" w:rsidR="003F5418" w:rsidRDefault="002A6C25">
            <w:pPr>
              <w:pStyle w:val="P68B1DB1-Normal3"/>
              <w:jc w:val="center"/>
              <w:rPr>
                <w:noProof/>
              </w:rPr>
            </w:pPr>
            <w:r>
              <w:rPr>
                <w:noProof/>
              </w:rPr>
              <w:t>Mérföldkő/cél</w:t>
            </w:r>
          </w:p>
        </w:tc>
        <w:tc>
          <w:tcPr>
            <w:tcW w:w="1417" w:type="dxa"/>
            <w:vMerge w:val="restart"/>
            <w:shd w:val="clear" w:color="auto" w:fill="BDD7EE"/>
            <w:vAlign w:val="center"/>
          </w:tcPr>
          <w:p w14:paraId="7D20C2D4" w14:textId="77777777" w:rsidR="003F5418" w:rsidRDefault="002A6C25">
            <w:pPr>
              <w:pStyle w:val="P68B1DB1-Normal3"/>
              <w:jc w:val="center"/>
              <w:rPr>
                <w:noProof/>
              </w:rPr>
            </w:pPr>
            <w:r>
              <w:rPr>
                <w:noProof/>
              </w:rPr>
              <w:t>Név</w:t>
            </w:r>
          </w:p>
        </w:tc>
        <w:tc>
          <w:tcPr>
            <w:tcW w:w="1363" w:type="dxa"/>
            <w:vMerge w:val="restart"/>
            <w:shd w:val="clear" w:color="auto" w:fill="BDD7EE"/>
            <w:vAlign w:val="center"/>
          </w:tcPr>
          <w:p w14:paraId="6CDF3FD1" w14:textId="77777777" w:rsidR="003F5418" w:rsidRDefault="002A6C25">
            <w:pPr>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2890" w:type="dxa"/>
            <w:gridSpan w:val="3"/>
            <w:shd w:val="clear" w:color="auto" w:fill="BDD7EE"/>
            <w:vAlign w:val="center"/>
          </w:tcPr>
          <w:p w14:paraId="4BA0180E" w14:textId="77777777" w:rsidR="003F5418" w:rsidRDefault="002A6C25">
            <w:pPr>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701" w:type="dxa"/>
            <w:gridSpan w:val="2"/>
            <w:shd w:val="clear" w:color="auto" w:fill="BDD7EE"/>
            <w:vAlign w:val="center"/>
          </w:tcPr>
          <w:p w14:paraId="57C7B6EA" w14:textId="77777777" w:rsidR="003F5418" w:rsidRDefault="002A6C25">
            <w:pPr>
              <w:pStyle w:val="P68B1DB1-Normal3"/>
              <w:jc w:val="center"/>
              <w:rPr>
                <w:noProof/>
              </w:rPr>
            </w:pPr>
            <w:r>
              <w:rPr>
                <w:noProof/>
              </w:rPr>
              <w:t>A végrehajtás indikatív ütemterve</w:t>
            </w:r>
          </w:p>
        </w:tc>
        <w:tc>
          <w:tcPr>
            <w:tcW w:w="3634" w:type="dxa"/>
            <w:vMerge w:val="restart"/>
            <w:shd w:val="clear" w:color="auto" w:fill="BDD7EE"/>
            <w:vAlign w:val="center"/>
          </w:tcPr>
          <w:p w14:paraId="23C10314" w14:textId="77777777" w:rsidR="003F5418" w:rsidRDefault="002A6C25">
            <w:pPr>
              <w:pStyle w:val="P68B1DB1-Normal3"/>
              <w:jc w:val="center"/>
              <w:rPr>
                <w:noProof/>
              </w:rPr>
            </w:pPr>
            <w:r>
              <w:rPr>
                <w:noProof/>
              </w:rPr>
              <w:t>Az egyes mérföldkövek és célértékek leírása</w:t>
            </w:r>
          </w:p>
        </w:tc>
      </w:tr>
      <w:tr w:rsidR="003F5418" w14:paraId="4F7C228E" w14:textId="77777777">
        <w:trPr>
          <w:trHeight w:val="737"/>
        </w:trPr>
        <w:tc>
          <w:tcPr>
            <w:tcW w:w="1277" w:type="dxa"/>
            <w:vMerge/>
            <w:vAlign w:val="center"/>
          </w:tcPr>
          <w:p w14:paraId="17A5DAAD" w14:textId="77777777" w:rsidR="003F5418" w:rsidRDefault="003F5418">
            <w:pPr>
              <w:jc w:val="center"/>
              <w:rPr>
                <w:rFonts w:ascii="Arial Narrow" w:hAnsi="Arial Narrow"/>
                <w:noProof/>
                <w:sz w:val="20"/>
              </w:rPr>
            </w:pPr>
          </w:p>
        </w:tc>
        <w:tc>
          <w:tcPr>
            <w:tcW w:w="1701" w:type="dxa"/>
            <w:vMerge/>
            <w:vAlign w:val="center"/>
          </w:tcPr>
          <w:p w14:paraId="50C2D03A" w14:textId="77777777" w:rsidR="003F5418" w:rsidRDefault="003F5418">
            <w:pPr>
              <w:jc w:val="center"/>
              <w:rPr>
                <w:rFonts w:ascii="Arial Narrow" w:hAnsi="Arial Narrow"/>
                <w:noProof/>
                <w:sz w:val="20"/>
              </w:rPr>
            </w:pPr>
          </w:p>
        </w:tc>
        <w:tc>
          <w:tcPr>
            <w:tcW w:w="1134" w:type="dxa"/>
            <w:vMerge/>
            <w:vAlign w:val="center"/>
          </w:tcPr>
          <w:p w14:paraId="5CBB0F72" w14:textId="77777777" w:rsidR="003F5418" w:rsidRDefault="003F5418">
            <w:pPr>
              <w:jc w:val="center"/>
              <w:rPr>
                <w:rFonts w:ascii="Arial Narrow" w:hAnsi="Arial Narrow"/>
                <w:noProof/>
                <w:sz w:val="20"/>
              </w:rPr>
            </w:pPr>
          </w:p>
        </w:tc>
        <w:tc>
          <w:tcPr>
            <w:tcW w:w="1417" w:type="dxa"/>
            <w:vMerge/>
            <w:vAlign w:val="center"/>
          </w:tcPr>
          <w:p w14:paraId="0F4C621B" w14:textId="77777777" w:rsidR="003F5418" w:rsidRDefault="003F5418">
            <w:pPr>
              <w:jc w:val="center"/>
              <w:rPr>
                <w:rFonts w:ascii="Arial Narrow" w:hAnsi="Arial Narrow"/>
                <w:noProof/>
                <w:sz w:val="20"/>
              </w:rPr>
            </w:pPr>
          </w:p>
        </w:tc>
        <w:tc>
          <w:tcPr>
            <w:tcW w:w="1363" w:type="dxa"/>
            <w:vMerge/>
            <w:vAlign w:val="center"/>
          </w:tcPr>
          <w:p w14:paraId="005C698C" w14:textId="77777777" w:rsidR="003F5418" w:rsidRDefault="003F5418">
            <w:pPr>
              <w:jc w:val="center"/>
              <w:rPr>
                <w:rFonts w:ascii="Arial Narrow" w:hAnsi="Arial Narrow"/>
                <w:noProof/>
                <w:sz w:val="20"/>
              </w:rPr>
            </w:pPr>
          </w:p>
        </w:tc>
        <w:tc>
          <w:tcPr>
            <w:tcW w:w="948" w:type="dxa"/>
            <w:shd w:val="clear" w:color="auto" w:fill="BDD7EE"/>
            <w:vAlign w:val="center"/>
          </w:tcPr>
          <w:p w14:paraId="7449DB20" w14:textId="77777777" w:rsidR="003F5418" w:rsidRDefault="002A6C25">
            <w:pPr>
              <w:pStyle w:val="P68B1DB1-Normal3"/>
              <w:jc w:val="center"/>
              <w:rPr>
                <w:noProof/>
              </w:rPr>
            </w:pPr>
            <w:r>
              <w:rPr>
                <w:noProof/>
              </w:rPr>
              <w:t>Mértékegység</w:t>
            </w:r>
          </w:p>
        </w:tc>
        <w:tc>
          <w:tcPr>
            <w:tcW w:w="950" w:type="dxa"/>
            <w:shd w:val="clear" w:color="auto" w:fill="BDD7EE"/>
            <w:vAlign w:val="center"/>
          </w:tcPr>
          <w:p w14:paraId="50684E77" w14:textId="77777777" w:rsidR="003F5418" w:rsidRDefault="002A6C25">
            <w:pPr>
              <w:pStyle w:val="P68B1DB1-Normal3"/>
              <w:jc w:val="center"/>
              <w:rPr>
                <w:noProof/>
              </w:rPr>
            </w:pPr>
            <w:r>
              <w:rPr>
                <w:noProof/>
              </w:rPr>
              <w:t>Kiindulási</w:t>
            </w:r>
          </w:p>
        </w:tc>
        <w:tc>
          <w:tcPr>
            <w:tcW w:w="992" w:type="dxa"/>
            <w:shd w:val="clear" w:color="auto" w:fill="BDD7EE"/>
            <w:vAlign w:val="center"/>
          </w:tcPr>
          <w:p w14:paraId="4C970C69" w14:textId="77777777" w:rsidR="003F5418" w:rsidRDefault="002A6C25">
            <w:pPr>
              <w:pStyle w:val="P68B1DB1-Normal3"/>
              <w:jc w:val="center"/>
              <w:rPr>
                <w:noProof/>
              </w:rPr>
            </w:pPr>
            <w:r>
              <w:rPr>
                <w:noProof/>
              </w:rPr>
              <w:t>Cél</w:t>
            </w:r>
          </w:p>
        </w:tc>
        <w:tc>
          <w:tcPr>
            <w:tcW w:w="992" w:type="dxa"/>
            <w:shd w:val="clear" w:color="auto" w:fill="BDD7EE"/>
            <w:vAlign w:val="center"/>
          </w:tcPr>
          <w:p w14:paraId="59C40889" w14:textId="77777777" w:rsidR="003F5418" w:rsidRDefault="002A6C25">
            <w:pPr>
              <w:pStyle w:val="P68B1DB1-Normal3"/>
              <w:jc w:val="center"/>
              <w:rPr>
                <w:noProof/>
              </w:rPr>
            </w:pPr>
            <w:r>
              <w:rPr>
                <w:noProof/>
              </w:rPr>
              <w:t>Negyedév</w:t>
            </w:r>
          </w:p>
        </w:tc>
        <w:tc>
          <w:tcPr>
            <w:tcW w:w="709" w:type="dxa"/>
            <w:shd w:val="clear" w:color="auto" w:fill="BDD7EE"/>
            <w:vAlign w:val="center"/>
          </w:tcPr>
          <w:p w14:paraId="50885B4A" w14:textId="77777777" w:rsidR="003F5418" w:rsidRDefault="002A6C25">
            <w:pPr>
              <w:pStyle w:val="P68B1DB1-Normal3"/>
              <w:jc w:val="center"/>
              <w:rPr>
                <w:noProof/>
              </w:rPr>
            </w:pPr>
            <w:r>
              <w:rPr>
                <w:noProof/>
              </w:rPr>
              <w:t>Éve</w:t>
            </w:r>
          </w:p>
        </w:tc>
        <w:tc>
          <w:tcPr>
            <w:tcW w:w="3634" w:type="dxa"/>
            <w:vMerge/>
            <w:vAlign w:val="center"/>
          </w:tcPr>
          <w:p w14:paraId="1A2318D3" w14:textId="77777777" w:rsidR="003F5418" w:rsidRDefault="003F5418">
            <w:pPr>
              <w:rPr>
                <w:rFonts w:ascii="Arial Narrow" w:hAnsi="Arial Narrow"/>
                <w:noProof/>
                <w:sz w:val="20"/>
              </w:rPr>
            </w:pPr>
          </w:p>
        </w:tc>
      </w:tr>
      <w:tr w:rsidR="003F5418" w14:paraId="7F3609E8" w14:textId="77777777">
        <w:trPr>
          <w:trHeight w:val="315"/>
        </w:trPr>
        <w:tc>
          <w:tcPr>
            <w:tcW w:w="1277" w:type="dxa"/>
            <w:shd w:val="clear" w:color="auto" w:fill="C6EFCE"/>
            <w:vAlign w:val="center"/>
          </w:tcPr>
          <w:p w14:paraId="68467B7F" w14:textId="77777777" w:rsidR="003F5418" w:rsidRDefault="002A6C25">
            <w:pPr>
              <w:pStyle w:val="P68B1DB1-Normal4"/>
              <w:jc w:val="center"/>
              <w:rPr>
                <w:rFonts w:eastAsiaTheme="minorEastAsia"/>
                <w:noProof/>
              </w:rPr>
            </w:pPr>
            <w:r>
              <w:rPr>
                <w:noProof/>
              </w:rPr>
              <w:t>M6C1–1</w:t>
            </w:r>
          </w:p>
        </w:tc>
        <w:tc>
          <w:tcPr>
            <w:tcW w:w="1701" w:type="dxa"/>
            <w:shd w:val="clear" w:color="auto" w:fill="C6EFCE"/>
            <w:vAlign w:val="center"/>
          </w:tcPr>
          <w:p w14:paraId="72FCB623" w14:textId="77777777" w:rsidR="003F5418" w:rsidRDefault="002A6C25">
            <w:pPr>
              <w:pStyle w:val="P68B1DB1-Normal4"/>
              <w:jc w:val="center"/>
              <w:rPr>
                <w:rFonts w:eastAsiaTheme="minorEastAsia"/>
                <w:noProof/>
              </w:rPr>
            </w:pPr>
            <w:r>
              <w:rPr>
                <w:noProof/>
              </w:rPr>
              <w:t>Az 1. reformot  A területi egészségügyi segítségnyújtási hálózat új szervezeti modelljének meghatározása</w:t>
            </w:r>
          </w:p>
        </w:tc>
        <w:tc>
          <w:tcPr>
            <w:tcW w:w="1134" w:type="dxa"/>
            <w:shd w:val="clear" w:color="auto" w:fill="C6EFCE"/>
            <w:vAlign w:val="center"/>
          </w:tcPr>
          <w:p w14:paraId="63E45858" w14:textId="77777777" w:rsidR="003F5418" w:rsidRDefault="002A6C25">
            <w:pPr>
              <w:pStyle w:val="P68B1DB1-Normal4"/>
              <w:jc w:val="center"/>
              <w:rPr>
                <w:rFonts w:eastAsiaTheme="minorEastAsia"/>
                <w:noProof/>
              </w:rPr>
            </w:pPr>
            <w:r>
              <w:rPr>
                <w:noProof/>
              </w:rPr>
              <w:t>Mérföldkő</w:t>
            </w:r>
          </w:p>
        </w:tc>
        <w:tc>
          <w:tcPr>
            <w:tcW w:w="1417" w:type="dxa"/>
            <w:shd w:val="clear" w:color="auto" w:fill="C6EFCE"/>
            <w:vAlign w:val="center"/>
          </w:tcPr>
          <w:p w14:paraId="4A1E1D15" w14:textId="77777777" w:rsidR="003F5418" w:rsidRDefault="002A6C25">
            <w:pPr>
              <w:pStyle w:val="P68B1DB1-Normal4"/>
              <w:jc w:val="center"/>
              <w:rPr>
                <w:rFonts w:eastAsiaTheme="minorEastAsia"/>
                <w:noProof/>
              </w:rPr>
            </w:pPr>
            <w:r>
              <w:rPr>
                <w:noProof/>
              </w:rPr>
              <w:t>Az egészségügyi ellátás megszervezésének reformját előíró másodlagos jogszabály (miniszteri rendelet) hatálybalépése.</w:t>
            </w:r>
          </w:p>
        </w:tc>
        <w:tc>
          <w:tcPr>
            <w:tcW w:w="1363" w:type="dxa"/>
            <w:shd w:val="clear" w:color="auto" w:fill="C6EFCE"/>
            <w:vAlign w:val="center"/>
          </w:tcPr>
          <w:p w14:paraId="004E84CD" w14:textId="77777777" w:rsidR="003F5418" w:rsidRDefault="002A6C25">
            <w:pPr>
              <w:pStyle w:val="P68B1DB1-Normal4"/>
              <w:jc w:val="center"/>
              <w:rPr>
                <w:rFonts w:eastAsiaTheme="minorEastAsia"/>
                <w:noProof/>
              </w:rPr>
            </w:pPr>
            <w:r>
              <w:rPr>
                <w:noProof/>
              </w:rPr>
              <w:t xml:space="preserve">A jogszabály hatálybalépését feltüntető törvényi rendelkezés l </w:t>
            </w:r>
          </w:p>
        </w:tc>
        <w:tc>
          <w:tcPr>
            <w:tcW w:w="948" w:type="dxa"/>
            <w:shd w:val="clear" w:color="auto" w:fill="C6EFCE"/>
            <w:vAlign w:val="center"/>
          </w:tcPr>
          <w:p w14:paraId="5F495B9A" w14:textId="77777777" w:rsidR="003F5418" w:rsidRDefault="002A6C25">
            <w:pPr>
              <w:pStyle w:val="P68B1DB1-Normal4"/>
              <w:jc w:val="center"/>
              <w:rPr>
                <w:rFonts w:eastAsiaTheme="minorEastAsia"/>
                <w:noProof/>
              </w:rPr>
            </w:pPr>
            <w:r>
              <w:rPr>
                <w:noProof/>
              </w:rPr>
              <w:t>NINCS</w:t>
            </w:r>
          </w:p>
        </w:tc>
        <w:tc>
          <w:tcPr>
            <w:tcW w:w="950" w:type="dxa"/>
            <w:shd w:val="clear" w:color="auto" w:fill="C6EFCE"/>
            <w:vAlign w:val="center"/>
          </w:tcPr>
          <w:p w14:paraId="1C4C0674"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2BA05A65"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41B8AEC1"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651508B0" w14:textId="77777777" w:rsidR="003F5418" w:rsidRDefault="002A6C25">
            <w:pPr>
              <w:pStyle w:val="P68B1DB1-Normal4"/>
              <w:jc w:val="center"/>
              <w:rPr>
                <w:rFonts w:eastAsiaTheme="minorEastAsia"/>
                <w:noProof/>
              </w:rPr>
            </w:pPr>
            <w:r>
              <w:rPr>
                <w:noProof/>
              </w:rPr>
              <w:t>2022</w:t>
            </w:r>
          </w:p>
        </w:tc>
        <w:tc>
          <w:tcPr>
            <w:tcW w:w="3634" w:type="dxa"/>
            <w:shd w:val="clear" w:color="auto" w:fill="C6EFCE"/>
            <w:vAlign w:val="center"/>
          </w:tcPr>
          <w:p w14:paraId="72FB3B53" w14:textId="77777777" w:rsidR="003F5418" w:rsidRDefault="002A6C25">
            <w:pPr>
              <w:pStyle w:val="P68B1DB1-Normal4"/>
              <w:rPr>
                <w:rFonts w:eastAsiaTheme="minorEastAsia"/>
                <w:noProof/>
              </w:rPr>
            </w:pPr>
            <w:r>
              <w:rPr>
                <w:noProof/>
              </w:rPr>
              <w:t>Az alábbiakról rendelkező másodlagos jogszabály (miniszteri rendelet) hatálybalépése:</w:t>
            </w:r>
          </w:p>
          <w:p w14:paraId="2B1FD4DE" w14:textId="77777777" w:rsidR="003F5418" w:rsidRDefault="002A6C25">
            <w:pPr>
              <w:pStyle w:val="P68B1DB1-Normal4"/>
              <w:rPr>
                <w:rFonts w:eastAsiaTheme="minorEastAsia"/>
                <w:noProof/>
              </w:rPr>
            </w:pPr>
            <w:r>
              <w:rPr>
                <w:noProof/>
              </w:rPr>
              <w:t xml:space="preserve">– A területi egészségügyi segítségnyújtási hálózat új szervezeti modelljének </w:t>
            </w:r>
            <w:r>
              <w:rPr>
                <w:noProof/>
              </w:rPr>
              <w:t>meghatározása egy olyan szabályozási keret meghatározása révén, amely meghatározza a régiók strukturális, technológiai és szervezeti normáit; az „Egy az egészség és a környezet” koncepció szerinti új intézményi struktúra meghatározása az éghajlatváltozás e</w:t>
            </w:r>
            <w:r>
              <w:rPr>
                <w:noProof/>
              </w:rPr>
              <w:t>lleni küzdelem területén.</w:t>
            </w:r>
          </w:p>
        </w:tc>
      </w:tr>
      <w:tr w:rsidR="003F5418" w14:paraId="71F204D7" w14:textId="77777777">
        <w:trPr>
          <w:trHeight w:val="315"/>
        </w:trPr>
        <w:tc>
          <w:tcPr>
            <w:tcW w:w="1277" w:type="dxa"/>
            <w:shd w:val="clear" w:color="auto" w:fill="C6EFCE"/>
            <w:vAlign w:val="center"/>
          </w:tcPr>
          <w:p w14:paraId="57271180" w14:textId="77777777" w:rsidR="003F5418" w:rsidRDefault="002A6C25">
            <w:pPr>
              <w:pStyle w:val="P68B1DB1-Normal4"/>
              <w:jc w:val="center"/>
              <w:rPr>
                <w:rFonts w:eastAsiaTheme="minorEastAsia"/>
                <w:noProof/>
              </w:rPr>
            </w:pPr>
            <w:r>
              <w:rPr>
                <w:noProof/>
              </w:rPr>
              <w:t>M6C1–2</w:t>
            </w:r>
          </w:p>
        </w:tc>
        <w:tc>
          <w:tcPr>
            <w:tcW w:w="1701" w:type="dxa"/>
            <w:shd w:val="clear" w:color="auto" w:fill="C6EFCE"/>
            <w:vAlign w:val="center"/>
          </w:tcPr>
          <w:p w14:paraId="10D73E09" w14:textId="77777777" w:rsidR="003F5418" w:rsidRDefault="002A6C25">
            <w:pPr>
              <w:pStyle w:val="P68B1DB1-Normal4"/>
              <w:jc w:val="center"/>
              <w:rPr>
                <w:rFonts w:eastAsiaTheme="minorEastAsia"/>
                <w:noProof/>
              </w:rPr>
            </w:pPr>
            <w:r>
              <w:rPr>
                <w:noProof/>
              </w:rPr>
              <w:t>Beruházás: Közösségi egészségügyi központok a területi egészségügyi támogatás javítása érdekében</w:t>
            </w:r>
          </w:p>
        </w:tc>
        <w:tc>
          <w:tcPr>
            <w:tcW w:w="1134" w:type="dxa"/>
            <w:shd w:val="clear" w:color="auto" w:fill="C6EFCE"/>
            <w:vAlign w:val="center"/>
          </w:tcPr>
          <w:p w14:paraId="2C738D47" w14:textId="77777777" w:rsidR="003F5418" w:rsidRDefault="002A6C25">
            <w:pPr>
              <w:pStyle w:val="P68B1DB1-Normal4"/>
              <w:jc w:val="center"/>
              <w:rPr>
                <w:rFonts w:eastAsiaTheme="minorEastAsia"/>
                <w:noProof/>
              </w:rPr>
            </w:pPr>
            <w:r>
              <w:rPr>
                <w:noProof/>
              </w:rPr>
              <w:t>Mérföldkő</w:t>
            </w:r>
          </w:p>
        </w:tc>
        <w:tc>
          <w:tcPr>
            <w:tcW w:w="1417" w:type="dxa"/>
            <w:shd w:val="clear" w:color="auto" w:fill="C6EFCE"/>
            <w:vAlign w:val="center"/>
          </w:tcPr>
          <w:p w14:paraId="67FFA47F" w14:textId="77777777" w:rsidR="003F5418" w:rsidRDefault="002A6C25">
            <w:pPr>
              <w:pStyle w:val="P68B1DB1-Normal4"/>
              <w:jc w:val="center"/>
              <w:rPr>
                <w:rFonts w:eastAsiaTheme="minorEastAsia"/>
                <w:noProof/>
              </w:rPr>
            </w:pPr>
            <w:r>
              <w:rPr>
                <w:noProof/>
              </w:rPr>
              <w:t xml:space="preserve">Intézményfejlesztési szerződés jóváhagyása </w:t>
            </w:r>
          </w:p>
        </w:tc>
        <w:tc>
          <w:tcPr>
            <w:tcW w:w="1363" w:type="dxa"/>
            <w:shd w:val="clear" w:color="auto" w:fill="C6EFCE"/>
            <w:vAlign w:val="center"/>
          </w:tcPr>
          <w:p w14:paraId="555695D2" w14:textId="77777777" w:rsidR="003F5418" w:rsidRDefault="002A6C25">
            <w:pPr>
              <w:pStyle w:val="P68B1DB1-Normal4"/>
              <w:jc w:val="center"/>
              <w:rPr>
                <w:rFonts w:eastAsiaTheme="minorEastAsia"/>
                <w:noProof/>
              </w:rPr>
            </w:pPr>
            <w:r>
              <w:rPr>
                <w:noProof/>
              </w:rPr>
              <w:t xml:space="preserve">Értesítés az Egészségügyi és Regionális Minisztérium általi </w:t>
            </w:r>
            <w:r>
              <w:rPr>
                <w:noProof/>
              </w:rPr>
              <w:t>jóváhagyásról</w:t>
            </w:r>
          </w:p>
        </w:tc>
        <w:tc>
          <w:tcPr>
            <w:tcW w:w="948" w:type="dxa"/>
            <w:shd w:val="clear" w:color="auto" w:fill="C6EFCE"/>
            <w:vAlign w:val="center"/>
          </w:tcPr>
          <w:p w14:paraId="75BE7287" w14:textId="77777777" w:rsidR="003F5418" w:rsidRDefault="002A6C25">
            <w:pPr>
              <w:pStyle w:val="P68B1DB1-Normal4"/>
              <w:jc w:val="center"/>
              <w:rPr>
                <w:rFonts w:eastAsiaTheme="minorEastAsia"/>
                <w:noProof/>
              </w:rPr>
            </w:pPr>
            <w:r>
              <w:rPr>
                <w:noProof/>
              </w:rPr>
              <w:t>NINCS</w:t>
            </w:r>
          </w:p>
        </w:tc>
        <w:tc>
          <w:tcPr>
            <w:tcW w:w="950" w:type="dxa"/>
            <w:shd w:val="clear" w:color="auto" w:fill="C6EFCE"/>
            <w:vAlign w:val="center"/>
          </w:tcPr>
          <w:p w14:paraId="263C8BB2"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7BC7FFCE"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42AD815D"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1548AC9F" w14:textId="77777777" w:rsidR="003F5418" w:rsidRDefault="002A6C25">
            <w:pPr>
              <w:pStyle w:val="P68B1DB1-Normal4"/>
              <w:jc w:val="center"/>
              <w:rPr>
                <w:rFonts w:eastAsiaTheme="minorEastAsia"/>
                <w:noProof/>
              </w:rPr>
            </w:pPr>
            <w:r>
              <w:rPr>
                <w:noProof/>
              </w:rPr>
              <w:t>2022</w:t>
            </w:r>
          </w:p>
        </w:tc>
        <w:tc>
          <w:tcPr>
            <w:tcW w:w="3634" w:type="dxa"/>
            <w:shd w:val="clear" w:color="auto" w:fill="C6EFCE"/>
            <w:vAlign w:val="center"/>
          </w:tcPr>
          <w:p w14:paraId="20130F74" w14:textId="77777777" w:rsidR="003F5418" w:rsidRDefault="002A6C25">
            <w:pPr>
              <w:pStyle w:val="P68B1DB1-Normal4"/>
              <w:rPr>
                <w:rFonts w:eastAsiaTheme="minorEastAsia"/>
                <w:noProof/>
              </w:rPr>
            </w:pPr>
            <w:r>
              <w:rPr>
                <w:noProof/>
              </w:rPr>
              <w:t>Intézményfejlesztési szerződés (Contratto Istituzionale di Sviluppo) jóváhagyása, amelyben az olasz egészségügyi</w:t>
            </w:r>
            <w:r>
              <w:rPr>
                <w:noProof/>
              </w:rPr>
              <w:t xml:space="preserve"> minisztérium az illetékes és végrehajtó hatóság, valamint a regionális hatóságok és más érintett szervezetek részvétele a közösségi egészségügyi házakban:</w:t>
            </w:r>
          </w:p>
          <w:p w14:paraId="164497C1" w14:textId="77777777" w:rsidR="003F5418" w:rsidRDefault="002A6C25">
            <w:pPr>
              <w:pStyle w:val="P68B1DB1-Normal4"/>
              <w:rPr>
                <w:rFonts w:eastAsiaTheme="minorEastAsia"/>
                <w:noProof/>
              </w:rPr>
            </w:pPr>
            <w:r>
              <w:rPr>
                <w:noProof/>
              </w:rPr>
              <w:t xml:space="preserve">Az Intézményfejlesztési Szerződés olyan irányítási eszköz, amely felsorolja a területi egészségügyi </w:t>
            </w:r>
            <w:r>
              <w:rPr>
                <w:noProof/>
              </w:rPr>
              <w:t>támogatás javítását célzó Közösségi Egészségügyi Ház végrehajtására kijelölt valamennyi felet. A szerződésben meg kell határozni azokat a kötelezettségeket is, amelyeket az egyes olasz régiók vállalnak a Közösségi Egészségügyi Ház tekintetében várt eredmén</w:t>
            </w:r>
            <w:r>
              <w:rPr>
                <w:noProof/>
              </w:rPr>
              <w:t xml:space="preserve">yek elérésének biztosítása érdekében. </w:t>
            </w:r>
          </w:p>
          <w:p w14:paraId="607E8CF2" w14:textId="77777777" w:rsidR="003F5418" w:rsidRDefault="002A6C25">
            <w:pPr>
              <w:pStyle w:val="P68B1DB1-Normal4"/>
              <w:rPr>
                <w:rFonts w:eastAsiaTheme="minorEastAsia"/>
                <w:noProof/>
              </w:rPr>
            </w:pPr>
            <w:r>
              <w:rPr>
                <w:noProof/>
              </w:rPr>
              <w:t xml:space="preserve"> A szerződés célja a területi kohézió, a fejlődés és a gazdasági növekedés támogatása, valamint az összetett beavatkozások végrehajtásának felgyorsítása volt. Az Intézményfejlesztési Szerződés különösen hasznos az egy</w:t>
            </w:r>
            <w:r>
              <w:rPr>
                <w:noProof/>
              </w:rPr>
              <w:t>máshoz funkcionálisan kapcsolódó egyedi beavatkozásokban megfogalmazott nagyprojektek vagy beruházások esetében, amelyek integrált megközelítést, valamint a nemzeti és európai forrásokból finanszírozott tervekben és operatív programokban is szereplő európa</w:t>
            </w:r>
            <w:r>
              <w:rPr>
                <w:noProof/>
              </w:rPr>
              <w:t>i beruházási strukturális alapok és nemzeti alapok felhasználását igénylik.</w:t>
            </w:r>
          </w:p>
        </w:tc>
      </w:tr>
      <w:tr w:rsidR="003F5418" w14:paraId="6C8B17F0" w14:textId="77777777">
        <w:trPr>
          <w:trHeight w:val="315"/>
        </w:trPr>
        <w:tc>
          <w:tcPr>
            <w:tcW w:w="1277" w:type="dxa"/>
            <w:shd w:val="clear" w:color="auto" w:fill="C6EFCE"/>
            <w:vAlign w:val="center"/>
          </w:tcPr>
          <w:p w14:paraId="6CB09FA4" w14:textId="77777777" w:rsidR="003F5418" w:rsidRDefault="002A6C25">
            <w:pPr>
              <w:pStyle w:val="P68B1DB1-Normal4"/>
              <w:jc w:val="center"/>
              <w:rPr>
                <w:rFonts w:eastAsiaTheme="minorEastAsia"/>
                <w:noProof/>
              </w:rPr>
            </w:pPr>
            <w:r>
              <w:rPr>
                <w:noProof/>
              </w:rPr>
              <w:t>M6C1–3</w:t>
            </w:r>
          </w:p>
        </w:tc>
        <w:tc>
          <w:tcPr>
            <w:tcW w:w="1701" w:type="dxa"/>
            <w:shd w:val="clear" w:color="auto" w:fill="C6EFCE"/>
            <w:vAlign w:val="center"/>
          </w:tcPr>
          <w:p w14:paraId="4EE95A60" w14:textId="77777777" w:rsidR="003F5418" w:rsidRDefault="002A6C25">
            <w:pPr>
              <w:pStyle w:val="P68B1DB1-Normal4"/>
              <w:jc w:val="center"/>
              <w:rPr>
                <w:rFonts w:eastAsiaTheme="minorEastAsia"/>
                <w:noProof/>
              </w:rPr>
            </w:pPr>
            <w:bookmarkStart w:id="13" w:name="_Hlk160472482"/>
            <w:r>
              <w:rPr>
                <w:noProof/>
              </w:rPr>
              <w:t>Beruházás: Közösségi egészségügyi központok a területi egészségügyi támogatás javítása érdekében</w:t>
            </w:r>
            <w:bookmarkEnd w:id="13"/>
          </w:p>
        </w:tc>
        <w:tc>
          <w:tcPr>
            <w:tcW w:w="1134" w:type="dxa"/>
            <w:shd w:val="clear" w:color="auto" w:fill="C6EFCE"/>
            <w:vAlign w:val="center"/>
          </w:tcPr>
          <w:p w14:paraId="693D0231"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648A1287" w14:textId="77777777" w:rsidR="003F5418" w:rsidRDefault="002A6C25">
            <w:pPr>
              <w:pStyle w:val="P68B1DB1-Normal4"/>
              <w:jc w:val="center"/>
              <w:rPr>
                <w:rFonts w:eastAsiaTheme="minorEastAsia"/>
                <w:noProof/>
              </w:rPr>
            </w:pPr>
            <w:r>
              <w:rPr>
                <w:noProof/>
              </w:rPr>
              <w:t xml:space="preserve">Rendelkezésre bocsátott és technológiailag felszerelt közösségi </w:t>
            </w:r>
            <w:r>
              <w:rPr>
                <w:noProof/>
              </w:rPr>
              <w:t>egészségügyi központok (első tétel)</w:t>
            </w:r>
          </w:p>
        </w:tc>
        <w:tc>
          <w:tcPr>
            <w:tcW w:w="1363" w:type="dxa"/>
            <w:shd w:val="clear" w:color="auto" w:fill="C6EFCE"/>
            <w:vAlign w:val="center"/>
          </w:tcPr>
          <w:p w14:paraId="1FF5A122" w14:textId="77777777"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2D3351E5"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24D98F0B"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49514C19" w14:textId="77777777" w:rsidR="003F5418" w:rsidRDefault="002A6C25">
            <w:pPr>
              <w:pStyle w:val="P68B1DB1-Normal4"/>
              <w:jc w:val="center"/>
              <w:rPr>
                <w:rFonts w:eastAsiaTheme="minorEastAsia"/>
                <w:noProof/>
              </w:rPr>
            </w:pPr>
            <w:r>
              <w:rPr>
                <w:noProof/>
              </w:rPr>
              <w:t>1 038</w:t>
            </w:r>
          </w:p>
        </w:tc>
        <w:tc>
          <w:tcPr>
            <w:tcW w:w="992" w:type="dxa"/>
            <w:shd w:val="clear" w:color="auto" w:fill="C6EFCE"/>
            <w:vAlign w:val="center"/>
          </w:tcPr>
          <w:p w14:paraId="4EE13046"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3005DB6D" w14:textId="77777777" w:rsidR="003F5418" w:rsidRDefault="002A6C25">
            <w:pPr>
              <w:pStyle w:val="P68B1DB1-Normal4"/>
              <w:jc w:val="center"/>
              <w:rPr>
                <w:rFonts w:eastAsiaTheme="minorEastAsia"/>
                <w:noProof/>
              </w:rPr>
            </w:pPr>
            <w:r>
              <w:rPr>
                <w:noProof/>
              </w:rPr>
              <w:t>2026</w:t>
            </w:r>
          </w:p>
        </w:tc>
        <w:tc>
          <w:tcPr>
            <w:tcW w:w="3634" w:type="dxa"/>
            <w:shd w:val="clear" w:color="auto" w:fill="C6EFCE"/>
            <w:vAlign w:val="center"/>
          </w:tcPr>
          <w:p w14:paraId="33F437A4" w14:textId="0DD626B0" w:rsidR="003F5418" w:rsidRDefault="002A6C25">
            <w:pPr>
              <w:pStyle w:val="P68B1DB1-Normal4"/>
              <w:rPr>
                <w:noProof/>
              </w:rPr>
            </w:pPr>
            <w:r>
              <w:rPr>
                <w:noProof/>
              </w:rPr>
              <w:t>Legalább 1038 közösségi egészségügyi központot kell rendelkezésre bocsátani és technológiailag felszereltsé</w:t>
            </w:r>
            <w:r>
              <w:rPr>
                <w:noProof/>
              </w:rPr>
              <w:t xml:space="preserve"> kell tenni annak érdekében, hogy az alapellátási szolgáltatások aktiválása, fejlesztése és összesítése, valamint a multiszakmai reagálást szolgáló (energiahatékony) segítségnyújtási központok létrehozása révén életkortól és klinikai képtől függetlenül biz</w:t>
            </w:r>
            <w:r>
              <w:rPr>
                <w:noProof/>
              </w:rPr>
              <w:t>tosított legyen az egyenlő hozzáférés, a területi közelség és az ellátás minősége (krónikus betegségben szenvedő betegek, tartós ápolásra szoruló, nem önellátó, tartós ápolásra szoruló személyek, fogyatékkal élők, mentális stresszhelyzet, szegénység).</w:t>
            </w:r>
          </w:p>
          <w:p w14:paraId="76F33D7F" w14:textId="76B05351" w:rsidR="003F5418" w:rsidRDefault="002A6C25">
            <w:pPr>
              <w:pStyle w:val="P68B1DB1-Normal4"/>
              <w:rPr>
                <w:rFonts w:eastAsiaTheme="minorEastAsia"/>
                <w:noProof/>
              </w:rPr>
            </w:pPr>
            <w:r>
              <w:rPr>
                <w:noProof/>
              </w:rPr>
              <w:t>A He</w:t>
            </w:r>
            <w:r>
              <w:rPr>
                <w:noProof/>
              </w:rPr>
              <w:t xml:space="preserve">lyreállítási és Rezilienciaépítési Eszközből a beruházási költségekhez nyújtott támogatás legalább 50%-át az (EU) 2021/241 rendelet VI. mellékletének 5. lábjegyzetében foglalt követelményeknek megfelelő új épületek építésére (025 ter beavatkozási terület) </w:t>
            </w:r>
            <w:r>
              <w:rPr>
                <w:noProof/>
              </w:rPr>
              <w:t>vagy épületek felújítására (026. beavatkozási terület) kell fordítani.</w:t>
            </w:r>
          </w:p>
        </w:tc>
      </w:tr>
      <w:tr w:rsidR="003F5418" w14:paraId="7179ECA1" w14:textId="77777777">
        <w:trPr>
          <w:trHeight w:val="315"/>
        </w:trPr>
        <w:tc>
          <w:tcPr>
            <w:tcW w:w="1277" w:type="dxa"/>
            <w:shd w:val="clear" w:color="auto" w:fill="C6EFCE"/>
            <w:vAlign w:val="center"/>
          </w:tcPr>
          <w:p w14:paraId="2F22341F" w14:textId="77777777" w:rsidR="003F5418" w:rsidRDefault="002A6C25">
            <w:pPr>
              <w:pStyle w:val="P68B1DB1-Normal4"/>
              <w:jc w:val="center"/>
              <w:rPr>
                <w:rFonts w:eastAsiaTheme="minorEastAsia"/>
                <w:noProof/>
              </w:rPr>
            </w:pPr>
            <w:r>
              <w:rPr>
                <w:noProof/>
              </w:rPr>
              <w:t>M6C1–4</w:t>
            </w:r>
          </w:p>
        </w:tc>
        <w:tc>
          <w:tcPr>
            <w:tcW w:w="1701" w:type="dxa"/>
            <w:shd w:val="clear" w:color="auto" w:fill="C6EFCE"/>
            <w:vAlign w:val="center"/>
          </w:tcPr>
          <w:p w14:paraId="4E364C52" w14:textId="77777777" w:rsidR="003F5418" w:rsidRDefault="002A6C25">
            <w:pPr>
              <w:pStyle w:val="P68B1DB1-Normal4"/>
              <w:jc w:val="center"/>
              <w:rPr>
                <w:rFonts w:eastAsiaTheme="minorEastAsia"/>
                <w:noProof/>
              </w:rPr>
            </w:pPr>
            <w:r>
              <w:rPr>
                <w:noProof/>
              </w:rPr>
              <w:t>Beruházás: Az otthon mint a gondozás és a távorvoslás első helye</w:t>
            </w:r>
          </w:p>
        </w:tc>
        <w:tc>
          <w:tcPr>
            <w:tcW w:w="1134" w:type="dxa"/>
            <w:shd w:val="clear" w:color="auto" w:fill="C6EFCE"/>
            <w:vAlign w:val="center"/>
          </w:tcPr>
          <w:p w14:paraId="141AD56F" w14:textId="77777777" w:rsidR="003F5418" w:rsidRDefault="002A6C25">
            <w:pPr>
              <w:pStyle w:val="P68B1DB1-Normal4"/>
              <w:jc w:val="center"/>
              <w:rPr>
                <w:rFonts w:eastAsiaTheme="minorEastAsia"/>
                <w:noProof/>
              </w:rPr>
            </w:pPr>
            <w:r>
              <w:rPr>
                <w:noProof/>
              </w:rPr>
              <w:t>Mérföldkő</w:t>
            </w:r>
          </w:p>
        </w:tc>
        <w:tc>
          <w:tcPr>
            <w:tcW w:w="1417" w:type="dxa"/>
            <w:shd w:val="clear" w:color="auto" w:fill="C6EFCE"/>
            <w:vAlign w:val="center"/>
          </w:tcPr>
          <w:p w14:paraId="647ACF86" w14:textId="77777777" w:rsidR="003F5418" w:rsidRDefault="002A6C25">
            <w:pPr>
              <w:pStyle w:val="P68B1DB1-Normal4"/>
              <w:jc w:val="center"/>
              <w:rPr>
                <w:rFonts w:eastAsiaTheme="minorEastAsia"/>
                <w:noProof/>
              </w:rPr>
            </w:pPr>
            <w:r>
              <w:rPr>
                <w:noProof/>
              </w:rPr>
              <w:t xml:space="preserve">Az otthoni ápolás-gondozás végrehajtására vonatkozó digitális modellt tartalmazó iránymutatások </w:t>
            </w:r>
            <w:r>
              <w:rPr>
                <w:noProof/>
              </w:rPr>
              <w:t>jóváhagyása</w:t>
            </w:r>
          </w:p>
        </w:tc>
        <w:tc>
          <w:tcPr>
            <w:tcW w:w="1363" w:type="dxa"/>
            <w:shd w:val="clear" w:color="auto" w:fill="C6EFCE"/>
            <w:vAlign w:val="center"/>
          </w:tcPr>
          <w:p w14:paraId="56783D77" w14:textId="77777777" w:rsidR="003F5418" w:rsidRDefault="002A6C25">
            <w:pPr>
              <w:pStyle w:val="P68B1DB1-Normal4"/>
              <w:jc w:val="center"/>
              <w:rPr>
                <w:rFonts w:eastAsiaTheme="minorEastAsia"/>
                <w:noProof/>
              </w:rPr>
            </w:pPr>
            <w:r>
              <w:rPr>
                <w:noProof/>
              </w:rPr>
              <w:t>Az Egészségügyi Minisztérium által jóváhagyott iránymutatások</w:t>
            </w:r>
          </w:p>
        </w:tc>
        <w:tc>
          <w:tcPr>
            <w:tcW w:w="948" w:type="dxa"/>
            <w:shd w:val="clear" w:color="auto" w:fill="C6EFCE"/>
            <w:vAlign w:val="center"/>
          </w:tcPr>
          <w:p w14:paraId="5DDAECC0" w14:textId="77777777" w:rsidR="003F5418" w:rsidRDefault="002A6C25">
            <w:pPr>
              <w:pStyle w:val="P68B1DB1-Normal4"/>
              <w:jc w:val="center"/>
              <w:rPr>
                <w:rFonts w:eastAsiaTheme="minorEastAsia"/>
                <w:noProof/>
              </w:rPr>
            </w:pPr>
            <w:r>
              <w:rPr>
                <w:noProof/>
              </w:rPr>
              <w:t>NINCS</w:t>
            </w:r>
          </w:p>
        </w:tc>
        <w:tc>
          <w:tcPr>
            <w:tcW w:w="950" w:type="dxa"/>
            <w:shd w:val="clear" w:color="auto" w:fill="C6EFCE"/>
            <w:vAlign w:val="center"/>
          </w:tcPr>
          <w:p w14:paraId="32B95885"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0B85A6D5"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215DFBEB"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2D96253D" w14:textId="77777777" w:rsidR="003F5418" w:rsidRDefault="002A6C25">
            <w:pPr>
              <w:pStyle w:val="P68B1DB1-Normal4"/>
              <w:jc w:val="center"/>
              <w:rPr>
                <w:rFonts w:eastAsiaTheme="minorEastAsia"/>
                <w:noProof/>
              </w:rPr>
            </w:pPr>
            <w:r>
              <w:rPr>
                <w:noProof/>
              </w:rPr>
              <w:t>2022</w:t>
            </w:r>
          </w:p>
        </w:tc>
        <w:tc>
          <w:tcPr>
            <w:tcW w:w="3634" w:type="dxa"/>
            <w:shd w:val="clear" w:color="auto" w:fill="C6EFCE"/>
            <w:vAlign w:val="center"/>
          </w:tcPr>
          <w:p w14:paraId="741F57D8" w14:textId="77777777" w:rsidR="003F5418" w:rsidRDefault="002A6C25">
            <w:pPr>
              <w:pStyle w:val="P68B1DB1-Normal4"/>
              <w:rPr>
                <w:rFonts w:eastAsiaTheme="minorEastAsia"/>
                <w:noProof/>
              </w:rPr>
            </w:pPr>
            <w:r>
              <w:rPr>
                <w:noProof/>
              </w:rPr>
              <w:t>Az iránymutatásoknak észszerűsíteniük</w:t>
            </w:r>
            <w:r>
              <w:rPr>
                <w:noProof/>
              </w:rPr>
              <w:t xml:space="preserve"> kell az otthoni gondozás javításához szükséges folyamatokat a távellenőrzési technikák és az otthoni automatizálás fejlesztése révén.</w:t>
            </w:r>
          </w:p>
        </w:tc>
      </w:tr>
      <w:tr w:rsidR="003F5418" w14:paraId="07B073A7" w14:textId="77777777">
        <w:trPr>
          <w:trHeight w:val="315"/>
        </w:trPr>
        <w:tc>
          <w:tcPr>
            <w:tcW w:w="1277" w:type="dxa"/>
            <w:shd w:val="clear" w:color="auto" w:fill="C6EFCE"/>
            <w:vAlign w:val="center"/>
          </w:tcPr>
          <w:p w14:paraId="6D77E3BB" w14:textId="77777777" w:rsidR="003F5418" w:rsidRDefault="002A6C25">
            <w:pPr>
              <w:pStyle w:val="P68B1DB1-Normal4"/>
              <w:jc w:val="center"/>
              <w:rPr>
                <w:rFonts w:eastAsiaTheme="minorEastAsia"/>
                <w:noProof/>
              </w:rPr>
            </w:pPr>
            <w:r>
              <w:rPr>
                <w:noProof/>
              </w:rPr>
              <w:t>M6C1–5</w:t>
            </w:r>
          </w:p>
        </w:tc>
        <w:tc>
          <w:tcPr>
            <w:tcW w:w="1701" w:type="dxa"/>
            <w:shd w:val="clear" w:color="auto" w:fill="C6EFCE"/>
            <w:vAlign w:val="center"/>
          </w:tcPr>
          <w:p w14:paraId="2B6877E4" w14:textId="77777777" w:rsidR="003F5418" w:rsidRDefault="002A6C25">
            <w:pPr>
              <w:pStyle w:val="P68B1DB1-Normal4"/>
              <w:jc w:val="center"/>
              <w:rPr>
                <w:rFonts w:eastAsiaTheme="minorEastAsia"/>
                <w:noProof/>
              </w:rPr>
            </w:pPr>
            <w:r>
              <w:rPr>
                <w:noProof/>
              </w:rPr>
              <w:t>Beruházás: Az otthon mint a gondozás és a távorvoslás első helye</w:t>
            </w:r>
          </w:p>
        </w:tc>
        <w:tc>
          <w:tcPr>
            <w:tcW w:w="1134" w:type="dxa"/>
            <w:shd w:val="clear" w:color="auto" w:fill="C6EFCE"/>
            <w:vAlign w:val="center"/>
          </w:tcPr>
          <w:p w14:paraId="61CC4283" w14:textId="77777777" w:rsidR="003F5418" w:rsidRDefault="002A6C25">
            <w:pPr>
              <w:pStyle w:val="P68B1DB1-Normal4"/>
              <w:jc w:val="center"/>
              <w:rPr>
                <w:rFonts w:eastAsiaTheme="minorEastAsia"/>
                <w:noProof/>
              </w:rPr>
            </w:pPr>
            <w:r>
              <w:rPr>
                <w:noProof/>
              </w:rPr>
              <w:t>Mérföldkő</w:t>
            </w:r>
          </w:p>
        </w:tc>
        <w:tc>
          <w:tcPr>
            <w:tcW w:w="1417" w:type="dxa"/>
            <w:shd w:val="clear" w:color="auto" w:fill="C6EFCE"/>
            <w:vAlign w:val="center"/>
          </w:tcPr>
          <w:p w14:paraId="74208FE0" w14:textId="77777777" w:rsidR="003F5418" w:rsidRDefault="002A6C25">
            <w:pPr>
              <w:pStyle w:val="P68B1DB1-Normal4"/>
              <w:jc w:val="center"/>
              <w:rPr>
                <w:rFonts w:eastAsiaTheme="minorEastAsia"/>
                <w:noProof/>
              </w:rPr>
            </w:pPr>
            <w:r>
              <w:rPr>
                <w:noProof/>
              </w:rPr>
              <w:t xml:space="preserve">Az Egészségügyi és Regionális Minisztérium által jóváhagyott intézményfejlesztési szerződés </w:t>
            </w:r>
          </w:p>
        </w:tc>
        <w:tc>
          <w:tcPr>
            <w:tcW w:w="1363" w:type="dxa"/>
            <w:shd w:val="clear" w:color="auto" w:fill="C6EFCE"/>
            <w:vAlign w:val="center"/>
          </w:tcPr>
          <w:p w14:paraId="203C80FC" w14:textId="77777777" w:rsidR="003F5418" w:rsidRDefault="002A6C25">
            <w:pPr>
              <w:pStyle w:val="P68B1DB1-Normal4"/>
              <w:jc w:val="center"/>
              <w:rPr>
                <w:rFonts w:eastAsiaTheme="minorEastAsia"/>
                <w:noProof/>
              </w:rPr>
            </w:pPr>
            <w:r>
              <w:rPr>
                <w:noProof/>
              </w:rPr>
              <w:t>Értesítés a jóváhagyott szerződésről</w:t>
            </w:r>
          </w:p>
        </w:tc>
        <w:tc>
          <w:tcPr>
            <w:tcW w:w="948" w:type="dxa"/>
            <w:shd w:val="clear" w:color="auto" w:fill="C6EFCE"/>
            <w:vAlign w:val="center"/>
          </w:tcPr>
          <w:p w14:paraId="4C2CF9B8" w14:textId="77777777" w:rsidR="003F5418" w:rsidRDefault="002A6C25">
            <w:pPr>
              <w:pStyle w:val="P68B1DB1-Normal4"/>
              <w:jc w:val="center"/>
              <w:rPr>
                <w:rFonts w:eastAsiaTheme="minorEastAsia"/>
                <w:noProof/>
              </w:rPr>
            </w:pPr>
            <w:r>
              <w:rPr>
                <w:noProof/>
              </w:rPr>
              <w:t>NINCS</w:t>
            </w:r>
          </w:p>
        </w:tc>
        <w:tc>
          <w:tcPr>
            <w:tcW w:w="950" w:type="dxa"/>
            <w:shd w:val="clear" w:color="auto" w:fill="C6EFCE"/>
            <w:vAlign w:val="center"/>
          </w:tcPr>
          <w:p w14:paraId="7474EE31"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44E2D2A6"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4CB80617"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4ACE8DC0" w14:textId="77777777" w:rsidR="003F5418" w:rsidRDefault="002A6C25">
            <w:pPr>
              <w:pStyle w:val="P68B1DB1-Normal4"/>
              <w:jc w:val="center"/>
              <w:rPr>
                <w:rFonts w:eastAsiaTheme="minorEastAsia"/>
                <w:noProof/>
              </w:rPr>
            </w:pPr>
            <w:r>
              <w:rPr>
                <w:noProof/>
              </w:rPr>
              <w:t>2022</w:t>
            </w:r>
          </w:p>
        </w:tc>
        <w:tc>
          <w:tcPr>
            <w:tcW w:w="3634" w:type="dxa"/>
            <w:shd w:val="clear" w:color="auto" w:fill="C6EFCE"/>
            <w:vAlign w:val="center"/>
          </w:tcPr>
          <w:p w14:paraId="7120E014" w14:textId="31BB26F8" w:rsidR="003F5418" w:rsidRDefault="002A6C25">
            <w:pPr>
              <w:pStyle w:val="P68B1DB1-Normal4"/>
              <w:rPr>
                <w:rFonts w:eastAsiaTheme="minorEastAsia"/>
                <w:noProof/>
              </w:rPr>
            </w:pPr>
            <w:r>
              <w:rPr>
                <w:noProof/>
              </w:rPr>
              <w:t xml:space="preserve">Intézményfejlesztési szerződés (Contratto Istituzionale di Sviluppo) jóváhagyása, amelyben az olasz </w:t>
            </w:r>
            <w:r>
              <w:rPr>
                <w:noProof/>
              </w:rPr>
              <w:t>egészségügyi minisztérium az illetékes és végrehajtó hatóság, valamint a regionális közigazgatási szervek és a házi gondozással foglalkozó egyéb szervezetek részvétele.</w:t>
            </w:r>
          </w:p>
          <w:p w14:paraId="15415D99" w14:textId="77777777" w:rsidR="003F5418" w:rsidRDefault="002A6C25">
            <w:pPr>
              <w:pStyle w:val="P68B1DB1-Normal4"/>
              <w:rPr>
                <w:rFonts w:eastAsiaTheme="minorEastAsia"/>
                <w:noProof/>
              </w:rPr>
            </w:pPr>
            <w:r>
              <w:rPr>
                <w:noProof/>
              </w:rPr>
              <w:t>Az Intézményfejlesztési Szerződés minden egyes beavatkozásra vagy beavatkozáskategóriár</w:t>
            </w:r>
            <w:r>
              <w:rPr>
                <w:noProof/>
              </w:rPr>
              <w:t>a vonatkozóan meghatározza az ütemtervet, a vállalkozók felelősségi körét, az értékelési és nyomonkövetési kritériumokat, valamint a meg nem felelés esetén alkalmazandó szankciókat. A szubszidiaritás elvével összhangban meghatározza továbbá a beavatkozások</w:t>
            </w:r>
            <w:r>
              <w:rPr>
                <w:noProof/>
              </w:rPr>
              <w:t xml:space="preserve"> esetleges részleges definanszírozásának vagy a vonatkozó források más kormányzati szint számára történő elosztásának feltételeit.</w:t>
            </w:r>
          </w:p>
        </w:tc>
      </w:tr>
      <w:tr w:rsidR="003F5418" w14:paraId="1D7E8983" w14:textId="77777777">
        <w:trPr>
          <w:trHeight w:val="315"/>
        </w:trPr>
        <w:tc>
          <w:tcPr>
            <w:tcW w:w="1277" w:type="dxa"/>
            <w:shd w:val="clear" w:color="auto" w:fill="C6EFCE"/>
            <w:vAlign w:val="center"/>
          </w:tcPr>
          <w:p w14:paraId="17518292" w14:textId="77777777" w:rsidR="003F5418" w:rsidRDefault="002A6C25">
            <w:pPr>
              <w:pStyle w:val="P68B1DB1-Normal4"/>
              <w:jc w:val="center"/>
              <w:rPr>
                <w:rFonts w:eastAsiaTheme="minorEastAsia"/>
                <w:noProof/>
              </w:rPr>
            </w:pPr>
            <w:r>
              <w:rPr>
                <w:noProof/>
              </w:rPr>
              <w:t>M6C1–6</w:t>
            </w:r>
          </w:p>
        </w:tc>
        <w:tc>
          <w:tcPr>
            <w:tcW w:w="1701" w:type="dxa"/>
            <w:shd w:val="clear" w:color="auto" w:fill="C6EFCE"/>
            <w:vAlign w:val="center"/>
          </w:tcPr>
          <w:p w14:paraId="2D0AD7A8" w14:textId="77777777" w:rsidR="003F5418" w:rsidRDefault="002A6C25">
            <w:pPr>
              <w:pStyle w:val="P68B1DB1-Normal4"/>
              <w:jc w:val="center"/>
              <w:rPr>
                <w:rFonts w:eastAsiaTheme="minorEastAsia"/>
                <w:noProof/>
              </w:rPr>
            </w:pPr>
            <w:r>
              <w:rPr>
                <w:noProof/>
              </w:rPr>
              <w:t>Beruházás: Az otthon mint a gondozás és a távorvoslás első helye</w:t>
            </w:r>
          </w:p>
        </w:tc>
        <w:tc>
          <w:tcPr>
            <w:tcW w:w="1134" w:type="dxa"/>
            <w:shd w:val="clear" w:color="auto" w:fill="C6EFCE"/>
            <w:vAlign w:val="center"/>
          </w:tcPr>
          <w:p w14:paraId="14001FDA"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63D29D2C" w14:textId="77777777" w:rsidR="003F5418" w:rsidRDefault="002A6C25">
            <w:pPr>
              <w:pStyle w:val="P68B1DB1-Normal4"/>
              <w:jc w:val="center"/>
              <w:rPr>
                <w:rFonts w:eastAsiaTheme="minorEastAsia"/>
                <w:noProof/>
              </w:rPr>
            </w:pPr>
            <w:r>
              <w:rPr>
                <w:noProof/>
              </w:rPr>
              <w:t xml:space="preserve">További, otthoni gondozásban kezelt személyek </w:t>
            </w:r>
            <w:r>
              <w:rPr>
                <w:noProof/>
              </w:rPr>
              <w:t>(első tétel)</w:t>
            </w:r>
          </w:p>
        </w:tc>
        <w:tc>
          <w:tcPr>
            <w:tcW w:w="1363" w:type="dxa"/>
            <w:shd w:val="clear" w:color="auto" w:fill="C6EFCE"/>
            <w:vAlign w:val="center"/>
          </w:tcPr>
          <w:p w14:paraId="21E49CEB" w14:textId="77777777"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5A64A77B"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6279F7CB"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7C2405FA" w14:textId="77777777" w:rsidR="003F5418" w:rsidRDefault="002A6C25">
            <w:pPr>
              <w:pStyle w:val="P68B1DB1-Normal4"/>
              <w:jc w:val="center"/>
              <w:rPr>
                <w:rFonts w:eastAsiaTheme="minorEastAsia"/>
                <w:noProof/>
              </w:rPr>
            </w:pPr>
            <w:r>
              <w:rPr>
                <w:noProof/>
              </w:rPr>
              <w:t>842 000</w:t>
            </w:r>
          </w:p>
        </w:tc>
        <w:tc>
          <w:tcPr>
            <w:tcW w:w="992" w:type="dxa"/>
            <w:shd w:val="clear" w:color="auto" w:fill="C6EFCE"/>
            <w:vAlign w:val="center"/>
          </w:tcPr>
          <w:p w14:paraId="0D0642DB"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443F88ED" w14:textId="77777777" w:rsidR="003F5418" w:rsidRDefault="002A6C25">
            <w:pPr>
              <w:pStyle w:val="P68B1DB1-Normal4"/>
              <w:jc w:val="center"/>
              <w:rPr>
                <w:rFonts w:eastAsiaTheme="minorEastAsia"/>
                <w:noProof/>
              </w:rPr>
            </w:pPr>
            <w:r>
              <w:rPr>
                <w:noProof/>
              </w:rPr>
              <w:t>2026</w:t>
            </w:r>
          </w:p>
        </w:tc>
        <w:tc>
          <w:tcPr>
            <w:tcW w:w="3634" w:type="dxa"/>
            <w:shd w:val="clear" w:color="auto" w:fill="C6EFCE"/>
            <w:vAlign w:val="center"/>
          </w:tcPr>
          <w:p w14:paraId="5474BCDF" w14:textId="77777777" w:rsidR="003F5418" w:rsidRDefault="002A6C25">
            <w:pPr>
              <w:pStyle w:val="P68B1DB1-Normal4"/>
              <w:rPr>
                <w:rFonts w:eastAsiaTheme="minorEastAsia"/>
                <w:noProof/>
              </w:rPr>
            </w:pPr>
            <w:r>
              <w:rPr>
                <w:noProof/>
              </w:rPr>
              <w:t>Az otthoni gondozásban részesülők számának növelése a 65 év feletti lakosság 10%-ának</w:t>
            </w:r>
            <w:r>
              <w:rPr>
                <w:noProof/>
              </w:rPr>
              <w:t xml:space="preserve"> elérése érdekében (a becslések szerint 2026-ban 1,5 millió ember volt). E cél elérése érdekében 2026-ig legalább 842000-rel növelni kell az otthoni gondozásban részesülő 65 év feletti személyek számát. Az integrált otthoni ápolás-gondozás egy vagy több kr</w:t>
            </w:r>
            <w:r>
              <w:rPr>
                <w:noProof/>
              </w:rPr>
              <w:t>ónikus betegségben szenvedő, illetve egy vagy több krónikus betegségben szenvedő személyek számára nyújtott szolgáltatás, amely folyamatos és magasan specializált szakmai egészségügyi és szociális ellátást igényel.</w:t>
            </w:r>
          </w:p>
        </w:tc>
      </w:tr>
      <w:tr w:rsidR="003F5418" w14:paraId="7AC221DC" w14:textId="77777777">
        <w:trPr>
          <w:trHeight w:val="315"/>
        </w:trPr>
        <w:tc>
          <w:tcPr>
            <w:tcW w:w="1277" w:type="dxa"/>
            <w:shd w:val="clear" w:color="auto" w:fill="C6EFCE"/>
            <w:vAlign w:val="center"/>
          </w:tcPr>
          <w:p w14:paraId="1A6E198B" w14:textId="77777777" w:rsidR="003F5418" w:rsidRDefault="002A6C25">
            <w:pPr>
              <w:pStyle w:val="P68B1DB1-Normal4"/>
              <w:jc w:val="center"/>
              <w:rPr>
                <w:rFonts w:eastAsiaTheme="minorEastAsia"/>
                <w:noProof/>
              </w:rPr>
            </w:pPr>
            <w:r>
              <w:rPr>
                <w:noProof/>
              </w:rPr>
              <w:t>M6C1–7</w:t>
            </w:r>
          </w:p>
        </w:tc>
        <w:tc>
          <w:tcPr>
            <w:tcW w:w="1701" w:type="dxa"/>
            <w:shd w:val="clear" w:color="auto" w:fill="C6EFCE"/>
            <w:vAlign w:val="center"/>
          </w:tcPr>
          <w:p w14:paraId="0CD6B0C2" w14:textId="77777777" w:rsidR="003F5418" w:rsidRDefault="002A6C25">
            <w:pPr>
              <w:pStyle w:val="P68B1DB1-Normal4"/>
              <w:jc w:val="center"/>
              <w:rPr>
                <w:rFonts w:eastAsiaTheme="minorEastAsia"/>
                <w:noProof/>
              </w:rPr>
            </w:pPr>
            <w:r>
              <w:rPr>
                <w:noProof/>
              </w:rPr>
              <w:t>Beruházás: Az otthon</w:t>
            </w:r>
            <w:r>
              <w:rPr>
                <w:noProof/>
              </w:rPr>
              <w:t xml:space="preserve"> mint a gondozás és a távorvoslás első helye</w:t>
            </w:r>
          </w:p>
        </w:tc>
        <w:tc>
          <w:tcPr>
            <w:tcW w:w="1134" w:type="dxa"/>
            <w:shd w:val="clear" w:color="auto" w:fill="C6EFCE"/>
            <w:vAlign w:val="center"/>
          </w:tcPr>
          <w:p w14:paraId="2347ABFD"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0F9DD484" w14:textId="77777777" w:rsidR="003F5418" w:rsidRDefault="002A6C25">
            <w:pPr>
              <w:pStyle w:val="P68B1DB1-Normal4"/>
              <w:jc w:val="center"/>
              <w:rPr>
                <w:rFonts w:eastAsiaTheme="minorEastAsia"/>
                <w:noProof/>
              </w:rPr>
            </w:pPr>
            <w:r>
              <w:rPr>
                <w:noProof/>
              </w:rPr>
              <w:t>Teljes mértékben működőképes koordinációs központok (második csoport)</w:t>
            </w:r>
          </w:p>
        </w:tc>
        <w:tc>
          <w:tcPr>
            <w:tcW w:w="1363" w:type="dxa"/>
            <w:shd w:val="clear" w:color="auto" w:fill="C6EFCE"/>
            <w:vAlign w:val="center"/>
          </w:tcPr>
          <w:p w14:paraId="34EE89FF" w14:textId="77777777"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3E30BE66"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6F0522D2"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3315D557" w14:textId="77777777" w:rsidR="003F5418" w:rsidRDefault="002A6C25">
            <w:pPr>
              <w:pStyle w:val="P68B1DB1-Normal4"/>
              <w:jc w:val="center"/>
              <w:rPr>
                <w:rFonts w:eastAsiaTheme="minorEastAsia"/>
                <w:noProof/>
              </w:rPr>
            </w:pPr>
            <w:r>
              <w:rPr>
                <w:noProof/>
              </w:rPr>
              <w:t>480</w:t>
            </w:r>
          </w:p>
        </w:tc>
        <w:tc>
          <w:tcPr>
            <w:tcW w:w="992" w:type="dxa"/>
            <w:shd w:val="clear" w:color="auto" w:fill="C6EFCE"/>
            <w:vAlign w:val="center"/>
          </w:tcPr>
          <w:p w14:paraId="67A6389B" w14:textId="77777777" w:rsidR="003F5418" w:rsidRDefault="002A6C25">
            <w:pPr>
              <w:pStyle w:val="P68B1DB1-Normal4"/>
              <w:jc w:val="center"/>
              <w:rPr>
                <w:rFonts w:eastAsiaTheme="minorEastAsia"/>
                <w:noProof/>
              </w:rPr>
            </w:pPr>
            <w:r>
              <w:rPr>
                <w:noProof/>
              </w:rPr>
              <w:t>Q4</w:t>
            </w:r>
          </w:p>
        </w:tc>
        <w:tc>
          <w:tcPr>
            <w:tcW w:w="709" w:type="dxa"/>
            <w:shd w:val="clear" w:color="auto" w:fill="C6EFCE"/>
            <w:vAlign w:val="center"/>
          </w:tcPr>
          <w:p w14:paraId="6ED66F84" w14:textId="77777777" w:rsidR="003F5418" w:rsidRDefault="002A6C25">
            <w:pPr>
              <w:pStyle w:val="P68B1DB1-Normal4"/>
              <w:jc w:val="center"/>
              <w:rPr>
                <w:rFonts w:eastAsiaTheme="minorEastAsia"/>
                <w:noProof/>
              </w:rPr>
            </w:pPr>
            <w:r>
              <w:rPr>
                <w:noProof/>
              </w:rPr>
              <w:t>2024</w:t>
            </w:r>
          </w:p>
        </w:tc>
        <w:tc>
          <w:tcPr>
            <w:tcW w:w="3634" w:type="dxa"/>
            <w:shd w:val="clear" w:color="auto" w:fill="C6EFCE"/>
            <w:vAlign w:val="center"/>
          </w:tcPr>
          <w:p w14:paraId="338119A8" w14:textId="77777777" w:rsidR="003F5418" w:rsidRDefault="002A6C25">
            <w:pPr>
              <w:pStyle w:val="P68B1DB1-Normal4"/>
              <w:rPr>
                <w:rFonts w:eastAsiaTheme="minorEastAsia"/>
                <w:noProof/>
              </w:rPr>
            </w:pPr>
            <w:r>
              <w:rPr>
                <w:noProof/>
              </w:rPr>
              <w:t xml:space="preserve">E beavatkozás kulcsfontosságú eleme legalább 480 területi koordinációs központ (Centrali Organization </w:t>
            </w:r>
            <w:r>
              <w:rPr>
                <w:noProof/>
              </w:rPr>
              <w:t>Territoriali) létrehozása, amelyek feladata a különböző területi, szociális-egészségügyi és kórházi egészségügyi szolgáltatások, valamint a sürgősségi-sürgősségi hálózat koordinálása és összekapcsolása az ellátás folyamatosságának, hozzáférhetőségének és i</w:t>
            </w:r>
            <w:r>
              <w:rPr>
                <w:noProof/>
              </w:rPr>
              <w:t>ntegrációjának biztosítása érdekében.</w:t>
            </w:r>
          </w:p>
        </w:tc>
      </w:tr>
      <w:tr w:rsidR="003F5418" w14:paraId="1AA129E8" w14:textId="77777777">
        <w:trPr>
          <w:trHeight w:val="315"/>
        </w:trPr>
        <w:tc>
          <w:tcPr>
            <w:tcW w:w="1277" w:type="dxa"/>
            <w:shd w:val="clear" w:color="auto" w:fill="C6EFCE"/>
            <w:vAlign w:val="center"/>
          </w:tcPr>
          <w:p w14:paraId="049A0157" w14:textId="77777777" w:rsidR="003F5418" w:rsidRDefault="002A6C25">
            <w:pPr>
              <w:pStyle w:val="P68B1DB1-Normal4"/>
              <w:jc w:val="center"/>
              <w:rPr>
                <w:rFonts w:eastAsiaTheme="minorEastAsia"/>
                <w:noProof/>
              </w:rPr>
            </w:pPr>
            <w:r>
              <w:rPr>
                <w:noProof/>
              </w:rPr>
              <w:t>M6C1–8</w:t>
            </w:r>
          </w:p>
        </w:tc>
        <w:tc>
          <w:tcPr>
            <w:tcW w:w="1701" w:type="dxa"/>
            <w:shd w:val="clear" w:color="auto" w:fill="C6EFCE"/>
            <w:vAlign w:val="center"/>
          </w:tcPr>
          <w:p w14:paraId="2332295E" w14:textId="77777777" w:rsidR="003F5418" w:rsidRDefault="002A6C25">
            <w:pPr>
              <w:pStyle w:val="P68B1DB1-Normal4"/>
              <w:jc w:val="center"/>
              <w:rPr>
                <w:rFonts w:eastAsiaTheme="minorEastAsia"/>
                <w:noProof/>
              </w:rPr>
            </w:pPr>
            <w:r>
              <w:rPr>
                <w:noProof/>
              </w:rPr>
              <w:t>Beruházás: Az otthon mint a gondozás és a távorvoslás első helye</w:t>
            </w:r>
          </w:p>
        </w:tc>
        <w:tc>
          <w:tcPr>
            <w:tcW w:w="1134" w:type="dxa"/>
            <w:shd w:val="clear" w:color="auto" w:fill="C6EFCE"/>
            <w:vAlign w:val="center"/>
          </w:tcPr>
          <w:p w14:paraId="5669CEEB"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3433EA0F" w14:textId="7E9885EB" w:rsidR="003F5418" w:rsidRDefault="002A6C25">
            <w:pPr>
              <w:pStyle w:val="P68B1DB1-Normal4"/>
              <w:jc w:val="center"/>
              <w:rPr>
                <w:rFonts w:eastAsiaTheme="minorEastAsia"/>
                <w:noProof/>
              </w:rPr>
            </w:pPr>
            <w:r>
              <w:rPr>
                <w:noProof/>
              </w:rPr>
              <w:t xml:space="preserve">Régiónként legalább egy távorvoslási projekt (figyelembe véve mind az egyes régiókban megvalósítandó projekteket, mind pedig azokat, amelyek </w:t>
            </w:r>
            <w:r>
              <w:rPr>
                <w:noProof/>
              </w:rPr>
              <w:t>a régiók közötti konzorciumok részeként fejleszthetők ki)</w:t>
            </w:r>
          </w:p>
        </w:tc>
        <w:tc>
          <w:tcPr>
            <w:tcW w:w="1363" w:type="dxa"/>
            <w:shd w:val="clear" w:color="auto" w:fill="C6EFCE"/>
            <w:vAlign w:val="center"/>
          </w:tcPr>
          <w:p w14:paraId="46A70F60" w14:textId="2FBBDCF6"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1205AC1F"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7EA8D75B"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2E5AC3CF" w14:textId="77777777" w:rsidR="003F5418" w:rsidRDefault="002A6C25">
            <w:pPr>
              <w:pStyle w:val="P68B1DB1-Normal4"/>
              <w:jc w:val="center"/>
              <w:rPr>
                <w:rFonts w:eastAsiaTheme="minorEastAsia"/>
                <w:noProof/>
              </w:rPr>
            </w:pPr>
            <w:r>
              <w:rPr>
                <w:noProof/>
              </w:rPr>
              <w:t>20</w:t>
            </w:r>
          </w:p>
        </w:tc>
        <w:tc>
          <w:tcPr>
            <w:tcW w:w="992" w:type="dxa"/>
            <w:shd w:val="clear" w:color="auto" w:fill="C6EFCE"/>
            <w:vAlign w:val="center"/>
          </w:tcPr>
          <w:p w14:paraId="6B169884" w14:textId="77777777" w:rsidR="003F5418" w:rsidRDefault="002A6C25">
            <w:pPr>
              <w:pStyle w:val="P68B1DB1-Normal4"/>
              <w:jc w:val="center"/>
              <w:rPr>
                <w:rFonts w:eastAsiaTheme="minorEastAsia"/>
                <w:noProof/>
              </w:rPr>
            </w:pPr>
            <w:r>
              <w:rPr>
                <w:noProof/>
              </w:rPr>
              <w:t>Q4</w:t>
            </w:r>
          </w:p>
        </w:tc>
        <w:tc>
          <w:tcPr>
            <w:tcW w:w="709" w:type="dxa"/>
            <w:shd w:val="clear" w:color="auto" w:fill="C6EFCE"/>
            <w:vAlign w:val="center"/>
          </w:tcPr>
          <w:p w14:paraId="5CE5E242" w14:textId="77777777" w:rsidR="003F5418" w:rsidRDefault="002A6C25">
            <w:pPr>
              <w:pStyle w:val="P68B1DB1-Normal4"/>
              <w:jc w:val="center"/>
              <w:rPr>
                <w:rFonts w:eastAsiaTheme="minorEastAsia"/>
                <w:noProof/>
              </w:rPr>
            </w:pPr>
            <w:r>
              <w:rPr>
                <w:noProof/>
              </w:rPr>
              <w:t>2023</w:t>
            </w:r>
          </w:p>
        </w:tc>
        <w:tc>
          <w:tcPr>
            <w:tcW w:w="3634" w:type="dxa"/>
            <w:shd w:val="clear" w:color="auto" w:fill="C6EFCE"/>
            <w:vAlign w:val="center"/>
          </w:tcPr>
          <w:p w14:paraId="7A25E3CD" w14:textId="77777777" w:rsidR="003F5418" w:rsidRDefault="002A6C25">
            <w:pPr>
              <w:pStyle w:val="P68B1DB1-Normal4"/>
              <w:rPr>
                <w:rFonts w:eastAsiaTheme="minorEastAsia"/>
                <w:noProof/>
              </w:rPr>
            </w:pPr>
            <w:r>
              <w:rPr>
                <w:noProof/>
              </w:rPr>
              <w:t xml:space="preserve">A nemzeti távorvoslási stratégiának elő kell mozdítania és finanszíroznia kell az új távorvoslási projektek és megoldások fejlesztését és bővítését a regionális egészségügyi rendszereken belül, és mint ilyen, kulcsfontosságú (technológiai) támogató eszköz </w:t>
            </w:r>
            <w:r>
              <w:rPr>
                <w:noProof/>
              </w:rPr>
              <w:t>az egészségügy fokozott távgondozási megközelítésének megvalósításához, különös tekintettel a krónikus betegekre.</w:t>
            </w:r>
          </w:p>
        </w:tc>
      </w:tr>
      <w:tr w:rsidR="003F5418" w14:paraId="0B28F4AA" w14:textId="77777777">
        <w:trPr>
          <w:trHeight w:val="315"/>
        </w:trPr>
        <w:tc>
          <w:tcPr>
            <w:tcW w:w="1277" w:type="dxa"/>
            <w:shd w:val="clear" w:color="auto" w:fill="C6EFCE"/>
            <w:vAlign w:val="center"/>
          </w:tcPr>
          <w:p w14:paraId="33D17BA1" w14:textId="77777777" w:rsidR="003F5418" w:rsidRDefault="002A6C25">
            <w:pPr>
              <w:pStyle w:val="P68B1DB1-Normal4"/>
              <w:jc w:val="center"/>
              <w:rPr>
                <w:rFonts w:eastAsiaTheme="minorEastAsia"/>
                <w:noProof/>
              </w:rPr>
            </w:pPr>
            <w:r>
              <w:rPr>
                <w:noProof/>
              </w:rPr>
              <w:t>M6C1–9</w:t>
            </w:r>
          </w:p>
        </w:tc>
        <w:tc>
          <w:tcPr>
            <w:tcW w:w="1701" w:type="dxa"/>
            <w:shd w:val="clear" w:color="auto" w:fill="C6EFCE"/>
            <w:vAlign w:val="center"/>
          </w:tcPr>
          <w:p w14:paraId="06809ADF" w14:textId="77777777" w:rsidR="003F5418" w:rsidRDefault="002A6C25">
            <w:pPr>
              <w:pStyle w:val="P68B1DB1-Normal4"/>
              <w:jc w:val="center"/>
              <w:rPr>
                <w:rFonts w:eastAsiaTheme="minorEastAsia"/>
                <w:noProof/>
              </w:rPr>
            </w:pPr>
            <w:r>
              <w:rPr>
                <w:noProof/>
              </w:rPr>
              <w:t>Beruházás: Az otthon mint a gondozás és a távorvoslás első helye</w:t>
            </w:r>
          </w:p>
        </w:tc>
        <w:tc>
          <w:tcPr>
            <w:tcW w:w="1134" w:type="dxa"/>
            <w:shd w:val="clear" w:color="auto" w:fill="C6EFCE"/>
            <w:vAlign w:val="center"/>
          </w:tcPr>
          <w:p w14:paraId="0EC20627"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4472AEEE" w14:textId="77777777" w:rsidR="003F5418" w:rsidRDefault="002A6C25">
            <w:pPr>
              <w:pStyle w:val="P68B1DB1-Normal4"/>
              <w:jc w:val="center"/>
              <w:rPr>
                <w:rFonts w:eastAsiaTheme="minorEastAsia"/>
                <w:noProof/>
              </w:rPr>
            </w:pPr>
            <w:r>
              <w:rPr>
                <w:noProof/>
              </w:rPr>
              <w:t xml:space="preserve">Távorvoslási eszközökkel segített személyek száma (harmadik </w:t>
            </w:r>
            <w:r>
              <w:rPr>
                <w:noProof/>
              </w:rPr>
              <w:t>tétel)</w:t>
            </w:r>
          </w:p>
        </w:tc>
        <w:tc>
          <w:tcPr>
            <w:tcW w:w="1363" w:type="dxa"/>
            <w:shd w:val="clear" w:color="auto" w:fill="C6EFCE"/>
            <w:vAlign w:val="center"/>
          </w:tcPr>
          <w:p w14:paraId="7EADB31A" w14:textId="77777777"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68BCFA0F"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34D1F6FA"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75FCB360" w14:textId="77777777" w:rsidR="003F5418" w:rsidRDefault="002A6C25">
            <w:pPr>
              <w:pStyle w:val="P68B1DB1-Normal4"/>
              <w:jc w:val="center"/>
              <w:rPr>
                <w:rFonts w:eastAsiaTheme="minorEastAsia"/>
                <w:noProof/>
              </w:rPr>
            </w:pPr>
            <w:r>
              <w:rPr>
                <w:noProof/>
              </w:rPr>
              <w:t>300 000</w:t>
            </w:r>
          </w:p>
        </w:tc>
        <w:tc>
          <w:tcPr>
            <w:tcW w:w="992" w:type="dxa"/>
            <w:shd w:val="clear" w:color="auto" w:fill="C6EFCE"/>
            <w:vAlign w:val="center"/>
          </w:tcPr>
          <w:p w14:paraId="7A7A72EA" w14:textId="77777777" w:rsidR="003F5418" w:rsidRDefault="002A6C25">
            <w:pPr>
              <w:pStyle w:val="P68B1DB1-Normal4"/>
              <w:jc w:val="center"/>
              <w:rPr>
                <w:rFonts w:eastAsiaTheme="minorEastAsia"/>
                <w:noProof/>
              </w:rPr>
            </w:pPr>
            <w:r>
              <w:rPr>
                <w:noProof/>
              </w:rPr>
              <w:t>Q4</w:t>
            </w:r>
          </w:p>
        </w:tc>
        <w:tc>
          <w:tcPr>
            <w:tcW w:w="709" w:type="dxa"/>
            <w:shd w:val="clear" w:color="auto" w:fill="C6EFCE"/>
            <w:vAlign w:val="center"/>
          </w:tcPr>
          <w:p w14:paraId="469783C0" w14:textId="77777777" w:rsidR="003F5418" w:rsidRDefault="002A6C25">
            <w:pPr>
              <w:pStyle w:val="P68B1DB1-Normal4"/>
              <w:jc w:val="center"/>
              <w:rPr>
                <w:rFonts w:eastAsiaTheme="minorEastAsia"/>
                <w:noProof/>
              </w:rPr>
            </w:pPr>
            <w:r>
              <w:rPr>
                <w:noProof/>
              </w:rPr>
              <w:t>2025</w:t>
            </w:r>
          </w:p>
        </w:tc>
        <w:tc>
          <w:tcPr>
            <w:tcW w:w="3634" w:type="dxa"/>
            <w:shd w:val="clear" w:color="auto" w:fill="C6EFCE"/>
            <w:vAlign w:val="center"/>
          </w:tcPr>
          <w:p w14:paraId="3DA6499F" w14:textId="77777777" w:rsidR="003F5418" w:rsidRDefault="002A6C25">
            <w:pPr>
              <w:pStyle w:val="P68B1DB1-Normal4"/>
              <w:rPr>
                <w:rFonts w:eastAsiaTheme="minorEastAsia"/>
                <w:noProof/>
              </w:rPr>
            </w:pPr>
            <w:r>
              <w:rPr>
                <w:noProof/>
              </w:rPr>
              <w:t>Legalább 300000 fő, távorvoslási eszközökkel támogatott személy.</w:t>
            </w:r>
          </w:p>
          <w:p w14:paraId="2F632FAE" w14:textId="77777777" w:rsidR="003F5418" w:rsidRDefault="002A6C25">
            <w:pPr>
              <w:pStyle w:val="P68B1DB1-Normal4"/>
              <w:rPr>
                <w:rFonts w:eastAsiaTheme="minorEastAsia"/>
                <w:noProof/>
              </w:rPr>
            </w:pPr>
            <w:r>
              <w:rPr>
                <w:noProof/>
              </w:rPr>
              <w:t>A beavatkozás magában foglalja a digitális egészségügyi és gondozási technológiákkal kapcsolatos ad hoc kutatási kezdeményezések finanszírozását.</w:t>
            </w:r>
          </w:p>
        </w:tc>
      </w:tr>
      <w:tr w:rsidR="003F5418" w14:paraId="796838ED" w14:textId="77777777">
        <w:trPr>
          <w:trHeight w:val="315"/>
        </w:trPr>
        <w:tc>
          <w:tcPr>
            <w:tcW w:w="1277" w:type="dxa"/>
            <w:shd w:val="clear" w:color="auto" w:fill="C6EFCE"/>
            <w:vAlign w:val="center"/>
          </w:tcPr>
          <w:p w14:paraId="3D3ED80D" w14:textId="77777777" w:rsidR="003F5418" w:rsidRDefault="002A6C25">
            <w:pPr>
              <w:pStyle w:val="P68B1DB1-Normal4"/>
              <w:jc w:val="center"/>
              <w:rPr>
                <w:rFonts w:eastAsiaTheme="minorEastAsia"/>
                <w:noProof/>
              </w:rPr>
            </w:pPr>
            <w:r>
              <w:rPr>
                <w:noProof/>
              </w:rPr>
              <w:t>M6C1–10</w:t>
            </w:r>
          </w:p>
        </w:tc>
        <w:tc>
          <w:tcPr>
            <w:tcW w:w="1701" w:type="dxa"/>
            <w:shd w:val="clear" w:color="auto" w:fill="C6EFCE"/>
            <w:vAlign w:val="center"/>
          </w:tcPr>
          <w:p w14:paraId="2EF350B4" w14:textId="77777777" w:rsidR="003F5418" w:rsidRDefault="002A6C25">
            <w:pPr>
              <w:pStyle w:val="P68B1DB1-Normal4"/>
              <w:jc w:val="center"/>
              <w:rPr>
                <w:rFonts w:eastAsiaTheme="minorEastAsia"/>
                <w:noProof/>
              </w:rPr>
            </w:pPr>
            <w:r>
              <w:rPr>
                <w:noProof/>
              </w:rPr>
              <w:t>Beruházás: Az időközi egészségügyi ellátás és létesítményeinek (közösségi kórházak) megerősítése</w:t>
            </w:r>
          </w:p>
        </w:tc>
        <w:tc>
          <w:tcPr>
            <w:tcW w:w="1134" w:type="dxa"/>
            <w:shd w:val="clear" w:color="auto" w:fill="C6EFCE"/>
            <w:vAlign w:val="center"/>
          </w:tcPr>
          <w:p w14:paraId="476BC509" w14:textId="77777777" w:rsidR="003F5418" w:rsidRDefault="002A6C25">
            <w:pPr>
              <w:pStyle w:val="P68B1DB1-Normal4"/>
              <w:jc w:val="center"/>
              <w:rPr>
                <w:rFonts w:eastAsiaTheme="minorEastAsia"/>
                <w:noProof/>
              </w:rPr>
            </w:pPr>
            <w:r>
              <w:rPr>
                <w:noProof/>
              </w:rPr>
              <w:t>Mérföldkő</w:t>
            </w:r>
          </w:p>
        </w:tc>
        <w:tc>
          <w:tcPr>
            <w:tcW w:w="1417" w:type="dxa"/>
            <w:shd w:val="clear" w:color="auto" w:fill="C6EFCE"/>
            <w:vAlign w:val="center"/>
          </w:tcPr>
          <w:p w14:paraId="0C72B43A" w14:textId="77777777" w:rsidR="003F5418" w:rsidRDefault="002A6C25">
            <w:pPr>
              <w:pStyle w:val="P68B1DB1-Normal4"/>
              <w:jc w:val="center"/>
              <w:rPr>
                <w:rFonts w:eastAsiaTheme="minorEastAsia"/>
                <w:noProof/>
              </w:rPr>
            </w:pPr>
            <w:r>
              <w:rPr>
                <w:noProof/>
              </w:rPr>
              <w:t>Intézményfejlesztési szerződés (Contratto Istituzionale di Sviluppo) jóváhagyása</w:t>
            </w:r>
          </w:p>
        </w:tc>
        <w:tc>
          <w:tcPr>
            <w:tcW w:w="1363" w:type="dxa"/>
            <w:shd w:val="clear" w:color="auto" w:fill="C6EFCE"/>
            <w:vAlign w:val="center"/>
          </w:tcPr>
          <w:p w14:paraId="2778D343" w14:textId="77777777" w:rsidR="003F5418" w:rsidRDefault="002A6C25">
            <w:pPr>
              <w:pStyle w:val="P68B1DB1-Normal4"/>
              <w:jc w:val="center"/>
              <w:rPr>
                <w:rFonts w:eastAsiaTheme="minorEastAsia"/>
                <w:noProof/>
              </w:rPr>
            </w:pPr>
            <w:r>
              <w:rPr>
                <w:noProof/>
              </w:rPr>
              <w:t>Értesítés az intézményfejlesztési szerződés jóváhagyásáról</w:t>
            </w:r>
          </w:p>
        </w:tc>
        <w:tc>
          <w:tcPr>
            <w:tcW w:w="948" w:type="dxa"/>
            <w:shd w:val="clear" w:color="auto" w:fill="C6EFCE"/>
            <w:vAlign w:val="center"/>
          </w:tcPr>
          <w:p w14:paraId="614D8209" w14:textId="77777777" w:rsidR="003F5418" w:rsidRDefault="002A6C25">
            <w:pPr>
              <w:pStyle w:val="P68B1DB1-Normal4"/>
              <w:jc w:val="center"/>
              <w:rPr>
                <w:rFonts w:eastAsiaTheme="minorEastAsia"/>
                <w:noProof/>
              </w:rPr>
            </w:pPr>
            <w:r>
              <w:rPr>
                <w:noProof/>
              </w:rPr>
              <w:t>NINCS</w:t>
            </w:r>
          </w:p>
        </w:tc>
        <w:tc>
          <w:tcPr>
            <w:tcW w:w="950" w:type="dxa"/>
            <w:shd w:val="clear" w:color="auto" w:fill="C6EFCE"/>
            <w:vAlign w:val="center"/>
          </w:tcPr>
          <w:p w14:paraId="75828528"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2B3B5355" w14:textId="77777777" w:rsidR="003F5418" w:rsidRDefault="002A6C25">
            <w:pPr>
              <w:pStyle w:val="P68B1DB1-Normal4"/>
              <w:jc w:val="center"/>
              <w:rPr>
                <w:rFonts w:eastAsiaTheme="minorEastAsia"/>
                <w:noProof/>
              </w:rPr>
            </w:pPr>
            <w:r>
              <w:rPr>
                <w:noProof/>
              </w:rPr>
              <w:t>NINCS</w:t>
            </w:r>
          </w:p>
        </w:tc>
        <w:tc>
          <w:tcPr>
            <w:tcW w:w="992" w:type="dxa"/>
            <w:shd w:val="clear" w:color="auto" w:fill="C6EFCE"/>
            <w:vAlign w:val="center"/>
          </w:tcPr>
          <w:p w14:paraId="1DF8AAD7"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67BEAE1B" w14:textId="77777777" w:rsidR="003F5418" w:rsidRDefault="002A6C25">
            <w:pPr>
              <w:pStyle w:val="P68B1DB1-Normal4"/>
              <w:jc w:val="center"/>
              <w:rPr>
                <w:rFonts w:eastAsiaTheme="minorEastAsia"/>
                <w:noProof/>
              </w:rPr>
            </w:pPr>
            <w:r>
              <w:rPr>
                <w:noProof/>
              </w:rPr>
              <w:t>2022</w:t>
            </w:r>
          </w:p>
        </w:tc>
        <w:tc>
          <w:tcPr>
            <w:tcW w:w="3634" w:type="dxa"/>
            <w:shd w:val="clear" w:color="auto" w:fill="C6EFCE"/>
            <w:vAlign w:val="center"/>
          </w:tcPr>
          <w:p w14:paraId="192A1DE6" w14:textId="77777777" w:rsidR="003F5418" w:rsidRDefault="002A6C25">
            <w:pPr>
              <w:pStyle w:val="P68B1DB1-Normal4"/>
              <w:rPr>
                <w:rFonts w:eastAsiaTheme="minorEastAsia"/>
                <w:noProof/>
              </w:rPr>
            </w:pPr>
            <w:r>
              <w:rPr>
                <w:noProof/>
              </w:rPr>
              <w:t>Intézményfejlesztési szerződés (Contratto Istituzionale di Sviluppo) jóváhagyása az olasz egészségügyi minisztérium mint felelős és végrehajtó hatóság részvételével, valamint a regionális hatóságok és a közösségi kórházakban érintett eg</w:t>
            </w:r>
            <w:r>
              <w:rPr>
                <w:noProof/>
              </w:rPr>
              <w:t>yéb szervezetek részvétele.</w:t>
            </w:r>
          </w:p>
          <w:p w14:paraId="7FC9BD18" w14:textId="77777777" w:rsidR="003F5418" w:rsidRDefault="002A6C25">
            <w:pPr>
              <w:pStyle w:val="P68B1DB1-Normal4"/>
              <w:rPr>
                <w:rFonts w:eastAsiaTheme="minorEastAsia"/>
                <w:noProof/>
              </w:rPr>
            </w:pPr>
            <w:r>
              <w:rPr>
                <w:noProof/>
              </w:rPr>
              <w:t>Az Intézményfejlesztési Szerződés felsorolja a beruházások céljára alkalmas helyszíneket, valamint azokat a kötelezettségeket, amelyeket az egyes régióknak a tervezett eredmény elérése érdekében vállalniuk kell. Bármely régió ál</w:t>
            </w:r>
            <w:r>
              <w:rPr>
                <w:noProof/>
              </w:rPr>
              <w:t>tali jogsértés esetén az Egészségügyi Minisztérium az „ad acta” biztoshoz fordul. A létesítmények technológiai parkja, azaz az eszközök, az engedélyek és az összekapcsolások tekintetében előnyben kell részesíteni az összesített beszerzési módszereket.</w:t>
            </w:r>
          </w:p>
        </w:tc>
      </w:tr>
      <w:tr w:rsidR="003F5418" w14:paraId="56A60060" w14:textId="77777777">
        <w:trPr>
          <w:trHeight w:val="315"/>
        </w:trPr>
        <w:tc>
          <w:tcPr>
            <w:tcW w:w="1277" w:type="dxa"/>
            <w:shd w:val="clear" w:color="auto" w:fill="C6EFCE"/>
            <w:vAlign w:val="center"/>
          </w:tcPr>
          <w:p w14:paraId="2E5CDC00" w14:textId="77777777" w:rsidR="003F5418" w:rsidRDefault="002A6C25">
            <w:pPr>
              <w:pStyle w:val="P68B1DB1-Normal4"/>
              <w:jc w:val="center"/>
              <w:rPr>
                <w:rFonts w:eastAsiaTheme="minorEastAsia"/>
                <w:noProof/>
              </w:rPr>
            </w:pPr>
            <w:r>
              <w:rPr>
                <w:noProof/>
              </w:rPr>
              <w:t>M6C1–11</w:t>
            </w:r>
          </w:p>
        </w:tc>
        <w:tc>
          <w:tcPr>
            <w:tcW w:w="1701" w:type="dxa"/>
            <w:shd w:val="clear" w:color="auto" w:fill="C6EFCE"/>
            <w:vAlign w:val="center"/>
          </w:tcPr>
          <w:p w14:paraId="3B70C83D" w14:textId="77777777" w:rsidR="003F5418" w:rsidRDefault="002A6C25">
            <w:pPr>
              <w:pStyle w:val="P68B1DB1-Normal4"/>
              <w:jc w:val="center"/>
              <w:rPr>
                <w:rFonts w:eastAsiaTheme="minorEastAsia"/>
                <w:noProof/>
              </w:rPr>
            </w:pPr>
            <w:r>
              <w:rPr>
                <w:noProof/>
              </w:rPr>
              <w:t>Beruházás: Az időközi egészségügyi ellátás és létesítményeinek (közösségi kórházak) megerősítése</w:t>
            </w:r>
          </w:p>
        </w:tc>
        <w:tc>
          <w:tcPr>
            <w:tcW w:w="1134" w:type="dxa"/>
            <w:shd w:val="clear" w:color="auto" w:fill="C6EFCE"/>
            <w:vAlign w:val="center"/>
          </w:tcPr>
          <w:p w14:paraId="70BE96A3" w14:textId="77777777" w:rsidR="003F5418" w:rsidRDefault="002A6C25">
            <w:pPr>
              <w:pStyle w:val="P68B1DB1-Normal4"/>
              <w:jc w:val="center"/>
              <w:rPr>
                <w:rFonts w:eastAsiaTheme="minorEastAsia"/>
                <w:noProof/>
              </w:rPr>
            </w:pPr>
            <w:r>
              <w:rPr>
                <w:noProof/>
              </w:rPr>
              <w:t>Cél</w:t>
            </w:r>
          </w:p>
        </w:tc>
        <w:tc>
          <w:tcPr>
            <w:tcW w:w="1417" w:type="dxa"/>
            <w:shd w:val="clear" w:color="auto" w:fill="C6EFCE"/>
            <w:vAlign w:val="center"/>
          </w:tcPr>
          <w:p w14:paraId="5AA5DA2F" w14:textId="77777777" w:rsidR="003F5418" w:rsidRDefault="002A6C25">
            <w:pPr>
              <w:pStyle w:val="P68B1DB1-Normal4"/>
              <w:jc w:val="center"/>
              <w:rPr>
                <w:rFonts w:eastAsiaTheme="minorEastAsia"/>
                <w:noProof/>
              </w:rPr>
            </w:pPr>
            <w:r>
              <w:rPr>
                <w:noProof/>
              </w:rPr>
              <w:t>Felújított, összekapcsolt és technológiailag felszerelt közösségi kórházak (első tétel)</w:t>
            </w:r>
          </w:p>
        </w:tc>
        <w:tc>
          <w:tcPr>
            <w:tcW w:w="1363" w:type="dxa"/>
            <w:shd w:val="clear" w:color="auto" w:fill="C6EFCE"/>
            <w:vAlign w:val="center"/>
          </w:tcPr>
          <w:p w14:paraId="27B0175D" w14:textId="77777777" w:rsidR="003F5418" w:rsidRDefault="002A6C25">
            <w:pPr>
              <w:pStyle w:val="P68B1DB1-Normal4"/>
              <w:jc w:val="center"/>
              <w:rPr>
                <w:rFonts w:eastAsiaTheme="minorEastAsia"/>
                <w:noProof/>
              </w:rPr>
            </w:pPr>
            <w:r>
              <w:rPr>
                <w:noProof/>
              </w:rPr>
              <w:t>NINCS</w:t>
            </w:r>
          </w:p>
        </w:tc>
        <w:tc>
          <w:tcPr>
            <w:tcW w:w="948" w:type="dxa"/>
            <w:shd w:val="clear" w:color="auto" w:fill="C6EFCE"/>
            <w:vAlign w:val="center"/>
          </w:tcPr>
          <w:p w14:paraId="297D1FE8" w14:textId="77777777" w:rsidR="003F5418" w:rsidRDefault="002A6C25">
            <w:pPr>
              <w:pStyle w:val="P68B1DB1-Normal4"/>
              <w:jc w:val="center"/>
              <w:rPr>
                <w:rFonts w:eastAsiaTheme="minorEastAsia"/>
                <w:noProof/>
              </w:rPr>
            </w:pPr>
            <w:r>
              <w:rPr>
                <w:noProof/>
              </w:rPr>
              <w:t>Szám</w:t>
            </w:r>
          </w:p>
        </w:tc>
        <w:tc>
          <w:tcPr>
            <w:tcW w:w="950" w:type="dxa"/>
            <w:shd w:val="clear" w:color="auto" w:fill="C6EFCE"/>
            <w:vAlign w:val="center"/>
          </w:tcPr>
          <w:p w14:paraId="403DC7F2" w14:textId="77777777" w:rsidR="003F5418" w:rsidRDefault="002A6C25">
            <w:pPr>
              <w:pStyle w:val="P68B1DB1-Normal4"/>
              <w:jc w:val="center"/>
              <w:rPr>
                <w:rFonts w:eastAsiaTheme="minorEastAsia"/>
                <w:noProof/>
              </w:rPr>
            </w:pPr>
            <w:r>
              <w:rPr>
                <w:noProof/>
              </w:rPr>
              <w:t>0</w:t>
            </w:r>
          </w:p>
        </w:tc>
        <w:tc>
          <w:tcPr>
            <w:tcW w:w="992" w:type="dxa"/>
            <w:shd w:val="clear" w:color="auto" w:fill="C6EFCE"/>
            <w:vAlign w:val="center"/>
          </w:tcPr>
          <w:p w14:paraId="1D2C5F64" w14:textId="77777777" w:rsidR="003F5418" w:rsidRDefault="002A6C25">
            <w:pPr>
              <w:pStyle w:val="P68B1DB1-Normal4"/>
              <w:jc w:val="center"/>
              <w:rPr>
                <w:rFonts w:eastAsiaTheme="minorEastAsia"/>
                <w:noProof/>
              </w:rPr>
            </w:pPr>
            <w:r>
              <w:rPr>
                <w:noProof/>
              </w:rPr>
              <w:t>307</w:t>
            </w:r>
          </w:p>
        </w:tc>
        <w:tc>
          <w:tcPr>
            <w:tcW w:w="992" w:type="dxa"/>
            <w:shd w:val="clear" w:color="auto" w:fill="C6EFCE"/>
            <w:vAlign w:val="center"/>
          </w:tcPr>
          <w:p w14:paraId="4A5435F3" w14:textId="77777777" w:rsidR="003F5418" w:rsidRDefault="002A6C25">
            <w:pPr>
              <w:pStyle w:val="P68B1DB1-Normal4"/>
              <w:jc w:val="center"/>
              <w:rPr>
                <w:rFonts w:eastAsiaTheme="minorEastAsia"/>
                <w:noProof/>
              </w:rPr>
            </w:pPr>
            <w:r>
              <w:rPr>
                <w:noProof/>
              </w:rPr>
              <w:t>Q2</w:t>
            </w:r>
          </w:p>
        </w:tc>
        <w:tc>
          <w:tcPr>
            <w:tcW w:w="709" w:type="dxa"/>
            <w:shd w:val="clear" w:color="auto" w:fill="C6EFCE"/>
            <w:vAlign w:val="center"/>
          </w:tcPr>
          <w:p w14:paraId="1BA69514" w14:textId="77777777" w:rsidR="003F5418" w:rsidRDefault="002A6C25">
            <w:pPr>
              <w:pStyle w:val="P68B1DB1-Normal4"/>
              <w:jc w:val="center"/>
              <w:rPr>
                <w:rFonts w:eastAsiaTheme="minorEastAsia"/>
                <w:noProof/>
              </w:rPr>
            </w:pPr>
            <w:r>
              <w:rPr>
                <w:noProof/>
              </w:rPr>
              <w:t>2026</w:t>
            </w:r>
          </w:p>
        </w:tc>
        <w:tc>
          <w:tcPr>
            <w:tcW w:w="3634" w:type="dxa"/>
            <w:shd w:val="clear" w:color="auto" w:fill="C6EFCE"/>
            <w:vAlign w:val="center"/>
          </w:tcPr>
          <w:p w14:paraId="60B1E606" w14:textId="77777777" w:rsidR="003F5418" w:rsidRDefault="002A6C25">
            <w:pPr>
              <w:pStyle w:val="P68B1DB1-Normal4"/>
              <w:rPr>
                <w:rFonts w:eastAsiaTheme="minorEastAsia"/>
                <w:noProof/>
              </w:rPr>
            </w:pPr>
            <w:r>
              <w:rPr>
                <w:noProof/>
              </w:rPr>
              <w:t xml:space="preserve">Legalább 307 felújított, </w:t>
            </w:r>
            <w:r>
              <w:rPr>
                <w:noProof/>
              </w:rPr>
              <w:t>összekapcsolt és technológiailag felszerelt közösségi kórház</w:t>
            </w:r>
          </w:p>
          <w:p w14:paraId="23D25224" w14:textId="77777777" w:rsidR="003F5418" w:rsidRDefault="002A6C25">
            <w:pPr>
              <w:pStyle w:val="P68B1DB1-Normal4"/>
              <w:rPr>
                <w:rFonts w:eastAsiaTheme="minorEastAsia"/>
                <w:noProof/>
              </w:rPr>
            </w:pPr>
            <w:r>
              <w:rPr>
                <w:noProof/>
              </w:rPr>
              <w:t>A közösségi kórházak olyan egészségügyi intézmények, amelyek olyan betegek számára nyújtanak egészségügyi ellátást, akik kisebb érzést vagy krónikus patológiák relapodását követően alacsony inten</w:t>
            </w:r>
            <w:r>
              <w:rPr>
                <w:noProof/>
              </w:rPr>
              <w:t>zitású és rövid távú klinikai beavatkozást igényelnek, amelyek otthonukban is biztosíthatók, de akik otthonuk (strukturális és/vagy családja) alkalmatlansága miatt befogadhatók ezekre a létesítményekre.</w:t>
            </w:r>
          </w:p>
        </w:tc>
      </w:tr>
    </w:tbl>
    <w:p w14:paraId="15C0E4DA" w14:textId="77777777" w:rsidR="003F5418" w:rsidRDefault="003F5418">
      <w:pPr>
        <w:keepNext/>
        <w:tabs>
          <w:tab w:val="left" w:pos="4252"/>
        </w:tabs>
        <w:spacing w:before="720"/>
        <w:jc w:val="both"/>
        <w:rPr>
          <w:i/>
          <w:noProof/>
        </w:rPr>
        <w:sectPr w:rsidR="003F5418">
          <w:headerReference w:type="even" r:id="rId380"/>
          <w:headerReference w:type="default" r:id="rId381"/>
          <w:footerReference w:type="even" r:id="rId382"/>
          <w:footerReference w:type="default" r:id="rId383"/>
          <w:headerReference w:type="first" r:id="rId384"/>
          <w:footerReference w:type="first" r:id="rId385"/>
          <w:pgSz w:w="16839" w:h="11907" w:orient="landscape"/>
          <w:pgMar w:top="1417" w:right="1134" w:bottom="1417" w:left="1134" w:header="709" w:footer="709" w:gutter="0"/>
          <w:cols w:space="720"/>
          <w:docGrid w:linePitch="360"/>
        </w:sectPr>
      </w:pPr>
    </w:p>
    <w:p w14:paraId="24184914" w14:textId="77777777" w:rsidR="003F5418" w:rsidRDefault="002A6C25">
      <w:pPr>
        <w:pStyle w:val="Heading2"/>
        <w:numPr>
          <w:ilvl w:val="0"/>
          <w:numId w:val="0"/>
        </w:numPr>
        <w:ind w:left="850" w:hanging="850"/>
        <w:rPr>
          <w:noProof/>
        </w:rPr>
      </w:pPr>
      <w:r>
        <w:rPr>
          <w:noProof/>
        </w:rPr>
        <w:t>P. 6. KIKÜLDETÉS, 2. KOMPONENS: Innováció, kutatás és a nemzeti egészségügyi szolgáltatások digitalizálása</w:t>
      </w:r>
    </w:p>
    <w:p w14:paraId="52B83B7D" w14:textId="77777777" w:rsidR="003F5418" w:rsidRDefault="003F5418">
      <w:pPr>
        <w:tabs>
          <w:tab w:val="left" w:pos="1134"/>
        </w:tabs>
        <w:spacing w:before="120" w:after="120"/>
        <w:jc w:val="both"/>
        <w:rPr>
          <w:i/>
          <w:smallCaps/>
          <w:noProof/>
          <w:color w:val="4472C4" w:themeColor="accent1"/>
        </w:rPr>
      </w:pPr>
    </w:p>
    <w:p w14:paraId="00CEFF3C" w14:textId="77777777" w:rsidR="003F5418" w:rsidRDefault="002A6C25">
      <w:pPr>
        <w:spacing w:before="120" w:after="120"/>
        <w:jc w:val="both"/>
        <w:rPr>
          <w:noProof/>
        </w:rPr>
      </w:pPr>
      <w:r>
        <w:rPr>
          <w:noProof/>
        </w:rPr>
        <w:t>Az olasz helyreállítási és rezilienciaépítési terv ezen komponensének célja, hogy biztosítsa a nemzeti egészségügyi szolgálat</w:t>
      </w:r>
      <w:r>
        <w:rPr>
          <w:noProof/>
        </w:rPr>
        <w:t xml:space="preserve"> nagyobb rezilienciájához szükséges előfeltételeket a következők révén: i. az elavult egészségügyi technológiák kiváltása a kórházakban; a kórházi épületek biztonságának jelentős strukturális javítása; iii. az egészségügyi információs rendszerek és a digit</w:t>
      </w:r>
      <w:r>
        <w:rPr>
          <w:noProof/>
        </w:rPr>
        <w:t>ális eszközök fejlesztése; a tudományos kutatási ágazat előmozdítása és megerősítése; v. az emberi erőforrások javítása.</w:t>
      </w:r>
    </w:p>
    <w:p w14:paraId="20224597" w14:textId="77777777" w:rsidR="003F5418" w:rsidRDefault="002A6C25">
      <w:pPr>
        <w:spacing w:before="120" w:after="120"/>
        <w:jc w:val="both"/>
        <w:rPr>
          <w:noProof/>
        </w:rPr>
      </w:pPr>
      <w:r>
        <w:rPr>
          <w:noProof/>
        </w:rPr>
        <w:t>Az e komponens alá tartozó beruházásoknak és reformoknak hozzá kell járulniuk a 2020-ban és 2019-ben Olaszországnak címzett, „az egészs</w:t>
      </w:r>
      <w:r>
        <w:rPr>
          <w:noProof/>
        </w:rPr>
        <w:t>égügyi rendszer rezilienciájának és kapacitásának az egészségügyi dolgozók, a kritikus egészségügyi termékek és az infrastruktúra területén történő megerősítésének” (1. országspecifikus ajánlás, 2020. évi 1. országspecifikus ajánlás), „a beruházásoknak a z</w:t>
      </w:r>
      <w:r>
        <w:rPr>
          <w:noProof/>
        </w:rPr>
        <w:t>öld és digitális átállásra, különösen [...] a megerősített digitális infrastruktúrára kell összpontosítaniuk az alapvető szolgáltatások biztosítása érdekében” (3. országspecifikus ajánlás, 2020. évi 3. ajánlás), valamint „a beruházásokkal kapcsolatos gazda</w:t>
      </w:r>
      <w:r>
        <w:rPr>
          <w:noProof/>
        </w:rPr>
        <w:t>ságpolitikának a kutatásra és innovációra, valamint az infrastruktúra minőségére kell összpontosítaniuk, figyelembe véve a regionális egyenlőtlenségeket is” (2019. évi 3. országspecifikus ajánlás). </w:t>
      </w:r>
    </w:p>
    <w:p w14:paraId="5DD46C73" w14:textId="77777777" w:rsidR="003F5418" w:rsidRDefault="003F5418">
      <w:pPr>
        <w:spacing w:before="120" w:after="120"/>
        <w:jc w:val="both"/>
        <w:rPr>
          <w:noProof/>
        </w:rPr>
      </w:pPr>
    </w:p>
    <w:p w14:paraId="39515EC4" w14:textId="77777777" w:rsidR="003F5418" w:rsidRDefault="002A6C25">
      <w:pPr>
        <w:pStyle w:val="Heading3"/>
        <w:numPr>
          <w:ilvl w:val="0"/>
          <w:numId w:val="0"/>
        </w:numPr>
        <w:ind w:left="850" w:hanging="850"/>
        <w:rPr>
          <w:b/>
          <w:i w:val="0"/>
          <w:noProof/>
          <w:u w:val="single"/>
        </w:rPr>
      </w:pPr>
      <w:r>
        <w:rPr>
          <w:b/>
          <w:i w:val="0"/>
          <w:noProof/>
          <w:u w:val="single"/>
        </w:rPr>
        <w:t xml:space="preserve">P.1. </w:t>
      </w:r>
      <w:r>
        <w:rPr>
          <w:noProof/>
        </w:rPr>
        <w:t xml:space="preserve"> </w:t>
      </w:r>
      <w:r>
        <w:rPr>
          <w:b/>
          <w:i w:val="0"/>
          <w:noProof/>
          <w:u w:val="single"/>
        </w:rPr>
        <w:t>Vissza nem térítendő pénzügyi támogatás – a reform</w:t>
      </w:r>
      <w:r>
        <w:rPr>
          <w:b/>
          <w:i w:val="0"/>
          <w:noProof/>
          <w:u w:val="single"/>
        </w:rPr>
        <w:t>ok és beruházások ismertetése</w:t>
      </w:r>
    </w:p>
    <w:p w14:paraId="01AD656A" w14:textId="33E11AFB" w:rsidR="003F5418" w:rsidRDefault="002A6C25">
      <w:pPr>
        <w:pStyle w:val="P68B1DB1-Normal2"/>
        <w:spacing w:before="120" w:after="120"/>
        <w:jc w:val="both"/>
        <w:rPr>
          <w:noProof/>
        </w:rPr>
      </w:pPr>
      <w:r>
        <w:rPr>
          <w:noProof/>
        </w:rPr>
        <w:t xml:space="preserve">1. </w:t>
      </w:r>
      <w:r w:rsidR="002F198A">
        <w:rPr>
          <w:noProof/>
        </w:rPr>
        <w:t>R</w:t>
      </w:r>
      <w:r>
        <w:rPr>
          <w:noProof/>
        </w:rPr>
        <w:t>eform</w:t>
      </w:r>
      <w:r w:rsidR="002F198A">
        <w:rPr>
          <w:noProof/>
        </w:rPr>
        <w:t>:</w:t>
      </w:r>
      <w:r>
        <w:rPr>
          <w:noProof/>
        </w:rPr>
        <w:t xml:space="preserve"> A Kórházi és Ellátási Tudományos Intézetek (IRCCS) jelenlegi jogi keretének felülvizsgálata és aktualizálása</w:t>
      </w:r>
    </w:p>
    <w:p w14:paraId="74184FAC" w14:textId="77777777" w:rsidR="003F5418" w:rsidRDefault="002A6C25">
      <w:pPr>
        <w:spacing w:before="120" w:after="160" w:line="259" w:lineRule="auto"/>
        <w:jc w:val="both"/>
        <w:rPr>
          <w:noProof/>
        </w:rPr>
      </w:pPr>
      <w:r>
        <w:rPr>
          <w:noProof/>
        </w:rPr>
        <w:t>A reform célja a kórházakkal és gondozással foglalkozó tudományos intézetek (IRCCS) hálózatának átszervezé</w:t>
      </w:r>
      <w:r>
        <w:rPr>
          <w:noProof/>
        </w:rPr>
        <w:t>se i. a nemzeti egészségügyi rendszer (NHS) minőségének javítása, ii. az egészség és a kutatás közötti kapcsolat javítása, valamint iii. az IRCCS jogi rendszerének és az olasz egészségügyi minisztérium hatáskörébe tartozó kutatási politikáknak a felülvizsg</w:t>
      </w:r>
      <w:r>
        <w:rPr>
          <w:noProof/>
        </w:rPr>
        <w:t xml:space="preserve">álata érdekében. </w:t>
      </w:r>
    </w:p>
    <w:p w14:paraId="63B57438" w14:textId="77777777" w:rsidR="003F5418" w:rsidRDefault="002A6C25">
      <w:pPr>
        <w:spacing w:before="120" w:after="160" w:line="259" w:lineRule="auto"/>
        <w:jc w:val="both"/>
        <w:rPr>
          <w:noProof/>
        </w:rPr>
      </w:pPr>
      <w:r>
        <w:rPr>
          <w:noProof/>
        </w:rPr>
        <w:t xml:space="preserve">A reform javítja a nyilvános IRCCS-ek irányítását a következők révén: i. a stratégiai irányítás javítása, ii. a hatáskörök és a hatáskörök jobb meghatározása, valamint iii. a nyilvános IRCCS-ek tudományos igazgatója és a kutatószemélyzet </w:t>
      </w:r>
      <w:r>
        <w:rPr>
          <w:noProof/>
        </w:rPr>
        <w:t xml:space="preserve">jogállására vonatkozó szabályok átfogó meghatározása. </w:t>
      </w:r>
    </w:p>
    <w:p w14:paraId="43386721" w14:textId="77777777" w:rsidR="003F5418" w:rsidRDefault="002A6C25">
      <w:pPr>
        <w:spacing w:before="120" w:after="160" w:line="259" w:lineRule="auto"/>
        <w:jc w:val="both"/>
        <w:rPr>
          <w:noProof/>
        </w:rPr>
      </w:pPr>
      <w:r>
        <w:rPr>
          <w:noProof/>
        </w:rPr>
        <w:t>Végül egy konkrét alintézkedés, amely az IRCCS-eket tevékenységük alapján különbözteti meg (egyedüli szakértő vagy általános szakértő), létrehozva az IRCCS-ek integrált hálózatát, és megkönnyítve az IR</w:t>
      </w:r>
      <w:r>
        <w:rPr>
          <w:noProof/>
        </w:rPr>
        <w:t>CCS-ek és az olasz NHS más struktúrái közötti tapasztalatcserét.</w:t>
      </w:r>
    </w:p>
    <w:p w14:paraId="65D92E35" w14:textId="335CBB0E" w:rsidR="003F5418" w:rsidRDefault="002F198A">
      <w:pPr>
        <w:pStyle w:val="P68B1DB1-Normal2"/>
        <w:spacing w:before="120" w:after="120"/>
        <w:jc w:val="both"/>
        <w:rPr>
          <w:noProof/>
        </w:rPr>
      </w:pPr>
      <w:r>
        <w:rPr>
          <w:noProof/>
        </w:rPr>
        <w:t>2</w:t>
      </w:r>
      <w:r w:rsidRPr="00B07E42">
        <w:rPr>
          <w:noProof/>
        </w:rPr>
        <w:t>.</w:t>
      </w:r>
      <w:r>
        <w:rPr>
          <w:noProof/>
        </w:rPr>
        <w:t>1. Beruházás: Az NHS orvosbiológiai kutatásának megerősítése és megerősítése</w:t>
      </w:r>
    </w:p>
    <w:p w14:paraId="57CEA38F" w14:textId="77777777" w:rsidR="003F5418" w:rsidRDefault="002A6C25">
      <w:pPr>
        <w:spacing w:before="120" w:after="120"/>
        <w:jc w:val="both"/>
        <w:rPr>
          <w:noProof/>
        </w:rPr>
      </w:pPr>
      <w:r>
        <w:rPr>
          <w:noProof/>
        </w:rPr>
        <w:t>Ez a beruházás az orvosbiológiai kutatási rendszer két beavatkozási vonalon keresztül történő megerősítését jele</w:t>
      </w:r>
      <w:r>
        <w:rPr>
          <w:noProof/>
        </w:rPr>
        <w:t>nti: a) koncepcióigazolási</w:t>
      </w:r>
      <w:r>
        <w:rPr>
          <w:noProof/>
          <w:color w:val="000000"/>
        </w:rPr>
        <w:t>(PoC) projektek támogatása, amelyek támogatják az alacsony technológiai érettségű technológiák fejlesztését, valamint a technológia átadását az ipar felé; b) a ritka betegségek, a ritka rákos megbetegedések és az egészségre nagy h</w:t>
      </w:r>
      <w:r>
        <w:rPr>
          <w:noProof/>
          <w:color w:val="000000"/>
        </w:rPr>
        <w:t>atást gyakorló egyéb betegségek területén megvalósuló kutatási programok/projektek finanszírozása</w:t>
      </w:r>
      <w:r>
        <w:rPr>
          <w:noProof/>
        </w:rPr>
        <w:t>.</w:t>
      </w:r>
    </w:p>
    <w:p w14:paraId="2D658BE7" w14:textId="77777777" w:rsidR="003F5418" w:rsidRDefault="003F5418">
      <w:pPr>
        <w:spacing w:before="120" w:after="120"/>
        <w:ind w:left="709"/>
        <w:jc w:val="both"/>
        <w:rPr>
          <w:noProof/>
        </w:rPr>
        <w:sectPr w:rsidR="003F5418">
          <w:headerReference w:type="even" r:id="rId386"/>
          <w:headerReference w:type="default" r:id="rId387"/>
          <w:footerReference w:type="even" r:id="rId388"/>
          <w:footerReference w:type="default" r:id="rId389"/>
          <w:headerReference w:type="first" r:id="rId390"/>
          <w:footerReference w:type="first" r:id="rId391"/>
          <w:pgSz w:w="11907" w:h="16839"/>
          <w:pgMar w:top="1134" w:right="1417" w:bottom="1134" w:left="1417" w:header="709" w:footer="709" w:gutter="0"/>
          <w:cols w:space="720"/>
          <w:docGrid w:linePitch="360"/>
        </w:sectPr>
      </w:pPr>
    </w:p>
    <w:p w14:paraId="2BB4E66D" w14:textId="77777777" w:rsidR="003F5418" w:rsidRDefault="002A6C25">
      <w:pPr>
        <w:spacing w:before="120" w:after="120"/>
        <w:jc w:val="both"/>
        <w:rPr>
          <w:b/>
          <w:i/>
          <w:noProof/>
          <w:u w:val="single"/>
        </w:rPr>
      </w:pPr>
      <w:r>
        <w:rPr>
          <w:b/>
          <w:noProof/>
          <w:u w:val="single"/>
        </w:rPr>
        <w:t xml:space="preserve">P.2. </w:t>
      </w:r>
      <w:r>
        <w:rPr>
          <w:noProof/>
        </w:rPr>
        <w:t xml:space="preserve"> </w:t>
      </w:r>
      <w:r>
        <w:rPr>
          <w:b/>
          <w:noProof/>
          <w:u w:val="single"/>
        </w:rPr>
        <w:t>Vissza</w:t>
      </w:r>
      <w:r>
        <w:rPr>
          <w:b/>
          <w:noProof/>
          <w:u w:val="single"/>
        </w:rPr>
        <w:t xml:space="preserve"> nem térítendő pénzügyi támogatás – a végrehajtáshoz és a nyomon követéshez kapcsolódó mérföldkövek, célok, mutatók és ütemterv</w:t>
      </w:r>
    </w:p>
    <w:tbl>
      <w:tblPr>
        <w:tblW w:w="5000" w:type="pct"/>
        <w:tblInd w:w="113" w:type="dxa"/>
        <w:tblLayout w:type="fixed"/>
        <w:tblLook w:val="04A0" w:firstRow="1" w:lastRow="0" w:firstColumn="1" w:lastColumn="0" w:noHBand="0" w:noVBand="1"/>
      </w:tblPr>
      <w:tblGrid>
        <w:gridCol w:w="1158"/>
        <w:gridCol w:w="1985"/>
        <w:gridCol w:w="1275"/>
        <w:gridCol w:w="1843"/>
        <w:gridCol w:w="1701"/>
        <w:gridCol w:w="992"/>
        <w:gridCol w:w="1134"/>
        <w:gridCol w:w="851"/>
        <w:gridCol w:w="850"/>
        <w:gridCol w:w="709"/>
        <w:gridCol w:w="2891"/>
      </w:tblGrid>
      <w:tr w:rsidR="003F5418" w14:paraId="4CADA181" w14:textId="77777777">
        <w:trPr>
          <w:trHeight w:val="927"/>
          <w:tblHeader/>
        </w:trPr>
        <w:tc>
          <w:tcPr>
            <w:tcW w:w="115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5F89E57" w14:textId="77777777" w:rsidR="003F5418" w:rsidRDefault="002A6C25">
            <w:pPr>
              <w:pStyle w:val="P68B1DB1-Normal3"/>
              <w:spacing w:before="120" w:after="120"/>
              <w:jc w:val="center"/>
              <w:rPr>
                <w:noProof/>
              </w:rPr>
            </w:pPr>
            <w:r>
              <w:rPr>
                <w:noProof/>
              </w:rPr>
              <w:t>Sorszám</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DF5908" w14:textId="77777777" w:rsidR="003F5418" w:rsidRDefault="002A6C25">
            <w:pPr>
              <w:pStyle w:val="P68B1DB1-Normal3"/>
              <w:spacing w:before="120" w:after="120"/>
              <w:jc w:val="center"/>
              <w:rPr>
                <w:noProof/>
              </w:rPr>
            </w:pPr>
            <w:r>
              <w:rPr>
                <w:noProof/>
              </w:rPr>
              <w:t>Kapcsolódó intézkedés (reform vagy beruházás)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C675130" w14:textId="77777777" w:rsidR="003F5418" w:rsidRDefault="002A6C25">
            <w:pPr>
              <w:pStyle w:val="P68B1DB1-Normal3"/>
              <w:spacing w:before="120" w:after="120"/>
              <w:jc w:val="center"/>
              <w:rPr>
                <w:noProof/>
              </w:rPr>
            </w:pPr>
            <w:r>
              <w:rPr>
                <w:noProof/>
              </w:rPr>
              <w:t>Mérföldkő/cél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A26AA3" w14:textId="77777777" w:rsidR="003F5418" w:rsidRDefault="002A6C25">
            <w:pPr>
              <w:pStyle w:val="P68B1DB1-Normal3"/>
              <w:spacing w:before="120" w:after="120"/>
              <w:jc w:val="center"/>
              <w:rPr>
                <w:noProof/>
              </w:rPr>
            </w:pPr>
            <w:r>
              <w:rPr>
                <w:noProof/>
              </w:rPr>
              <w:t>Név</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E1E501" w14:textId="77777777" w:rsidR="003F5418" w:rsidRDefault="002A6C25">
            <w:pPr>
              <w:spacing w:before="120" w:after="120"/>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7EE"/>
            <w:vAlign w:val="center"/>
            <w:hideMark/>
          </w:tcPr>
          <w:p w14:paraId="741B1F84" w14:textId="77777777" w:rsidR="003F5418" w:rsidRDefault="002A6C25">
            <w:pPr>
              <w:spacing w:before="120" w:after="120"/>
              <w:jc w:val="center"/>
              <w:rPr>
                <w:rFonts w:ascii="Arial Narrow" w:hAnsi="Arial Narrow"/>
                <w:b/>
                <w:noProof/>
                <w:sz w:val="20"/>
              </w:rPr>
            </w:pPr>
            <w:r>
              <w:rPr>
                <w:rFonts w:ascii="Arial Narrow" w:hAnsi="Arial Narrow"/>
                <w:b/>
                <w:noProof/>
                <w:sz w:val="20"/>
              </w:rPr>
              <w:t>Mennyisé</w:t>
            </w:r>
            <w:r>
              <w:rPr>
                <w:rFonts w:ascii="Arial Narrow" w:hAnsi="Arial Narrow"/>
                <w:b/>
                <w:noProof/>
                <w:sz w:val="20"/>
              </w:rPr>
              <w:t xml:space="preserve">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DD7EE"/>
            <w:vAlign w:val="center"/>
            <w:hideMark/>
          </w:tcPr>
          <w:p w14:paraId="4F950815" w14:textId="77777777" w:rsidR="003F5418" w:rsidRDefault="002A6C25">
            <w:pPr>
              <w:pStyle w:val="P68B1DB1-Normal3"/>
              <w:spacing w:before="120" w:after="120"/>
              <w:jc w:val="center"/>
              <w:rPr>
                <w:noProof/>
              </w:rPr>
            </w:pPr>
            <w:r>
              <w:rPr>
                <w:noProof/>
              </w:rPr>
              <w:t>A végrehajtás indikatív ütemterve</w:t>
            </w:r>
          </w:p>
        </w:tc>
        <w:tc>
          <w:tcPr>
            <w:tcW w:w="28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63F4A8" w14:textId="77777777" w:rsidR="003F5418" w:rsidRDefault="002A6C25">
            <w:pPr>
              <w:pStyle w:val="P68B1DB1-Normal3"/>
              <w:spacing w:before="120" w:after="120"/>
              <w:jc w:val="center"/>
              <w:rPr>
                <w:noProof/>
              </w:rPr>
            </w:pPr>
            <w:r>
              <w:rPr>
                <w:noProof/>
              </w:rPr>
              <w:t>Az egyes mérföldkövek és célértékek leírása</w:t>
            </w:r>
          </w:p>
        </w:tc>
      </w:tr>
      <w:tr w:rsidR="003F5418" w14:paraId="53B597B1" w14:textId="77777777">
        <w:trPr>
          <w:trHeight w:val="703"/>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3C19AEDA" w14:textId="77777777" w:rsidR="003F5418" w:rsidRDefault="003F5418">
            <w:pPr>
              <w:spacing w:before="120" w:after="120"/>
              <w:jc w:val="center"/>
              <w:rPr>
                <w:rFonts w:ascii="Arial Narrow" w:hAnsi="Arial Narrow"/>
                <w:b/>
                <w:noProof/>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055A4A2" w14:textId="77777777" w:rsidR="003F5418" w:rsidRDefault="003F5418">
            <w:pPr>
              <w:spacing w:before="120" w:after="120"/>
              <w:jc w:val="center"/>
              <w:rPr>
                <w:rFonts w:ascii="Arial Narrow" w:hAnsi="Arial Narrow"/>
                <w:b/>
                <w:noProof/>
                <w:sz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099A09C" w14:textId="77777777" w:rsidR="003F5418" w:rsidRDefault="003F5418">
            <w:pPr>
              <w:spacing w:before="120" w:after="120"/>
              <w:jc w:val="center"/>
              <w:rPr>
                <w:rFonts w:ascii="Arial Narrow" w:hAnsi="Arial Narrow"/>
                <w:b/>
                <w:noProof/>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B35EA3" w14:textId="77777777" w:rsidR="003F5418" w:rsidRDefault="003F5418">
            <w:pPr>
              <w:spacing w:before="120" w:after="120"/>
              <w:jc w:val="center"/>
              <w:rPr>
                <w:rFonts w:ascii="Arial Narrow" w:hAnsi="Arial Narrow"/>
                <w:b/>
                <w:noProof/>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C423E26" w14:textId="77777777" w:rsidR="003F5418" w:rsidRDefault="003F5418">
            <w:pPr>
              <w:spacing w:before="120" w:after="120"/>
              <w:jc w:val="center"/>
              <w:rPr>
                <w:rFonts w:ascii="Arial Narrow" w:hAnsi="Arial Narrow"/>
                <w:b/>
                <w:noProof/>
                <w:sz w:val="20"/>
              </w:rPr>
            </w:pPr>
          </w:p>
        </w:tc>
        <w:tc>
          <w:tcPr>
            <w:tcW w:w="99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45714B8" w14:textId="77777777" w:rsidR="003F5418" w:rsidRDefault="002A6C25">
            <w:pPr>
              <w:pStyle w:val="P68B1DB1-Normal3"/>
              <w:spacing w:before="120" w:after="120"/>
              <w:jc w:val="center"/>
              <w:rPr>
                <w:noProof/>
              </w:rPr>
            </w:pPr>
            <w:r>
              <w:rPr>
                <w:noProof/>
              </w:rPr>
              <w:t>Mértékegység</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3BC29350" w14:textId="77777777" w:rsidR="003F5418" w:rsidRDefault="002A6C25">
            <w:pPr>
              <w:pStyle w:val="P68B1DB1-Normal3"/>
              <w:spacing w:before="120" w:after="120"/>
              <w:jc w:val="center"/>
              <w:rPr>
                <w:noProof/>
              </w:rPr>
            </w:pPr>
            <w:r>
              <w:rPr>
                <w:noProof/>
              </w:rPr>
              <w:t>Kiindulási</w:t>
            </w:r>
          </w:p>
        </w:tc>
        <w:tc>
          <w:tcPr>
            <w:tcW w:w="851" w:type="dxa"/>
            <w:tcBorders>
              <w:top w:val="single" w:sz="4" w:space="0" w:color="auto"/>
              <w:left w:val="nil"/>
              <w:bottom w:val="single" w:sz="4" w:space="0" w:color="auto"/>
              <w:right w:val="single" w:sz="4" w:space="0" w:color="auto"/>
            </w:tcBorders>
            <w:shd w:val="clear" w:color="auto" w:fill="BDD7EE"/>
            <w:vAlign w:val="center"/>
            <w:hideMark/>
          </w:tcPr>
          <w:p w14:paraId="329A2DF1" w14:textId="77777777" w:rsidR="003F5418" w:rsidRDefault="002A6C25">
            <w:pPr>
              <w:pStyle w:val="P68B1DB1-Normal3"/>
              <w:spacing w:before="120" w:after="120"/>
              <w:jc w:val="center"/>
              <w:rPr>
                <w:noProof/>
              </w:rPr>
            </w:pPr>
            <w:r>
              <w:rPr>
                <w:noProof/>
              </w:rPr>
              <w:t>Cél</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5FE15422" w14:textId="77777777" w:rsidR="003F5418" w:rsidRDefault="002A6C25">
            <w:pPr>
              <w:pStyle w:val="P68B1DB1-Normal3"/>
              <w:spacing w:before="120" w:after="120"/>
              <w:jc w:val="center"/>
              <w:rPr>
                <w:noProof/>
              </w:rPr>
            </w:pPr>
            <w:r>
              <w:rPr>
                <w:noProof/>
              </w:rPr>
              <w:t>Negyedév</w:t>
            </w:r>
          </w:p>
        </w:tc>
        <w:tc>
          <w:tcPr>
            <w:tcW w:w="709" w:type="dxa"/>
            <w:tcBorders>
              <w:top w:val="single" w:sz="4" w:space="0" w:color="auto"/>
              <w:left w:val="nil"/>
              <w:bottom w:val="single" w:sz="4" w:space="0" w:color="auto"/>
              <w:right w:val="single" w:sz="4" w:space="0" w:color="auto"/>
            </w:tcBorders>
            <w:shd w:val="clear" w:color="auto" w:fill="BDD7EE"/>
            <w:vAlign w:val="center"/>
            <w:hideMark/>
          </w:tcPr>
          <w:p w14:paraId="62659788" w14:textId="77777777" w:rsidR="003F5418" w:rsidRDefault="002A6C25">
            <w:pPr>
              <w:pStyle w:val="P68B1DB1-Normal3"/>
              <w:spacing w:before="120" w:after="120"/>
              <w:jc w:val="center"/>
              <w:rPr>
                <w:noProof/>
              </w:rPr>
            </w:pPr>
            <w:r>
              <w:rPr>
                <w:noProof/>
              </w:rPr>
              <w:t>Éve</w:t>
            </w:r>
          </w:p>
        </w:tc>
        <w:tc>
          <w:tcPr>
            <w:tcW w:w="2891" w:type="dxa"/>
            <w:vMerge/>
            <w:tcBorders>
              <w:top w:val="single" w:sz="4" w:space="0" w:color="auto"/>
              <w:bottom w:val="single" w:sz="4" w:space="0" w:color="auto"/>
              <w:right w:val="single" w:sz="4" w:space="0" w:color="auto"/>
            </w:tcBorders>
            <w:vAlign w:val="center"/>
            <w:hideMark/>
          </w:tcPr>
          <w:p w14:paraId="6E732DEC" w14:textId="77777777" w:rsidR="003F5418" w:rsidRDefault="003F5418">
            <w:pPr>
              <w:spacing w:before="120" w:after="120"/>
              <w:rPr>
                <w:rFonts w:ascii="Arial Narrow" w:hAnsi="Arial Narrow"/>
                <w:b/>
                <w:noProof/>
                <w:sz w:val="20"/>
              </w:rPr>
            </w:pPr>
          </w:p>
        </w:tc>
      </w:tr>
      <w:tr w:rsidR="003F5418" w14:paraId="59728AA3"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893CEF" w14:textId="77777777" w:rsidR="003F5418" w:rsidRDefault="002A6C25">
            <w:pPr>
              <w:pStyle w:val="P68B1DB1-Normal4"/>
              <w:jc w:val="center"/>
              <w:rPr>
                <w:rFonts w:eastAsiaTheme="minorEastAsia"/>
                <w:noProof/>
              </w:rPr>
            </w:pPr>
            <w:r>
              <w:rPr>
                <w:noProof/>
              </w:rPr>
              <w:t>M6C2–1</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43F3A2A5" w14:textId="77777777" w:rsidR="003F5418" w:rsidRDefault="002A6C25">
            <w:pPr>
              <w:pStyle w:val="P68B1DB1-Normal4"/>
              <w:jc w:val="center"/>
              <w:rPr>
                <w:rFonts w:eastAsiaTheme="minorEastAsia"/>
                <w:noProof/>
              </w:rPr>
            </w:pPr>
            <w:r>
              <w:rPr>
                <w:noProof/>
              </w:rPr>
              <w:t xml:space="preserve">Az 1. reformot A kutatás, az innováció és az egészségügy közötti kapcsolat megerősítése </w:t>
            </w:r>
            <w:r>
              <w:rPr>
                <w:noProof/>
              </w:rPr>
              <w:t>érdekében felül kell vizsgálni és aktualizálni kell a Kórházi és Ellátási Tudományos Intézetek (IRCCS) és az Egészségügyi Minisztérium kutatási politikáinak jelenlegi jogi keretét</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74B37DAA" w14:textId="77777777" w:rsidR="003F5418" w:rsidRDefault="002A6C25">
            <w:pPr>
              <w:pStyle w:val="P68B1DB1-Normal4"/>
              <w:jc w:val="center"/>
              <w:rPr>
                <w:rFonts w:eastAsiaTheme="minorEastAsia"/>
                <w:noProof/>
              </w:rPr>
            </w:pPr>
            <w:r>
              <w:rPr>
                <w:noProof/>
              </w:rPr>
              <w:t>Mérföldkő</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24E8C7EA" w14:textId="77777777" w:rsidR="003F5418" w:rsidRDefault="002A6C25">
            <w:pPr>
              <w:pStyle w:val="P68B1DB1-Normal4"/>
              <w:jc w:val="center"/>
              <w:rPr>
                <w:rFonts w:eastAsiaTheme="minorEastAsia"/>
                <w:noProof/>
              </w:rPr>
            </w:pPr>
            <w:r>
              <w:rPr>
                <w:noProof/>
              </w:rPr>
              <w:t xml:space="preserve">A kórházi ápolással és gondozással foglalkozó tudományos </w:t>
            </w:r>
            <w:r>
              <w:rPr>
                <w:noProof/>
              </w:rPr>
              <w:t>intézetekre (IRCSS) vonatkozó rendeletek átszervezéséről szóló törvényerejű rendelet hatálybalépése</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114A17E1" w14:textId="77777777" w:rsidR="003F5418" w:rsidRDefault="002A6C25">
            <w:pPr>
              <w:pStyle w:val="P68B1DB1-Normal4"/>
              <w:jc w:val="center"/>
              <w:rPr>
                <w:rFonts w:eastAsiaTheme="minorEastAsia"/>
                <w:noProof/>
              </w:rPr>
            </w:pPr>
            <w:r>
              <w:rPr>
                <w:noProof/>
              </w:rPr>
              <w:t>A rendelet hatálybalépését feltüntető rendelkezés</w:t>
            </w:r>
          </w:p>
        </w:tc>
        <w:tc>
          <w:tcPr>
            <w:tcW w:w="992" w:type="dxa"/>
            <w:tcBorders>
              <w:top w:val="nil"/>
              <w:left w:val="nil"/>
              <w:bottom w:val="single" w:sz="4" w:space="0" w:color="auto"/>
              <w:right w:val="single" w:sz="4" w:space="0" w:color="auto"/>
            </w:tcBorders>
            <w:shd w:val="clear" w:color="auto" w:fill="C6EFCE"/>
            <w:noWrap/>
            <w:vAlign w:val="center"/>
          </w:tcPr>
          <w:p w14:paraId="6282CB3C" w14:textId="77777777" w:rsidR="003F5418" w:rsidRDefault="002A6C25">
            <w:pPr>
              <w:pStyle w:val="P68B1DB1-Normal4"/>
              <w:jc w:val="center"/>
              <w:rPr>
                <w:rFonts w:eastAsiaTheme="minorEastAsia"/>
                <w:noProof/>
              </w:rPr>
            </w:pPr>
            <w:r>
              <w:rPr>
                <w:noProof/>
              </w:rPr>
              <w:t>NINCS</w:t>
            </w:r>
          </w:p>
        </w:tc>
        <w:tc>
          <w:tcPr>
            <w:tcW w:w="1134" w:type="dxa"/>
            <w:tcBorders>
              <w:top w:val="nil"/>
              <w:left w:val="nil"/>
              <w:bottom w:val="single" w:sz="4" w:space="0" w:color="auto"/>
              <w:right w:val="single" w:sz="4" w:space="0" w:color="auto"/>
            </w:tcBorders>
            <w:shd w:val="clear" w:color="auto" w:fill="C6EFCE"/>
            <w:noWrap/>
            <w:vAlign w:val="center"/>
          </w:tcPr>
          <w:p w14:paraId="4EBB94FD" w14:textId="77777777" w:rsidR="003F5418" w:rsidRDefault="002A6C25">
            <w:pPr>
              <w:pStyle w:val="P68B1DB1-Normal4"/>
              <w:jc w:val="center"/>
              <w:rPr>
                <w:rFonts w:eastAsiaTheme="minorEastAsia"/>
                <w:noProof/>
              </w:rPr>
            </w:pPr>
            <w:r>
              <w:rPr>
                <w:noProof/>
              </w:rPr>
              <w:t>NINCS</w:t>
            </w:r>
          </w:p>
        </w:tc>
        <w:tc>
          <w:tcPr>
            <w:tcW w:w="851" w:type="dxa"/>
            <w:tcBorders>
              <w:top w:val="nil"/>
              <w:left w:val="nil"/>
              <w:bottom w:val="single" w:sz="4" w:space="0" w:color="auto"/>
              <w:right w:val="single" w:sz="4" w:space="0" w:color="auto"/>
            </w:tcBorders>
            <w:shd w:val="clear" w:color="auto" w:fill="C6EFCE"/>
            <w:noWrap/>
            <w:vAlign w:val="center"/>
          </w:tcPr>
          <w:p w14:paraId="0D4F7FBC" w14:textId="77777777" w:rsidR="003F5418" w:rsidRDefault="002A6C25">
            <w:pPr>
              <w:pStyle w:val="P68B1DB1-Normal4"/>
              <w:jc w:val="center"/>
              <w:rPr>
                <w:rFonts w:eastAsiaTheme="minorEastAsia"/>
                <w:noProof/>
              </w:rPr>
            </w:pPr>
            <w:r>
              <w:rPr>
                <w:noProof/>
              </w:rPr>
              <w:t>NINCS</w:t>
            </w:r>
          </w:p>
        </w:tc>
        <w:tc>
          <w:tcPr>
            <w:tcW w:w="850" w:type="dxa"/>
            <w:tcBorders>
              <w:top w:val="nil"/>
              <w:left w:val="nil"/>
              <w:bottom w:val="single" w:sz="4" w:space="0" w:color="auto"/>
              <w:right w:val="single" w:sz="4" w:space="0" w:color="auto"/>
            </w:tcBorders>
            <w:shd w:val="clear" w:color="auto" w:fill="C6EFCE"/>
            <w:noWrap/>
            <w:vAlign w:val="center"/>
          </w:tcPr>
          <w:p w14:paraId="3DE41043" w14:textId="77777777" w:rsidR="003F5418" w:rsidRDefault="002A6C25">
            <w:pPr>
              <w:pStyle w:val="P68B1DB1-Normal4"/>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tcPr>
          <w:p w14:paraId="7150A052" w14:textId="77777777" w:rsidR="003F5418" w:rsidRDefault="002A6C25">
            <w:pPr>
              <w:pStyle w:val="P68B1DB1-Normal4"/>
              <w:jc w:val="center"/>
              <w:rPr>
                <w:rFonts w:eastAsiaTheme="minorEastAsia"/>
                <w:noProof/>
              </w:rPr>
            </w:pPr>
            <w:r>
              <w:rPr>
                <w:noProof/>
              </w:rPr>
              <w:t>2022</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3D235CA8" w14:textId="77777777" w:rsidR="003F5418" w:rsidRDefault="002A6C25">
            <w:pPr>
              <w:pStyle w:val="P68B1DB1-Normal4"/>
              <w:rPr>
                <w:rFonts w:eastAsiaTheme="minorEastAsia"/>
                <w:noProof/>
              </w:rPr>
            </w:pPr>
            <w:r>
              <w:rPr>
                <w:noProof/>
              </w:rPr>
              <w:t>A reformnak át kell szerveznie az IRCCS hálózatát az NHS minőségének és kiválósá</w:t>
            </w:r>
            <w:r>
              <w:rPr>
                <w:noProof/>
              </w:rPr>
              <w:t>gának javítása, az egészségügy és a kutatás közötti kapcsolat javítása, az IRCCS jogi rendszerének és az olasz egészségügyi minisztérium hatáskörébe tartozó kutatási politikáknak a felülvizsgálata érdekében.</w:t>
            </w:r>
          </w:p>
          <w:p w14:paraId="10A65E0B" w14:textId="77777777" w:rsidR="003F5418" w:rsidRDefault="002A6C25">
            <w:pPr>
              <w:pStyle w:val="P68B1DB1-Normal4"/>
              <w:rPr>
                <w:rFonts w:eastAsiaTheme="minorEastAsia"/>
                <w:noProof/>
              </w:rPr>
            </w:pPr>
            <w:r>
              <w:rPr>
                <w:noProof/>
              </w:rPr>
              <w:t xml:space="preserve">A reform a következőkre irányuló intézkedéseket </w:t>
            </w:r>
            <w:r>
              <w:rPr>
                <w:noProof/>
              </w:rPr>
              <w:t>tartalmaz: a kutatás, az innováció és az egészségügy közötti kapcsolat erősítése; javítsa a nyilvános IRCCS-ek irányítását a stratégiai irányítás javítása, valamint a hatáskörök és hatáskörök jobb meghatározása révén.</w:t>
            </w:r>
          </w:p>
        </w:tc>
      </w:tr>
      <w:tr w:rsidR="003F5418" w14:paraId="44151C62" w14:textId="77777777">
        <w:trPr>
          <w:trHeight w:val="309"/>
        </w:trPr>
        <w:tc>
          <w:tcPr>
            <w:tcW w:w="1158" w:type="dxa"/>
            <w:tcBorders>
              <w:top w:val="nil"/>
              <w:left w:val="single" w:sz="4" w:space="0" w:color="auto"/>
              <w:bottom w:val="single" w:sz="4" w:space="0" w:color="auto"/>
              <w:right w:val="single" w:sz="4" w:space="0" w:color="auto"/>
            </w:tcBorders>
            <w:shd w:val="clear" w:color="auto" w:fill="C6EFCE"/>
            <w:noWrap/>
            <w:vAlign w:val="center"/>
            <w:hideMark/>
          </w:tcPr>
          <w:p w14:paraId="1A3D635D" w14:textId="77777777" w:rsidR="003F5418" w:rsidRDefault="002A6C25">
            <w:pPr>
              <w:pStyle w:val="P68B1DB1-Normal4"/>
              <w:jc w:val="center"/>
              <w:rPr>
                <w:rFonts w:eastAsiaTheme="minorEastAsia"/>
                <w:noProof/>
              </w:rPr>
            </w:pPr>
            <w:r>
              <w:rPr>
                <w:noProof/>
              </w:rPr>
              <w:t>M6C2–2</w:t>
            </w:r>
          </w:p>
        </w:tc>
        <w:tc>
          <w:tcPr>
            <w:tcW w:w="1985" w:type="dxa"/>
            <w:tcBorders>
              <w:top w:val="nil"/>
              <w:left w:val="nil"/>
              <w:bottom w:val="single" w:sz="4" w:space="0" w:color="auto"/>
              <w:right w:val="single" w:sz="4" w:space="0" w:color="auto"/>
            </w:tcBorders>
            <w:shd w:val="clear" w:color="auto" w:fill="C6EFCE"/>
            <w:noWrap/>
            <w:vAlign w:val="center"/>
            <w:hideMark/>
          </w:tcPr>
          <w:p w14:paraId="40199996" w14:textId="77777777" w:rsidR="003F5418" w:rsidRDefault="002A6C25">
            <w:pPr>
              <w:pStyle w:val="P68B1DB1-Normal4"/>
              <w:jc w:val="center"/>
              <w:rPr>
                <w:rFonts w:eastAsiaTheme="minorEastAsia"/>
                <w:noProof/>
              </w:rPr>
            </w:pPr>
            <w:r>
              <w:rPr>
                <w:noProof/>
              </w:rPr>
              <w:t xml:space="preserve">Beruházás: Az NHS </w:t>
            </w:r>
            <w:r>
              <w:rPr>
                <w:noProof/>
              </w:rPr>
              <w:t>orvosbiológiai kutatásának megerősítése és megerősítése</w:t>
            </w:r>
          </w:p>
        </w:tc>
        <w:tc>
          <w:tcPr>
            <w:tcW w:w="1275" w:type="dxa"/>
            <w:tcBorders>
              <w:top w:val="nil"/>
              <w:left w:val="nil"/>
              <w:bottom w:val="single" w:sz="4" w:space="0" w:color="auto"/>
              <w:right w:val="single" w:sz="4" w:space="0" w:color="auto"/>
            </w:tcBorders>
            <w:shd w:val="clear" w:color="auto" w:fill="C6EFCE"/>
            <w:noWrap/>
            <w:vAlign w:val="center"/>
            <w:hideMark/>
          </w:tcPr>
          <w:p w14:paraId="3125EF2D" w14:textId="77777777" w:rsidR="003F5418" w:rsidRDefault="002A6C25">
            <w:pPr>
              <w:pStyle w:val="P68B1DB1-Normal4"/>
              <w:jc w:val="center"/>
              <w:rPr>
                <w:rFonts w:eastAsiaTheme="minorEastAsia"/>
                <w:noProof/>
              </w:rPr>
            </w:pPr>
            <w:r>
              <w:rPr>
                <w:noProof/>
              </w:rPr>
              <w:t>Cél</w:t>
            </w:r>
          </w:p>
        </w:tc>
        <w:tc>
          <w:tcPr>
            <w:tcW w:w="1843" w:type="dxa"/>
            <w:tcBorders>
              <w:top w:val="nil"/>
              <w:left w:val="nil"/>
              <w:bottom w:val="single" w:sz="4" w:space="0" w:color="auto"/>
              <w:right w:val="single" w:sz="4" w:space="0" w:color="auto"/>
            </w:tcBorders>
            <w:shd w:val="clear" w:color="auto" w:fill="C6EFCE"/>
            <w:noWrap/>
            <w:vAlign w:val="center"/>
            <w:hideMark/>
          </w:tcPr>
          <w:p w14:paraId="17556977" w14:textId="77777777" w:rsidR="003F5418" w:rsidRDefault="002A6C25">
            <w:pPr>
              <w:pStyle w:val="P68B1DB1-Normal4"/>
              <w:jc w:val="center"/>
              <w:rPr>
                <w:rFonts w:eastAsiaTheme="minorEastAsia"/>
                <w:noProof/>
              </w:rPr>
            </w:pPr>
            <w:r>
              <w:rPr>
                <w:noProof/>
              </w:rPr>
              <w:t>Ritka rákokkal és betegségekkel kapcsolatos kutatási projektek</w:t>
            </w:r>
          </w:p>
        </w:tc>
        <w:tc>
          <w:tcPr>
            <w:tcW w:w="1701" w:type="dxa"/>
            <w:tcBorders>
              <w:top w:val="nil"/>
              <w:left w:val="nil"/>
              <w:bottom w:val="single" w:sz="4" w:space="0" w:color="auto"/>
              <w:right w:val="single" w:sz="4" w:space="0" w:color="auto"/>
            </w:tcBorders>
            <w:shd w:val="clear" w:color="auto" w:fill="C6EFCE"/>
            <w:noWrap/>
            <w:vAlign w:val="center"/>
          </w:tcPr>
          <w:p w14:paraId="42BBC516" w14:textId="77777777" w:rsidR="003F5418" w:rsidRDefault="002A6C25">
            <w:pPr>
              <w:pStyle w:val="P68B1DB1-Normal4"/>
              <w:jc w:val="center"/>
              <w:rPr>
                <w:rFonts w:eastAsiaTheme="minorEastAsia"/>
                <w:noProof/>
              </w:rPr>
            </w:pPr>
            <w:r>
              <w:rPr>
                <w:noProof/>
              </w:rPr>
              <w:t>NINCS</w:t>
            </w:r>
          </w:p>
        </w:tc>
        <w:tc>
          <w:tcPr>
            <w:tcW w:w="992" w:type="dxa"/>
            <w:tcBorders>
              <w:top w:val="nil"/>
              <w:left w:val="nil"/>
              <w:bottom w:val="single" w:sz="4" w:space="0" w:color="auto"/>
              <w:right w:val="single" w:sz="4" w:space="0" w:color="auto"/>
            </w:tcBorders>
            <w:shd w:val="clear" w:color="auto" w:fill="C6EFCE"/>
            <w:noWrap/>
            <w:vAlign w:val="center"/>
            <w:hideMark/>
          </w:tcPr>
          <w:p w14:paraId="3884A214" w14:textId="77777777" w:rsidR="003F5418" w:rsidRDefault="002A6C25">
            <w:pPr>
              <w:pStyle w:val="P68B1DB1-Normal4"/>
              <w:jc w:val="center"/>
              <w:rPr>
                <w:rFonts w:eastAsiaTheme="minorEastAsia"/>
                <w:noProof/>
              </w:rPr>
            </w:pPr>
            <w:r>
              <w:rPr>
                <w:noProof/>
              </w:rPr>
              <w:t>Szám</w:t>
            </w:r>
          </w:p>
        </w:tc>
        <w:tc>
          <w:tcPr>
            <w:tcW w:w="1134" w:type="dxa"/>
            <w:tcBorders>
              <w:top w:val="nil"/>
              <w:left w:val="nil"/>
              <w:bottom w:val="single" w:sz="4" w:space="0" w:color="auto"/>
              <w:right w:val="single" w:sz="4" w:space="0" w:color="auto"/>
            </w:tcBorders>
            <w:shd w:val="clear" w:color="auto" w:fill="C6EFCE"/>
            <w:noWrap/>
            <w:vAlign w:val="center"/>
            <w:hideMark/>
          </w:tcPr>
          <w:p w14:paraId="534A9EE0" w14:textId="77777777" w:rsidR="003F5418" w:rsidRDefault="002A6C25">
            <w:pPr>
              <w:pStyle w:val="P68B1DB1-Normal4"/>
              <w:jc w:val="center"/>
              <w:rPr>
                <w:rFonts w:eastAsiaTheme="minorEastAsia"/>
                <w:noProof/>
              </w:rPr>
            </w:pPr>
            <w:r>
              <w:rPr>
                <w:noProof/>
              </w:rPr>
              <w:t>0</w:t>
            </w:r>
          </w:p>
        </w:tc>
        <w:tc>
          <w:tcPr>
            <w:tcW w:w="851" w:type="dxa"/>
            <w:tcBorders>
              <w:top w:val="nil"/>
              <w:left w:val="nil"/>
              <w:bottom w:val="single" w:sz="4" w:space="0" w:color="auto"/>
              <w:right w:val="single" w:sz="4" w:space="0" w:color="auto"/>
            </w:tcBorders>
            <w:shd w:val="clear" w:color="auto" w:fill="C6EFCE"/>
            <w:noWrap/>
            <w:vAlign w:val="center"/>
            <w:hideMark/>
          </w:tcPr>
          <w:p w14:paraId="70BDC765" w14:textId="77777777" w:rsidR="003F5418" w:rsidRDefault="002A6C25">
            <w:pPr>
              <w:pStyle w:val="P68B1DB1-Normal4"/>
              <w:jc w:val="center"/>
              <w:rPr>
                <w:rFonts w:eastAsiaTheme="minorEastAsia"/>
                <w:noProof/>
              </w:rPr>
            </w:pPr>
            <w:r>
              <w:rPr>
                <w:noProof/>
              </w:rPr>
              <w:t>100</w:t>
            </w:r>
          </w:p>
        </w:tc>
        <w:tc>
          <w:tcPr>
            <w:tcW w:w="850" w:type="dxa"/>
            <w:tcBorders>
              <w:top w:val="nil"/>
              <w:left w:val="nil"/>
              <w:bottom w:val="single" w:sz="4" w:space="0" w:color="auto"/>
              <w:right w:val="single" w:sz="4" w:space="0" w:color="auto"/>
            </w:tcBorders>
            <w:shd w:val="clear" w:color="auto" w:fill="C6EFCE"/>
            <w:noWrap/>
            <w:vAlign w:val="center"/>
            <w:hideMark/>
          </w:tcPr>
          <w:p w14:paraId="3B976D98" w14:textId="77777777" w:rsidR="003F5418" w:rsidRDefault="002A6C25">
            <w:pPr>
              <w:pStyle w:val="P68B1DB1-Normal4"/>
              <w:jc w:val="center"/>
              <w:rPr>
                <w:rFonts w:eastAsiaTheme="minorEastAsia"/>
                <w:noProof/>
              </w:rPr>
            </w:pPr>
            <w:r>
              <w:rPr>
                <w:noProof/>
              </w:rPr>
              <w:t>Q4</w:t>
            </w:r>
          </w:p>
        </w:tc>
        <w:tc>
          <w:tcPr>
            <w:tcW w:w="709" w:type="dxa"/>
            <w:tcBorders>
              <w:top w:val="nil"/>
              <w:left w:val="nil"/>
              <w:bottom w:val="single" w:sz="4" w:space="0" w:color="auto"/>
              <w:right w:val="single" w:sz="4" w:space="0" w:color="auto"/>
            </w:tcBorders>
            <w:shd w:val="clear" w:color="auto" w:fill="C6EFCE"/>
            <w:noWrap/>
            <w:vAlign w:val="center"/>
            <w:hideMark/>
          </w:tcPr>
          <w:p w14:paraId="3B543C75" w14:textId="77777777" w:rsidR="003F5418" w:rsidRDefault="002A6C25">
            <w:pPr>
              <w:pStyle w:val="P68B1DB1-Normal4"/>
              <w:jc w:val="center"/>
              <w:rPr>
                <w:rFonts w:eastAsiaTheme="minorEastAsia"/>
                <w:noProof/>
              </w:rPr>
            </w:pPr>
            <w:r>
              <w:rPr>
                <w:noProof/>
              </w:rPr>
              <w:t>2025</w:t>
            </w:r>
          </w:p>
        </w:tc>
        <w:tc>
          <w:tcPr>
            <w:tcW w:w="2891" w:type="dxa"/>
            <w:tcBorders>
              <w:top w:val="nil"/>
              <w:left w:val="nil"/>
              <w:bottom w:val="single" w:sz="4" w:space="0" w:color="auto"/>
              <w:right w:val="single" w:sz="4" w:space="0" w:color="auto"/>
            </w:tcBorders>
            <w:shd w:val="clear" w:color="auto" w:fill="C6EFCE"/>
            <w:noWrap/>
            <w:vAlign w:val="center"/>
            <w:hideMark/>
          </w:tcPr>
          <w:p w14:paraId="29A01EFC" w14:textId="77777777" w:rsidR="003F5418" w:rsidRDefault="002A6C25">
            <w:pPr>
              <w:rPr>
                <w:rFonts w:ascii="Arial Narrow" w:eastAsiaTheme="minorEastAsia" w:hAnsi="Arial Narrow"/>
                <w:noProof/>
                <w:color w:val="006100"/>
                <w:sz w:val="20"/>
              </w:rPr>
            </w:pPr>
            <w:r>
              <w:rPr>
                <w:rFonts w:ascii="Arial Narrow" w:hAnsi="Arial Narrow"/>
                <w:noProof/>
                <w:color w:val="006100"/>
                <w:sz w:val="20"/>
              </w:rPr>
              <w:t xml:space="preserve">Finanszírozás odaítélése a ritka betegségekkel és a ritka rákos megbetegedésekkel kapcsolatos kutatási </w:t>
            </w:r>
            <w:r>
              <w:rPr>
                <w:rFonts w:ascii="Arial Narrow" w:hAnsi="Arial Narrow"/>
                <w:noProof/>
                <w:color w:val="006100"/>
                <w:sz w:val="20"/>
              </w:rPr>
              <w:t>programok/projektek számára. Ezek a rendkívül összetett orvosbiológiai és gyakran többszervezeti kifejeződésű patológiák magas klinikai hozzáértést és fejlett diagnosztikai és kutatási tevékenységeket igényelnek, és kiválósági technológiákat, valamint nemz</w:t>
            </w:r>
            <w:r>
              <w:rPr>
                <w:rFonts w:ascii="Arial Narrow" w:hAnsi="Arial Narrow"/>
                <w:noProof/>
                <w:color w:val="006100"/>
                <w:sz w:val="20"/>
              </w:rPr>
              <w:t>eti és európai szintű együttműködési hálózatok összehangolását igénylik.</w:t>
            </w:r>
            <w:r>
              <w:rPr>
                <w:rFonts w:ascii="Arial Narrow" w:hAnsi="Arial Narrow"/>
                <w:noProof/>
              </w:rPr>
              <w:t xml:space="preserve"> </w:t>
            </w:r>
            <w:r>
              <w:rPr>
                <w:noProof/>
              </w:rPr>
              <w:t xml:space="preserve"> </w:t>
            </w:r>
            <w:r>
              <w:rPr>
                <w:noProof/>
              </w:rPr>
              <w:br/>
            </w:r>
            <w:r>
              <w:rPr>
                <w:rFonts w:ascii="Arial Narrow" w:hAnsi="Arial Narrow"/>
                <w:noProof/>
                <w:color w:val="006100"/>
                <w:sz w:val="20"/>
              </w:rPr>
              <w:t>A ritka betegségekkel és a ritka rákos megbetegedésekkel kapcsolatos kutatási projektek finanszírozása nyilvános pályázati eljárás keretében történik.</w:t>
            </w:r>
          </w:p>
          <w:p w14:paraId="7ED17226" w14:textId="77777777" w:rsidR="003F5418" w:rsidRDefault="002A6C25">
            <w:pPr>
              <w:pStyle w:val="P68B1DB1-Normal4"/>
              <w:rPr>
                <w:rFonts w:eastAsiaTheme="minorEastAsia"/>
                <w:noProof/>
              </w:rPr>
            </w:pPr>
            <w:r>
              <w:rPr>
                <w:noProof/>
              </w:rPr>
              <w:t xml:space="preserve">Legalább 100 kutatási projekt </w:t>
            </w:r>
            <w:r>
              <w:rPr>
                <w:noProof/>
              </w:rPr>
              <w:t>részesült a finanszírozás első részletében.</w:t>
            </w:r>
          </w:p>
        </w:tc>
      </w:tr>
      <w:tr w:rsidR="003F5418" w14:paraId="22D6E0F4" w14:textId="77777777">
        <w:trPr>
          <w:trHeight w:val="309"/>
        </w:trPr>
        <w:tc>
          <w:tcPr>
            <w:tcW w:w="115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EA9C0" w14:textId="77777777" w:rsidR="003F5418" w:rsidRDefault="002A6C25">
            <w:pPr>
              <w:pStyle w:val="P68B1DB1-Normal4"/>
              <w:jc w:val="center"/>
              <w:rPr>
                <w:rFonts w:eastAsiaTheme="minorEastAsia"/>
                <w:noProof/>
              </w:rPr>
            </w:pPr>
            <w:r>
              <w:rPr>
                <w:noProof/>
              </w:rPr>
              <w:t>M6C2–3</w:t>
            </w:r>
          </w:p>
        </w:tc>
        <w:tc>
          <w:tcPr>
            <w:tcW w:w="1985" w:type="dxa"/>
            <w:tcBorders>
              <w:top w:val="single" w:sz="4" w:space="0" w:color="auto"/>
              <w:left w:val="nil"/>
              <w:bottom w:val="single" w:sz="4" w:space="0" w:color="auto"/>
              <w:right w:val="single" w:sz="4" w:space="0" w:color="auto"/>
            </w:tcBorders>
            <w:shd w:val="clear" w:color="auto" w:fill="C6EFCE"/>
            <w:noWrap/>
            <w:vAlign w:val="center"/>
          </w:tcPr>
          <w:p w14:paraId="76F315E5" w14:textId="77777777" w:rsidR="003F5418" w:rsidRDefault="002A6C25">
            <w:pPr>
              <w:pStyle w:val="P68B1DB1-Normal4"/>
              <w:jc w:val="center"/>
              <w:rPr>
                <w:rFonts w:eastAsiaTheme="minorEastAsia"/>
                <w:noProof/>
              </w:rPr>
            </w:pPr>
            <w:r>
              <w:rPr>
                <w:noProof/>
              </w:rPr>
              <w:t>Beruházás: Az NHS orvosbiológiai kutatásának megerősítése és megerősítése</w:t>
            </w:r>
          </w:p>
        </w:tc>
        <w:tc>
          <w:tcPr>
            <w:tcW w:w="1275" w:type="dxa"/>
            <w:tcBorders>
              <w:top w:val="single" w:sz="4" w:space="0" w:color="auto"/>
              <w:left w:val="nil"/>
              <w:bottom w:val="single" w:sz="4" w:space="0" w:color="auto"/>
              <w:right w:val="single" w:sz="4" w:space="0" w:color="auto"/>
            </w:tcBorders>
            <w:shd w:val="clear" w:color="auto" w:fill="C6EFCE"/>
            <w:noWrap/>
            <w:vAlign w:val="center"/>
          </w:tcPr>
          <w:p w14:paraId="669BE8CD" w14:textId="77777777" w:rsidR="003F5418" w:rsidRDefault="002A6C25">
            <w:pPr>
              <w:pStyle w:val="P68B1DB1-Normal4"/>
              <w:jc w:val="center"/>
              <w:rPr>
                <w:rFonts w:eastAsiaTheme="minorEastAsia"/>
                <w:noProof/>
              </w:rPr>
            </w:pPr>
            <w:r>
              <w:rPr>
                <w:noProof/>
              </w:rPr>
              <w:t>Cél</w:t>
            </w:r>
          </w:p>
        </w:tc>
        <w:tc>
          <w:tcPr>
            <w:tcW w:w="1843" w:type="dxa"/>
            <w:tcBorders>
              <w:top w:val="single" w:sz="4" w:space="0" w:color="auto"/>
              <w:left w:val="nil"/>
              <w:bottom w:val="single" w:sz="4" w:space="0" w:color="auto"/>
              <w:right w:val="single" w:sz="4" w:space="0" w:color="auto"/>
            </w:tcBorders>
            <w:shd w:val="clear" w:color="auto" w:fill="C6EFCE"/>
            <w:noWrap/>
            <w:vAlign w:val="center"/>
          </w:tcPr>
          <w:p w14:paraId="063EEEFF" w14:textId="77777777" w:rsidR="003F5418" w:rsidRDefault="002A6C25">
            <w:pPr>
              <w:pStyle w:val="P68B1DB1-Normal4"/>
              <w:jc w:val="center"/>
              <w:rPr>
                <w:rFonts w:eastAsiaTheme="minorEastAsia"/>
                <w:noProof/>
              </w:rPr>
            </w:pPr>
            <w:r>
              <w:rPr>
                <w:noProof/>
              </w:rPr>
              <w:t>Az egészségre nagy hatást gyakorló betegségekkel kapcsolatos kutatási projektek</w:t>
            </w:r>
          </w:p>
        </w:tc>
        <w:tc>
          <w:tcPr>
            <w:tcW w:w="1701" w:type="dxa"/>
            <w:tcBorders>
              <w:top w:val="single" w:sz="4" w:space="0" w:color="auto"/>
              <w:left w:val="nil"/>
              <w:bottom w:val="single" w:sz="4" w:space="0" w:color="auto"/>
              <w:right w:val="single" w:sz="4" w:space="0" w:color="auto"/>
            </w:tcBorders>
            <w:shd w:val="clear" w:color="auto" w:fill="C6EFCE"/>
            <w:noWrap/>
            <w:vAlign w:val="center"/>
          </w:tcPr>
          <w:p w14:paraId="37635D0B" w14:textId="77777777" w:rsidR="003F5418" w:rsidRDefault="002A6C25">
            <w:pPr>
              <w:pStyle w:val="P68B1DB1-Normal4"/>
              <w:jc w:val="center"/>
              <w:rPr>
                <w:rFonts w:eastAsiaTheme="minorEastAsia"/>
                <w:noProof/>
              </w:rPr>
            </w:pPr>
            <w:r>
              <w:rPr>
                <w:noProof/>
              </w:rPr>
              <w:t>NINCS</w:t>
            </w:r>
          </w:p>
        </w:tc>
        <w:tc>
          <w:tcPr>
            <w:tcW w:w="992" w:type="dxa"/>
            <w:tcBorders>
              <w:top w:val="single" w:sz="4" w:space="0" w:color="auto"/>
              <w:left w:val="nil"/>
              <w:bottom w:val="single" w:sz="4" w:space="0" w:color="auto"/>
              <w:right w:val="single" w:sz="4" w:space="0" w:color="auto"/>
            </w:tcBorders>
            <w:shd w:val="clear" w:color="auto" w:fill="C6EFCE"/>
            <w:noWrap/>
            <w:vAlign w:val="center"/>
          </w:tcPr>
          <w:p w14:paraId="79F52F82" w14:textId="77777777" w:rsidR="003F5418" w:rsidRDefault="002A6C25">
            <w:pPr>
              <w:pStyle w:val="P68B1DB1-Normal4"/>
              <w:jc w:val="center"/>
              <w:rPr>
                <w:rFonts w:eastAsiaTheme="minorEastAsia"/>
                <w:noProof/>
              </w:rPr>
            </w:pPr>
            <w:r>
              <w:rPr>
                <w:noProof/>
              </w:rPr>
              <w:t>Szám</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2C7720" w14:textId="77777777" w:rsidR="003F5418" w:rsidRDefault="002A6C25">
            <w:pPr>
              <w:pStyle w:val="P68B1DB1-Normal4"/>
              <w:jc w:val="center"/>
              <w:rPr>
                <w:rFonts w:eastAsiaTheme="minorEastAsia"/>
                <w:noProof/>
              </w:rPr>
            </w:pPr>
            <w:r>
              <w:rPr>
                <w:noProof/>
              </w:rPr>
              <w:t>0</w:t>
            </w:r>
          </w:p>
        </w:tc>
        <w:tc>
          <w:tcPr>
            <w:tcW w:w="851" w:type="dxa"/>
            <w:tcBorders>
              <w:top w:val="single" w:sz="4" w:space="0" w:color="auto"/>
              <w:left w:val="nil"/>
              <w:bottom w:val="single" w:sz="4" w:space="0" w:color="auto"/>
              <w:right w:val="single" w:sz="4" w:space="0" w:color="auto"/>
            </w:tcBorders>
            <w:shd w:val="clear" w:color="auto" w:fill="C6EFCE"/>
            <w:noWrap/>
            <w:vAlign w:val="center"/>
          </w:tcPr>
          <w:p w14:paraId="1AE2EBDB" w14:textId="77777777" w:rsidR="003F5418" w:rsidRDefault="002A6C25">
            <w:pPr>
              <w:pStyle w:val="P68B1DB1-Normal4"/>
              <w:jc w:val="center"/>
              <w:rPr>
                <w:rFonts w:eastAsiaTheme="minorEastAsia"/>
                <w:noProof/>
              </w:rPr>
            </w:pPr>
            <w:r>
              <w:rPr>
                <w:noProof/>
              </w:rPr>
              <w:t>324</w:t>
            </w:r>
          </w:p>
        </w:tc>
        <w:tc>
          <w:tcPr>
            <w:tcW w:w="850" w:type="dxa"/>
            <w:tcBorders>
              <w:top w:val="single" w:sz="4" w:space="0" w:color="auto"/>
              <w:left w:val="nil"/>
              <w:bottom w:val="single" w:sz="4" w:space="0" w:color="auto"/>
              <w:right w:val="single" w:sz="4" w:space="0" w:color="auto"/>
            </w:tcBorders>
            <w:shd w:val="clear" w:color="auto" w:fill="C6EFCE"/>
            <w:noWrap/>
            <w:vAlign w:val="center"/>
          </w:tcPr>
          <w:p w14:paraId="0E7EF340" w14:textId="77777777" w:rsidR="003F5418" w:rsidRDefault="002A6C25">
            <w:pPr>
              <w:pStyle w:val="P68B1DB1-Normal4"/>
              <w:jc w:val="center"/>
              <w:rPr>
                <w:rFonts w:eastAsiaTheme="minorEastAsia"/>
                <w:noProof/>
              </w:rPr>
            </w:pPr>
            <w:r>
              <w:rPr>
                <w:noProof/>
              </w:rPr>
              <w:t>Q4</w:t>
            </w:r>
          </w:p>
        </w:tc>
        <w:tc>
          <w:tcPr>
            <w:tcW w:w="709" w:type="dxa"/>
            <w:tcBorders>
              <w:top w:val="single" w:sz="4" w:space="0" w:color="auto"/>
              <w:left w:val="nil"/>
              <w:bottom w:val="single" w:sz="4" w:space="0" w:color="auto"/>
              <w:right w:val="single" w:sz="4" w:space="0" w:color="auto"/>
            </w:tcBorders>
            <w:shd w:val="clear" w:color="auto" w:fill="C6EFCE"/>
            <w:noWrap/>
            <w:vAlign w:val="center"/>
          </w:tcPr>
          <w:p w14:paraId="374684B0" w14:textId="77777777" w:rsidR="003F5418" w:rsidRDefault="002A6C25">
            <w:pPr>
              <w:pStyle w:val="P68B1DB1-Normal4"/>
              <w:jc w:val="center"/>
              <w:rPr>
                <w:rFonts w:eastAsiaTheme="minorEastAsia"/>
                <w:noProof/>
              </w:rPr>
            </w:pPr>
            <w:r>
              <w:rPr>
                <w:noProof/>
              </w:rPr>
              <w:t>2025</w:t>
            </w:r>
          </w:p>
        </w:tc>
        <w:tc>
          <w:tcPr>
            <w:tcW w:w="2891" w:type="dxa"/>
            <w:tcBorders>
              <w:top w:val="single" w:sz="4" w:space="0" w:color="auto"/>
              <w:left w:val="nil"/>
              <w:bottom w:val="single" w:sz="4" w:space="0" w:color="auto"/>
              <w:right w:val="single" w:sz="4" w:space="0" w:color="auto"/>
            </w:tcBorders>
            <w:shd w:val="clear" w:color="auto" w:fill="C6EFCE"/>
            <w:noWrap/>
            <w:vAlign w:val="center"/>
          </w:tcPr>
          <w:p w14:paraId="275D34BF" w14:textId="77777777" w:rsidR="003F5418" w:rsidRDefault="002A6C25">
            <w:pPr>
              <w:rPr>
                <w:rFonts w:ascii="Arial Narrow" w:eastAsiaTheme="minorEastAsia" w:hAnsi="Arial Narrow"/>
                <w:noProof/>
                <w:color w:val="006100"/>
                <w:sz w:val="20"/>
              </w:rPr>
            </w:pPr>
            <w:r>
              <w:rPr>
                <w:rFonts w:ascii="Arial Narrow" w:hAnsi="Arial Narrow"/>
                <w:noProof/>
                <w:color w:val="006100"/>
                <w:sz w:val="20"/>
              </w:rPr>
              <w:t xml:space="preserve">Finanszírozás </w:t>
            </w:r>
            <w:r>
              <w:rPr>
                <w:rFonts w:ascii="Arial Narrow" w:hAnsi="Arial Narrow"/>
                <w:noProof/>
                <w:color w:val="006100"/>
                <w:sz w:val="20"/>
              </w:rPr>
              <w:t>odaítélése az egészségre nagy hatást gyakorló betegségekkel kapcsolatos kutatási programok/projektek számára.</w:t>
            </w:r>
            <w:r>
              <w:rPr>
                <w:rFonts w:ascii="Arial Narrow" w:hAnsi="Arial Narrow"/>
                <w:noProof/>
              </w:rPr>
              <w:t xml:space="preserve"> </w:t>
            </w:r>
            <w:r>
              <w:rPr>
                <w:noProof/>
              </w:rPr>
              <w:t xml:space="preserve"> </w:t>
            </w:r>
            <w:r>
              <w:rPr>
                <w:noProof/>
              </w:rPr>
              <w:br/>
            </w:r>
            <w:r>
              <w:rPr>
                <w:rFonts w:ascii="Arial Narrow" w:hAnsi="Arial Narrow"/>
                <w:noProof/>
                <w:color w:val="006100"/>
                <w:sz w:val="20"/>
              </w:rPr>
              <w:t>Az egészségre nagy hatást gyakorló betegségekkel kapcsolatos kutatási projektek finanszírozása nyilvános pályázati eljárás keretében történik.</w:t>
            </w:r>
          </w:p>
          <w:p w14:paraId="3DBD50F0" w14:textId="77777777" w:rsidR="003F5418" w:rsidRDefault="002A6C25">
            <w:pPr>
              <w:pStyle w:val="P68B1DB1-Normal4"/>
              <w:rPr>
                <w:rFonts w:eastAsiaTheme="minorEastAsia"/>
                <w:noProof/>
              </w:rPr>
            </w:pPr>
            <w:r>
              <w:rPr>
                <w:noProof/>
              </w:rPr>
              <w:t>L</w:t>
            </w:r>
            <w:r>
              <w:rPr>
                <w:noProof/>
              </w:rPr>
              <w:t>egalább 324 kutatási projekt részesült a finanszírozás első részletében.</w:t>
            </w:r>
          </w:p>
        </w:tc>
      </w:tr>
    </w:tbl>
    <w:p w14:paraId="2880BB59" w14:textId="77777777" w:rsidR="003F5418" w:rsidRDefault="003F5418">
      <w:pPr>
        <w:spacing w:before="120" w:after="120"/>
        <w:ind w:left="709"/>
        <w:jc w:val="both"/>
        <w:rPr>
          <w:noProof/>
        </w:rPr>
      </w:pPr>
    </w:p>
    <w:p w14:paraId="6D9FFC7A" w14:textId="77777777" w:rsidR="003F5418" w:rsidRDefault="003F5418">
      <w:pPr>
        <w:spacing w:before="120" w:after="120"/>
        <w:ind w:left="709"/>
        <w:jc w:val="both"/>
        <w:rPr>
          <w:noProof/>
        </w:rPr>
        <w:sectPr w:rsidR="003F5418">
          <w:headerReference w:type="even" r:id="rId392"/>
          <w:headerReference w:type="default" r:id="rId393"/>
          <w:footerReference w:type="even" r:id="rId394"/>
          <w:footerReference w:type="default" r:id="rId395"/>
          <w:headerReference w:type="first" r:id="rId396"/>
          <w:footerReference w:type="first" r:id="rId397"/>
          <w:pgSz w:w="16839" w:h="11907" w:orient="landscape"/>
          <w:pgMar w:top="720" w:right="720" w:bottom="720" w:left="720" w:header="709" w:footer="709" w:gutter="0"/>
          <w:cols w:space="720"/>
          <w:docGrid w:linePitch="360"/>
        </w:sectPr>
      </w:pPr>
    </w:p>
    <w:p w14:paraId="2DA5C889" w14:textId="77777777" w:rsidR="003F5418" w:rsidRDefault="002A6C25">
      <w:pPr>
        <w:pStyle w:val="Heading3"/>
        <w:numPr>
          <w:ilvl w:val="0"/>
          <w:numId w:val="0"/>
        </w:numPr>
        <w:ind w:left="850" w:hanging="850"/>
        <w:rPr>
          <w:b/>
          <w:i w:val="0"/>
          <w:noProof/>
          <w:color w:val="4472C4" w:themeColor="accent1"/>
          <w:u w:val="single"/>
        </w:rPr>
      </w:pPr>
      <w:r>
        <w:rPr>
          <w:b/>
          <w:i w:val="0"/>
          <w:noProof/>
          <w:u w:val="single"/>
        </w:rPr>
        <w:t xml:space="preserve">P.3. </w:t>
      </w:r>
      <w:r>
        <w:rPr>
          <w:noProof/>
        </w:rPr>
        <w:t xml:space="preserve"> </w:t>
      </w:r>
      <w:r>
        <w:rPr>
          <w:b/>
          <w:i w:val="0"/>
          <w:noProof/>
          <w:u w:val="single"/>
        </w:rPr>
        <w:t xml:space="preserve">A hitelhez kapcsolódó reformok és beruházások ismertetése </w:t>
      </w:r>
    </w:p>
    <w:p w14:paraId="4C0AFF1E" w14:textId="0780DB8F" w:rsidR="003F5418" w:rsidRDefault="002F198A">
      <w:pPr>
        <w:pStyle w:val="P68B1DB1-Normal2"/>
        <w:spacing w:before="120" w:after="120"/>
        <w:jc w:val="both"/>
        <w:rPr>
          <w:noProof/>
        </w:rPr>
      </w:pPr>
      <w:r>
        <w:rPr>
          <w:noProof/>
        </w:rPr>
        <w:t>1</w:t>
      </w:r>
      <w:r w:rsidRPr="00B07E42">
        <w:rPr>
          <w:noProof/>
        </w:rPr>
        <w:t>.</w:t>
      </w:r>
      <w:r>
        <w:rPr>
          <w:noProof/>
        </w:rPr>
        <w:t>1. Beruházás: A kórházak technológiai berendezéseinek digitális frissítése</w:t>
      </w:r>
    </w:p>
    <w:p w14:paraId="5CEA0973" w14:textId="77777777" w:rsidR="003F5418" w:rsidRDefault="002A6C25">
      <w:pPr>
        <w:spacing w:before="120" w:after="120" w:line="259" w:lineRule="auto"/>
        <w:jc w:val="both"/>
        <w:rPr>
          <w:noProof/>
        </w:rPr>
      </w:pPr>
      <w:r>
        <w:rPr>
          <w:noProof/>
        </w:rPr>
        <w:t>Ez a beruházás az egészségügyi ellátás digitalizálásának javításából áll a személyzet termelékenységének növelése, a folyamatok minőségének javítása, a betegbiztonság és a magas színvonalú szolgáltatásnyújtás biztosítása érdekében. A b</w:t>
      </w:r>
      <w:r>
        <w:rPr>
          <w:noProof/>
        </w:rPr>
        <w:t>eruházás háromféle beavatkozást foglal magában:</w:t>
      </w:r>
    </w:p>
    <w:p w14:paraId="19795BAB" w14:textId="5518A00F" w:rsidR="003F5418" w:rsidRDefault="002A6C25">
      <w:pPr>
        <w:numPr>
          <w:ilvl w:val="0"/>
          <w:numId w:val="45"/>
        </w:numPr>
        <w:spacing w:before="120" w:after="120" w:line="259" w:lineRule="auto"/>
        <w:ind w:left="360"/>
        <w:contextualSpacing/>
        <w:jc w:val="both"/>
        <w:rPr>
          <w:noProof/>
        </w:rPr>
      </w:pPr>
      <w:r>
        <w:rPr>
          <w:noProof/>
        </w:rPr>
        <w:t>A nagyméretű egészségügyi berendezések korszerűsítése az elavult modellek technológiai fejlett modellekkel való felváltásával. A helyettesített berendezések ártalmatlaníthatók vagy áthelyezhetők a nemzeti egé</w:t>
      </w:r>
      <w:r>
        <w:rPr>
          <w:noProof/>
        </w:rPr>
        <w:t>szségügyi szolgálat más helyszíneire.</w:t>
      </w:r>
    </w:p>
    <w:p w14:paraId="5FBE6F42" w14:textId="77777777" w:rsidR="003F5418" w:rsidRDefault="002A6C25">
      <w:pPr>
        <w:numPr>
          <w:ilvl w:val="0"/>
          <w:numId w:val="45"/>
        </w:numPr>
        <w:spacing w:before="120" w:after="120" w:line="259" w:lineRule="auto"/>
        <w:ind w:left="360"/>
        <w:contextualSpacing/>
        <w:jc w:val="both"/>
        <w:rPr>
          <w:noProof/>
        </w:rPr>
      </w:pPr>
      <w:r>
        <w:rPr>
          <w:noProof/>
        </w:rPr>
        <w:t>Informatizáció a kórházak folyamatairól az első és második szintű sürgősségi osztálylal („Dipartimenti Emergenza e Accettazione”, DEA).</w:t>
      </w:r>
    </w:p>
    <w:p w14:paraId="27BF2366" w14:textId="77777777" w:rsidR="003F5418" w:rsidRDefault="002A6C25">
      <w:pPr>
        <w:numPr>
          <w:ilvl w:val="0"/>
          <w:numId w:val="45"/>
        </w:numPr>
        <w:spacing w:before="120" w:after="120" w:line="259" w:lineRule="auto"/>
        <w:ind w:left="360"/>
        <w:contextualSpacing/>
        <w:jc w:val="both"/>
        <w:rPr>
          <w:noProof/>
        </w:rPr>
      </w:pPr>
      <w:r>
        <w:rPr>
          <w:noProof/>
        </w:rPr>
        <w:t>Az ágyak számának növekedése az intenzív és félintenzív ápolási egységekben a Nemz</w:t>
      </w:r>
      <w:r>
        <w:rPr>
          <w:noProof/>
        </w:rPr>
        <w:t>eti Egészségügyi Szolgálat kórházaiban.</w:t>
      </w:r>
    </w:p>
    <w:p w14:paraId="6ABDD386" w14:textId="66332BFE" w:rsidR="003F5418" w:rsidRDefault="002F198A">
      <w:pPr>
        <w:pStyle w:val="P68B1DB1-Normal2"/>
        <w:spacing w:before="120" w:after="120"/>
        <w:jc w:val="both"/>
        <w:rPr>
          <w:noProof/>
        </w:rPr>
      </w:pPr>
      <w:r>
        <w:rPr>
          <w:noProof/>
        </w:rPr>
        <w:t>1</w:t>
      </w:r>
      <w:r w:rsidRPr="00B07E42">
        <w:rPr>
          <w:noProof/>
        </w:rPr>
        <w:t>.</w:t>
      </w:r>
      <w:r>
        <w:rPr>
          <w:noProof/>
        </w:rPr>
        <w:t>2. Beruházás: Biztonságos és fenntartható kórház felé</w:t>
      </w:r>
    </w:p>
    <w:p w14:paraId="0F68A2DC" w14:textId="77777777" w:rsidR="003F5418" w:rsidRDefault="002A6C25">
      <w:pPr>
        <w:spacing w:before="120" w:after="120" w:line="259" w:lineRule="auto"/>
        <w:jc w:val="both"/>
        <w:rPr>
          <w:noProof/>
        </w:rPr>
      </w:pPr>
      <w:r>
        <w:rPr>
          <w:noProof/>
        </w:rPr>
        <w:t>Ez a beruházás a kórházaknak a földrengés elleni szabályozáshoz való hozzáigazításából áll. E célból két különböző beruházási irányvonalat irányoztak elő:</w:t>
      </w:r>
    </w:p>
    <w:p w14:paraId="3C3C89F8" w14:textId="77777777" w:rsidR="003F5418" w:rsidRDefault="002A6C25">
      <w:pPr>
        <w:pStyle w:val="ListParagraph"/>
        <w:numPr>
          <w:ilvl w:val="0"/>
          <w:numId w:val="47"/>
        </w:numPr>
        <w:spacing w:line="259" w:lineRule="auto"/>
        <w:ind w:left="360"/>
        <w:rPr>
          <w:noProof/>
        </w:rPr>
      </w:pPr>
      <w:r>
        <w:rPr>
          <w:noProof/>
        </w:rPr>
        <w:t>A rég</w:t>
      </w:r>
      <w:r>
        <w:rPr>
          <w:noProof/>
        </w:rPr>
        <w:t>iók által kifejezett szükségletek felmérése alapján azonosított kórházi létesítmények földrengés-korszerűsítési és -javítási beavatkozásai.</w:t>
      </w:r>
    </w:p>
    <w:p w14:paraId="7985C3D6" w14:textId="77777777" w:rsidR="003F5418" w:rsidRDefault="002A6C25">
      <w:pPr>
        <w:pStyle w:val="ListParagraph"/>
        <w:numPr>
          <w:ilvl w:val="0"/>
          <w:numId w:val="47"/>
        </w:numPr>
        <w:spacing w:line="259" w:lineRule="auto"/>
        <w:ind w:left="360"/>
        <w:rPr>
          <w:noProof/>
        </w:rPr>
      </w:pPr>
      <w:r>
        <w:rPr>
          <w:noProof/>
        </w:rPr>
        <w:t>Többéves beavatkozás, amelynek célja a közegészségügyi ingatlanok fizikai és technológiai keretének felújítása és ko</w:t>
      </w:r>
      <w:r>
        <w:rPr>
          <w:noProof/>
        </w:rPr>
        <w:t>rszerűsítése.</w:t>
      </w:r>
    </w:p>
    <w:p w14:paraId="1BB6D34B" w14:textId="1209AE90" w:rsidR="003F5418" w:rsidRDefault="002F198A">
      <w:pPr>
        <w:pStyle w:val="P68B1DB1-Normal2"/>
        <w:spacing w:before="120" w:after="120"/>
        <w:jc w:val="both"/>
        <w:rPr>
          <w:noProof/>
        </w:rPr>
      </w:pPr>
      <w:r>
        <w:rPr>
          <w:noProof/>
        </w:rPr>
        <w:t>1</w:t>
      </w:r>
      <w:r w:rsidRPr="00B07E42">
        <w:rPr>
          <w:noProof/>
        </w:rPr>
        <w:t>.</w:t>
      </w:r>
      <w:r>
        <w:rPr>
          <w:noProof/>
        </w:rPr>
        <w:t>3. Beruházás: A technológiai infrastruktúra, valamint az adatgyűjtési, adatkezelési, adatelemzési és -szimulációs eszközök megerősítése</w:t>
      </w:r>
    </w:p>
    <w:p w14:paraId="4FD4A31C" w14:textId="77777777" w:rsidR="003F5418" w:rsidRDefault="002A6C25">
      <w:pPr>
        <w:spacing w:before="120" w:after="120" w:line="259" w:lineRule="auto"/>
        <w:jc w:val="both"/>
        <w:rPr>
          <w:noProof/>
        </w:rPr>
      </w:pPr>
      <w:r>
        <w:rPr>
          <w:noProof/>
        </w:rPr>
        <w:t>Ez a beruházás az ellátásnyújtást alátámasztó technológiai infrastruktúra, az egészségügyi elemzés és az</w:t>
      </w:r>
      <w:r>
        <w:rPr>
          <w:noProof/>
        </w:rPr>
        <w:t xml:space="preserve"> olasz NHS előrejelzési kapacitásának jelentős javításából áll. A beruházás két különböző projektből áll:</w:t>
      </w:r>
    </w:p>
    <w:p w14:paraId="2B825239" w14:textId="77777777" w:rsidR="003F5418" w:rsidRDefault="002A6C25">
      <w:pPr>
        <w:numPr>
          <w:ilvl w:val="0"/>
          <w:numId w:val="46"/>
        </w:numPr>
        <w:spacing w:before="120" w:after="120" w:line="259" w:lineRule="auto"/>
        <w:ind w:left="360"/>
        <w:contextualSpacing/>
        <w:jc w:val="both"/>
        <w:rPr>
          <w:noProof/>
          <w:u w:val="single"/>
        </w:rPr>
      </w:pPr>
      <w:r>
        <w:rPr>
          <w:noProof/>
        </w:rPr>
        <w:t xml:space="preserve">A meglévő elektronikus egészségügyi nyilvántartások infrastruktúrájának és felhasználásának megerősítése. Ezt úgy kell elérni, hogy az egész ország </w:t>
      </w:r>
      <w:r>
        <w:rPr>
          <w:noProof/>
        </w:rPr>
        <w:t>területén egységes, következetes és hordozható, teljes mértékben digitális őshonos adatkörnyezetté válik. Az elektronikus egészségügyi nyilvántartó rendszer három alapvető feladatot lát el: először is lehetővé teszi az egészségügyi szakemberek számára, hog</w:t>
      </w:r>
      <w:r>
        <w:rPr>
          <w:noProof/>
        </w:rPr>
        <w:t>y ugyanarra a klinikai információforrásra támaszkodjanak, amely a beteg teljes kórtörténetét részletezi; másodszor, ez lesz a polgárok és a betegek hozzáférési pontja a nemzeti és regionális egészségügyi rendszerek által nyújtott alapvető szolgáltatásokhoz</w:t>
      </w:r>
      <w:r>
        <w:rPr>
          <w:noProof/>
        </w:rPr>
        <w:t>; harmadszor, az egészségügyi hatóságokat fel kell hatalmazni arra, hogy a klinikai adatokat az egészségelemzés elvégzéséhez és az egészségügyi ellátás javításához használják fel.</w:t>
      </w:r>
    </w:p>
    <w:p w14:paraId="41992182" w14:textId="77777777" w:rsidR="003F5418" w:rsidRDefault="002A6C25">
      <w:pPr>
        <w:numPr>
          <w:ilvl w:val="0"/>
          <w:numId w:val="46"/>
        </w:numPr>
        <w:spacing w:before="120" w:after="120"/>
        <w:ind w:left="360"/>
        <w:contextualSpacing/>
        <w:jc w:val="both"/>
        <w:rPr>
          <w:noProof/>
          <w:u w:val="single"/>
        </w:rPr>
      </w:pPr>
      <w:r>
        <w:rPr>
          <w:noProof/>
        </w:rPr>
        <w:t>Az egészségügyi minisztérium infrastruktúrájának, valamint technológiai és e</w:t>
      </w:r>
      <w:r>
        <w:rPr>
          <w:noProof/>
        </w:rPr>
        <w:t xml:space="preserve">lemzési eszközeinek megerősítése az alapvető támogatási szintek (LEA, azaz az országos NHS által garantált szolgáltatások) nyomon követése érdekében, valamint az egészségügyi ellátás és szolgáltatások tervezése a népesség szükségleteivel és a demográfiai, </w:t>
      </w:r>
      <w:r>
        <w:rPr>
          <w:noProof/>
        </w:rPr>
        <w:t>innovációs és epidemiológiai tendenciák alakulásával összhangban. Az olasz egészségügyi minisztérium e kulcsfontosságú és elsődleges célkitűzése a következő négy részcélkitűzés megvalósításával valósul meg: i. az olasz egészségügyi minisztérium infrastrukt</w:t>
      </w:r>
      <w:r>
        <w:rPr>
          <w:noProof/>
        </w:rPr>
        <w:t>úrájának megerősítése, az EHR klinikai adatainak integrálása az új egészségügyi információs rendszer (NSIS) klinikai, adminisztratív és költségadataiba, valamint az egységes egészségügyi megközelítés keretében az egészséggel kapcsolatos egyéb információkba</w:t>
      </w:r>
      <w:r>
        <w:rPr>
          <w:noProof/>
        </w:rPr>
        <w:t xml:space="preserve"> és adatokba az „LEA” nyomon követése, valamint az egészségügyi felügyeleti és vigilanciai tevékenységek biztosítása érdekében; ii. az NSIS-adatok helyi szintű gyűjtésének, feldolgozásának és előállításának javítása, a regionális és helyi adatgenerálási fo</w:t>
      </w:r>
      <w:r>
        <w:rPr>
          <w:noProof/>
        </w:rPr>
        <w:t>lyamat átalakítása és szabványosítása az NSIS-eszköz minőségének, hatékonyságának és megfelelőségének mérésére szolgáló eszköz javítása érdekében; fejlett elemzési eszközök kifejlesztése az összetett jelenségek és forgatókönyv-előrejelzések értékelésére az</w:t>
      </w:r>
      <w:r>
        <w:rPr>
          <w:noProof/>
        </w:rPr>
        <w:t xml:space="preserve"> egészségügyi szolgáltatás megtervezésére és az új betegségek felderítésére szolgáló központi kapacitás javítása érdekében; olyan nemzeti platform létrehozása, amely kielégítheti az akkreditált szolgáltatók távorvoslási szolgáltatásainak kínálatát és keres</w:t>
      </w:r>
      <w:r>
        <w:rPr>
          <w:noProof/>
        </w:rPr>
        <w:t xml:space="preserve">letét. </w:t>
      </w:r>
    </w:p>
    <w:p w14:paraId="2AA75909" w14:textId="2D8D8AEC" w:rsidR="003F5418" w:rsidRDefault="002F198A">
      <w:pPr>
        <w:pStyle w:val="P68B1DB1-Normal2"/>
        <w:spacing w:before="120" w:after="120"/>
        <w:jc w:val="both"/>
        <w:rPr>
          <w:noProof/>
        </w:rPr>
      </w:pPr>
      <w:r>
        <w:rPr>
          <w:noProof/>
        </w:rPr>
        <w:t>2</w:t>
      </w:r>
      <w:r w:rsidRPr="00B07E42">
        <w:rPr>
          <w:noProof/>
        </w:rPr>
        <w:t>.</w:t>
      </w:r>
      <w:r>
        <w:rPr>
          <w:noProof/>
        </w:rPr>
        <w:t>2. Beruházás: Az egészségügyi rendszer szakemberei műszaki-szakmai, digitális és vezetői készségeinek fejlesztése</w:t>
      </w:r>
    </w:p>
    <w:p w14:paraId="710F7BD1" w14:textId="77777777" w:rsidR="003F5418" w:rsidRDefault="002A6C25">
      <w:pPr>
        <w:spacing w:before="120" w:after="120"/>
        <w:jc w:val="both"/>
        <w:rPr>
          <w:noProof/>
          <w:u w:val="single"/>
        </w:rPr>
      </w:pPr>
      <w:r>
        <w:rPr>
          <w:noProof/>
        </w:rPr>
        <w:t xml:space="preserve">Ez a beruházás a speciális általános orvostudományi képzéshez nyújtott ösztöndíjak növeléséből áll; képzési terv indítása a kórházi </w:t>
      </w:r>
      <w:r>
        <w:rPr>
          <w:noProof/>
        </w:rPr>
        <w:t>fertőzések biztonságosságáról az NHS teljes személyzete számára; képzési pálya aktiválása az NHS szerveiben vezető szerepet betöltő személyzet számára a vezetői és digitális készségek terén, valamint speciális orvosi képzési szerződések finanszírozása.</w:t>
      </w:r>
    </w:p>
    <w:p w14:paraId="7A0E010D" w14:textId="77777777" w:rsidR="003F5418" w:rsidRDefault="002A6C25">
      <w:pPr>
        <w:pStyle w:val="Heading3"/>
        <w:numPr>
          <w:ilvl w:val="0"/>
          <w:numId w:val="0"/>
        </w:numPr>
        <w:ind w:left="850" w:hanging="850"/>
        <w:rPr>
          <w:b/>
          <w:i w:val="0"/>
          <w:noProof/>
          <w:u w:val="single"/>
        </w:rPr>
      </w:pPr>
      <w:r>
        <w:rPr>
          <w:b/>
          <w:i w:val="0"/>
          <w:noProof/>
          <w:u w:val="single"/>
        </w:rPr>
        <w:t>P.4</w:t>
      </w:r>
      <w:r>
        <w:rPr>
          <w:b/>
          <w:i w:val="0"/>
          <w:noProof/>
          <w:u w:val="single"/>
        </w:rPr>
        <w:t xml:space="preserve">. </w:t>
      </w:r>
      <w:r>
        <w:rPr>
          <w:noProof/>
        </w:rPr>
        <w:t xml:space="preserve"> </w:t>
      </w:r>
      <w:r>
        <w:rPr>
          <w:b/>
          <w:i w:val="0"/>
          <w:noProof/>
          <w:u w:val="single"/>
        </w:rPr>
        <w:t xml:space="preserve">Hitel – a végrehajtáshoz és a nyomon követéshez kapcsolódó mérföldkövek, célok, mutatók és ütemterv </w:t>
      </w:r>
    </w:p>
    <w:p w14:paraId="064B40F1" w14:textId="77777777" w:rsidR="003F5418" w:rsidRDefault="002A6C25">
      <w:pPr>
        <w:pStyle w:val="P68B1DB1-Normal26"/>
        <w:spacing w:before="120" w:after="120"/>
        <w:ind w:left="709"/>
        <w:jc w:val="both"/>
        <w:rPr>
          <w:noProof/>
        </w:rPr>
      </w:pPr>
      <w:r>
        <w:rPr>
          <w:noProof/>
        </w:rPr>
        <w:t xml:space="preserve"> </w:t>
      </w:r>
    </w:p>
    <w:p w14:paraId="100722B6" w14:textId="77777777" w:rsidR="003F5418" w:rsidRDefault="003F5418">
      <w:pPr>
        <w:spacing w:before="120" w:after="120"/>
        <w:ind w:left="709"/>
        <w:contextualSpacing/>
        <w:jc w:val="both"/>
        <w:rPr>
          <w:noProof/>
        </w:rPr>
        <w:sectPr w:rsidR="003F5418">
          <w:headerReference w:type="even" r:id="rId398"/>
          <w:headerReference w:type="default" r:id="rId399"/>
          <w:footerReference w:type="even" r:id="rId400"/>
          <w:footerReference w:type="default" r:id="rId401"/>
          <w:headerReference w:type="first" r:id="rId402"/>
          <w:footerReference w:type="first" r:id="rId403"/>
          <w:pgSz w:w="11907" w:h="16839"/>
          <w:pgMar w:top="1134" w:right="1417" w:bottom="1134" w:left="1417" w:header="709" w:footer="709" w:gutter="0"/>
          <w:cols w:space="720"/>
          <w:docGrid w:linePitch="360"/>
        </w:sectPr>
      </w:pP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134"/>
        <w:gridCol w:w="1560"/>
        <w:gridCol w:w="1559"/>
        <w:gridCol w:w="1276"/>
        <w:gridCol w:w="992"/>
        <w:gridCol w:w="850"/>
        <w:gridCol w:w="851"/>
        <w:gridCol w:w="709"/>
        <w:gridCol w:w="2835"/>
      </w:tblGrid>
      <w:tr w:rsidR="003F5418" w14:paraId="503C5DA6" w14:textId="77777777">
        <w:trPr>
          <w:trHeight w:val="939"/>
          <w:tblHeader/>
          <w:jc w:val="center"/>
        </w:trPr>
        <w:tc>
          <w:tcPr>
            <w:tcW w:w="1129" w:type="dxa"/>
            <w:vMerge w:val="restart"/>
            <w:shd w:val="clear" w:color="auto" w:fill="BDD7EE"/>
            <w:vAlign w:val="center"/>
            <w:hideMark/>
          </w:tcPr>
          <w:p w14:paraId="7CCB6CB1" w14:textId="77777777" w:rsidR="003F5418" w:rsidRDefault="002A6C25">
            <w:pPr>
              <w:pStyle w:val="P68B1DB1-Normal3"/>
              <w:spacing w:before="120" w:after="120"/>
              <w:jc w:val="center"/>
              <w:rPr>
                <w:noProof/>
              </w:rPr>
            </w:pPr>
            <w:r>
              <w:rPr>
                <w:noProof/>
              </w:rPr>
              <w:t>Sorszám</w:t>
            </w:r>
          </w:p>
        </w:tc>
        <w:tc>
          <w:tcPr>
            <w:tcW w:w="1701" w:type="dxa"/>
            <w:vMerge w:val="restart"/>
            <w:shd w:val="clear" w:color="auto" w:fill="BDD7EE"/>
            <w:vAlign w:val="center"/>
            <w:hideMark/>
          </w:tcPr>
          <w:p w14:paraId="2315B492" w14:textId="77777777" w:rsidR="003F5418" w:rsidRDefault="002A6C25">
            <w:pPr>
              <w:pStyle w:val="P68B1DB1-Normal3"/>
              <w:spacing w:before="120" w:after="120"/>
              <w:jc w:val="center"/>
              <w:rPr>
                <w:noProof/>
              </w:rPr>
            </w:pPr>
            <w:r>
              <w:rPr>
                <w:noProof/>
              </w:rPr>
              <w:t>Kapcsolódó intézkedés (reform vagy beruházás)</w:t>
            </w:r>
          </w:p>
        </w:tc>
        <w:tc>
          <w:tcPr>
            <w:tcW w:w="1134" w:type="dxa"/>
            <w:vMerge w:val="restart"/>
            <w:shd w:val="clear" w:color="auto" w:fill="BDD7EE"/>
            <w:vAlign w:val="center"/>
            <w:hideMark/>
          </w:tcPr>
          <w:p w14:paraId="12BCF8AB" w14:textId="77777777" w:rsidR="003F5418" w:rsidRDefault="002A6C25">
            <w:pPr>
              <w:pStyle w:val="P68B1DB1-Normal3"/>
              <w:spacing w:before="120" w:after="120"/>
              <w:jc w:val="center"/>
              <w:rPr>
                <w:noProof/>
              </w:rPr>
            </w:pPr>
            <w:r>
              <w:rPr>
                <w:noProof/>
              </w:rPr>
              <w:t>Mérföldkő/cél</w:t>
            </w:r>
          </w:p>
        </w:tc>
        <w:tc>
          <w:tcPr>
            <w:tcW w:w="1560" w:type="dxa"/>
            <w:vMerge w:val="restart"/>
            <w:shd w:val="clear" w:color="auto" w:fill="BDD7EE"/>
            <w:vAlign w:val="center"/>
            <w:hideMark/>
          </w:tcPr>
          <w:p w14:paraId="769C715D" w14:textId="77777777" w:rsidR="003F5418" w:rsidRDefault="002A6C25">
            <w:pPr>
              <w:pStyle w:val="P68B1DB1-Normal3"/>
              <w:spacing w:before="120" w:after="120"/>
              <w:jc w:val="center"/>
              <w:rPr>
                <w:noProof/>
              </w:rPr>
            </w:pPr>
            <w:r>
              <w:rPr>
                <w:noProof/>
              </w:rPr>
              <w:t>Név</w:t>
            </w:r>
          </w:p>
        </w:tc>
        <w:tc>
          <w:tcPr>
            <w:tcW w:w="1559" w:type="dxa"/>
            <w:vMerge w:val="restart"/>
            <w:shd w:val="clear" w:color="auto" w:fill="BDD7EE"/>
            <w:vAlign w:val="center"/>
            <w:hideMark/>
          </w:tcPr>
          <w:p w14:paraId="6AB5F44B" w14:textId="77777777" w:rsidR="003F5418" w:rsidRDefault="002A6C25">
            <w:pPr>
              <w:spacing w:before="120" w:after="120"/>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w:t>
            </w:r>
            <w:r>
              <w:rPr>
                <w:rFonts w:ascii="Arial Narrow" w:hAnsi="Arial Narrow"/>
                <w:b/>
                <w:noProof/>
                <w:sz w:val="20"/>
              </w:rPr>
              <w:t xml:space="preserve"> részcélokra vonatkozóan)</w:t>
            </w:r>
          </w:p>
        </w:tc>
        <w:tc>
          <w:tcPr>
            <w:tcW w:w="3118" w:type="dxa"/>
            <w:gridSpan w:val="3"/>
            <w:shd w:val="clear" w:color="auto" w:fill="BDD7EE"/>
            <w:vAlign w:val="center"/>
            <w:hideMark/>
          </w:tcPr>
          <w:p w14:paraId="6169D6A8" w14:textId="77777777" w:rsidR="003F5418" w:rsidRDefault="002A6C25">
            <w:pPr>
              <w:spacing w:before="120" w:after="120"/>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60" w:type="dxa"/>
            <w:gridSpan w:val="2"/>
            <w:shd w:val="clear" w:color="auto" w:fill="BDD7EE"/>
            <w:vAlign w:val="center"/>
            <w:hideMark/>
          </w:tcPr>
          <w:p w14:paraId="345CDD13" w14:textId="77777777" w:rsidR="003F5418" w:rsidRDefault="002A6C25">
            <w:pPr>
              <w:pStyle w:val="P68B1DB1-Normal3"/>
              <w:spacing w:before="120" w:after="120"/>
              <w:jc w:val="center"/>
              <w:rPr>
                <w:noProof/>
              </w:rPr>
            </w:pPr>
            <w:r>
              <w:rPr>
                <w:noProof/>
              </w:rPr>
              <w:t>A végrehajtás indikatív ütemterve</w:t>
            </w:r>
          </w:p>
        </w:tc>
        <w:tc>
          <w:tcPr>
            <w:tcW w:w="2835" w:type="dxa"/>
            <w:vMerge w:val="restart"/>
            <w:shd w:val="clear" w:color="auto" w:fill="BDD7EE"/>
            <w:vAlign w:val="center"/>
            <w:hideMark/>
          </w:tcPr>
          <w:p w14:paraId="6999E6E9" w14:textId="77777777" w:rsidR="003F5418" w:rsidRDefault="002A6C25">
            <w:pPr>
              <w:pStyle w:val="P68B1DB1-Normal3"/>
              <w:spacing w:before="120" w:after="120"/>
              <w:jc w:val="center"/>
              <w:rPr>
                <w:noProof/>
              </w:rPr>
            </w:pPr>
            <w:r>
              <w:rPr>
                <w:noProof/>
              </w:rPr>
              <w:t>Az egyes mérföldkövek és célértékek leírása</w:t>
            </w:r>
          </w:p>
        </w:tc>
      </w:tr>
      <w:tr w:rsidR="003F5418" w14:paraId="69A3D2E3" w14:textId="77777777">
        <w:trPr>
          <w:trHeight w:val="883"/>
          <w:jc w:val="center"/>
        </w:trPr>
        <w:tc>
          <w:tcPr>
            <w:tcW w:w="1129" w:type="dxa"/>
            <w:vMerge/>
            <w:vAlign w:val="center"/>
            <w:hideMark/>
          </w:tcPr>
          <w:p w14:paraId="36E17D73" w14:textId="77777777" w:rsidR="003F5418" w:rsidRDefault="003F5418">
            <w:pPr>
              <w:spacing w:before="120" w:after="120"/>
              <w:jc w:val="center"/>
              <w:rPr>
                <w:rFonts w:ascii="Arial Narrow" w:hAnsi="Arial Narrow"/>
                <w:b/>
                <w:noProof/>
                <w:sz w:val="20"/>
              </w:rPr>
            </w:pPr>
          </w:p>
        </w:tc>
        <w:tc>
          <w:tcPr>
            <w:tcW w:w="1701" w:type="dxa"/>
            <w:vMerge/>
            <w:vAlign w:val="center"/>
            <w:hideMark/>
          </w:tcPr>
          <w:p w14:paraId="03967DF2" w14:textId="77777777" w:rsidR="003F5418" w:rsidRDefault="003F5418">
            <w:pPr>
              <w:spacing w:before="120" w:after="120"/>
              <w:jc w:val="center"/>
              <w:rPr>
                <w:rFonts w:ascii="Arial Narrow" w:hAnsi="Arial Narrow"/>
                <w:b/>
                <w:noProof/>
                <w:sz w:val="20"/>
              </w:rPr>
            </w:pPr>
          </w:p>
        </w:tc>
        <w:tc>
          <w:tcPr>
            <w:tcW w:w="1134" w:type="dxa"/>
            <w:vMerge/>
            <w:vAlign w:val="center"/>
            <w:hideMark/>
          </w:tcPr>
          <w:p w14:paraId="3F6A663C" w14:textId="77777777" w:rsidR="003F5418" w:rsidRDefault="003F5418">
            <w:pPr>
              <w:spacing w:before="120" w:after="120"/>
              <w:jc w:val="center"/>
              <w:rPr>
                <w:rFonts w:ascii="Arial Narrow" w:hAnsi="Arial Narrow"/>
                <w:b/>
                <w:noProof/>
                <w:sz w:val="20"/>
              </w:rPr>
            </w:pPr>
          </w:p>
        </w:tc>
        <w:tc>
          <w:tcPr>
            <w:tcW w:w="1560" w:type="dxa"/>
            <w:vMerge/>
            <w:vAlign w:val="center"/>
            <w:hideMark/>
          </w:tcPr>
          <w:p w14:paraId="6FE0E3E9" w14:textId="77777777" w:rsidR="003F5418" w:rsidRDefault="003F5418">
            <w:pPr>
              <w:spacing w:before="120" w:after="120"/>
              <w:jc w:val="center"/>
              <w:rPr>
                <w:rFonts w:ascii="Arial Narrow" w:hAnsi="Arial Narrow"/>
                <w:b/>
                <w:noProof/>
                <w:sz w:val="20"/>
              </w:rPr>
            </w:pPr>
          </w:p>
        </w:tc>
        <w:tc>
          <w:tcPr>
            <w:tcW w:w="1559" w:type="dxa"/>
            <w:vMerge/>
            <w:vAlign w:val="center"/>
            <w:hideMark/>
          </w:tcPr>
          <w:p w14:paraId="219452DD" w14:textId="77777777" w:rsidR="003F5418" w:rsidRDefault="003F5418">
            <w:pPr>
              <w:spacing w:before="120" w:after="120"/>
              <w:jc w:val="center"/>
              <w:rPr>
                <w:rFonts w:ascii="Arial Narrow" w:hAnsi="Arial Narrow"/>
                <w:b/>
                <w:noProof/>
                <w:sz w:val="20"/>
              </w:rPr>
            </w:pPr>
          </w:p>
        </w:tc>
        <w:tc>
          <w:tcPr>
            <w:tcW w:w="1276" w:type="dxa"/>
            <w:shd w:val="clear" w:color="auto" w:fill="BDD7EE"/>
            <w:vAlign w:val="center"/>
            <w:hideMark/>
          </w:tcPr>
          <w:p w14:paraId="523BAD71" w14:textId="77777777" w:rsidR="003F5418" w:rsidRDefault="002A6C25">
            <w:pPr>
              <w:pStyle w:val="P68B1DB1-Normal3"/>
              <w:spacing w:before="120" w:after="120"/>
              <w:jc w:val="center"/>
              <w:rPr>
                <w:noProof/>
              </w:rPr>
            </w:pPr>
            <w:r>
              <w:rPr>
                <w:noProof/>
              </w:rPr>
              <w:t>Mértékegység</w:t>
            </w:r>
          </w:p>
        </w:tc>
        <w:tc>
          <w:tcPr>
            <w:tcW w:w="992" w:type="dxa"/>
            <w:shd w:val="clear" w:color="auto" w:fill="BDD7EE"/>
            <w:vAlign w:val="center"/>
            <w:hideMark/>
          </w:tcPr>
          <w:p w14:paraId="5679BAFD" w14:textId="77777777" w:rsidR="003F5418" w:rsidRDefault="002A6C25">
            <w:pPr>
              <w:pStyle w:val="P68B1DB1-Normal3"/>
              <w:spacing w:before="120" w:after="120"/>
              <w:jc w:val="center"/>
              <w:rPr>
                <w:noProof/>
              </w:rPr>
            </w:pPr>
            <w:r>
              <w:rPr>
                <w:noProof/>
              </w:rPr>
              <w:t>Kiindulási</w:t>
            </w:r>
          </w:p>
        </w:tc>
        <w:tc>
          <w:tcPr>
            <w:tcW w:w="850" w:type="dxa"/>
            <w:shd w:val="clear" w:color="auto" w:fill="BDD7EE"/>
            <w:vAlign w:val="center"/>
            <w:hideMark/>
          </w:tcPr>
          <w:p w14:paraId="17076E2E" w14:textId="77777777" w:rsidR="003F5418" w:rsidRDefault="002A6C25">
            <w:pPr>
              <w:pStyle w:val="P68B1DB1-Normal3"/>
              <w:spacing w:before="120" w:after="120"/>
              <w:jc w:val="center"/>
              <w:rPr>
                <w:noProof/>
              </w:rPr>
            </w:pPr>
            <w:r>
              <w:rPr>
                <w:noProof/>
              </w:rPr>
              <w:t>Cél</w:t>
            </w:r>
          </w:p>
        </w:tc>
        <w:tc>
          <w:tcPr>
            <w:tcW w:w="851" w:type="dxa"/>
            <w:shd w:val="clear" w:color="auto" w:fill="BDD7EE"/>
            <w:vAlign w:val="center"/>
            <w:hideMark/>
          </w:tcPr>
          <w:p w14:paraId="131A8E44" w14:textId="77777777" w:rsidR="003F5418" w:rsidRDefault="002A6C25">
            <w:pPr>
              <w:pStyle w:val="P68B1DB1-Normal3"/>
              <w:spacing w:before="120" w:after="120"/>
              <w:jc w:val="center"/>
              <w:rPr>
                <w:noProof/>
              </w:rPr>
            </w:pPr>
            <w:r>
              <w:rPr>
                <w:noProof/>
              </w:rPr>
              <w:t>Negyedév</w:t>
            </w:r>
          </w:p>
        </w:tc>
        <w:tc>
          <w:tcPr>
            <w:tcW w:w="709" w:type="dxa"/>
            <w:shd w:val="clear" w:color="auto" w:fill="BDD7EE"/>
            <w:vAlign w:val="center"/>
            <w:hideMark/>
          </w:tcPr>
          <w:p w14:paraId="7CD078FA" w14:textId="77777777" w:rsidR="003F5418" w:rsidRDefault="002A6C25">
            <w:pPr>
              <w:pStyle w:val="P68B1DB1-Normal3"/>
              <w:spacing w:before="120" w:after="120"/>
              <w:jc w:val="center"/>
              <w:rPr>
                <w:noProof/>
              </w:rPr>
            </w:pPr>
            <w:r>
              <w:rPr>
                <w:noProof/>
              </w:rPr>
              <w:t>Éve</w:t>
            </w:r>
          </w:p>
        </w:tc>
        <w:tc>
          <w:tcPr>
            <w:tcW w:w="2835" w:type="dxa"/>
            <w:vMerge/>
            <w:vAlign w:val="center"/>
            <w:hideMark/>
          </w:tcPr>
          <w:p w14:paraId="64BE0A73" w14:textId="77777777" w:rsidR="003F5418" w:rsidRDefault="003F5418">
            <w:pPr>
              <w:spacing w:before="120" w:after="120"/>
              <w:rPr>
                <w:rFonts w:ascii="Arial Narrow" w:hAnsi="Arial Narrow"/>
                <w:b/>
                <w:noProof/>
                <w:sz w:val="20"/>
              </w:rPr>
            </w:pPr>
          </w:p>
        </w:tc>
      </w:tr>
      <w:tr w:rsidR="003F5418" w14:paraId="7AA16094" w14:textId="77777777">
        <w:trPr>
          <w:trHeight w:val="313"/>
          <w:jc w:val="center"/>
        </w:trPr>
        <w:tc>
          <w:tcPr>
            <w:tcW w:w="1129" w:type="dxa"/>
            <w:shd w:val="clear" w:color="auto" w:fill="C6EFCE"/>
            <w:noWrap/>
            <w:vAlign w:val="center"/>
          </w:tcPr>
          <w:p w14:paraId="4CDE4AFF" w14:textId="77777777" w:rsidR="003F5418" w:rsidRDefault="002A6C25">
            <w:pPr>
              <w:pStyle w:val="P68B1DB1-Normal4"/>
              <w:spacing w:before="120" w:after="120"/>
              <w:jc w:val="center"/>
              <w:rPr>
                <w:noProof/>
              </w:rPr>
            </w:pPr>
            <w:r>
              <w:rPr>
                <w:noProof/>
              </w:rPr>
              <w:t>M6C2–4</w:t>
            </w:r>
          </w:p>
        </w:tc>
        <w:tc>
          <w:tcPr>
            <w:tcW w:w="1701" w:type="dxa"/>
            <w:shd w:val="clear" w:color="auto" w:fill="C6EFCE"/>
            <w:noWrap/>
            <w:vAlign w:val="center"/>
          </w:tcPr>
          <w:p w14:paraId="06EFEE22" w14:textId="77777777" w:rsidR="003F5418" w:rsidRDefault="002A6C25">
            <w:pPr>
              <w:pStyle w:val="P68B1DB1-Normal28"/>
              <w:spacing w:before="120" w:after="120"/>
              <w:jc w:val="center"/>
              <w:rPr>
                <w:noProof/>
                <w:color w:val="006100"/>
              </w:rPr>
            </w:pPr>
            <w:r>
              <w:rPr>
                <w:noProof/>
              </w:rPr>
              <w:t xml:space="preserve">Beruházás: A kórházak technológiai berendezéseinek </w:t>
            </w:r>
            <w:r>
              <w:rPr>
                <w:noProof/>
              </w:rPr>
              <w:t>digitális frissítése</w:t>
            </w:r>
          </w:p>
        </w:tc>
        <w:tc>
          <w:tcPr>
            <w:tcW w:w="1134" w:type="dxa"/>
            <w:shd w:val="clear" w:color="auto" w:fill="C6EFCE"/>
            <w:noWrap/>
            <w:vAlign w:val="center"/>
          </w:tcPr>
          <w:p w14:paraId="3D8F4B7E" w14:textId="77777777" w:rsidR="003F5418" w:rsidRDefault="002A6C25">
            <w:pPr>
              <w:pStyle w:val="P68B1DB1-Normal28"/>
              <w:spacing w:before="120" w:after="120"/>
              <w:jc w:val="center"/>
              <w:rPr>
                <w:noProof/>
                <w:color w:val="006100"/>
              </w:rPr>
            </w:pPr>
            <w:r>
              <w:rPr>
                <w:noProof/>
              </w:rPr>
              <w:t>Mérföldkő</w:t>
            </w:r>
          </w:p>
        </w:tc>
        <w:tc>
          <w:tcPr>
            <w:tcW w:w="1560" w:type="dxa"/>
            <w:shd w:val="clear" w:color="auto" w:fill="C6EFCE"/>
            <w:noWrap/>
            <w:vAlign w:val="center"/>
          </w:tcPr>
          <w:p w14:paraId="3D500301" w14:textId="77777777" w:rsidR="003F5418" w:rsidRDefault="002A6C25">
            <w:pPr>
              <w:pStyle w:val="P68B1DB1-Normal28"/>
              <w:spacing w:before="120" w:after="120"/>
              <w:jc w:val="center"/>
              <w:rPr>
                <w:rFonts w:eastAsia="Calibri"/>
                <w:noProof/>
              </w:rPr>
            </w:pPr>
            <w:r>
              <w:rPr>
                <w:noProof/>
              </w:rPr>
              <w:t xml:space="preserve">Az Egészségügyi Minisztérium/olasz régiók által jóváhagyott átszervezési terv </w:t>
            </w:r>
          </w:p>
        </w:tc>
        <w:tc>
          <w:tcPr>
            <w:tcW w:w="1559" w:type="dxa"/>
            <w:shd w:val="clear" w:color="auto" w:fill="C6EFCE"/>
            <w:noWrap/>
            <w:vAlign w:val="center"/>
          </w:tcPr>
          <w:p w14:paraId="41901C39" w14:textId="77777777" w:rsidR="003F5418" w:rsidRDefault="002A6C25">
            <w:pPr>
              <w:pStyle w:val="P68B1DB1-Normal28"/>
              <w:spacing w:before="120" w:after="120"/>
              <w:jc w:val="center"/>
              <w:rPr>
                <w:rFonts w:eastAsia="Calibri"/>
                <w:noProof/>
              </w:rPr>
            </w:pPr>
            <w:r>
              <w:rPr>
                <w:noProof/>
              </w:rPr>
              <w:t>Értesítés a jóváhagyásról</w:t>
            </w:r>
          </w:p>
        </w:tc>
        <w:tc>
          <w:tcPr>
            <w:tcW w:w="1276" w:type="dxa"/>
            <w:shd w:val="clear" w:color="auto" w:fill="C6EFCE"/>
            <w:noWrap/>
            <w:vAlign w:val="center"/>
          </w:tcPr>
          <w:p w14:paraId="50978EE6" w14:textId="77777777" w:rsidR="003F5418" w:rsidRDefault="002A6C25">
            <w:pPr>
              <w:pStyle w:val="P68B1DB1-Normal28"/>
              <w:spacing w:before="120" w:after="120"/>
              <w:jc w:val="center"/>
              <w:rPr>
                <w:noProof/>
                <w:color w:val="006100"/>
              </w:rPr>
            </w:pPr>
            <w:r>
              <w:rPr>
                <w:noProof/>
              </w:rPr>
              <w:t>NINCS</w:t>
            </w:r>
          </w:p>
        </w:tc>
        <w:tc>
          <w:tcPr>
            <w:tcW w:w="992" w:type="dxa"/>
            <w:shd w:val="clear" w:color="auto" w:fill="C6EFCE"/>
            <w:noWrap/>
            <w:vAlign w:val="center"/>
          </w:tcPr>
          <w:p w14:paraId="6151DF60" w14:textId="77777777" w:rsidR="003F5418" w:rsidRDefault="002A6C25">
            <w:pPr>
              <w:pStyle w:val="P68B1DB1-Normal28"/>
              <w:spacing w:before="120" w:after="120"/>
              <w:jc w:val="center"/>
              <w:rPr>
                <w:noProof/>
                <w:color w:val="006100"/>
              </w:rPr>
            </w:pPr>
            <w:r>
              <w:rPr>
                <w:noProof/>
              </w:rPr>
              <w:t>NINCS</w:t>
            </w:r>
          </w:p>
        </w:tc>
        <w:tc>
          <w:tcPr>
            <w:tcW w:w="850" w:type="dxa"/>
            <w:shd w:val="clear" w:color="auto" w:fill="C6EFCE"/>
            <w:noWrap/>
            <w:vAlign w:val="center"/>
          </w:tcPr>
          <w:p w14:paraId="1CF34D34" w14:textId="77777777" w:rsidR="003F5418" w:rsidRDefault="002A6C25">
            <w:pPr>
              <w:pStyle w:val="P68B1DB1-Normal28"/>
              <w:spacing w:before="120" w:after="120"/>
              <w:jc w:val="center"/>
              <w:rPr>
                <w:noProof/>
                <w:color w:val="006100"/>
              </w:rPr>
            </w:pPr>
            <w:r>
              <w:rPr>
                <w:noProof/>
              </w:rPr>
              <w:t>NINCS</w:t>
            </w:r>
          </w:p>
        </w:tc>
        <w:tc>
          <w:tcPr>
            <w:tcW w:w="851" w:type="dxa"/>
            <w:shd w:val="clear" w:color="auto" w:fill="C6EFCE"/>
            <w:noWrap/>
            <w:vAlign w:val="center"/>
          </w:tcPr>
          <w:p w14:paraId="3CE589E0" w14:textId="77777777" w:rsidR="003F5418" w:rsidRDefault="002A6C25">
            <w:pPr>
              <w:pStyle w:val="P68B1DB1-Normal28"/>
              <w:spacing w:before="120" w:after="120"/>
              <w:jc w:val="center"/>
              <w:rPr>
                <w:noProof/>
                <w:color w:val="006100"/>
              </w:rPr>
            </w:pPr>
            <w:r>
              <w:rPr>
                <w:noProof/>
              </w:rPr>
              <w:t>Q4</w:t>
            </w:r>
          </w:p>
        </w:tc>
        <w:tc>
          <w:tcPr>
            <w:tcW w:w="709" w:type="dxa"/>
            <w:shd w:val="clear" w:color="auto" w:fill="C6EFCE"/>
            <w:noWrap/>
            <w:vAlign w:val="center"/>
          </w:tcPr>
          <w:p w14:paraId="4CE722E0" w14:textId="77777777" w:rsidR="003F5418" w:rsidRDefault="002A6C25">
            <w:pPr>
              <w:pStyle w:val="P68B1DB1-Normal28"/>
              <w:spacing w:before="120" w:after="120"/>
              <w:jc w:val="center"/>
              <w:rPr>
                <w:noProof/>
                <w:color w:val="006100"/>
              </w:rPr>
            </w:pPr>
            <w:r>
              <w:rPr>
                <w:noProof/>
              </w:rPr>
              <w:t>2021</w:t>
            </w:r>
          </w:p>
        </w:tc>
        <w:tc>
          <w:tcPr>
            <w:tcW w:w="2835" w:type="dxa"/>
            <w:shd w:val="clear" w:color="auto" w:fill="C6EFCE"/>
            <w:noWrap/>
            <w:vAlign w:val="center"/>
          </w:tcPr>
          <w:p w14:paraId="5A31D6AC" w14:textId="77777777" w:rsidR="003F5418" w:rsidRDefault="002A6C25">
            <w:pPr>
              <w:pStyle w:val="P68B1DB1-Normal28"/>
              <w:spacing w:before="120" w:after="120"/>
              <w:rPr>
                <w:noProof/>
              </w:rPr>
            </w:pPr>
            <w:r>
              <w:rPr>
                <w:noProof/>
              </w:rPr>
              <w:t>A reorganizációs terv jóváhagyása az NHS kórházainak a pandémiás vészhelyzetek megfelelő kezel</w:t>
            </w:r>
            <w:r>
              <w:rPr>
                <w:noProof/>
              </w:rPr>
              <w:t>ésére irányuló kapacitásának megerősítésére az intenzív és szubintenzív osztályokban található ágyak számának növelése révén.</w:t>
            </w:r>
          </w:p>
          <w:p w14:paraId="45056285" w14:textId="77777777" w:rsidR="003F5418" w:rsidRDefault="002A6C25">
            <w:pPr>
              <w:pStyle w:val="P68B1DB1-Normal28"/>
              <w:spacing w:before="120" w:after="120"/>
              <w:rPr>
                <w:noProof/>
              </w:rPr>
            </w:pPr>
            <w:r>
              <w:rPr>
                <w:noProof/>
              </w:rPr>
              <w:t>A kórházi átszervezési terv növeli az NHS-kórházak intenzív és félintenzív gondozóegységeiben rendelkezésre álló ágyak számát.</w:t>
            </w:r>
          </w:p>
        </w:tc>
      </w:tr>
      <w:tr w:rsidR="003F5418" w14:paraId="7F712E05" w14:textId="77777777">
        <w:trPr>
          <w:trHeight w:val="313"/>
          <w:jc w:val="center"/>
        </w:trPr>
        <w:tc>
          <w:tcPr>
            <w:tcW w:w="1129" w:type="dxa"/>
            <w:shd w:val="clear" w:color="auto" w:fill="C6EFCE"/>
            <w:noWrap/>
            <w:vAlign w:val="center"/>
          </w:tcPr>
          <w:p w14:paraId="1C030CEC" w14:textId="77777777" w:rsidR="003F5418" w:rsidRDefault="002A6C25">
            <w:pPr>
              <w:pStyle w:val="P68B1DB1-Normal4"/>
              <w:spacing w:before="120" w:after="120"/>
              <w:jc w:val="center"/>
              <w:rPr>
                <w:noProof/>
              </w:rPr>
            </w:pPr>
            <w:r>
              <w:rPr>
                <w:noProof/>
              </w:rPr>
              <w:t>M6C2–5</w:t>
            </w:r>
          </w:p>
        </w:tc>
        <w:tc>
          <w:tcPr>
            <w:tcW w:w="1701" w:type="dxa"/>
            <w:shd w:val="clear" w:color="auto" w:fill="C6EFCE"/>
            <w:noWrap/>
            <w:vAlign w:val="center"/>
          </w:tcPr>
          <w:p w14:paraId="3C1376A7" w14:textId="77777777" w:rsidR="003F5418" w:rsidRDefault="002A6C25">
            <w:pPr>
              <w:pStyle w:val="P68B1DB1-Normal28"/>
              <w:spacing w:before="120" w:after="120"/>
              <w:jc w:val="center"/>
              <w:rPr>
                <w:noProof/>
                <w:color w:val="006100"/>
              </w:rPr>
            </w:pPr>
            <w:r>
              <w:rPr>
                <w:noProof/>
              </w:rPr>
              <w:t>Beruházás: A kórházak technológiai berendezéseinek digitális frissítése</w:t>
            </w:r>
          </w:p>
        </w:tc>
        <w:tc>
          <w:tcPr>
            <w:tcW w:w="1134" w:type="dxa"/>
            <w:shd w:val="clear" w:color="auto" w:fill="C6EFCE"/>
            <w:noWrap/>
            <w:vAlign w:val="center"/>
          </w:tcPr>
          <w:p w14:paraId="51BBB1FE" w14:textId="77777777" w:rsidR="003F5418" w:rsidRDefault="002A6C25">
            <w:pPr>
              <w:pStyle w:val="P68B1DB1-Normal28"/>
              <w:spacing w:before="120" w:after="120"/>
              <w:jc w:val="center"/>
              <w:rPr>
                <w:noProof/>
                <w:color w:val="006100"/>
              </w:rPr>
            </w:pPr>
            <w:r>
              <w:rPr>
                <w:noProof/>
              </w:rPr>
              <w:t>Mérföldkő</w:t>
            </w:r>
          </w:p>
        </w:tc>
        <w:tc>
          <w:tcPr>
            <w:tcW w:w="1560" w:type="dxa"/>
            <w:shd w:val="clear" w:color="auto" w:fill="C6EFCE"/>
            <w:noWrap/>
            <w:vAlign w:val="center"/>
          </w:tcPr>
          <w:p w14:paraId="28A8487F" w14:textId="77777777" w:rsidR="003F5418" w:rsidRDefault="002A6C25">
            <w:pPr>
              <w:pStyle w:val="P68B1DB1-Normal28"/>
              <w:spacing w:before="120" w:after="120"/>
              <w:jc w:val="center"/>
              <w:rPr>
                <w:rFonts w:eastAsia="Calibri"/>
                <w:noProof/>
              </w:rPr>
            </w:pPr>
            <w:r>
              <w:rPr>
                <w:noProof/>
              </w:rPr>
              <w:t xml:space="preserve"> Az intézményfejlesztési szerződés jóváhagyása </w:t>
            </w:r>
          </w:p>
        </w:tc>
        <w:tc>
          <w:tcPr>
            <w:tcW w:w="1559" w:type="dxa"/>
            <w:shd w:val="clear" w:color="auto" w:fill="C6EFCE"/>
            <w:noWrap/>
            <w:vAlign w:val="center"/>
          </w:tcPr>
          <w:p w14:paraId="5AF20734" w14:textId="77777777" w:rsidR="003F5418" w:rsidRDefault="002A6C25">
            <w:pPr>
              <w:pStyle w:val="P68B1DB1-Normal28"/>
              <w:spacing w:before="120" w:after="120"/>
              <w:jc w:val="center"/>
              <w:rPr>
                <w:noProof/>
              </w:rPr>
            </w:pPr>
            <w:r>
              <w:rPr>
                <w:noProof/>
              </w:rPr>
              <w:t xml:space="preserve">Értesítés az intézményfejlesztési szerződésnek az Egészségügyi Minisztérium és az olasz régiók minisztériuma általi </w:t>
            </w:r>
            <w:r>
              <w:rPr>
                <w:noProof/>
              </w:rPr>
              <w:t>aláírásáról</w:t>
            </w:r>
          </w:p>
        </w:tc>
        <w:tc>
          <w:tcPr>
            <w:tcW w:w="1276" w:type="dxa"/>
            <w:shd w:val="clear" w:color="auto" w:fill="C6EFCE"/>
            <w:noWrap/>
            <w:vAlign w:val="center"/>
          </w:tcPr>
          <w:p w14:paraId="120B3248" w14:textId="77777777" w:rsidR="003F5418" w:rsidRDefault="002A6C25">
            <w:pPr>
              <w:pStyle w:val="P68B1DB1-Normal28"/>
              <w:spacing w:before="120" w:after="120"/>
              <w:jc w:val="center"/>
              <w:rPr>
                <w:noProof/>
                <w:color w:val="006100"/>
              </w:rPr>
            </w:pPr>
            <w:r>
              <w:rPr>
                <w:noProof/>
              </w:rPr>
              <w:t>NINCS</w:t>
            </w:r>
          </w:p>
        </w:tc>
        <w:tc>
          <w:tcPr>
            <w:tcW w:w="992" w:type="dxa"/>
            <w:shd w:val="clear" w:color="auto" w:fill="C6EFCE"/>
            <w:noWrap/>
            <w:vAlign w:val="center"/>
          </w:tcPr>
          <w:p w14:paraId="5294A635" w14:textId="77777777" w:rsidR="003F5418" w:rsidRDefault="002A6C25">
            <w:pPr>
              <w:pStyle w:val="P68B1DB1-Normal28"/>
              <w:spacing w:before="120" w:after="120"/>
              <w:jc w:val="center"/>
              <w:rPr>
                <w:noProof/>
                <w:color w:val="006100"/>
              </w:rPr>
            </w:pPr>
            <w:r>
              <w:rPr>
                <w:noProof/>
              </w:rPr>
              <w:t>NINCS</w:t>
            </w:r>
          </w:p>
        </w:tc>
        <w:tc>
          <w:tcPr>
            <w:tcW w:w="850" w:type="dxa"/>
            <w:shd w:val="clear" w:color="auto" w:fill="C6EFCE"/>
            <w:noWrap/>
            <w:vAlign w:val="center"/>
          </w:tcPr>
          <w:p w14:paraId="2BB925FB" w14:textId="77777777" w:rsidR="003F5418" w:rsidRDefault="002A6C25">
            <w:pPr>
              <w:pStyle w:val="P68B1DB1-Normal28"/>
              <w:spacing w:before="120" w:after="120"/>
              <w:jc w:val="center"/>
              <w:rPr>
                <w:noProof/>
                <w:color w:val="006100"/>
              </w:rPr>
            </w:pPr>
            <w:r>
              <w:rPr>
                <w:noProof/>
              </w:rPr>
              <w:t>NINCS</w:t>
            </w:r>
          </w:p>
        </w:tc>
        <w:tc>
          <w:tcPr>
            <w:tcW w:w="851" w:type="dxa"/>
            <w:shd w:val="clear" w:color="auto" w:fill="C6EFCE"/>
            <w:noWrap/>
            <w:vAlign w:val="center"/>
          </w:tcPr>
          <w:p w14:paraId="78F2E925"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19E71DEA" w14:textId="77777777" w:rsidR="003F5418" w:rsidRDefault="002A6C25">
            <w:pPr>
              <w:pStyle w:val="P68B1DB1-Normal28"/>
              <w:spacing w:before="120" w:after="120"/>
              <w:jc w:val="center"/>
              <w:rPr>
                <w:noProof/>
                <w:color w:val="006100"/>
              </w:rPr>
            </w:pPr>
            <w:r>
              <w:rPr>
                <w:noProof/>
              </w:rPr>
              <w:t>2022</w:t>
            </w:r>
          </w:p>
        </w:tc>
        <w:tc>
          <w:tcPr>
            <w:tcW w:w="2835" w:type="dxa"/>
            <w:shd w:val="clear" w:color="auto" w:fill="C6EFCE"/>
            <w:noWrap/>
            <w:vAlign w:val="center"/>
          </w:tcPr>
          <w:p w14:paraId="52735C05" w14:textId="77777777" w:rsidR="003F5418" w:rsidRDefault="002A6C25">
            <w:pPr>
              <w:pStyle w:val="P68B1DB1-Normal28"/>
              <w:spacing w:before="120" w:after="120"/>
              <w:rPr>
                <w:rFonts w:eastAsia="Calibri"/>
                <w:noProof/>
              </w:rPr>
            </w:pPr>
            <w:r>
              <w:rPr>
                <w:noProof/>
              </w:rPr>
              <w:t>Intézményfejlesztési szerződés (Contratto Istituzionale di Sviluppo) jóváhagyása az olasz egészségügyi minisztérium mint felelős és végrehajtó hatóság részvételével, valamint a regionális közigazgatások és más kulcsfon</w:t>
            </w:r>
            <w:r>
              <w:rPr>
                <w:noProof/>
              </w:rPr>
              <w:t>tosságú érdekelt felek részvételével.</w:t>
            </w:r>
          </w:p>
          <w:p w14:paraId="2E9E06A2" w14:textId="77777777" w:rsidR="003F5418" w:rsidRDefault="002A6C25">
            <w:pPr>
              <w:pStyle w:val="P68B1DB1-Normal28"/>
              <w:spacing w:before="120" w:after="120"/>
              <w:rPr>
                <w:rFonts w:eastAsia="Calibri"/>
                <w:noProof/>
              </w:rPr>
            </w:pPr>
            <w:r>
              <w:rPr>
                <w:noProof/>
              </w:rPr>
              <w:t>Az intézményfejlesztési szerződés a hatályos nemzeti jogszabályok által azonosított eszköz (a 2011. május 31-i 88. sz. törvényerejű rendelet 1. és 6. cikkének együttes rendelkezései, valamint a 2017. június 20-i 91. sz</w:t>
            </w:r>
            <w:r>
              <w:rPr>
                <w:noProof/>
              </w:rPr>
              <w:t>. törvényerejű rendelet 7. cikke a 2017. augusztus 3-i 123. sz. törvénnyel) az egymáshoz funkcionálisan kapcsolódó stratégiai projektek végrehajtásának felgyorsítására. Az Intézményfejlesztési Szerződés felsorolja az iberuházásokra kijelölt összes helyszín</w:t>
            </w:r>
            <w:r>
              <w:rPr>
                <w:noProof/>
              </w:rPr>
              <w:t>t, valamint azokat a kötelezettségeket, amelyeket az egyes régióknak a várt eredmény elérése érdekében vállalniuk kell. Bármely régió általi jogsértés esetén az Egészségügyi Minisztérium az „ad acta” biztoshoz fordul.</w:t>
            </w:r>
          </w:p>
        </w:tc>
      </w:tr>
      <w:tr w:rsidR="003F5418" w14:paraId="2664BF6A" w14:textId="77777777">
        <w:trPr>
          <w:trHeight w:val="313"/>
          <w:jc w:val="center"/>
        </w:trPr>
        <w:tc>
          <w:tcPr>
            <w:tcW w:w="1129" w:type="dxa"/>
            <w:shd w:val="clear" w:color="auto" w:fill="C6EFCE"/>
            <w:noWrap/>
            <w:vAlign w:val="center"/>
          </w:tcPr>
          <w:p w14:paraId="33FF665C" w14:textId="6B3BA628" w:rsidR="003F5418" w:rsidRDefault="002A6C25">
            <w:pPr>
              <w:pStyle w:val="P68B1DB1-Normal4"/>
              <w:spacing w:before="120" w:after="120"/>
              <w:jc w:val="center"/>
              <w:rPr>
                <w:noProof/>
              </w:rPr>
            </w:pPr>
            <w:r>
              <w:rPr>
                <w:noProof/>
              </w:rPr>
              <w:t>M6C2–6</w:t>
            </w:r>
          </w:p>
        </w:tc>
        <w:tc>
          <w:tcPr>
            <w:tcW w:w="1701" w:type="dxa"/>
            <w:shd w:val="clear" w:color="auto" w:fill="C6EFCE"/>
            <w:noWrap/>
            <w:vAlign w:val="center"/>
          </w:tcPr>
          <w:p w14:paraId="6806AAAA" w14:textId="77777777" w:rsidR="003F5418" w:rsidRDefault="002A6C25">
            <w:pPr>
              <w:pStyle w:val="P68B1DB1-Normal28"/>
              <w:spacing w:before="120" w:after="120"/>
              <w:jc w:val="center"/>
              <w:rPr>
                <w:noProof/>
                <w:color w:val="006100"/>
              </w:rPr>
            </w:pPr>
            <w:r>
              <w:rPr>
                <w:noProof/>
              </w:rPr>
              <w:t xml:space="preserve">Beruházás: A kórházak </w:t>
            </w:r>
            <w:r>
              <w:rPr>
                <w:noProof/>
              </w:rPr>
              <w:t>technológiai berendezéseinek digitális frissítése</w:t>
            </w:r>
          </w:p>
        </w:tc>
        <w:tc>
          <w:tcPr>
            <w:tcW w:w="1134" w:type="dxa"/>
            <w:shd w:val="clear" w:color="auto" w:fill="C6EFCE"/>
            <w:noWrap/>
            <w:vAlign w:val="center"/>
          </w:tcPr>
          <w:p w14:paraId="62CE3464"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1BBCCB1A" w14:textId="77777777" w:rsidR="003F5418" w:rsidRDefault="002A6C25">
            <w:pPr>
              <w:pStyle w:val="P68B1DB1-Normal28"/>
              <w:spacing w:before="120" w:after="120"/>
              <w:jc w:val="center"/>
              <w:rPr>
                <w:noProof/>
                <w:color w:val="006100"/>
              </w:rPr>
            </w:pPr>
            <w:r>
              <w:rPr>
                <w:noProof/>
              </w:rPr>
              <w:t>Nagyméretű szaniterberendezések üzembe helyezése</w:t>
            </w:r>
          </w:p>
        </w:tc>
        <w:tc>
          <w:tcPr>
            <w:tcW w:w="1559" w:type="dxa"/>
            <w:shd w:val="clear" w:color="auto" w:fill="C6EFCE"/>
            <w:noWrap/>
            <w:vAlign w:val="center"/>
          </w:tcPr>
          <w:p w14:paraId="34C87811"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09B2F2EE" w14:textId="77777777" w:rsidR="003F5418" w:rsidRDefault="002A6C25">
            <w:pPr>
              <w:pStyle w:val="P68B1DB1-Normal28"/>
              <w:spacing w:before="120" w:after="120"/>
              <w:jc w:val="center"/>
              <w:rPr>
                <w:noProof/>
                <w:color w:val="006100"/>
              </w:rPr>
            </w:pPr>
            <w:r>
              <w:rPr>
                <w:noProof/>
              </w:rPr>
              <w:t>Szám</w:t>
            </w:r>
          </w:p>
        </w:tc>
        <w:tc>
          <w:tcPr>
            <w:tcW w:w="992" w:type="dxa"/>
            <w:shd w:val="clear" w:color="auto" w:fill="C6EFCE"/>
            <w:noWrap/>
            <w:vAlign w:val="center"/>
          </w:tcPr>
          <w:p w14:paraId="311E4444"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712DBA32" w14:textId="2B86C4B1" w:rsidR="003F5418" w:rsidRDefault="002A6C25">
            <w:pPr>
              <w:pStyle w:val="P68B1DB1-Normal28"/>
              <w:spacing w:before="120" w:after="120"/>
              <w:jc w:val="center"/>
              <w:rPr>
                <w:noProof/>
                <w:color w:val="006100"/>
              </w:rPr>
            </w:pPr>
            <w:r>
              <w:rPr>
                <w:noProof/>
              </w:rPr>
              <w:t>3100</w:t>
            </w:r>
          </w:p>
        </w:tc>
        <w:tc>
          <w:tcPr>
            <w:tcW w:w="851" w:type="dxa"/>
            <w:shd w:val="clear" w:color="auto" w:fill="C6EFCE"/>
            <w:noWrap/>
            <w:vAlign w:val="center"/>
          </w:tcPr>
          <w:p w14:paraId="024CF3AC" w14:textId="77777777" w:rsidR="003F5418" w:rsidRDefault="002A6C25">
            <w:pPr>
              <w:pStyle w:val="P68B1DB1-Normal28"/>
              <w:spacing w:before="120" w:after="120"/>
              <w:jc w:val="center"/>
              <w:rPr>
                <w:noProof/>
              </w:rPr>
            </w:pPr>
            <w:r>
              <w:rPr>
                <w:noProof/>
              </w:rPr>
              <w:t>Q2</w:t>
            </w:r>
          </w:p>
        </w:tc>
        <w:tc>
          <w:tcPr>
            <w:tcW w:w="709" w:type="dxa"/>
            <w:shd w:val="clear" w:color="auto" w:fill="C6EFCE"/>
            <w:noWrap/>
            <w:vAlign w:val="center"/>
          </w:tcPr>
          <w:p w14:paraId="5D2CC95A" w14:textId="77777777" w:rsidR="003F5418" w:rsidRDefault="002A6C25">
            <w:pPr>
              <w:pStyle w:val="P68B1DB1-Normal28"/>
              <w:spacing w:before="120" w:after="120"/>
              <w:jc w:val="center"/>
              <w:rPr>
                <w:noProof/>
              </w:rPr>
            </w:pPr>
            <w:r>
              <w:rPr>
                <w:noProof/>
              </w:rPr>
              <w:t>2026</w:t>
            </w:r>
          </w:p>
        </w:tc>
        <w:tc>
          <w:tcPr>
            <w:tcW w:w="2835" w:type="dxa"/>
            <w:shd w:val="clear" w:color="auto" w:fill="C6EFCE"/>
            <w:noWrap/>
            <w:vAlign w:val="center"/>
          </w:tcPr>
          <w:p w14:paraId="1A35608F" w14:textId="54F781EF" w:rsidR="003F5418" w:rsidRDefault="002A6C25">
            <w:pPr>
              <w:pStyle w:val="P68B1DB1-Normal28"/>
              <w:spacing w:before="120" w:after="120"/>
              <w:rPr>
                <w:noProof/>
              </w:rPr>
            </w:pPr>
            <w:r>
              <w:rPr>
                <w:noProof/>
              </w:rPr>
              <w:t xml:space="preserve">A helyettesítendő berendezések száma és tipológiája a következő: 333 CT (számítógép-tomográfia) 128 vagy több szelettel, 178 </w:t>
            </w:r>
            <w:r>
              <w:rPr>
                <w:noProof/>
              </w:rPr>
              <w:t>NMR (nukleáris mágneses rezonancia) 1,5 T vagy annál nagyobb hőmérsékleten, 78 lineáris akcelerátor, 932 rögzített röntgenrendszer, 193 Angiográfia, 78 Gamma kamera/CT (számítógépes tomográfia), 34 PET (poszitron-tomográfia) CT (számítógépes tomográfia), 2</w:t>
            </w:r>
            <w:r>
              <w:rPr>
                <w:noProof/>
              </w:rPr>
              <w:t>95 Mammográfia, 928 ultrahang).</w:t>
            </w:r>
          </w:p>
          <w:p w14:paraId="0CC616C8" w14:textId="36408CFC" w:rsidR="003F5418" w:rsidRDefault="002A6C25">
            <w:pPr>
              <w:pStyle w:val="P68B1DB1-Normal28"/>
              <w:spacing w:before="120" w:after="120"/>
              <w:rPr>
                <w:noProof/>
                <w:color w:val="006100"/>
              </w:rPr>
            </w:pPr>
            <w:r>
              <w:rPr>
                <w:noProof/>
              </w:rPr>
              <w:t>A helyettesített berendezések az NHS más telephelyein ártalmatlaníthatók vagy újrafelhasználhatók.</w:t>
            </w:r>
          </w:p>
        </w:tc>
      </w:tr>
      <w:tr w:rsidR="003F5418" w14:paraId="04EEAAF1" w14:textId="77777777">
        <w:trPr>
          <w:trHeight w:val="313"/>
          <w:jc w:val="center"/>
        </w:trPr>
        <w:tc>
          <w:tcPr>
            <w:tcW w:w="1129" w:type="dxa"/>
            <w:shd w:val="clear" w:color="auto" w:fill="C6EFCE"/>
            <w:noWrap/>
            <w:vAlign w:val="center"/>
          </w:tcPr>
          <w:p w14:paraId="0210074D" w14:textId="77777777" w:rsidR="003F5418" w:rsidRDefault="002A6C25">
            <w:pPr>
              <w:pStyle w:val="P68B1DB1-Normal4"/>
              <w:spacing w:before="120" w:after="120"/>
              <w:jc w:val="center"/>
              <w:rPr>
                <w:noProof/>
              </w:rPr>
            </w:pPr>
            <w:r>
              <w:rPr>
                <w:noProof/>
              </w:rPr>
              <w:t>M6C2–7</w:t>
            </w:r>
          </w:p>
        </w:tc>
        <w:tc>
          <w:tcPr>
            <w:tcW w:w="1701" w:type="dxa"/>
            <w:shd w:val="clear" w:color="auto" w:fill="C6EFCE"/>
            <w:noWrap/>
            <w:vAlign w:val="center"/>
          </w:tcPr>
          <w:p w14:paraId="3BF4B485" w14:textId="77777777" w:rsidR="003F5418" w:rsidRDefault="002A6C25">
            <w:pPr>
              <w:pStyle w:val="P68B1DB1-Normal28"/>
              <w:spacing w:before="120" w:after="120"/>
              <w:jc w:val="center"/>
              <w:rPr>
                <w:noProof/>
                <w:color w:val="006100"/>
              </w:rPr>
            </w:pPr>
            <w:r>
              <w:rPr>
                <w:noProof/>
              </w:rPr>
              <w:t>Beruházás: A kórházak technológiai berendezéseinek digitális frissítése</w:t>
            </w:r>
          </w:p>
        </w:tc>
        <w:tc>
          <w:tcPr>
            <w:tcW w:w="1134" w:type="dxa"/>
            <w:shd w:val="clear" w:color="auto" w:fill="C6EFCE"/>
            <w:noWrap/>
            <w:vAlign w:val="center"/>
          </w:tcPr>
          <w:p w14:paraId="35BE17DA" w14:textId="77777777" w:rsidR="003F5418" w:rsidRDefault="002A6C25">
            <w:pPr>
              <w:pStyle w:val="P68B1DB1-Normal28"/>
              <w:spacing w:before="120" w:after="120"/>
              <w:jc w:val="center"/>
              <w:rPr>
                <w:noProof/>
                <w:color w:val="006100"/>
              </w:rPr>
            </w:pPr>
            <w:r>
              <w:rPr>
                <w:noProof/>
              </w:rPr>
              <w:t>Mérföldkő</w:t>
            </w:r>
          </w:p>
        </w:tc>
        <w:tc>
          <w:tcPr>
            <w:tcW w:w="1560" w:type="dxa"/>
            <w:shd w:val="clear" w:color="auto" w:fill="C6EFCE"/>
            <w:noWrap/>
            <w:vAlign w:val="center"/>
          </w:tcPr>
          <w:p w14:paraId="58A5E641" w14:textId="77777777" w:rsidR="003F5418" w:rsidRDefault="002A6C25">
            <w:pPr>
              <w:pStyle w:val="P68B1DB1-Normal28"/>
              <w:spacing w:before="120" w:after="120"/>
              <w:jc w:val="center"/>
              <w:rPr>
                <w:noProof/>
                <w:color w:val="006100"/>
              </w:rPr>
            </w:pPr>
            <w:r>
              <w:rPr>
                <w:noProof/>
              </w:rPr>
              <w:t xml:space="preserve">Az összes közbeszerzési szerződés </w:t>
            </w:r>
            <w:r>
              <w:rPr>
                <w:noProof/>
              </w:rPr>
              <w:t>odaítélése</w:t>
            </w:r>
          </w:p>
        </w:tc>
        <w:tc>
          <w:tcPr>
            <w:tcW w:w="1559" w:type="dxa"/>
            <w:shd w:val="clear" w:color="auto" w:fill="C6EFCE"/>
            <w:noWrap/>
            <w:vAlign w:val="center"/>
          </w:tcPr>
          <w:p w14:paraId="6F7F2034" w14:textId="77777777" w:rsidR="003F5418" w:rsidRDefault="002A6C25">
            <w:pPr>
              <w:pStyle w:val="P68B1DB1-Normal28"/>
              <w:spacing w:before="120" w:after="120"/>
              <w:jc w:val="center"/>
              <w:rPr>
                <w:noProof/>
                <w:color w:val="006100"/>
              </w:rPr>
            </w:pPr>
            <w:r>
              <w:rPr>
                <w:noProof/>
              </w:rPr>
              <w:t>Valamennyi odaítélt közbeszerzési szerződés bejelentése.</w:t>
            </w:r>
          </w:p>
        </w:tc>
        <w:tc>
          <w:tcPr>
            <w:tcW w:w="1276" w:type="dxa"/>
            <w:shd w:val="clear" w:color="auto" w:fill="C6EFCE"/>
            <w:noWrap/>
            <w:vAlign w:val="center"/>
          </w:tcPr>
          <w:p w14:paraId="7B036DDD" w14:textId="77777777" w:rsidR="003F5418" w:rsidRDefault="002A6C25">
            <w:pPr>
              <w:pStyle w:val="P68B1DB1-Normal28"/>
              <w:spacing w:before="120" w:after="120"/>
              <w:jc w:val="center"/>
              <w:rPr>
                <w:noProof/>
                <w:color w:val="006100"/>
              </w:rPr>
            </w:pPr>
            <w:r>
              <w:rPr>
                <w:noProof/>
              </w:rPr>
              <w:t>NINCS</w:t>
            </w:r>
          </w:p>
        </w:tc>
        <w:tc>
          <w:tcPr>
            <w:tcW w:w="992" w:type="dxa"/>
            <w:shd w:val="clear" w:color="auto" w:fill="C6EFCE"/>
            <w:noWrap/>
            <w:vAlign w:val="center"/>
          </w:tcPr>
          <w:p w14:paraId="4D9AA49B" w14:textId="77777777" w:rsidR="003F5418" w:rsidRDefault="002A6C25">
            <w:pPr>
              <w:pStyle w:val="P68B1DB1-Normal28"/>
              <w:spacing w:before="120" w:after="120"/>
              <w:jc w:val="center"/>
              <w:rPr>
                <w:noProof/>
                <w:color w:val="006100"/>
              </w:rPr>
            </w:pPr>
            <w:r>
              <w:rPr>
                <w:noProof/>
              </w:rPr>
              <w:t>NINCS</w:t>
            </w:r>
          </w:p>
        </w:tc>
        <w:tc>
          <w:tcPr>
            <w:tcW w:w="850" w:type="dxa"/>
            <w:shd w:val="clear" w:color="auto" w:fill="C6EFCE"/>
            <w:noWrap/>
            <w:vAlign w:val="center"/>
          </w:tcPr>
          <w:p w14:paraId="40A9A8BF" w14:textId="77777777" w:rsidR="003F5418" w:rsidRDefault="002A6C25">
            <w:pPr>
              <w:pStyle w:val="P68B1DB1-Normal28"/>
              <w:spacing w:before="120" w:after="120"/>
              <w:jc w:val="center"/>
              <w:rPr>
                <w:noProof/>
                <w:color w:val="006100"/>
              </w:rPr>
            </w:pPr>
            <w:r>
              <w:rPr>
                <w:noProof/>
              </w:rPr>
              <w:t>NINCS</w:t>
            </w:r>
          </w:p>
        </w:tc>
        <w:tc>
          <w:tcPr>
            <w:tcW w:w="851" w:type="dxa"/>
            <w:shd w:val="clear" w:color="auto" w:fill="C6EFCE"/>
            <w:noWrap/>
            <w:vAlign w:val="center"/>
          </w:tcPr>
          <w:p w14:paraId="47BB8A71" w14:textId="77777777" w:rsidR="003F5418" w:rsidRDefault="002A6C25">
            <w:pPr>
              <w:pStyle w:val="P68B1DB1-Normal28"/>
              <w:spacing w:before="120" w:after="120"/>
              <w:jc w:val="center"/>
              <w:rPr>
                <w:noProof/>
                <w:color w:val="006100"/>
              </w:rPr>
            </w:pPr>
            <w:r>
              <w:rPr>
                <w:noProof/>
              </w:rPr>
              <w:t>Q4</w:t>
            </w:r>
          </w:p>
        </w:tc>
        <w:tc>
          <w:tcPr>
            <w:tcW w:w="709" w:type="dxa"/>
            <w:shd w:val="clear" w:color="auto" w:fill="C6EFCE"/>
            <w:noWrap/>
            <w:vAlign w:val="center"/>
          </w:tcPr>
          <w:p w14:paraId="00BAEFD7" w14:textId="77777777" w:rsidR="003F5418" w:rsidRDefault="002A6C25">
            <w:pPr>
              <w:pStyle w:val="P68B1DB1-Normal28"/>
              <w:spacing w:before="120" w:after="120"/>
              <w:jc w:val="center"/>
              <w:rPr>
                <w:noProof/>
                <w:color w:val="006100"/>
              </w:rPr>
            </w:pPr>
            <w:r>
              <w:rPr>
                <w:noProof/>
              </w:rPr>
              <w:t>2022</w:t>
            </w:r>
          </w:p>
        </w:tc>
        <w:tc>
          <w:tcPr>
            <w:tcW w:w="2835" w:type="dxa"/>
            <w:shd w:val="clear" w:color="auto" w:fill="C6EFCE"/>
            <w:noWrap/>
            <w:vAlign w:val="center"/>
          </w:tcPr>
          <w:p w14:paraId="1E8FB5F8" w14:textId="77777777" w:rsidR="003F5418" w:rsidRDefault="002A6C25">
            <w:pPr>
              <w:pStyle w:val="P68B1DB1-Normal28"/>
              <w:spacing w:before="120" w:after="120"/>
              <w:rPr>
                <w:noProof/>
              </w:rPr>
            </w:pPr>
            <w:r>
              <w:rPr>
                <w:noProof/>
              </w:rPr>
              <w:t>A pályázati eljárások közzététele (Consip keretmegállapodás) és szerződések megkötése a szolgáltatókkal, valamint a DEA I. és II. szintűnek minősített kórházak di</w:t>
            </w:r>
            <w:r>
              <w:rPr>
                <w:noProof/>
              </w:rPr>
              <w:t>gitalizálása</w:t>
            </w:r>
          </w:p>
          <w:p w14:paraId="0A449AAE" w14:textId="77777777" w:rsidR="003F5418" w:rsidRDefault="002A6C25">
            <w:pPr>
              <w:pStyle w:val="P68B1DB1-Normal28"/>
              <w:spacing w:before="120" w:after="120"/>
              <w:rPr>
                <w:noProof/>
                <w:color w:val="006100"/>
              </w:rPr>
            </w:pPr>
            <w:r>
              <w:rPr>
                <w:noProof/>
              </w:rPr>
              <w:t>A szerződések a következők megvásárlását foglalják magukban: a) Adatfeldolgozó Központ (DPC), beleértve az IKT-t és a kiegészítő munkákat, amelyek a teljes kórházi struktúra számítógépesítéséhez szükségesek; b) a kórházi osztályok számítógépes</w:t>
            </w:r>
            <w:r>
              <w:rPr>
                <w:noProof/>
              </w:rPr>
              <w:t>ítéséhez szükséges hardver- és/vagy szoftverinformációs technológia, elektromos orvosi technológiák, valamint kiegészítő technológiák és kiegészítő munkák beszerzése. A jelenlegi digitalizálási szintnek a beavatkozás végrehajtását megelőző értékelése lehet</w:t>
            </w:r>
            <w:r>
              <w:rPr>
                <w:noProof/>
              </w:rPr>
              <w:t>ővé teszi ezen értékelés finomhangolását az egyes régiók/kórházak valós szükségleteinek megfelelően.</w:t>
            </w:r>
          </w:p>
        </w:tc>
      </w:tr>
      <w:tr w:rsidR="003F5418" w14:paraId="336BCC16" w14:textId="77777777">
        <w:trPr>
          <w:trHeight w:val="313"/>
          <w:jc w:val="center"/>
        </w:trPr>
        <w:tc>
          <w:tcPr>
            <w:tcW w:w="1129" w:type="dxa"/>
            <w:shd w:val="clear" w:color="auto" w:fill="C6EFCE"/>
            <w:noWrap/>
            <w:vAlign w:val="center"/>
          </w:tcPr>
          <w:p w14:paraId="53209157" w14:textId="6A6239C6" w:rsidR="003F5418" w:rsidRDefault="002A6C25">
            <w:pPr>
              <w:pStyle w:val="P68B1DB1-Normal4"/>
              <w:spacing w:before="120" w:after="120"/>
              <w:jc w:val="center"/>
              <w:rPr>
                <w:noProof/>
              </w:rPr>
            </w:pPr>
            <w:r>
              <w:rPr>
                <w:noProof/>
              </w:rPr>
              <w:t>M6C2–8</w:t>
            </w:r>
          </w:p>
        </w:tc>
        <w:tc>
          <w:tcPr>
            <w:tcW w:w="1701" w:type="dxa"/>
            <w:shd w:val="clear" w:color="auto" w:fill="C6EFCE"/>
            <w:noWrap/>
            <w:vAlign w:val="center"/>
          </w:tcPr>
          <w:p w14:paraId="23749820" w14:textId="77777777" w:rsidR="003F5418" w:rsidRDefault="002A6C25">
            <w:pPr>
              <w:pStyle w:val="P68B1DB1-Normal28"/>
              <w:spacing w:before="120" w:after="120"/>
              <w:jc w:val="center"/>
              <w:rPr>
                <w:noProof/>
                <w:color w:val="006100"/>
              </w:rPr>
            </w:pPr>
            <w:r>
              <w:rPr>
                <w:noProof/>
              </w:rPr>
              <w:t>Beruházás: A kórházak technológiai berendezéseinek digitális frissítése</w:t>
            </w:r>
          </w:p>
        </w:tc>
        <w:tc>
          <w:tcPr>
            <w:tcW w:w="1134" w:type="dxa"/>
            <w:shd w:val="clear" w:color="auto" w:fill="C6EFCE"/>
            <w:noWrap/>
            <w:vAlign w:val="center"/>
          </w:tcPr>
          <w:p w14:paraId="4AFCD9CB"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613C163D" w14:textId="77777777" w:rsidR="003F5418" w:rsidRDefault="002A6C25">
            <w:pPr>
              <w:pStyle w:val="P68B1DB1-Normal28"/>
              <w:spacing w:before="120" w:after="120"/>
              <w:jc w:val="center"/>
              <w:rPr>
                <w:rFonts w:eastAsia="Calibri"/>
                <w:noProof/>
              </w:rPr>
            </w:pPr>
            <w:r>
              <w:rPr>
                <w:noProof/>
              </w:rPr>
              <w:t xml:space="preserve">A kórházak digitalizálása (DEA – Veszélyhelyzeti és Befogadási </w:t>
            </w:r>
            <w:r>
              <w:rPr>
                <w:noProof/>
              </w:rPr>
              <w:t>Osztályok – I. és II. szint)</w:t>
            </w:r>
          </w:p>
        </w:tc>
        <w:tc>
          <w:tcPr>
            <w:tcW w:w="1559" w:type="dxa"/>
            <w:shd w:val="clear" w:color="auto" w:fill="C6EFCE"/>
            <w:noWrap/>
            <w:vAlign w:val="center"/>
          </w:tcPr>
          <w:p w14:paraId="592E05AA"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559C2CFD" w14:textId="77777777" w:rsidR="003F5418" w:rsidRDefault="002A6C25">
            <w:pPr>
              <w:pStyle w:val="P68B1DB1-Normal28"/>
              <w:spacing w:before="120" w:after="120"/>
              <w:jc w:val="center"/>
              <w:rPr>
                <w:rFonts w:eastAsia="Calibri"/>
                <w:noProof/>
              </w:rPr>
            </w:pPr>
            <w:r>
              <w:rPr>
                <w:noProof/>
              </w:rPr>
              <w:t xml:space="preserve">Szám </w:t>
            </w:r>
          </w:p>
        </w:tc>
        <w:tc>
          <w:tcPr>
            <w:tcW w:w="992" w:type="dxa"/>
            <w:shd w:val="clear" w:color="auto" w:fill="C6EFCE"/>
            <w:noWrap/>
            <w:vAlign w:val="center"/>
          </w:tcPr>
          <w:p w14:paraId="6376C4C4"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5E6791C1" w14:textId="77777777" w:rsidR="003F5418" w:rsidRDefault="002A6C25">
            <w:pPr>
              <w:pStyle w:val="P68B1DB1-Normal28"/>
              <w:spacing w:before="120" w:after="120"/>
              <w:jc w:val="center"/>
              <w:rPr>
                <w:noProof/>
                <w:color w:val="006100"/>
              </w:rPr>
            </w:pPr>
            <w:r>
              <w:rPr>
                <w:noProof/>
              </w:rPr>
              <w:t>280</w:t>
            </w:r>
          </w:p>
        </w:tc>
        <w:tc>
          <w:tcPr>
            <w:tcW w:w="851" w:type="dxa"/>
            <w:shd w:val="clear" w:color="auto" w:fill="C6EFCE"/>
            <w:noWrap/>
            <w:vAlign w:val="center"/>
          </w:tcPr>
          <w:p w14:paraId="464F914C" w14:textId="77777777" w:rsidR="003F5418" w:rsidRDefault="002A6C25">
            <w:pPr>
              <w:pStyle w:val="P68B1DB1-Normal28"/>
              <w:spacing w:before="120" w:after="120"/>
              <w:jc w:val="center"/>
              <w:rPr>
                <w:noProof/>
                <w:color w:val="006100"/>
              </w:rPr>
            </w:pPr>
            <w:r>
              <w:rPr>
                <w:noProof/>
              </w:rPr>
              <w:t>Q4</w:t>
            </w:r>
          </w:p>
        </w:tc>
        <w:tc>
          <w:tcPr>
            <w:tcW w:w="709" w:type="dxa"/>
            <w:shd w:val="clear" w:color="auto" w:fill="C6EFCE"/>
            <w:noWrap/>
            <w:vAlign w:val="center"/>
          </w:tcPr>
          <w:p w14:paraId="7585F7EF" w14:textId="77777777" w:rsidR="003F5418" w:rsidRDefault="002A6C25">
            <w:pPr>
              <w:pStyle w:val="P68B1DB1-Normal28"/>
              <w:spacing w:before="120" w:after="120"/>
              <w:jc w:val="center"/>
              <w:rPr>
                <w:noProof/>
                <w:color w:val="006100"/>
              </w:rPr>
            </w:pPr>
            <w:r>
              <w:rPr>
                <w:noProof/>
              </w:rPr>
              <w:t>2025</w:t>
            </w:r>
          </w:p>
        </w:tc>
        <w:tc>
          <w:tcPr>
            <w:tcW w:w="2835" w:type="dxa"/>
            <w:shd w:val="clear" w:color="auto" w:fill="C6EFCE"/>
            <w:noWrap/>
            <w:vAlign w:val="center"/>
          </w:tcPr>
          <w:p w14:paraId="2F85782C" w14:textId="77777777" w:rsidR="003F5418" w:rsidRDefault="002A6C25">
            <w:pPr>
              <w:pStyle w:val="P68B1DB1-Normal28"/>
              <w:spacing w:before="120" w:after="120"/>
              <w:rPr>
                <w:noProof/>
              </w:rPr>
            </w:pPr>
            <w:r>
              <w:rPr>
                <w:noProof/>
              </w:rPr>
              <w:t xml:space="preserve">Minden digitalizált kórháznak rendelkeznie kell egy adatfeldolgozó központtal (DPC), amely a teljes kórházi struktúra számítógépesítéséhez szükséges, valamint elegendő hardver- és/vagy szoftver-információtechnológiával, elektromedicinális technológiákkal, </w:t>
            </w:r>
            <w:r>
              <w:rPr>
                <w:noProof/>
              </w:rPr>
              <w:t>valamint az egyes kórházi osztályok számítógépesítéséhez szükséges további technológiákkal.</w:t>
            </w:r>
          </w:p>
          <w:p w14:paraId="2E5FFCA3" w14:textId="31D8C237" w:rsidR="003F5418" w:rsidRDefault="002A6C25">
            <w:pPr>
              <w:pStyle w:val="P68B1DB1-Normal28"/>
              <w:spacing w:before="120" w:after="120"/>
              <w:rPr>
                <w:noProof/>
                <w:color w:val="006100"/>
              </w:rPr>
            </w:pPr>
            <w:bookmarkStart w:id="14" w:name="_Hlk149126432"/>
            <w:r>
              <w:rPr>
                <w:noProof/>
              </w:rPr>
              <w:t xml:space="preserve">A Consip (Concessionaria Servizi Informativi Pubblici) által rendelkezésre bocsátott közbeszerzési eszközök – a 2022. december 31-ig lezártakon kívül –, valamint a </w:t>
            </w:r>
            <w:r>
              <w:rPr>
                <w:noProof/>
              </w:rPr>
              <w:t>közigazgatás elektronikus piaca (Mepa) vagy a közigazgatási dinamikus beszerzési rendszer (SDAPA) kiegészítő beszerzések céljára is megengedettek.</w:t>
            </w:r>
            <w:bookmarkEnd w:id="14"/>
          </w:p>
        </w:tc>
      </w:tr>
      <w:tr w:rsidR="003F5418" w14:paraId="1571FDE0" w14:textId="77777777">
        <w:trPr>
          <w:trHeight w:val="313"/>
          <w:jc w:val="center"/>
        </w:trPr>
        <w:tc>
          <w:tcPr>
            <w:tcW w:w="1129" w:type="dxa"/>
            <w:shd w:val="clear" w:color="auto" w:fill="C6EFCE"/>
            <w:noWrap/>
            <w:vAlign w:val="center"/>
          </w:tcPr>
          <w:p w14:paraId="49813DC9" w14:textId="77777777" w:rsidR="003F5418" w:rsidRDefault="002A6C25">
            <w:pPr>
              <w:pStyle w:val="P68B1DB1-Normal4"/>
              <w:spacing w:before="120" w:after="120"/>
              <w:jc w:val="center"/>
              <w:rPr>
                <w:noProof/>
              </w:rPr>
            </w:pPr>
            <w:r>
              <w:rPr>
                <w:noProof/>
              </w:rPr>
              <w:t>M6C2–9</w:t>
            </w:r>
          </w:p>
        </w:tc>
        <w:tc>
          <w:tcPr>
            <w:tcW w:w="1701" w:type="dxa"/>
            <w:shd w:val="clear" w:color="auto" w:fill="C6EFCE"/>
            <w:noWrap/>
            <w:vAlign w:val="center"/>
          </w:tcPr>
          <w:p w14:paraId="7E2C2108" w14:textId="77777777" w:rsidR="003F5418" w:rsidRDefault="002A6C25">
            <w:pPr>
              <w:pStyle w:val="P68B1DB1-Normal28"/>
              <w:spacing w:before="120" w:after="120"/>
              <w:jc w:val="center"/>
              <w:rPr>
                <w:noProof/>
                <w:color w:val="006100"/>
              </w:rPr>
            </w:pPr>
            <w:r>
              <w:rPr>
                <w:noProof/>
              </w:rPr>
              <w:t>Beruházás: A kórházak technológiai berendezéseinek digitális frissítése</w:t>
            </w:r>
          </w:p>
        </w:tc>
        <w:tc>
          <w:tcPr>
            <w:tcW w:w="1134" w:type="dxa"/>
            <w:shd w:val="clear" w:color="auto" w:fill="C6EFCE"/>
            <w:noWrap/>
            <w:vAlign w:val="center"/>
          </w:tcPr>
          <w:p w14:paraId="7DFC2803"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4D9801E3" w14:textId="77777777" w:rsidR="003F5418" w:rsidRDefault="002A6C25">
            <w:pPr>
              <w:pStyle w:val="P68B1DB1-Normal28"/>
              <w:spacing w:before="120" w:after="120"/>
              <w:jc w:val="center"/>
              <w:rPr>
                <w:noProof/>
              </w:rPr>
            </w:pPr>
            <w:r>
              <w:rPr>
                <w:noProof/>
              </w:rPr>
              <w:t>Az ICU-kban</w:t>
            </w:r>
            <w:r>
              <w:rPr>
                <w:noProof/>
              </w:rPr>
              <w:t xml:space="preserve"> biztosított kiegészítő ágyak és a szubintenzív ellátás</w:t>
            </w:r>
          </w:p>
        </w:tc>
        <w:tc>
          <w:tcPr>
            <w:tcW w:w="1559" w:type="dxa"/>
            <w:shd w:val="clear" w:color="auto" w:fill="C6EFCE"/>
            <w:noWrap/>
            <w:vAlign w:val="center"/>
          </w:tcPr>
          <w:p w14:paraId="5B8D329C"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52DB8002" w14:textId="77777777" w:rsidR="003F5418" w:rsidRDefault="002A6C25">
            <w:pPr>
              <w:pStyle w:val="P68B1DB1-Normal28"/>
              <w:spacing w:before="120" w:after="120"/>
              <w:jc w:val="center"/>
              <w:rPr>
                <w:rFonts w:eastAsia="Calibri"/>
                <w:noProof/>
              </w:rPr>
            </w:pPr>
            <w:r>
              <w:rPr>
                <w:noProof/>
              </w:rPr>
              <w:t xml:space="preserve">Szám </w:t>
            </w:r>
          </w:p>
        </w:tc>
        <w:tc>
          <w:tcPr>
            <w:tcW w:w="992" w:type="dxa"/>
            <w:shd w:val="clear" w:color="auto" w:fill="C6EFCE"/>
            <w:noWrap/>
            <w:vAlign w:val="center"/>
          </w:tcPr>
          <w:p w14:paraId="49CAB7CC"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00F9FC9B" w14:textId="77777777" w:rsidR="003F5418" w:rsidRDefault="002A6C25">
            <w:pPr>
              <w:pStyle w:val="P68B1DB1-Normal6"/>
              <w:spacing w:before="120" w:after="120"/>
              <w:jc w:val="center"/>
              <w:rPr>
                <w:noProof/>
                <w:color w:val="006100"/>
              </w:rPr>
            </w:pPr>
            <w:r>
              <w:rPr>
                <w:noProof/>
                <w:color w:val="006600"/>
              </w:rPr>
              <w:t>5</w:t>
            </w:r>
            <w:r>
              <w:rPr>
                <w:noProof/>
                <w:color w:val="006100"/>
              </w:rPr>
              <w:t xml:space="preserve"> </w:t>
            </w:r>
            <w:r>
              <w:rPr>
                <w:noProof/>
                <w:color w:val="006600"/>
              </w:rPr>
              <w:t>922</w:t>
            </w:r>
          </w:p>
        </w:tc>
        <w:tc>
          <w:tcPr>
            <w:tcW w:w="851" w:type="dxa"/>
            <w:shd w:val="clear" w:color="auto" w:fill="C6EFCE"/>
            <w:noWrap/>
            <w:vAlign w:val="center"/>
          </w:tcPr>
          <w:p w14:paraId="115C8494"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2556D312" w14:textId="77777777" w:rsidR="003F5418" w:rsidRDefault="002A6C25">
            <w:pPr>
              <w:pStyle w:val="P68B1DB1-Normal28"/>
              <w:spacing w:before="120" w:after="120"/>
              <w:jc w:val="center"/>
              <w:rPr>
                <w:noProof/>
                <w:color w:val="006100"/>
              </w:rPr>
            </w:pPr>
            <w:r>
              <w:rPr>
                <w:noProof/>
              </w:rPr>
              <w:t>2026</w:t>
            </w:r>
          </w:p>
        </w:tc>
        <w:tc>
          <w:tcPr>
            <w:tcW w:w="2835" w:type="dxa"/>
            <w:shd w:val="clear" w:color="auto" w:fill="C6EFCE"/>
            <w:noWrap/>
            <w:vAlign w:val="center"/>
          </w:tcPr>
          <w:p w14:paraId="0EEC2C73" w14:textId="009E66BC" w:rsidR="003F5418" w:rsidRDefault="002A6C25">
            <w:pPr>
              <w:pStyle w:val="P68B1DB1-Normal28"/>
              <w:spacing w:before="120" w:after="120"/>
              <w:rPr>
                <w:rFonts w:eastAsia="Calibri"/>
                <w:noProof/>
              </w:rPr>
            </w:pPr>
            <w:r>
              <w:rPr>
                <w:noProof/>
              </w:rPr>
              <w:t>A félintenzív területen legalább 2692 intenzív ágyat és 3230 ágyat a kapcsolódó szellőzőberendezéssel kell ellátni (ami a világjárvány előtt már meglévő ágyak számának mint</w:t>
            </w:r>
            <w:r>
              <w:rPr>
                <w:noProof/>
              </w:rPr>
              <w:t>egy 60%-os növekedésének felel meg).</w:t>
            </w:r>
          </w:p>
        </w:tc>
      </w:tr>
      <w:tr w:rsidR="003F5418" w14:paraId="3B491221" w14:textId="77777777">
        <w:trPr>
          <w:trHeight w:val="313"/>
          <w:jc w:val="center"/>
        </w:trPr>
        <w:tc>
          <w:tcPr>
            <w:tcW w:w="1129" w:type="dxa"/>
            <w:shd w:val="clear" w:color="auto" w:fill="C6EFCE"/>
            <w:noWrap/>
            <w:vAlign w:val="center"/>
          </w:tcPr>
          <w:p w14:paraId="51253E26" w14:textId="77777777" w:rsidR="003F5418" w:rsidRDefault="002A6C25">
            <w:pPr>
              <w:pStyle w:val="P68B1DB1-Normal4"/>
              <w:spacing w:before="120" w:after="120"/>
              <w:jc w:val="center"/>
              <w:rPr>
                <w:noProof/>
              </w:rPr>
            </w:pPr>
            <w:r>
              <w:rPr>
                <w:noProof/>
              </w:rPr>
              <w:t>M6C2–10</w:t>
            </w:r>
          </w:p>
        </w:tc>
        <w:tc>
          <w:tcPr>
            <w:tcW w:w="1701" w:type="dxa"/>
            <w:shd w:val="clear" w:color="auto" w:fill="C6EFCE"/>
            <w:noWrap/>
            <w:vAlign w:val="center"/>
          </w:tcPr>
          <w:p w14:paraId="1CCE09BE" w14:textId="77777777" w:rsidR="003F5418" w:rsidRDefault="002A6C25">
            <w:pPr>
              <w:pStyle w:val="P68B1DB1-Normal28"/>
              <w:spacing w:before="120" w:after="120"/>
              <w:jc w:val="center"/>
              <w:rPr>
                <w:noProof/>
                <w:color w:val="006100"/>
              </w:rPr>
            </w:pPr>
            <w:r>
              <w:rPr>
                <w:noProof/>
              </w:rPr>
              <w:t>Beruházás: Biztonságos és fenntartható kórház felé</w:t>
            </w:r>
          </w:p>
        </w:tc>
        <w:tc>
          <w:tcPr>
            <w:tcW w:w="1134" w:type="dxa"/>
            <w:shd w:val="clear" w:color="auto" w:fill="C6EFCE"/>
            <w:noWrap/>
            <w:vAlign w:val="center"/>
          </w:tcPr>
          <w:p w14:paraId="27587639"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07BC2507" w14:textId="77777777" w:rsidR="003F5418" w:rsidRDefault="002A6C25">
            <w:pPr>
              <w:pStyle w:val="P68B1DB1-Normal28"/>
              <w:spacing w:before="120" w:after="120"/>
              <w:jc w:val="center"/>
              <w:rPr>
                <w:rFonts w:eastAsia="Calibri"/>
                <w:noProof/>
              </w:rPr>
            </w:pPr>
            <w:r>
              <w:rPr>
                <w:noProof/>
              </w:rPr>
              <w:t>A kórházi létesítményekben végrehajtott földrengésellenes beavatkozások befejeződtek</w:t>
            </w:r>
          </w:p>
        </w:tc>
        <w:tc>
          <w:tcPr>
            <w:tcW w:w="1559" w:type="dxa"/>
            <w:shd w:val="clear" w:color="auto" w:fill="C6EFCE"/>
            <w:noWrap/>
            <w:vAlign w:val="center"/>
          </w:tcPr>
          <w:p w14:paraId="57E5397C"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0FDB2FE1" w14:textId="77777777" w:rsidR="003F5418" w:rsidRDefault="002A6C25">
            <w:pPr>
              <w:pStyle w:val="P68B1DB1-Normal28"/>
              <w:spacing w:before="120" w:after="120"/>
              <w:jc w:val="center"/>
              <w:rPr>
                <w:rFonts w:eastAsia="Calibri"/>
                <w:noProof/>
              </w:rPr>
            </w:pPr>
            <w:r>
              <w:rPr>
                <w:noProof/>
              </w:rPr>
              <w:t xml:space="preserve">Szám </w:t>
            </w:r>
          </w:p>
        </w:tc>
        <w:tc>
          <w:tcPr>
            <w:tcW w:w="992" w:type="dxa"/>
            <w:shd w:val="clear" w:color="auto" w:fill="C6EFCE"/>
            <w:noWrap/>
            <w:vAlign w:val="center"/>
          </w:tcPr>
          <w:p w14:paraId="66C87871"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33C17F9D" w14:textId="77777777" w:rsidR="003F5418" w:rsidRDefault="002A6C25">
            <w:pPr>
              <w:pStyle w:val="P68B1DB1-Normal28"/>
              <w:spacing w:before="120" w:after="120"/>
              <w:jc w:val="center"/>
              <w:rPr>
                <w:noProof/>
              </w:rPr>
            </w:pPr>
            <w:r>
              <w:rPr>
                <w:noProof/>
              </w:rPr>
              <w:t>84</w:t>
            </w:r>
          </w:p>
        </w:tc>
        <w:tc>
          <w:tcPr>
            <w:tcW w:w="851" w:type="dxa"/>
            <w:shd w:val="clear" w:color="auto" w:fill="C6EFCE"/>
            <w:noWrap/>
            <w:vAlign w:val="center"/>
          </w:tcPr>
          <w:p w14:paraId="2149677B"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18138B10" w14:textId="77777777" w:rsidR="003F5418" w:rsidRDefault="002A6C25">
            <w:pPr>
              <w:pStyle w:val="P68B1DB1-Normal28"/>
              <w:spacing w:before="120" w:after="120"/>
              <w:jc w:val="center"/>
              <w:rPr>
                <w:noProof/>
                <w:color w:val="006100"/>
              </w:rPr>
            </w:pPr>
            <w:r>
              <w:rPr>
                <w:noProof/>
              </w:rPr>
              <w:t>2026</w:t>
            </w:r>
          </w:p>
        </w:tc>
        <w:tc>
          <w:tcPr>
            <w:tcW w:w="2835" w:type="dxa"/>
            <w:shd w:val="clear" w:color="auto" w:fill="C6EFCE"/>
            <w:noWrap/>
            <w:vAlign w:val="center"/>
          </w:tcPr>
          <w:p w14:paraId="40CAB330" w14:textId="77777777" w:rsidR="003F5418" w:rsidRDefault="002A6C25">
            <w:pPr>
              <w:pStyle w:val="P68B1DB1-Normal28"/>
              <w:spacing w:before="120" w:after="120"/>
              <w:rPr>
                <w:noProof/>
              </w:rPr>
            </w:pPr>
            <w:r>
              <w:rPr>
                <w:noProof/>
              </w:rPr>
              <w:t xml:space="preserve">A kórházi létesítményekben legalább 84 </w:t>
            </w:r>
            <w:r>
              <w:rPr>
                <w:noProof/>
              </w:rPr>
              <w:t>szeizmikus beavatkozást hajtanak végre annak érdekében, hogy azokat összhangba hozzák a földrengés elleni szabályozással.</w:t>
            </w:r>
          </w:p>
        </w:tc>
      </w:tr>
      <w:tr w:rsidR="003F5418" w14:paraId="1B8861E6" w14:textId="77777777">
        <w:trPr>
          <w:trHeight w:val="313"/>
          <w:jc w:val="center"/>
        </w:trPr>
        <w:tc>
          <w:tcPr>
            <w:tcW w:w="1129" w:type="dxa"/>
            <w:shd w:val="clear" w:color="auto" w:fill="C6EFCE"/>
            <w:noWrap/>
            <w:vAlign w:val="center"/>
          </w:tcPr>
          <w:p w14:paraId="7D493FB8" w14:textId="77777777" w:rsidR="003F5418" w:rsidRDefault="002A6C25">
            <w:pPr>
              <w:pStyle w:val="P68B1DB1-Normal4"/>
              <w:jc w:val="center"/>
              <w:rPr>
                <w:noProof/>
              </w:rPr>
            </w:pPr>
            <w:r>
              <w:rPr>
                <w:noProof/>
              </w:rPr>
              <w:t>M6C2–10a</w:t>
            </w:r>
          </w:p>
        </w:tc>
        <w:tc>
          <w:tcPr>
            <w:tcW w:w="1701" w:type="dxa"/>
            <w:shd w:val="clear" w:color="auto" w:fill="C6EFCE"/>
            <w:noWrap/>
            <w:vAlign w:val="center"/>
          </w:tcPr>
          <w:p w14:paraId="7E1E7DD6" w14:textId="77777777" w:rsidR="003F5418" w:rsidRDefault="002A6C25">
            <w:pPr>
              <w:pStyle w:val="P68B1DB1-Normal28"/>
              <w:spacing w:before="120" w:after="120" w:line="276" w:lineRule="auto"/>
              <w:jc w:val="center"/>
              <w:rPr>
                <w:noProof/>
              </w:rPr>
            </w:pPr>
            <w:bookmarkStart w:id="15" w:name="_Hlk160472567"/>
            <w:r>
              <w:rPr>
                <w:noProof/>
              </w:rPr>
              <w:t>Beruházás: Biztonságos és fenntartható kórház felé</w:t>
            </w:r>
            <w:bookmarkEnd w:id="15"/>
          </w:p>
        </w:tc>
        <w:tc>
          <w:tcPr>
            <w:tcW w:w="1134" w:type="dxa"/>
            <w:shd w:val="clear" w:color="auto" w:fill="C6EFCE"/>
            <w:noWrap/>
            <w:vAlign w:val="center"/>
          </w:tcPr>
          <w:p w14:paraId="72CE6EA7" w14:textId="77777777" w:rsidR="003F5418" w:rsidRDefault="002A6C25">
            <w:pPr>
              <w:pStyle w:val="P68B1DB1-Normal28"/>
              <w:jc w:val="center"/>
              <w:rPr>
                <w:noProof/>
              </w:rPr>
            </w:pPr>
            <w:r>
              <w:rPr>
                <w:noProof/>
              </w:rPr>
              <w:t xml:space="preserve">Cél </w:t>
            </w:r>
          </w:p>
        </w:tc>
        <w:tc>
          <w:tcPr>
            <w:tcW w:w="1560" w:type="dxa"/>
            <w:shd w:val="clear" w:color="auto" w:fill="C6EFCE"/>
            <w:noWrap/>
            <w:vAlign w:val="center"/>
          </w:tcPr>
          <w:p w14:paraId="7477FCDE" w14:textId="77777777" w:rsidR="003F5418" w:rsidRDefault="002A6C25">
            <w:pPr>
              <w:pStyle w:val="P68B1DB1-Normal28"/>
              <w:spacing w:before="120" w:after="120"/>
              <w:jc w:val="center"/>
              <w:rPr>
                <w:rFonts w:eastAsia="Calibri"/>
                <w:noProof/>
              </w:rPr>
            </w:pPr>
            <w:r>
              <w:rPr>
                <w:noProof/>
              </w:rPr>
              <w:t>A Helyreállítási és Rezilienciaépítési</w:t>
            </w:r>
            <w:r>
              <w:rPr>
                <w:noProof/>
              </w:rPr>
              <w:t xml:space="preserve"> Eszköz forrásainak folyósítása a 67/88. sz. pénzügyi törvény 20. cikke szerinti, egészségügyi épületekre vonatkozó projektek számára</w:t>
            </w:r>
          </w:p>
        </w:tc>
        <w:tc>
          <w:tcPr>
            <w:tcW w:w="1559" w:type="dxa"/>
            <w:shd w:val="clear" w:color="auto" w:fill="C6EFCE"/>
            <w:noWrap/>
            <w:vAlign w:val="center"/>
          </w:tcPr>
          <w:p w14:paraId="3A2CC8C2" w14:textId="77777777" w:rsidR="003F5418" w:rsidRDefault="002A6C25">
            <w:pPr>
              <w:pStyle w:val="P68B1DB1-Normal28"/>
              <w:jc w:val="center"/>
              <w:rPr>
                <w:noProof/>
              </w:rPr>
            </w:pPr>
            <w:r>
              <w:rPr>
                <w:noProof/>
              </w:rPr>
              <w:t>NINCS</w:t>
            </w:r>
          </w:p>
        </w:tc>
        <w:tc>
          <w:tcPr>
            <w:tcW w:w="1276" w:type="dxa"/>
            <w:shd w:val="clear" w:color="auto" w:fill="C6EFCE"/>
            <w:noWrap/>
            <w:vAlign w:val="center"/>
          </w:tcPr>
          <w:p w14:paraId="631E9AE8" w14:textId="77777777" w:rsidR="003F5418" w:rsidRDefault="002A6C25">
            <w:pPr>
              <w:pStyle w:val="P68B1DB1-Normal28"/>
              <w:jc w:val="center"/>
              <w:rPr>
                <w:rFonts w:eastAsia="Calibri"/>
                <w:noProof/>
              </w:rPr>
            </w:pPr>
            <w:r>
              <w:rPr>
                <w:noProof/>
              </w:rPr>
              <w:t xml:space="preserve">Százalék </w:t>
            </w:r>
          </w:p>
        </w:tc>
        <w:tc>
          <w:tcPr>
            <w:tcW w:w="992" w:type="dxa"/>
            <w:shd w:val="clear" w:color="auto" w:fill="C6EFCE"/>
            <w:noWrap/>
            <w:vAlign w:val="center"/>
          </w:tcPr>
          <w:p w14:paraId="2829ADB8" w14:textId="77777777" w:rsidR="003F5418" w:rsidRDefault="002A6C25">
            <w:pPr>
              <w:pStyle w:val="P68B1DB1-Normal28"/>
              <w:jc w:val="center"/>
              <w:rPr>
                <w:noProof/>
              </w:rPr>
            </w:pPr>
            <w:r>
              <w:rPr>
                <w:noProof/>
              </w:rPr>
              <w:t>0</w:t>
            </w:r>
          </w:p>
        </w:tc>
        <w:tc>
          <w:tcPr>
            <w:tcW w:w="850" w:type="dxa"/>
            <w:shd w:val="clear" w:color="auto" w:fill="C6EFCE"/>
            <w:noWrap/>
            <w:vAlign w:val="center"/>
          </w:tcPr>
          <w:p w14:paraId="61FA33D9" w14:textId="6BD0D79A" w:rsidR="003F5418" w:rsidRDefault="002A6C25">
            <w:pPr>
              <w:pStyle w:val="P68B1DB1-Normal28"/>
              <w:jc w:val="center"/>
              <w:rPr>
                <w:noProof/>
              </w:rPr>
            </w:pPr>
            <w:r>
              <w:rPr>
                <w:noProof/>
              </w:rPr>
              <w:t xml:space="preserve">90 </w:t>
            </w:r>
          </w:p>
        </w:tc>
        <w:tc>
          <w:tcPr>
            <w:tcW w:w="851" w:type="dxa"/>
            <w:shd w:val="clear" w:color="auto" w:fill="C6EFCE"/>
            <w:noWrap/>
            <w:vAlign w:val="center"/>
          </w:tcPr>
          <w:p w14:paraId="56A3FB06" w14:textId="77777777" w:rsidR="003F5418" w:rsidRDefault="002A6C25">
            <w:pPr>
              <w:pStyle w:val="P68B1DB1-Normal28"/>
              <w:jc w:val="center"/>
              <w:rPr>
                <w:noProof/>
              </w:rPr>
            </w:pPr>
            <w:r>
              <w:rPr>
                <w:noProof/>
              </w:rPr>
              <w:t>Q2</w:t>
            </w:r>
          </w:p>
        </w:tc>
        <w:tc>
          <w:tcPr>
            <w:tcW w:w="709" w:type="dxa"/>
            <w:shd w:val="clear" w:color="auto" w:fill="C6EFCE"/>
            <w:noWrap/>
            <w:vAlign w:val="center"/>
          </w:tcPr>
          <w:p w14:paraId="6BE2044C" w14:textId="77777777" w:rsidR="003F5418" w:rsidRDefault="002A6C25">
            <w:pPr>
              <w:pStyle w:val="P68B1DB1-Normal28"/>
              <w:jc w:val="center"/>
              <w:rPr>
                <w:noProof/>
              </w:rPr>
            </w:pPr>
            <w:r>
              <w:rPr>
                <w:noProof/>
              </w:rPr>
              <w:t>2026</w:t>
            </w:r>
          </w:p>
        </w:tc>
        <w:tc>
          <w:tcPr>
            <w:tcW w:w="2835" w:type="dxa"/>
            <w:shd w:val="clear" w:color="auto" w:fill="C6EFCE"/>
            <w:noWrap/>
            <w:vAlign w:val="center"/>
          </w:tcPr>
          <w:p w14:paraId="58CBBFC2" w14:textId="5AB229AD" w:rsidR="003F5418" w:rsidRDefault="002A6C25">
            <w:pPr>
              <w:pStyle w:val="P68B1DB1-Normal28"/>
              <w:rPr>
                <w:rFonts w:eastAsia="Calibri"/>
                <w:noProof/>
              </w:rPr>
            </w:pPr>
            <w:r>
              <w:rPr>
                <w:noProof/>
              </w:rPr>
              <w:t>A 250 000 000 EUR legalább 90%-át a 20 L. 67/88. cikk szerinti programmegállapodásokhoz kapc</w:t>
            </w:r>
            <w:r>
              <w:rPr>
                <w:noProof/>
              </w:rPr>
              <w:t>solódó, kórházak szerkezetátalakítására és korszerűsítésére irányuló projektekre folyósítják, amelyeket az egészségügyi minisztérium hajt végre az adott régióval vagy autonóm megyével.</w:t>
            </w:r>
          </w:p>
        </w:tc>
      </w:tr>
      <w:tr w:rsidR="003F5418" w14:paraId="528356FB" w14:textId="77777777">
        <w:trPr>
          <w:trHeight w:val="313"/>
          <w:jc w:val="center"/>
        </w:trPr>
        <w:tc>
          <w:tcPr>
            <w:tcW w:w="1129" w:type="dxa"/>
            <w:shd w:val="clear" w:color="auto" w:fill="C6EFCE"/>
            <w:noWrap/>
            <w:vAlign w:val="center"/>
          </w:tcPr>
          <w:p w14:paraId="5A208806" w14:textId="77777777" w:rsidR="003F5418" w:rsidRDefault="002A6C25">
            <w:pPr>
              <w:pStyle w:val="P68B1DB1-Normal4"/>
              <w:spacing w:before="120" w:after="120"/>
              <w:jc w:val="center"/>
              <w:rPr>
                <w:noProof/>
              </w:rPr>
            </w:pPr>
            <w:r>
              <w:rPr>
                <w:noProof/>
              </w:rPr>
              <w:t>M6C2–11</w:t>
            </w:r>
          </w:p>
        </w:tc>
        <w:tc>
          <w:tcPr>
            <w:tcW w:w="1701" w:type="dxa"/>
            <w:shd w:val="clear" w:color="auto" w:fill="C6EFCE"/>
            <w:noWrap/>
            <w:vAlign w:val="center"/>
          </w:tcPr>
          <w:p w14:paraId="2D0F355C" w14:textId="77777777" w:rsidR="003F5418" w:rsidRDefault="002A6C25">
            <w:pPr>
              <w:pStyle w:val="P68B1DB1-Normal28"/>
              <w:spacing w:before="120" w:after="120"/>
              <w:jc w:val="center"/>
              <w:rPr>
                <w:noProof/>
                <w:color w:val="006100"/>
              </w:rPr>
            </w:pPr>
            <w:r>
              <w:rPr>
                <w:noProof/>
              </w:rPr>
              <w:t xml:space="preserve">Beruházás: A technológiai infrastruktúra, valamint az </w:t>
            </w:r>
            <w:r>
              <w:rPr>
                <w:noProof/>
              </w:rPr>
              <w:t>adatgyűjtési, adatkezelési, adatelemzési és -szimulációs eszközök megerősítése</w:t>
            </w:r>
          </w:p>
        </w:tc>
        <w:tc>
          <w:tcPr>
            <w:tcW w:w="1134" w:type="dxa"/>
            <w:shd w:val="clear" w:color="auto" w:fill="C6EFCE"/>
            <w:noWrap/>
            <w:vAlign w:val="center"/>
          </w:tcPr>
          <w:p w14:paraId="3B7EC278"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08F74A57" w14:textId="77777777" w:rsidR="003F5418" w:rsidRDefault="002A6C25">
            <w:pPr>
              <w:pStyle w:val="P68B1DB1-Normal28"/>
              <w:spacing w:before="120" w:after="120"/>
              <w:jc w:val="center"/>
              <w:rPr>
                <w:noProof/>
              </w:rPr>
            </w:pPr>
            <w:r>
              <w:rPr>
                <w:noProof/>
              </w:rPr>
              <w:t>Az elektronikus egészségügyi nyilvántartással foglalkozó háziorvosok.</w:t>
            </w:r>
          </w:p>
        </w:tc>
        <w:tc>
          <w:tcPr>
            <w:tcW w:w="1559" w:type="dxa"/>
            <w:shd w:val="clear" w:color="auto" w:fill="C6EFCE"/>
            <w:noWrap/>
            <w:vAlign w:val="center"/>
          </w:tcPr>
          <w:p w14:paraId="11EBAFCB"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19C3BD77" w14:textId="77777777" w:rsidR="003F5418" w:rsidRDefault="002A6C25">
            <w:pPr>
              <w:pStyle w:val="P68B1DB1-Normal28"/>
              <w:spacing w:before="120" w:after="120"/>
              <w:jc w:val="center"/>
              <w:rPr>
                <w:rFonts w:eastAsia="Calibri"/>
                <w:noProof/>
              </w:rPr>
            </w:pPr>
            <w:r>
              <w:rPr>
                <w:noProof/>
              </w:rPr>
              <w:t xml:space="preserve">Százalék </w:t>
            </w:r>
          </w:p>
        </w:tc>
        <w:tc>
          <w:tcPr>
            <w:tcW w:w="992" w:type="dxa"/>
            <w:shd w:val="clear" w:color="auto" w:fill="C6EFCE"/>
            <w:noWrap/>
            <w:vAlign w:val="center"/>
          </w:tcPr>
          <w:p w14:paraId="054832FC"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3DD89C3A" w14:textId="77777777" w:rsidR="003F5418" w:rsidRDefault="002A6C25">
            <w:pPr>
              <w:pStyle w:val="P68B1DB1-Normal28"/>
              <w:spacing w:before="120" w:after="120"/>
              <w:jc w:val="center"/>
              <w:rPr>
                <w:noProof/>
                <w:color w:val="006100"/>
              </w:rPr>
            </w:pPr>
            <w:r>
              <w:rPr>
                <w:noProof/>
              </w:rPr>
              <w:t>85</w:t>
            </w:r>
          </w:p>
        </w:tc>
        <w:tc>
          <w:tcPr>
            <w:tcW w:w="851" w:type="dxa"/>
            <w:shd w:val="clear" w:color="auto" w:fill="C6EFCE"/>
            <w:noWrap/>
            <w:vAlign w:val="center"/>
          </w:tcPr>
          <w:p w14:paraId="39EE3D21" w14:textId="77777777" w:rsidR="003F5418" w:rsidRDefault="002A6C25">
            <w:pPr>
              <w:pStyle w:val="P68B1DB1-Normal28"/>
              <w:spacing w:before="120" w:after="120"/>
              <w:jc w:val="center"/>
              <w:rPr>
                <w:noProof/>
                <w:color w:val="006100"/>
              </w:rPr>
            </w:pPr>
            <w:r>
              <w:rPr>
                <w:noProof/>
              </w:rPr>
              <w:t>Q4</w:t>
            </w:r>
          </w:p>
        </w:tc>
        <w:tc>
          <w:tcPr>
            <w:tcW w:w="709" w:type="dxa"/>
            <w:shd w:val="clear" w:color="auto" w:fill="C6EFCE"/>
            <w:noWrap/>
            <w:vAlign w:val="center"/>
          </w:tcPr>
          <w:p w14:paraId="03ABEF96" w14:textId="77777777" w:rsidR="003F5418" w:rsidRDefault="002A6C25">
            <w:pPr>
              <w:pStyle w:val="P68B1DB1-Normal28"/>
              <w:spacing w:before="120" w:after="120"/>
              <w:jc w:val="center"/>
              <w:rPr>
                <w:noProof/>
                <w:color w:val="006100"/>
              </w:rPr>
            </w:pPr>
            <w:r>
              <w:rPr>
                <w:noProof/>
              </w:rPr>
              <w:t>2025</w:t>
            </w:r>
          </w:p>
        </w:tc>
        <w:tc>
          <w:tcPr>
            <w:tcW w:w="2835" w:type="dxa"/>
            <w:shd w:val="clear" w:color="auto" w:fill="C6EFCE"/>
            <w:noWrap/>
            <w:vAlign w:val="center"/>
          </w:tcPr>
          <w:p w14:paraId="761303BD" w14:textId="77777777" w:rsidR="003F5418" w:rsidRDefault="002A6C25">
            <w:pPr>
              <w:pStyle w:val="P68B1DB1-Normal28"/>
              <w:spacing w:before="120" w:after="120"/>
              <w:rPr>
                <w:noProof/>
              </w:rPr>
            </w:pPr>
            <w:r>
              <w:rPr>
                <w:noProof/>
              </w:rPr>
              <w:t xml:space="preserve">Ezt a célt az EHR-ben digitalizált digitális dokumentumtípusok számának </w:t>
            </w:r>
            <w:r>
              <w:rPr>
                <w:noProof/>
              </w:rPr>
              <w:t>növelésével, valamint a háziorvosok digitális továbbképzésének országszerte történő érvényesítését célzó szaktámogatással és képzéssel kell elérni.</w:t>
            </w:r>
          </w:p>
        </w:tc>
      </w:tr>
      <w:tr w:rsidR="003F5418" w14:paraId="06AE5980" w14:textId="77777777">
        <w:trPr>
          <w:trHeight w:val="313"/>
          <w:jc w:val="center"/>
        </w:trPr>
        <w:tc>
          <w:tcPr>
            <w:tcW w:w="1129" w:type="dxa"/>
            <w:shd w:val="clear" w:color="auto" w:fill="C6EFCE"/>
            <w:noWrap/>
            <w:vAlign w:val="center"/>
          </w:tcPr>
          <w:p w14:paraId="13ACB5A0" w14:textId="77777777" w:rsidR="003F5418" w:rsidRDefault="002A6C25">
            <w:pPr>
              <w:pStyle w:val="P68B1DB1-Normal4"/>
              <w:spacing w:before="120" w:after="120"/>
              <w:jc w:val="center"/>
              <w:rPr>
                <w:noProof/>
              </w:rPr>
            </w:pPr>
            <w:r>
              <w:rPr>
                <w:noProof/>
              </w:rPr>
              <w:t>M6C2–12</w:t>
            </w:r>
          </w:p>
        </w:tc>
        <w:tc>
          <w:tcPr>
            <w:tcW w:w="1701" w:type="dxa"/>
            <w:shd w:val="clear" w:color="auto" w:fill="C6EFCE"/>
            <w:noWrap/>
            <w:vAlign w:val="center"/>
          </w:tcPr>
          <w:p w14:paraId="63C077D1" w14:textId="77777777" w:rsidR="003F5418" w:rsidRDefault="002A6C25">
            <w:pPr>
              <w:pStyle w:val="P68B1DB1-Normal28"/>
              <w:spacing w:before="120" w:after="120"/>
              <w:jc w:val="center"/>
              <w:rPr>
                <w:noProof/>
                <w:color w:val="006100"/>
              </w:rPr>
            </w:pPr>
            <w:r>
              <w:rPr>
                <w:noProof/>
              </w:rPr>
              <w:t xml:space="preserve">Beruházás: A technológiai infrastruktúra, valamint az adatgyűjtési, adatkezelési, adatelemzési és </w:t>
            </w:r>
            <w:r>
              <w:rPr>
                <w:noProof/>
              </w:rPr>
              <w:t>-szimulációs eszközök megerősítése</w:t>
            </w:r>
          </w:p>
        </w:tc>
        <w:tc>
          <w:tcPr>
            <w:tcW w:w="1134" w:type="dxa"/>
            <w:shd w:val="clear" w:color="auto" w:fill="C6EFCE"/>
            <w:noWrap/>
            <w:vAlign w:val="center"/>
          </w:tcPr>
          <w:p w14:paraId="69C16BB5" w14:textId="77777777" w:rsidR="003F5418" w:rsidRDefault="002A6C25">
            <w:pPr>
              <w:pStyle w:val="P68B1DB1-Normal28"/>
              <w:spacing w:before="120" w:after="120"/>
              <w:jc w:val="center"/>
              <w:rPr>
                <w:noProof/>
                <w:color w:val="006100"/>
              </w:rPr>
            </w:pPr>
            <w:r>
              <w:rPr>
                <w:noProof/>
              </w:rPr>
              <w:t>Mérföldkő</w:t>
            </w:r>
          </w:p>
        </w:tc>
        <w:tc>
          <w:tcPr>
            <w:tcW w:w="1560" w:type="dxa"/>
            <w:shd w:val="clear" w:color="auto" w:fill="C6EFCE"/>
            <w:noWrap/>
            <w:vAlign w:val="center"/>
          </w:tcPr>
          <w:p w14:paraId="3C4DF657" w14:textId="77777777" w:rsidR="003F5418" w:rsidRDefault="002A6C25">
            <w:pPr>
              <w:pStyle w:val="P68B1DB1-Normal28"/>
              <w:spacing w:before="120" w:after="120"/>
              <w:jc w:val="center"/>
              <w:rPr>
                <w:noProof/>
              </w:rPr>
            </w:pPr>
            <w:r>
              <w:rPr>
                <w:noProof/>
              </w:rPr>
              <w:t>Az egészségbiztosítási kártya rendszere és az elektronikus egészségügyi nyilvántartás interoperabilitását szolgáló infrastruktúra teljes mértékben működőképes.</w:t>
            </w:r>
          </w:p>
        </w:tc>
        <w:tc>
          <w:tcPr>
            <w:tcW w:w="1559" w:type="dxa"/>
            <w:shd w:val="clear" w:color="auto" w:fill="C6EFCE"/>
            <w:noWrap/>
            <w:vAlign w:val="center"/>
          </w:tcPr>
          <w:p w14:paraId="15F03D8D" w14:textId="77777777" w:rsidR="003F5418" w:rsidRDefault="002A6C25">
            <w:pPr>
              <w:spacing w:before="120" w:after="120"/>
              <w:jc w:val="center"/>
              <w:rPr>
                <w:rFonts w:ascii="Arial Narrow" w:hAnsi="Arial Narrow"/>
                <w:noProof/>
                <w:sz w:val="20"/>
              </w:rPr>
            </w:pPr>
            <w:r>
              <w:rPr>
                <w:rFonts w:ascii="Arial Narrow" w:hAnsi="Arial Narrow"/>
                <w:noProof/>
                <w:color w:val="006600"/>
                <w:sz w:val="20"/>
              </w:rPr>
              <w:t>Az egészségbiztosítási kártyarendszer üzembe</w:t>
            </w:r>
            <w:r>
              <w:rPr>
                <w:noProof/>
              </w:rPr>
              <w:t>helyezése</w:t>
            </w:r>
            <w:r>
              <w:rPr>
                <w:rFonts w:ascii="Arial Narrow" w:hAnsi="Arial Narrow"/>
                <w:noProof/>
              </w:rPr>
              <w:t xml:space="preserve"> </w:t>
            </w:r>
            <w:r>
              <w:rPr>
                <w:noProof/>
              </w:rPr>
              <w:t xml:space="preserve"> </w:t>
            </w:r>
            <w:r>
              <w:rPr>
                <w:noProof/>
              </w:rPr>
              <w:br/>
            </w:r>
            <w:r>
              <w:rPr>
                <w:rFonts w:ascii="Arial Narrow" w:hAnsi="Arial Narrow"/>
                <w:noProof/>
                <w:color w:val="006600"/>
                <w:sz w:val="20"/>
              </w:rPr>
              <w:t>valamint az EHR interoperabilitását szolgáló infrastruktúra.</w:t>
            </w:r>
          </w:p>
        </w:tc>
        <w:tc>
          <w:tcPr>
            <w:tcW w:w="1276" w:type="dxa"/>
            <w:shd w:val="clear" w:color="auto" w:fill="C6EFCE"/>
            <w:noWrap/>
            <w:vAlign w:val="center"/>
          </w:tcPr>
          <w:p w14:paraId="3C760AD0" w14:textId="77777777" w:rsidR="003F5418" w:rsidRDefault="002A6C25">
            <w:pPr>
              <w:pStyle w:val="P68B1DB1-Normal28"/>
              <w:spacing w:before="120" w:after="120"/>
              <w:jc w:val="center"/>
              <w:rPr>
                <w:noProof/>
                <w:color w:val="006100"/>
              </w:rPr>
            </w:pPr>
            <w:r>
              <w:rPr>
                <w:noProof/>
              </w:rPr>
              <w:t>NINCS</w:t>
            </w:r>
          </w:p>
        </w:tc>
        <w:tc>
          <w:tcPr>
            <w:tcW w:w="992" w:type="dxa"/>
            <w:shd w:val="clear" w:color="auto" w:fill="C6EFCE"/>
            <w:noWrap/>
            <w:vAlign w:val="center"/>
          </w:tcPr>
          <w:p w14:paraId="17899712" w14:textId="77777777" w:rsidR="003F5418" w:rsidRDefault="002A6C25">
            <w:pPr>
              <w:pStyle w:val="P68B1DB1-Normal28"/>
              <w:spacing w:before="120" w:after="120"/>
              <w:jc w:val="center"/>
              <w:rPr>
                <w:noProof/>
                <w:color w:val="006100"/>
              </w:rPr>
            </w:pPr>
            <w:r>
              <w:rPr>
                <w:noProof/>
              </w:rPr>
              <w:t>NINCS</w:t>
            </w:r>
          </w:p>
        </w:tc>
        <w:tc>
          <w:tcPr>
            <w:tcW w:w="850" w:type="dxa"/>
            <w:shd w:val="clear" w:color="auto" w:fill="C6EFCE"/>
            <w:noWrap/>
            <w:vAlign w:val="center"/>
          </w:tcPr>
          <w:p w14:paraId="14754849" w14:textId="77777777" w:rsidR="003F5418" w:rsidRDefault="002A6C25">
            <w:pPr>
              <w:pStyle w:val="P68B1DB1-Normal28"/>
              <w:spacing w:before="120" w:after="120"/>
              <w:jc w:val="center"/>
              <w:rPr>
                <w:noProof/>
                <w:color w:val="006100"/>
              </w:rPr>
            </w:pPr>
            <w:r>
              <w:rPr>
                <w:noProof/>
              </w:rPr>
              <w:t>NINCS</w:t>
            </w:r>
          </w:p>
        </w:tc>
        <w:tc>
          <w:tcPr>
            <w:tcW w:w="851" w:type="dxa"/>
            <w:shd w:val="clear" w:color="auto" w:fill="C6EFCE"/>
            <w:noWrap/>
            <w:vAlign w:val="center"/>
          </w:tcPr>
          <w:p w14:paraId="7262DB94"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558EAC68" w14:textId="77777777" w:rsidR="003F5418" w:rsidRDefault="002A6C25">
            <w:pPr>
              <w:pStyle w:val="P68B1DB1-Normal28"/>
              <w:spacing w:before="120" w:after="120"/>
              <w:jc w:val="center"/>
              <w:rPr>
                <w:noProof/>
                <w:color w:val="006100"/>
              </w:rPr>
            </w:pPr>
            <w:r>
              <w:rPr>
                <w:noProof/>
              </w:rPr>
              <w:t>2026</w:t>
            </w:r>
          </w:p>
        </w:tc>
        <w:tc>
          <w:tcPr>
            <w:tcW w:w="2835" w:type="dxa"/>
            <w:shd w:val="clear" w:color="auto" w:fill="C6EFCE"/>
            <w:noWrap/>
            <w:vAlign w:val="center"/>
          </w:tcPr>
          <w:p w14:paraId="5D79047F" w14:textId="77777777" w:rsidR="003F5418" w:rsidRDefault="002A6C25">
            <w:pPr>
              <w:pStyle w:val="P68B1DB1-Normal28"/>
              <w:spacing w:before="120" w:after="120"/>
              <w:rPr>
                <w:rFonts w:eastAsia="Calibri"/>
                <w:noProof/>
              </w:rPr>
            </w:pPr>
            <w:r>
              <w:rPr>
                <w:noProof/>
              </w:rPr>
              <w:t>Az egészségbiztosítási kártyarendszer és az elektronikus egészségügyi dokumentáció interoperabilitását szolgáló infrastruktúra üzembe helyezése: Központi ada</w:t>
            </w:r>
            <w:r>
              <w:rPr>
                <w:noProof/>
              </w:rPr>
              <w:t>ttár, interoperabilitási és szolgáltatási platform létrehozása a gyors egészségügyi ellátás interoperabilitási erőforrásaira vonatkozó szabványnak megfelelően, kihasználva az e területen már meglévő tapasztalatokat, biztosítva a tárolási, biztonsági és int</w:t>
            </w:r>
            <w:r>
              <w:rPr>
                <w:noProof/>
              </w:rPr>
              <w:t>eroperabilitási szabványokat.</w:t>
            </w:r>
          </w:p>
        </w:tc>
      </w:tr>
      <w:tr w:rsidR="003F5418" w14:paraId="5D63DB67" w14:textId="77777777">
        <w:trPr>
          <w:trHeight w:val="313"/>
          <w:jc w:val="center"/>
        </w:trPr>
        <w:tc>
          <w:tcPr>
            <w:tcW w:w="112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C4369" w14:textId="77777777" w:rsidR="003F5418" w:rsidRDefault="002A6C25">
            <w:pPr>
              <w:pStyle w:val="P68B1DB1-Normal4"/>
              <w:spacing w:before="120" w:after="120"/>
              <w:jc w:val="center"/>
              <w:rPr>
                <w:noProof/>
              </w:rPr>
            </w:pPr>
            <w:r>
              <w:rPr>
                <w:noProof/>
              </w:rPr>
              <w:t>M6C2–13</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0A31107" w14:textId="77777777" w:rsidR="003F5418" w:rsidRDefault="002A6C25">
            <w:pPr>
              <w:pStyle w:val="P68B1DB1-Normal28"/>
              <w:spacing w:before="120" w:after="120"/>
              <w:jc w:val="center"/>
              <w:rPr>
                <w:noProof/>
                <w:color w:val="006100"/>
              </w:rPr>
            </w:pPr>
            <w:r>
              <w:rPr>
                <w:noProof/>
              </w:rPr>
              <w:t>Beruházás: A technológiai infrastruktúra, valamint az adatgyűjtési, adatkezelési, adatelemzési és -szimulációs eszközök megerősítése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D0F303" w14:textId="77777777" w:rsidR="003F5418" w:rsidRDefault="002A6C25">
            <w:pPr>
              <w:pStyle w:val="P68B1DB1-Normal28"/>
              <w:spacing w:before="120" w:after="120"/>
              <w:jc w:val="center"/>
              <w:rPr>
                <w:noProof/>
                <w:color w:val="006100"/>
              </w:rPr>
            </w:pPr>
            <w:r>
              <w:rPr>
                <w:noProof/>
              </w:rPr>
              <w:t>Cél</w:t>
            </w:r>
          </w:p>
        </w:tc>
        <w:tc>
          <w:tcPr>
            <w:tcW w:w="156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07A025" w14:textId="77777777" w:rsidR="003F5418" w:rsidRDefault="002A6C25">
            <w:pPr>
              <w:pStyle w:val="P68B1DB1-Normal28"/>
              <w:spacing w:before="120" w:after="120"/>
              <w:jc w:val="center"/>
              <w:rPr>
                <w:rFonts w:eastAsia="Calibri"/>
                <w:noProof/>
              </w:rPr>
            </w:pPr>
            <w:r>
              <w:rPr>
                <w:noProof/>
              </w:rPr>
              <w:t>Valamennyi régió elfogadta és használja az EHR-t</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8976E0D" w14:textId="77777777" w:rsidR="003F5418" w:rsidRDefault="002A6C25">
            <w:pPr>
              <w:pStyle w:val="P68B1DB1-Normal28"/>
              <w:spacing w:before="120" w:after="120"/>
              <w:jc w:val="center"/>
              <w:rPr>
                <w:noProof/>
                <w:color w:val="006100"/>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65D4EB" w14:textId="77777777" w:rsidR="003F5418" w:rsidRDefault="002A6C25">
            <w:pPr>
              <w:pStyle w:val="P68B1DB1-Normal28"/>
              <w:spacing w:before="120" w:after="120"/>
              <w:jc w:val="center"/>
              <w:rPr>
                <w:rFonts w:eastAsia="Arial"/>
                <w:noProof/>
              </w:rPr>
            </w:pPr>
            <w:r>
              <w:rPr>
                <w:noProof/>
              </w:rPr>
              <w:t>Szám</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A6204E" w14:textId="77777777" w:rsidR="003F5418" w:rsidRDefault="002A6C25">
            <w:pPr>
              <w:pStyle w:val="P68B1DB1-Normal28"/>
              <w:spacing w:before="120" w:after="120"/>
              <w:jc w:val="center"/>
              <w:rPr>
                <w:noProof/>
                <w:color w:val="006100"/>
              </w:rPr>
            </w:pPr>
            <w:r>
              <w:rPr>
                <w:noProof/>
              </w:rPr>
              <w:t>0</w:t>
            </w:r>
          </w:p>
        </w:tc>
        <w:tc>
          <w:tcPr>
            <w:tcW w:w="85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D31F739" w14:textId="77777777" w:rsidR="003F5418" w:rsidRDefault="002A6C25">
            <w:pPr>
              <w:pStyle w:val="P68B1DB1-Normal28"/>
              <w:spacing w:before="120" w:after="120"/>
              <w:jc w:val="center"/>
              <w:rPr>
                <w:noProof/>
                <w:color w:val="006100"/>
              </w:rPr>
            </w:pPr>
            <w:r>
              <w:rPr>
                <w:noProof/>
              </w:rPr>
              <w:t>21</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E629F6" w14:textId="77777777" w:rsidR="003F5418" w:rsidRDefault="002A6C25">
            <w:pPr>
              <w:pStyle w:val="P68B1DB1-Normal28"/>
              <w:spacing w:before="120" w:after="120"/>
              <w:jc w:val="center"/>
              <w:rPr>
                <w:noProof/>
                <w:color w:val="006100"/>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E4A904" w14:textId="77777777" w:rsidR="003F5418" w:rsidRDefault="002A6C25">
            <w:pPr>
              <w:pStyle w:val="P68B1DB1-Normal28"/>
              <w:spacing w:before="120" w:after="120"/>
              <w:jc w:val="center"/>
              <w:rPr>
                <w:noProof/>
                <w:color w:val="006100"/>
              </w:rPr>
            </w:pPr>
            <w:r>
              <w:rPr>
                <w:noProof/>
              </w:rPr>
              <w:t>2026</w:t>
            </w:r>
          </w:p>
        </w:tc>
        <w:tc>
          <w:tcPr>
            <w:tcW w:w="283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34F8CF" w14:textId="0D785D8F" w:rsidR="003F5418" w:rsidRDefault="002A6C25">
            <w:pPr>
              <w:pStyle w:val="P68B1DB1-Normal28"/>
              <w:spacing w:before="120" w:after="120"/>
              <w:rPr>
                <w:noProof/>
              </w:rPr>
            </w:pPr>
            <w:r>
              <w:rPr>
                <w:noProof/>
              </w:rPr>
              <w:t xml:space="preserve">Minden régiónak digitálisan őshonos dokumentumokat kell létrehoznia, használnia és feltöltenie az EHR-re. A cél különösen a következőkre terjed ki:        </w:t>
            </w:r>
          </w:p>
          <w:p w14:paraId="463A0EDE" w14:textId="77777777" w:rsidR="003F5418" w:rsidRDefault="002A6C25">
            <w:pPr>
              <w:pStyle w:val="P68B1DB1-Normal28"/>
              <w:spacing w:before="120" w:after="120"/>
              <w:rPr>
                <w:rFonts w:eastAsia="Calibri"/>
                <w:noProof/>
              </w:rPr>
            </w:pPr>
            <w:r>
              <w:rPr>
                <w:noProof/>
              </w:rPr>
              <w:t>– A digitálisan őshonos dokumentumokat a 2022. május 18-i rendelet és az EHR tartalmára vonatkozó ké</w:t>
            </w:r>
            <w:r>
              <w:rPr>
                <w:noProof/>
              </w:rPr>
              <w:t>sőbbi rendeletek értelmében fel kell tölteni az EHR-be.</w:t>
            </w:r>
          </w:p>
          <w:p w14:paraId="3C592341" w14:textId="77777777" w:rsidR="003F5418" w:rsidRDefault="002A6C25">
            <w:pPr>
              <w:pStyle w:val="P68B1DB1-Normal28"/>
              <w:spacing w:before="120" w:after="120"/>
              <w:rPr>
                <w:noProof/>
              </w:rPr>
            </w:pPr>
            <w:r>
              <w:rPr>
                <w:noProof/>
              </w:rPr>
              <w:t xml:space="preserve">– Az egészségügyi szolgáltatók számára berendezéseik frissítéséhez, valamint annak biztosításához nyújtott pénzügyi támogatás, hogy az egészségügyi adatokat, metaadatokat és dokumentációt digitálisan </w:t>
            </w:r>
            <w:r>
              <w:rPr>
                <w:noProof/>
              </w:rPr>
              <w:t xml:space="preserve">őshonos módon hozzák létre.    </w:t>
            </w:r>
          </w:p>
          <w:p w14:paraId="42AA4ED4" w14:textId="77777777" w:rsidR="003F5418" w:rsidRDefault="002A6C25">
            <w:pPr>
              <w:pStyle w:val="P68B1DB1-Normal28"/>
              <w:spacing w:before="120" w:after="120"/>
              <w:rPr>
                <w:noProof/>
              </w:rPr>
            </w:pPr>
            <w:r>
              <w:rPr>
                <w:noProof/>
              </w:rPr>
              <w:t xml:space="preserve">Pénzügyi támogatás azon egészségügyi szolgáltatók számára, akik hajlandók elfogadni a nemzeti platformot, az interoperabilitást és az UI/UX szabványokat.  </w:t>
            </w:r>
          </w:p>
          <w:p w14:paraId="1A9EE92B" w14:textId="77777777" w:rsidR="003F5418" w:rsidRDefault="002A6C25">
            <w:pPr>
              <w:pStyle w:val="P68B1DB1-Normal28"/>
              <w:spacing w:before="120" w:after="120"/>
              <w:rPr>
                <w:rFonts w:eastAsia="Calibri"/>
                <w:noProof/>
              </w:rPr>
            </w:pPr>
            <w:r>
              <w:rPr>
                <w:noProof/>
              </w:rPr>
              <w:t>Kompetenciatámogatás (humántőke) az egészségügyi szolgáltatók és a r</w:t>
            </w:r>
            <w:r>
              <w:rPr>
                <w:noProof/>
              </w:rPr>
              <w:t>egionális egészségügyi hatóságok számára, hogy infrastrukturális és adatmódosításokat hajtsanak végre a nemzeti elektronikus egészségügyi nyilvántartás elfogadása érdekében.</w:t>
            </w:r>
          </w:p>
        </w:tc>
      </w:tr>
      <w:tr w:rsidR="003F5418" w14:paraId="0D99B217" w14:textId="77777777">
        <w:trPr>
          <w:trHeight w:val="313"/>
          <w:jc w:val="center"/>
        </w:trPr>
        <w:tc>
          <w:tcPr>
            <w:tcW w:w="1129" w:type="dxa"/>
            <w:shd w:val="clear" w:color="auto" w:fill="C6EFCE"/>
            <w:noWrap/>
            <w:vAlign w:val="center"/>
          </w:tcPr>
          <w:p w14:paraId="5AE4F4E1" w14:textId="77777777" w:rsidR="003F5418" w:rsidRDefault="002A6C25">
            <w:pPr>
              <w:pStyle w:val="P68B1DB1-Normal4"/>
              <w:spacing w:before="120" w:after="120"/>
              <w:jc w:val="center"/>
              <w:rPr>
                <w:noProof/>
              </w:rPr>
            </w:pPr>
            <w:r>
              <w:rPr>
                <w:noProof/>
              </w:rPr>
              <w:t>M6C2–14</w:t>
            </w:r>
          </w:p>
        </w:tc>
        <w:tc>
          <w:tcPr>
            <w:tcW w:w="1701" w:type="dxa"/>
            <w:shd w:val="clear" w:color="auto" w:fill="C6EFCE"/>
            <w:noWrap/>
            <w:vAlign w:val="center"/>
          </w:tcPr>
          <w:p w14:paraId="1C933C40" w14:textId="77777777" w:rsidR="003F5418" w:rsidRDefault="002A6C25">
            <w:pPr>
              <w:pStyle w:val="P68B1DB1-Normal28"/>
              <w:spacing w:before="120" w:after="120"/>
              <w:jc w:val="center"/>
              <w:rPr>
                <w:noProof/>
                <w:color w:val="006100"/>
              </w:rPr>
            </w:pPr>
            <w:r>
              <w:rPr>
                <w:noProof/>
              </w:rPr>
              <w:t xml:space="preserve">Beruházás: Az egészségügyi rendszer szakemberei műszaki-szakmai, </w:t>
            </w:r>
            <w:r>
              <w:rPr>
                <w:noProof/>
              </w:rPr>
              <w:t>digitális és vezetői készségeinek fejlesztése</w:t>
            </w:r>
          </w:p>
        </w:tc>
        <w:tc>
          <w:tcPr>
            <w:tcW w:w="1134" w:type="dxa"/>
            <w:shd w:val="clear" w:color="auto" w:fill="C6EFCE"/>
            <w:noWrap/>
            <w:vAlign w:val="center"/>
          </w:tcPr>
          <w:p w14:paraId="577B14ED"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27DEB259" w14:textId="77777777" w:rsidR="003F5418" w:rsidRDefault="002A6C25">
            <w:pPr>
              <w:pStyle w:val="P68B1DB1-Normal28"/>
              <w:spacing w:before="120" w:after="120"/>
              <w:jc w:val="center"/>
              <w:rPr>
                <w:noProof/>
              </w:rPr>
            </w:pPr>
            <w:r>
              <w:rPr>
                <w:noProof/>
              </w:rPr>
              <w:t>Általános orvosi képzésre szóló ösztöndíjakat ítélnek oda.</w:t>
            </w:r>
          </w:p>
        </w:tc>
        <w:tc>
          <w:tcPr>
            <w:tcW w:w="1559" w:type="dxa"/>
            <w:shd w:val="clear" w:color="auto" w:fill="C6EFCE"/>
            <w:noWrap/>
            <w:vAlign w:val="center"/>
          </w:tcPr>
          <w:p w14:paraId="256CC98A"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597C785E" w14:textId="77777777" w:rsidR="003F5418" w:rsidRDefault="002A6C25">
            <w:pPr>
              <w:pStyle w:val="P68B1DB1-Normal28"/>
              <w:spacing w:before="120" w:after="120"/>
              <w:jc w:val="center"/>
              <w:rPr>
                <w:rFonts w:eastAsia="Calibri"/>
                <w:noProof/>
              </w:rPr>
            </w:pPr>
            <w:r>
              <w:rPr>
                <w:noProof/>
              </w:rPr>
              <w:t xml:space="preserve">Szám </w:t>
            </w:r>
          </w:p>
        </w:tc>
        <w:tc>
          <w:tcPr>
            <w:tcW w:w="992" w:type="dxa"/>
            <w:shd w:val="clear" w:color="auto" w:fill="C6EFCE"/>
            <w:noWrap/>
            <w:vAlign w:val="center"/>
          </w:tcPr>
          <w:p w14:paraId="172281B2"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21D65173" w14:textId="0B8EE2C3" w:rsidR="003F5418" w:rsidRDefault="002A6C25">
            <w:pPr>
              <w:pStyle w:val="P68B1DB1-Normal28"/>
              <w:spacing w:before="120" w:after="120"/>
              <w:jc w:val="center"/>
              <w:rPr>
                <w:noProof/>
                <w:color w:val="006100"/>
              </w:rPr>
            </w:pPr>
            <w:r>
              <w:rPr>
                <w:noProof/>
              </w:rPr>
              <w:t>1 800</w:t>
            </w:r>
          </w:p>
        </w:tc>
        <w:tc>
          <w:tcPr>
            <w:tcW w:w="851" w:type="dxa"/>
            <w:shd w:val="clear" w:color="auto" w:fill="C6EFCE"/>
            <w:noWrap/>
            <w:vAlign w:val="center"/>
          </w:tcPr>
          <w:p w14:paraId="35FF5CB4"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20943A83" w14:textId="77777777" w:rsidR="003F5418" w:rsidRDefault="002A6C25">
            <w:pPr>
              <w:pStyle w:val="P68B1DB1-Normal28"/>
              <w:spacing w:before="120" w:after="120"/>
              <w:jc w:val="center"/>
              <w:rPr>
                <w:noProof/>
                <w:color w:val="006100"/>
              </w:rPr>
            </w:pPr>
            <w:r>
              <w:rPr>
                <w:noProof/>
              </w:rPr>
              <w:t>2023</w:t>
            </w:r>
          </w:p>
        </w:tc>
        <w:tc>
          <w:tcPr>
            <w:tcW w:w="2835" w:type="dxa"/>
            <w:shd w:val="clear" w:color="auto" w:fill="C6EFCE"/>
            <w:noWrap/>
            <w:vAlign w:val="center"/>
          </w:tcPr>
          <w:p w14:paraId="71957440" w14:textId="77777777" w:rsidR="003F5418" w:rsidRDefault="002A6C25">
            <w:pPr>
              <w:pStyle w:val="P68B1DB1-Normal28"/>
              <w:spacing w:before="120" w:after="120"/>
              <w:rPr>
                <w:rFonts w:eastAsia="Calibri"/>
                <w:noProof/>
              </w:rPr>
            </w:pPr>
            <w:r>
              <w:rPr>
                <w:noProof/>
              </w:rPr>
              <w:t>E beruházásnak növelnie kell a speciális általános orvosi képzésre nyújtott ösztöndíjakat, garantálva 3 hároméves képzé</w:t>
            </w:r>
            <w:r>
              <w:rPr>
                <w:noProof/>
              </w:rPr>
              <w:t>si ciklus elvégzését;</w:t>
            </w:r>
          </w:p>
        </w:tc>
      </w:tr>
      <w:tr w:rsidR="003F5418" w14:paraId="22EC5619" w14:textId="77777777">
        <w:trPr>
          <w:trHeight w:val="313"/>
          <w:jc w:val="center"/>
        </w:trPr>
        <w:tc>
          <w:tcPr>
            <w:tcW w:w="1129" w:type="dxa"/>
            <w:shd w:val="clear" w:color="auto" w:fill="C6EFCE"/>
            <w:noWrap/>
            <w:vAlign w:val="center"/>
          </w:tcPr>
          <w:p w14:paraId="5C51D320" w14:textId="77777777" w:rsidR="003F5418" w:rsidRDefault="002A6C25">
            <w:pPr>
              <w:pStyle w:val="P68B1DB1-Normal4"/>
              <w:spacing w:before="120" w:after="120"/>
              <w:jc w:val="center"/>
              <w:rPr>
                <w:noProof/>
              </w:rPr>
            </w:pPr>
            <w:r>
              <w:rPr>
                <w:noProof/>
              </w:rPr>
              <w:t>M6C2–15</w:t>
            </w:r>
          </w:p>
        </w:tc>
        <w:tc>
          <w:tcPr>
            <w:tcW w:w="1701" w:type="dxa"/>
            <w:shd w:val="clear" w:color="auto" w:fill="C6EFCE"/>
            <w:noWrap/>
            <w:vAlign w:val="center"/>
          </w:tcPr>
          <w:p w14:paraId="4A1D6A5C" w14:textId="77777777" w:rsidR="003F5418" w:rsidRDefault="002A6C25">
            <w:pPr>
              <w:pStyle w:val="P68B1DB1-Normal28"/>
              <w:spacing w:before="120" w:after="120"/>
              <w:jc w:val="center"/>
              <w:rPr>
                <w:noProof/>
                <w:color w:val="006100"/>
              </w:rPr>
            </w:pPr>
            <w:r>
              <w:rPr>
                <w:noProof/>
              </w:rPr>
              <w:t>Beruházás: Az egészségügyi rendszer szakemberei műszaki-szakmai, digitális és vezetői készségeinek fejlesztése</w:t>
            </w:r>
          </w:p>
        </w:tc>
        <w:tc>
          <w:tcPr>
            <w:tcW w:w="1134" w:type="dxa"/>
            <w:shd w:val="clear" w:color="auto" w:fill="C6EFCE"/>
            <w:noWrap/>
            <w:vAlign w:val="center"/>
          </w:tcPr>
          <w:p w14:paraId="65862F4D"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67D17BAE" w14:textId="77777777" w:rsidR="003F5418" w:rsidRDefault="002A6C25">
            <w:pPr>
              <w:pStyle w:val="P68B1DB1-Normal28"/>
              <w:spacing w:before="120" w:after="120"/>
              <w:jc w:val="center"/>
              <w:rPr>
                <w:noProof/>
              </w:rPr>
            </w:pPr>
            <w:r>
              <w:rPr>
                <w:noProof/>
              </w:rPr>
              <w:t>További ösztöndíjakat ítélnek oda az általános orvosi szakorvosi képzéshez.</w:t>
            </w:r>
          </w:p>
        </w:tc>
        <w:tc>
          <w:tcPr>
            <w:tcW w:w="1559" w:type="dxa"/>
            <w:shd w:val="clear" w:color="auto" w:fill="C6EFCE"/>
            <w:noWrap/>
            <w:vAlign w:val="center"/>
          </w:tcPr>
          <w:p w14:paraId="6A82B2D3"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33134915" w14:textId="77777777" w:rsidR="003F5418" w:rsidRDefault="002A6C25">
            <w:pPr>
              <w:pStyle w:val="P68B1DB1-Normal28"/>
              <w:spacing w:before="120" w:after="120"/>
              <w:jc w:val="center"/>
              <w:rPr>
                <w:rFonts w:eastAsia="Calibri"/>
                <w:noProof/>
              </w:rPr>
            </w:pPr>
            <w:r>
              <w:rPr>
                <w:noProof/>
              </w:rPr>
              <w:t xml:space="preserve">Szám </w:t>
            </w:r>
          </w:p>
        </w:tc>
        <w:tc>
          <w:tcPr>
            <w:tcW w:w="992" w:type="dxa"/>
            <w:shd w:val="clear" w:color="auto" w:fill="C6EFCE"/>
            <w:noWrap/>
            <w:vAlign w:val="center"/>
          </w:tcPr>
          <w:p w14:paraId="05E76AD9" w14:textId="61429022" w:rsidR="003F5418" w:rsidRDefault="002A6C25">
            <w:pPr>
              <w:pStyle w:val="P68B1DB1-Normal28"/>
              <w:spacing w:before="120" w:after="120"/>
              <w:jc w:val="center"/>
              <w:rPr>
                <w:noProof/>
                <w:color w:val="006100"/>
              </w:rPr>
            </w:pPr>
            <w:r>
              <w:rPr>
                <w:noProof/>
              </w:rPr>
              <w:t>1 800</w:t>
            </w:r>
          </w:p>
        </w:tc>
        <w:tc>
          <w:tcPr>
            <w:tcW w:w="850" w:type="dxa"/>
            <w:shd w:val="clear" w:color="auto" w:fill="C6EFCE"/>
            <w:noWrap/>
            <w:vAlign w:val="center"/>
          </w:tcPr>
          <w:p w14:paraId="19FAAD7F" w14:textId="0C91F201" w:rsidR="003F5418" w:rsidRDefault="002A6C25">
            <w:pPr>
              <w:pStyle w:val="P68B1DB1-Normal28"/>
              <w:spacing w:before="120" w:after="120"/>
              <w:jc w:val="center"/>
              <w:rPr>
                <w:noProof/>
                <w:color w:val="006100"/>
              </w:rPr>
            </w:pPr>
            <w:r>
              <w:rPr>
                <w:noProof/>
              </w:rPr>
              <w:t>2 700</w:t>
            </w:r>
          </w:p>
        </w:tc>
        <w:tc>
          <w:tcPr>
            <w:tcW w:w="851" w:type="dxa"/>
            <w:shd w:val="clear" w:color="auto" w:fill="C6EFCE"/>
            <w:noWrap/>
            <w:vAlign w:val="center"/>
          </w:tcPr>
          <w:p w14:paraId="40DEB07C"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3A256C99" w14:textId="77777777" w:rsidR="003F5418" w:rsidRDefault="002A6C25">
            <w:pPr>
              <w:pStyle w:val="P68B1DB1-Normal28"/>
              <w:spacing w:before="120" w:after="120"/>
              <w:jc w:val="center"/>
              <w:rPr>
                <w:noProof/>
                <w:color w:val="006100"/>
              </w:rPr>
            </w:pPr>
            <w:r>
              <w:rPr>
                <w:noProof/>
              </w:rPr>
              <w:t>2024</w:t>
            </w:r>
          </w:p>
        </w:tc>
        <w:tc>
          <w:tcPr>
            <w:tcW w:w="2835" w:type="dxa"/>
            <w:shd w:val="clear" w:color="auto" w:fill="C6EFCE"/>
            <w:noWrap/>
            <w:vAlign w:val="center"/>
          </w:tcPr>
          <w:p w14:paraId="48C40478" w14:textId="77777777" w:rsidR="003F5418" w:rsidRDefault="002A6C25">
            <w:pPr>
              <w:pStyle w:val="P68B1DB1-Normal28"/>
              <w:spacing w:before="120" w:after="120"/>
              <w:rPr>
                <w:rFonts w:eastAsia="Calibri"/>
                <w:noProof/>
              </w:rPr>
            </w:pPr>
            <w:r>
              <w:rPr>
                <w:noProof/>
              </w:rPr>
              <w:t>Ez</w:t>
            </w:r>
            <w:r>
              <w:rPr>
                <w:noProof/>
              </w:rPr>
              <w:t xml:space="preserve"> a beruházás növeli az általános orvostudományi szaktanfolyamra vonatkozó ösztöndíjakat, garantálva 3 hároméves képzési ciklus elvégzését.</w:t>
            </w:r>
          </w:p>
        </w:tc>
      </w:tr>
      <w:tr w:rsidR="003F5418" w14:paraId="19CCB5B7" w14:textId="77777777">
        <w:trPr>
          <w:trHeight w:val="313"/>
          <w:jc w:val="center"/>
        </w:trPr>
        <w:tc>
          <w:tcPr>
            <w:tcW w:w="1129" w:type="dxa"/>
            <w:shd w:val="clear" w:color="auto" w:fill="C6EFCE"/>
            <w:noWrap/>
            <w:vAlign w:val="center"/>
          </w:tcPr>
          <w:p w14:paraId="5FAFC323" w14:textId="77777777" w:rsidR="003F5418" w:rsidRDefault="002A6C25">
            <w:pPr>
              <w:pStyle w:val="P68B1DB1-Normal4"/>
              <w:spacing w:before="120" w:after="120"/>
              <w:jc w:val="center"/>
              <w:rPr>
                <w:noProof/>
              </w:rPr>
            </w:pPr>
            <w:r>
              <w:rPr>
                <w:noProof/>
              </w:rPr>
              <w:t>M6C2–16</w:t>
            </w:r>
          </w:p>
        </w:tc>
        <w:tc>
          <w:tcPr>
            <w:tcW w:w="1701" w:type="dxa"/>
            <w:shd w:val="clear" w:color="auto" w:fill="C6EFCE"/>
            <w:noWrap/>
            <w:vAlign w:val="center"/>
          </w:tcPr>
          <w:p w14:paraId="74DE0F8C" w14:textId="77777777" w:rsidR="003F5418" w:rsidRDefault="002A6C25">
            <w:pPr>
              <w:pStyle w:val="P68B1DB1-Normal28"/>
              <w:spacing w:before="120" w:after="120"/>
              <w:jc w:val="center"/>
              <w:rPr>
                <w:noProof/>
                <w:color w:val="006100"/>
              </w:rPr>
            </w:pPr>
            <w:r>
              <w:rPr>
                <w:noProof/>
              </w:rPr>
              <w:t xml:space="preserve">Beruházás: Az egészségügyi rendszer szakemberei műszaki-szakmai, digitális és vezetői készségeinek </w:t>
            </w:r>
            <w:r>
              <w:rPr>
                <w:noProof/>
              </w:rPr>
              <w:t>fejlesztése</w:t>
            </w:r>
          </w:p>
        </w:tc>
        <w:tc>
          <w:tcPr>
            <w:tcW w:w="1134" w:type="dxa"/>
            <w:shd w:val="clear" w:color="auto" w:fill="C6EFCE"/>
            <w:noWrap/>
            <w:vAlign w:val="center"/>
          </w:tcPr>
          <w:p w14:paraId="0607550A" w14:textId="77777777" w:rsidR="003F5418" w:rsidRDefault="002A6C25">
            <w:pPr>
              <w:pStyle w:val="P68B1DB1-Normal28"/>
              <w:spacing w:before="120" w:after="120"/>
              <w:jc w:val="center"/>
              <w:rPr>
                <w:noProof/>
                <w:color w:val="006100"/>
              </w:rPr>
            </w:pPr>
            <w:r>
              <w:rPr>
                <w:noProof/>
              </w:rPr>
              <w:t>Cél</w:t>
            </w:r>
          </w:p>
        </w:tc>
        <w:tc>
          <w:tcPr>
            <w:tcW w:w="1560" w:type="dxa"/>
            <w:shd w:val="clear" w:color="auto" w:fill="C6EFCE"/>
            <w:noWrap/>
            <w:vAlign w:val="center"/>
          </w:tcPr>
          <w:p w14:paraId="625618C1" w14:textId="77777777" w:rsidR="003F5418" w:rsidRDefault="002A6C25">
            <w:pPr>
              <w:pStyle w:val="P68B1DB1-Normal28"/>
              <w:spacing w:before="120" w:after="120"/>
              <w:jc w:val="center"/>
              <w:rPr>
                <w:noProof/>
                <w:color w:val="006100"/>
              </w:rPr>
            </w:pPr>
            <w:r>
              <w:rPr>
                <w:noProof/>
              </w:rPr>
              <w:t>Képzés a vezetői és digitális készségekről a Nemzeti Egészségügyi Szolgálat alkalmazottai számára</w:t>
            </w:r>
          </w:p>
        </w:tc>
        <w:tc>
          <w:tcPr>
            <w:tcW w:w="1559" w:type="dxa"/>
            <w:shd w:val="clear" w:color="auto" w:fill="C6EFCE"/>
            <w:noWrap/>
            <w:vAlign w:val="center"/>
          </w:tcPr>
          <w:p w14:paraId="1C007FD4" w14:textId="77777777" w:rsidR="003F5418" w:rsidRDefault="002A6C25">
            <w:pPr>
              <w:pStyle w:val="P68B1DB1-Normal28"/>
              <w:spacing w:before="120" w:after="120"/>
              <w:jc w:val="center"/>
              <w:rPr>
                <w:noProof/>
                <w:color w:val="006100"/>
              </w:rPr>
            </w:pPr>
            <w:r>
              <w:rPr>
                <w:noProof/>
              </w:rPr>
              <w:t>NINCS</w:t>
            </w:r>
          </w:p>
        </w:tc>
        <w:tc>
          <w:tcPr>
            <w:tcW w:w="1276" w:type="dxa"/>
            <w:shd w:val="clear" w:color="auto" w:fill="C6EFCE"/>
            <w:noWrap/>
            <w:vAlign w:val="center"/>
          </w:tcPr>
          <w:p w14:paraId="5A34A814" w14:textId="77777777" w:rsidR="003F5418" w:rsidRDefault="002A6C25">
            <w:pPr>
              <w:pStyle w:val="P68B1DB1-Normal28"/>
              <w:spacing w:before="120" w:after="120"/>
              <w:jc w:val="center"/>
              <w:rPr>
                <w:noProof/>
                <w:color w:val="006100"/>
              </w:rPr>
            </w:pPr>
            <w:r>
              <w:rPr>
                <w:noProof/>
              </w:rPr>
              <w:t>Szám</w:t>
            </w:r>
          </w:p>
        </w:tc>
        <w:tc>
          <w:tcPr>
            <w:tcW w:w="992" w:type="dxa"/>
            <w:shd w:val="clear" w:color="auto" w:fill="C6EFCE"/>
            <w:noWrap/>
            <w:vAlign w:val="center"/>
          </w:tcPr>
          <w:p w14:paraId="3120ECB8" w14:textId="77777777" w:rsidR="003F5418" w:rsidRDefault="002A6C25">
            <w:pPr>
              <w:pStyle w:val="P68B1DB1-Normal28"/>
              <w:spacing w:before="120" w:after="120"/>
              <w:jc w:val="center"/>
              <w:rPr>
                <w:noProof/>
                <w:color w:val="006100"/>
              </w:rPr>
            </w:pPr>
            <w:r>
              <w:rPr>
                <w:noProof/>
              </w:rPr>
              <w:t>0</w:t>
            </w:r>
          </w:p>
        </w:tc>
        <w:tc>
          <w:tcPr>
            <w:tcW w:w="850" w:type="dxa"/>
            <w:shd w:val="clear" w:color="auto" w:fill="C6EFCE"/>
            <w:noWrap/>
            <w:vAlign w:val="center"/>
          </w:tcPr>
          <w:p w14:paraId="5726266F" w14:textId="4A64A673" w:rsidR="003F5418" w:rsidRDefault="002A6C25">
            <w:pPr>
              <w:pStyle w:val="P68B1DB1-Normal28"/>
              <w:spacing w:before="120" w:after="120"/>
              <w:jc w:val="center"/>
              <w:rPr>
                <w:noProof/>
                <w:color w:val="006100"/>
              </w:rPr>
            </w:pPr>
            <w:r>
              <w:rPr>
                <w:noProof/>
              </w:rPr>
              <w:t>4 500</w:t>
            </w:r>
          </w:p>
        </w:tc>
        <w:tc>
          <w:tcPr>
            <w:tcW w:w="851" w:type="dxa"/>
            <w:shd w:val="clear" w:color="auto" w:fill="C6EFCE"/>
            <w:noWrap/>
            <w:vAlign w:val="center"/>
          </w:tcPr>
          <w:p w14:paraId="6D9D5720" w14:textId="77777777" w:rsidR="003F5418" w:rsidRDefault="002A6C25">
            <w:pPr>
              <w:pStyle w:val="P68B1DB1-Normal28"/>
              <w:spacing w:before="120" w:after="120"/>
              <w:jc w:val="center"/>
              <w:rPr>
                <w:noProof/>
                <w:color w:val="006100"/>
              </w:rPr>
            </w:pPr>
            <w:r>
              <w:rPr>
                <w:noProof/>
              </w:rPr>
              <w:t>Q2</w:t>
            </w:r>
          </w:p>
        </w:tc>
        <w:tc>
          <w:tcPr>
            <w:tcW w:w="709" w:type="dxa"/>
            <w:shd w:val="clear" w:color="auto" w:fill="C6EFCE"/>
            <w:noWrap/>
            <w:vAlign w:val="center"/>
          </w:tcPr>
          <w:p w14:paraId="4824488E" w14:textId="77777777" w:rsidR="003F5418" w:rsidRDefault="002A6C25">
            <w:pPr>
              <w:pStyle w:val="P68B1DB1-Normal28"/>
              <w:spacing w:before="120" w:after="120"/>
              <w:jc w:val="center"/>
              <w:rPr>
                <w:noProof/>
                <w:color w:val="006100"/>
              </w:rPr>
            </w:pPr>
            <w:r>
              <w:rPr>
                <w:noProof/>
              </w:rPr>
              <w:t>2026</w:t>
            </w:r>
          </w:p>
        </w:tc>
        <w:tc>
          <w:tcPr>
            <w:tcW w:w="2835" w:type="dxa"/>
            <w:shd w:val="clear" w:color="auto" w:fill="C6EFCE"/>
            <w:noWrap/>
            <w:vAlign w:val="center"/>
          </w:tcPr>
          <w:p w14:paraId="33005903" w14:textId="05F26264" w:rsidR="003F5418" w:rsidRDefault="002A6C25">
            <w:pPr>
              <w:pStyle w:val="P68B1DB1-Normal28"/>
              <w:spacing w:before="120" w:after="120"/>
              <w:rPr>
                <w:noProof/>
              </w:rPr>
            </w:pPr>
            <w:r>
              <w:rPr>
                <w:noProof/>
              </w:rPr>
              <w:t>A nemzeti egészségügyi szolgálat 4500 alkalmazottja részesül a vezetői és digitális készségekről szóló képzésben.</w:t>
            </w:r>
          </w:p>
          <w:p w14:paraId="2F63915F" w14:textId="77777777" w:rsidR="003F5418" w:rsidRDefault="002A6C25">
            <w:pPr>
              <w:pStyle w:val="P68B1DB1-Normal28"/>
              <w:spacing w:before="120" w:after="120"/>
              <w:rPr>
                <w:rFonts w:eastAsia="Calibri"/>
                <w:noProof/>
              </w:rPr>
            </w:pPr>
            <w:r>
              <w:rPr>
                <w:noProof/>
              </w:rPr>
              <w:t>Ez a beruházás az NHS-szerveken belül vezető szerepet betöltő személyzet számára lehetővé teszi számukra a szükséges vezetői és digitális készségek és képességek elsajátítását ahhoz, hogy integrált, fenntartható, innovatív, rugalmas és eredményorientált sz</w:t>
            </w:r>
            <w:r>
              <w:rPr>
                <w:noProof/>
              </w:rPr>
              <w:t>emszögből szembe tudjanak nézni a jelenlegi és jövőbeli egészségügyi kihívásokkal.</w:t>
            </w:r>
          </w:p>
        </w:tc>
      </w:tr>
      <w:tr w:rsidR="003F5418" w14:paraId="01BBF11B" w14:textId="77777777">
        <w:trPr>
          <w:trHeight w:val="313"/>
          <w:jc w:val="center"/>
        </w:trPr>
        <w:tc>
          <w:tcPr>
            <w:tcW w:w="1129" w:type="dxa"/>
            <w:shd w:val="clear" w:color="auto" w:fill="C6EFCE"/>
            <w:noWrap/>
            <w:vAlign w:val="center"/>
          </w:tcPr>
          <w:p w14:paraId="5D63FCE7" w14:textId="77777777" w:rsidR="003F5418" w:rsidRDefault="002A6C25">
            <w:pPr>
              <w:pStyle w:val="P68B1DB1-Normal28"/>
              <w:spacing w:before="120" w:after="120"/>
              <w:jc w:val="center"/>
              <w:rPr>
                <w:rFonts w:eastAsia="Calibri"/>
                <w:noProof/>
              </w:rPr>
            </w:pPr>
            <w:r>
              <w:rPr>
                <w:noProof/>
              </w:rPr>
              <w:t>M6C2–17</w:t>
            </w:r>
          </w:p>
        </w:tc>
        <w:tc>
          <w:tcPr>
            <w:tcW w:w="1701" w:type="dxa"/>
            <w:shd w:val="clear" w:color="auto" w:fill="C6EFCE"/>
            <w:noWrap/>
            <w:vAlign w:val="center"/>
          </w:tcPr>
          <w:p w14:paraId="5FEA1870" w14:textId="77777777" w:rsidR="003F5418" w:rsidRDefault="002A6C25">
            <w:pPr>
              <w:pStyle w:val="P68B1DB1-Normal28"/>
              <w:spacing w:before="120" w:after="120"/>
              <w:jc w:val="center"/>
              <w:rPr>
                <w:rFonts w:eastAsia="Calibri"/>
                <w:noProof/>
              </w:rPr>
            </w:pPr>
            <w:r>
              <w:rPr>
                <w:noProof/>
              </w:rPr>
              <w:t>Beruházás: Az egészségügyi rendszer szakemberei műszaki-szakmai, digitális és vezetői készségeinek fejlesztése</w:t>
            </w:r>
          </w:p>
        </w:tc>
        <w:tc>
          <w:tcPr>
            <w:tcW w:w="1134" w:type="dxa"/>
            <w:shd w:val="clear" w:color="auto" w:fill="C6EFCE"/>
            <w:noWrap/>
            <w:vAlign w:val="center"/>
          </w:tcPr>
          <w:p w14:paraId="32B85775" w14:textId="77777777" w:rsidR="003F5418" w:rsidRDefault="002A6C25">
            <w:pPr>
              <w:pStyle w:val="P68B1DB1-Normal28"/>
              <w:spacing w:before="120" w:after="120"/>
              <w:jc w:val="center"/>
              <w:rPr>
                <w:rFonts w:eastAsia="Calibri"/>
                <w:noProof/>
              </w:rPr>
            </w:pPr>
            <w:r>
              <w:rPr>
                <w:noProof/>
              </w:rPr>
              <w:t>Cél</w:t>
            </w:r>
          </w:p>
        </w:tc>
        <w:tc>
          <w:tcPr>
            <w:tcW w:w="1560" w:type="dxa"/>
            <w:shd w:val="clear" w:color="auto" w:fill="C6EFCE"/>
            <w:noWrap/>
            <w:vAlign w:val="center"/>
          </w:tcPr>
          <w:p w14:paraId="64FFE404" w14:textId="77777777" w:rsidR="003F5418" w:rsidRDefault="002A6C25">
            <w:pPr>
              <w:pStyle w:val="P68B1DB1-Normal28"/>
              <w:spacing w:before="120" w:after="120"/>
              <w:jc w:val="center"/>
              <w:rPr>
                <w:rFonts w:eastAsia="Calibri"/>
                <w:noProof/>
              </w:rPr>
            </w:pPr>
            <w:r>
              <w:rPr>
                <w:noProof/>
              </w:rPr>
              <w:t xml:space="preserve">Finanszírozott orvosi-szakképzési szerződések </w:t>
            </w:r>
            <w:r>
              <w:rPr>
                <w:noProof/>
              </w:rPr>
              <w:t>száma</w:t>
            </w:r>
          </w:p>
        </w:tc>
        <w:tc>
          <w:tcPr>
            <w:tcW w:w="1559" w:type="dxa"/>
            <w:shd w:val="clear" w:color="auto" w:fill="C6EFCE"/>
            <w:noWrap/>
            <w:vAlign w:val="center"/>
          </w:tcPr>
          <w:p w14:paraId="47DB565A" w14:textId="77777777" w:rsidR="003F5418" w:rsidRDefault="002A6C25">
            <w:pPr>
              <w:pStyle w:val="P68B1DB1-Normal28"/>
              <w:spacing w:before="120" w:after="120"/>
              <w:jc w:val="center"/>
              <w:rPr>
                <w:rFonts w:eastAsia="Calibri"/>
                <w:noProof/>
              </w:rPr>
            </w:pPr>
            <w:r>
              <w:rPr>
                <w:noProof/>
              </w:rPr>
              <w:t>NINCS</w:t>
            </w:r>
          </w:p>
        </w:tc>
        <w:tc>
          <w:tcPr>
            <w:tcW w:w="1276" w:type="dxa"/>
            <w:shd w:val="clear" w:color="auto" w:fill="C6EFCE"/>
            <w:noWrap/>
            <w:vAlign w:val="center"/>
          </w:tcPr>
          <w:p w14:paraId="448C9FEC" w14:textId="77777777" w:rsidR="003F5418" w:rsidRDefault="002A6C25">
            <w:pPr>
              <w:pStyle w:val="P68B1DB1-Normal28"/>
              <w:spacing w:before="120" w:after="120"/>
              <w:jc w:val="center"/>
              <w:rPr>
                <w:rFonts w:eastAsia="Calibri"/>
                <w:noProof/>
              </w:rPr>
            </w:pPr>
            <w:r>
              <w:rPr>
                <w:noProof/>
              </w:rPr>
              <w:t>Szám</w:t>
            </w:r>
          </w:p>
        </w:tc>
        <w:tc>
          <w:tcPr>
            <w:tcW w:w="992" w:type="dxa"/>
            <w:shd w:val="clear" w:color="auto" w:fill="C6EFCE"/>
            <w:noWrap/>
            <w:vAlign w:val="center"/>
          </w:tcPr>
          <w:p w14:paraId="61E009C8" w14:textId="77777777" w:rsidR="003F5418" w:rsidRDefault="002A6C25">
            <w:pPr>
              <w:pStyle w:val="P68B1DB1-Normal28"/>
              <w:spacing w:before="120" w:after="120"/>
              <w:jc w:val="center"/>
              <w:rPr>
                <w:rFonts w:eastAsia="Calibri"/>
                <w:noProof/>
              </w:rPr>
            </w:pPr>
            <w:r>
              <w:rPr>
                <w:noProof/>
              </w:rPr>
              <w:t>0</w:t>
            </w:r>
          </w:p>
        </w:tc>
        <w:tc>
          <w:tcPr>
            <w:tcW w:w="850" w:type="dxa"/>
            <w:shd w:val="clear" w:color="auto" w:fill="C6EFCE"/>
            <w:noWrap/>
            <w:vAlign w:val="center"/>
          </w:tcPr>
          <w:p w14:paraId="6AE430D2" w14:textId="7E1D920F" w:rsidR="003F5418" w:rsidRDefault="002A6C25">
            <w:pPr>
              <w:pStyle w:val="P68B1DB1-Normal28"/>
              <w:spacing w:before="120" w:after="120"/>
              <w:jc w:val="center"/>
              <w:rPr>
                <w:rFonts w:eastAsia="Calibri"/>
                <w:noProof/>
              </w:rPr>
            </w:pPr>
            <w:r>
              <w:rPr>
                <w:noProof/>
              </w:rPr>
              <w:t>4 200</w:t>
            </w:r>
          </w:p>
        </w:tc>
        <w:tc>
          <w:tcPr>
            <w:tcW w:w="851" w:type="dxa"/>
            <w:shd w:val="clear" w:color="auto" w:fill="C6EFCE"/>
            <w:noWrap/>
            <w:vAlign w:val="center"/>
          </w:tcPr>
          <w:p w14:paraId="4F31C919" w14:textId="77777777" w:rsidR="003F5418" w:rsidRDefault="002A6C25">
            <w:pPr>
              <w:pStyle w:val="P68B1DB1-Normal28"/>
              <w:spacing w:before="120" w:after="120"/>
              <w:jc w:val="center"/>
              <w:rPr>
                <w:rFonts w:eastAsia="Calibri"/>
                <w:noProof/>
              </w:rPr>
            </w:pPr>
            <w:r>
              <w:rPr>
                <w:noProof/>
              </w:rPr>
              <w:t>Q2</w:t>
            </w:r>
          </w:p>
        </w:tc>
        <w:tc>
          <w:tcPr>
            <w:tcW w:w="709" w:type="dxa"/>
            <w:shd w:val="clear" w:color="auto" w:fill="C6EFCE"/>
            <w:noWrap/>
            <w:vAlign w:val="center"/>
          </w:tcPr>
          <w:p w14:paraId="43FC91A2" w14:textId="77777777" w:rsidR="003F5418" w:rsidRDefault="002A6C25">
            <w:pPr>
              <w:pStyle w:val="P68B1DB1-Normal28"/>
              <w:spacing w:before="120" w:after="120"/>
              <w:jc w:val="center"/>
              <w:rPr>
                <w:rFonts w:eastAsia="Calibri"/>
                <w:noProof/>
              </w:rPr>
            </w:pPr>
            <w:r>
              <w:rPr>
                <w:noProof/>
              </w:rPr>
              <w:t>2026</w:t>
            </w:r>
          </w:p>
        </w:tc>
        <w:tc>
          <w:tcPr>
            <w:tcW w:w="2835" w:type="dxa"/>
            <w:shd w:val="clear" w:color="auto" w:fill="C6EFCE"/>
            <w:noWrap/>
            <w:vAlign w:val="center"/>
          </w:tcPr>
          <w:p w14:paraId="4B6BCD9E" w14:textId="791453F8" w:rsidR="003F5418" w:rsidRDefault="002A6C25">
            <w:pPr>
              <w:pStyle w:val="P68B1DB1-Normal28"/>
              <w:spacing w:before="120" w:after="120"/>
              <w:rPr>
                <w:rFonts w:eastAsia="Calibri"/>
                <w:noProof/>
              </w:rPr>
            </w:pPr>
            <w:r>
              <w:rPr>
                <w:noProof/>
              </w:rPr>
              <w:t>Ez a beruházás speciális orvosi képzési szerződések finanszírozását teszi lehetővé, amelyek lehetővé teszik további 4200 képzési szerződés finanszírozását egy teljes tanulmányi ciklusra (5 év).</w:t>
            </w:r>
          </w:p>
        </w:tc>
      </w:tr>
    </w:tbl>
    <w:p w14:paraId="221D4FF5" w14:textId="77777777" w:rsidR="003F5418" w:rsidRDefault="003F5418">
      <w:pPr>
        <w:pStyle w:val="Text1"/>
        <w:ind w:left="0"/>
        <w:rPr>
          <w:rFonts w:eastAsiaTheme="majorEastAsia"/>
          <w:b/>
          <w:smallCaps/>
          <w:noProof/>
        </w:rPr>
        <w:sectPr w:rsidR="003F5418">
          <w:headerReference w:type="even" r:id="rId404"/>
          <w:headerReference w:type="default" r:id="rId405"/>
          <w:footerReference w:type="even" r:id="rId406"/>
          <w:footerReference w:type="default" r:id="rId407"/>
          <w:headerReference w:type="first" r:id="rId408"/>
          <w:footerReference w:type="first" r:id="rId409"/>
          <w:pgSz w:w="16839" w:h="11907" w:orient="landscape"/>
          <w:pgMar w:top="1440" w:right="1440" w:bottom="1440" w:left="1440" w:header="567" w:footer="567" w:gutter="0"/>
          <w:cols w:space="720"/>
          <w:docGrid w:linePitch="360"/>
        </w:sectPr>
      </w:pPr>
    </w:p>
    <w:p w14:paraId="599137DB" w14:textId="77777777" w:rsidR="003F5418" w:rsidRDefault="002A6C25">
      <w:pPr>
        <w:pStyle w:val="Heading2"/>
        <w:numPr>
          <w:ilvl w:val="0"/>
          <w:numId w:val="21"/>
        </w:numPr>
        <w:spacing w:before="0"/>
        <w:rPr>
          <w:noProof/>
        </w:rPr>
      </w:pPr>
      <w:r>
        <w:rPr>
          <w:noProof/>
        </w:rPr>
        <w:t>ELLENŐRZŐ LÁTOGATÁS: REPowerEU</w:t>
      </w:r>
    </w:p>
    <w:p w14:paraId="3318B2D6" w14:textId="77777777" w:rsidR="003F5418" w:rsidRDefault="002A6C25">
      <w:pPr>
        <w:pStyle w:val="paragraph"/>
        <w:spacing w:before="0" w:beforeAutospacing="0" w:after="120" w:afterAutospacing="0"/>
        <w:jc w:val="both"/>
        <w:textAlignment w:val="baseline"/>
        <w:rPr>
          <w:noProof/>
        </w:rPr>
      </w:pPr>
      <w:r>
        <w:rPr>
          <w:noProof/>
        </w:rPr>
        <w:t>A REPowerEU-fejezet célja az elosztó-átviteli és -elosztó hálózatok megerősítése, beleértve a gázhoz kapcsolódó hálózatokat</w:t>
      </w:r>
      <w:r>
        <w:rPr>
          <w:noProof/>
        </w:rPr>
        <w:t xml:space="preserve"> is; a megújulóenergia-termelés felgyorsítása, az energiakereslet csökkentése, az energiahatékonyság növelése, valamint a zöld átálláshoz szükséges készségek megteremtése a köz- és a magánszektorban; a megújuló energia és a hidrogén értékláncának előmozdít</w:t>
      </w:r>
      <w:r>
        <w:rPr>
          <w:noProof/>
        </w:rPr>
        <w:t>ása a hitelekhez és adójóváírásokhoz való hozzáférést megkönnyítő intézkedések révén.</w:t>
      </w:r>
    </w:p>
    <w:p w14:paraId="55919342" w14:textId="77777777" w:rsidR="003F5418" w:rsidRDefault="002A6C25">
      <w:pPr>
        <w:pStyle w:val="paragraph"/>
        <w:spacing w:before="0" w:beforeAutospacing="0" w:after="120" w:afterAutospacing="0"/>
        <w:jc w:val="both"/>
        <w:textAlignment w:val="baseline"/>
        <w:rPr>
          <w:noProof/>
        </w:rPr>
      </w:pPr>
      <w:r>
        <w:rPr>
          <w:noProof/>
        </w:rPr>
        <w:t>A komponens a 2022-ben és 2023-ban Olaszországnak címzett országspecifikus ajánlásokkal foglalkozik. Célja különösen a további megújulóenergia-kapacitás kiépítésének felg</w:t>
      </w:r>
      <w:r>
        <w:rPr>
          <w:noProof/>
        </w:rPr>
        <w:t>yorsítása a jelentős villamosenergia-összeköttetési projektekbe (nevezetesen két, Szardíniát és Szicíliát a szárazfölddel összekötő rendszerösszekötőkbe, valamint három Ausztria, Szlovénia és Olaszország közötti rendszerösszekötőkbe), a nemzeti átviteli há</w:t>
      </w:r>
      <w:r>
        <w:rPr>
          <w:noProof/>
        </w:rPr>
        <w:t>lózat korszerűsítésébe és az engedélyezési eljárások észszerűsítésébe való beruházás révén. Hozzájárul a belső gázszállítási kapacitás növeléséhez a szűk keresztmetszetek leküzdése, az energiaimport diverzifikálása és az ellátásbiztonság megerősítése érdek</w:t>
      </w:r>
      <w:r>
        <w:rPr>
          <w:noProof/>
        </w:rPr>
        <w:t>ében. A környezeti szempontból káros támogatások csökkentése és a vasúti flotta megerősítése révén előmozdítja a fenntartható mobilitást. Hozzájárul a fosszilis tüzelőanyagoktól való függés csökkentéséhez azáltal, hogy villamosítja a háztartások fogyasztás</w:t>
      </w:r>
      <w:r>
        <w:rPr>
          <w:noProof/>
        </w:rPr>
        <w:t>át és növeli a hálózat ellenálló képességét. Hozzájárul az energiahatékonyság növeléséhez a lakossági és a vállalati szektorban, többek között célzott ösztönző rendszerek és pénzügyi eszközök révén. Végezetül a zöld átálláshoz szükséges készségek biztosítá</w:t>
      </w:r>
      <w:r>
        <w:rPr>
          <w:noProof/>
        </w:rPr>
        <w:t>sának és megszerzésének javítását célzó reformokat és beruházásokat foglal magában, mind a magán-, mind a közszférában.</w:t>
      </w:r>
    </w:p>
    <w:p w14:paraId="4CCB2ACF" w14:textId="77777777" w:rsidR="003F5418" w:rsidRDefault="002A6C25">
      <w:pPr>
        <w:pStyle w:val="paragraph"/>
        <w:spacing w:before="0" w:beforeAutospacing="0" w:after="120" w:afterAutospacing="0"/>
        <w:jc w:val="both"/>
        <w:textAlignment w:val="baseline"/>
        <w:rPr>
          <w:rFonts w:eastAsia="Calibri"/>
          <w:noProof/>
        </w:rPr>
      </w:pPr>
      <w:r>
        <w:rPr>
          <w:noProof/>
        </w:rPr>
        <w:t>Kilenc projekt rendelkezik határokon átnyúló dimenzióval. Ezek közül háromnak van határokon átnyúló közvetlen hatása: 1. az Olaszország,</w:t>
      </w:r>
      <w:r>
        <w:rPr>
          <w:noProof/>
        </w:rPr>
        <w:t xml:space="preserve"> Ausztria és Szlovénia közötti meglévő villamosenergia-összeköttetések névleges kapacitásának növelését célzó beruházás; 2. a Szardínia, Korzika és Toszkána közötti elektromos összeköttetés kiépítéséhez hozzájáruló beruházás; Egy kompresszorállomásba törté</w:t>
      </w:r>
      <w:r>
        <w:rPr>
          <w:noProof/>
        </w:rPr>
        <w:t>nő beruházás, amely növeli a Közép-Európába irányuló gázexportot. Más projektek közvetett módon a határokon átnyúló tagállamok javát szolgálják azáltal, hogy kezelik a belső energiaátviteli és -elosztási szűk keresztmetszeteket, és növelik a hálózat hatéko</w:t>
      </w:r>
      <w:r>
        <w:rPr>
          <w:noProof/>
        </w:rPr>
        <w:t>nyságát és ellenálló képességét.</w:t>
      </w:r>
    </w:p>
    <w:p w14:paraId="29362D41" w14:textId="58C45E17" w:rsidR="003F5418" w:rsidRDefault="002A6C25">
      <w:pPr>
        <w:spacing w:after="120"/>
        <w:jc w:val="both"/>
        <w:rPr>
          <w:noProof/>
        </w:rPr>
      </w:pPr>
      <w:r>
        <w:rPr>
          <w:noProof/>
        </w:rPr>
        <w:t>Az (EU) 2021/241 rendelet 21c. cikke (6) bekezdésének f) pontjával összhangban az ebben a komponensben szereplő egyetlen intézkedés sem sérti jelentősen a környezeti célkitűzéseket, figyelembe véve a helyreállítási és rezil</w:t>
      </w:r>
      <w:r>
        <w:rPr>
          <w:noProof/>
        </w:rPr>
        <w:t xml:space="preserve">ienciaépítési tervben a jelentős károkozás elkerülését célzó technikai iránymutatással ( </w:t>
      </w:r>
      <w:r>
        <w:rPr>
          <w:noProof/>
          <w:color w:val="000000" w:themeColor="text1"/>
        </w:rPr>
        <w:t>C</w:t>
      </w:r>
      <w:r>
        <w:rPr>
          <w:noProof/>
        </w:rPr>
        <w:t>(2023) 6454 final) összhangban meghatározott intézkedések és enyhítő lépések leírását,</w:t>
      </w:r>
      <w:r>
        <w:rPr>
          <w:noProof/>
          <w:color w:val="000000" w:themeColor="text1"/>
        </w:rPr>
        <w:t>míg</w:t>
      </w:r>
      <w:r>
        <w:rPr>
          <w:noProof/>
        </w:rPr>
        <w:t xml:space="preserve"> a jelentős károkozás elkerülését célzó elv nem alkalmazandó a 13. beruházásr</w:t>
      </w:r>
      <w:r>
        <w:rPr>
          <w:noProof/>
        </w:rPr>
        <w:t>a – az Adriai-vezeték 1. szakaszára (Sulmona kompresszorállomás és a Sestino-Minerbio gázvezeték) és a 14. beruházásra (Határokon átnyúló gázkiviteli infrastruktúra).</w:t>
      </w:r>
    </w:p>
    <w:p w14:paraId="1E72D93A" w14:textId="77777777" w:rsidR="003F5418" w:rsidRDefault="002A6C25">
      <w:pPr>
        <w:pStyle w:val="Heading3"/>
        <w:numPr>
          <w:ilvl w:val="0"/>
          <w:numId w:val="0"/>
        </w:numPr>
        <w:spacing w:before="0"/>
        <w:ind w:left="850" w:hanging="850"/>
        <w:rPr>
          <w:b/>
          <w:i w:val="0"/>
          <w:noProof/>
          <w:u w:val="single"/>
        </w:rPr>
      </w:pPr>
      <w:r>
        <w:rPr>
          <w:b/>
          <w:i w:val="0"/>
          <w:noProof/>
          <w:u w:val="single"/>
        </w:rPr>
        <w:t xml:space="preserve">Q.1. </w:t>
      </w:r>
      <w:r>
        <w:rPr>
          <w:noProof/>
        </w:rPr>
        <w:t xml:space="preserve"> </w:t>
      </w:r>
      <w:r>
        <w:rPr>
          <w:b/>
          <w:i w:val="0"/>
          <w:noProof/>
          <w:u w:val="single"/>
        </w:rPr>
        <w:t>Vissza nem térítendő pénzügyi támogatás – a reformok és beruházások ismertetése</w:t>
      </w:r>
    </w:p>
    <w:p w14:paraId="37044BE8" w14:textId="1E09E02E" w:rsidR="003F5418" w:rsidRDefault="002F198A">
      <w:pPr>
        <w:pStyle w:val="Heading4"/>
        <w:numPr>
          <w:ilvl w:val="3"/>
          <w:numId w:val="0"/>
        </w:numPr>
        <w:rPr>
          <w:rStyle w:val="normaltextrun"/>
          <w:b/>
          <w:noProof/>
        </w:rPr>
      </w:pPr>
      <w:r w:rsidRPr="002F198A">
        <w:rPr>
          <w:b/>
          <w:bCs/>
          <w:noProof/>
        </w:rPr>
        <w:t>1.</w:t>
      </w:r>
      <w:r>
        <w:rPr>
          <w:noProof/>
        </w:rPr>
        <w:t xml:space="preserve"> </w:t>
      </w:r>
      <w:r>
        <w:rPr>
          <w:rStyle w:val="normaltextrun"/>
          <w:b/>
          <w:noProof/>
        </w:rPr>
        <w:t xml:space="preserve">Reform. A megújuló energiára vonatkozó engedélyezési eljárások egyszerűsítése központi és helyi szinten </w:t>
      </w:r>
    </w:p>
    <w:p w14:paraId="3AE0C1D9" w14:textId="77777777" w:rsidR="003F5418" w:rsidRDefault="002A6C25">
      <w:pPr>
        <w:pStyle w:val="Text1"/>
        <w:spacing w:before="0"/>
        <w:ind w:left="0"/>
        <w:rPr>
          <w:noProof/>
        </w:rPr>
      </w:pPr>
      <w:r>
        <w:rPr>
          <w:noProof/>
        </w:rPr>
        <w:t>E reform célja a megújuló energiaforrások alkalmazását szabályozó meglévő jogszabályok és rendelkezések egységes szerkezetbe foglalása és észszerűsítés</w:t>
      </w:r>
      <w:r>
        <w:rPr>
          <w:noProof/>
        </w:rPr>
        <w:t>e.</w:t>
      </w:r>
    </w:p>
    <w:p w14:paraId="5B796F02" w14:textId="77777777" w:rsidR="003F5418" w:rsidRDefault="002A6C25">
      <w:pPr>
        <w:pStyle w:val="Text1"/>
        <w:spacing w:before="0"/>
        <w:ind w:left="0"/>
        <w:rPr>
          <w:noProof/>
        </w:rPr>
      </w:pPr>
      <w:r>
        <w:rPr>
          <w:noProof/>
        </w:rPr>
        <w:t xml:space="preserve">A reform egyetlen elsődleges jogalkotási aktus (más néven </w:t>
      </w:r>
      <w:r>
        <w:rPr>
          <w:i/>
          <w:noProof/>
        </w:rPr>
        <w:t>Testo Unico</w:t>
      </w:r>
      <w:r>
        <w:rPr>
          <w:noProof/>
        </w:rPr>
        <w:t>) elfogadásából és hatálybalépéséből áll, amely összegyűjti, összeállítja és konszolidálja a megújuló energiaforrások alkalmazását szabályozó valamennyi normát, és hatályon kívül helye</w:t>
      </w:r>
      <w:r>
        <w:rPr>
          <w:noProof/>
        </w:rPr>
        <w:t>z minden vonatkozó korábbi jogszabályt. A jogalkotási aktusban meg kell határozni a megújuló energiaforrásokra vonatkozó engedélyezési eljárások szubnacionális szintű észszerűsítésére és harmonizálására vonatkozó elveket is.</w:t>
      </w:r>
    </w:p>
    <w:p w14:paraId="5CA47D03" w14:textId="77777777" w:rsidR="003F5418" w:rsidRDefault="002A6C25">
      <w:pPr>
        <w:pStyle w:val="Text1"/>
        <w:spacing w:before="0"/>
        <w:ind w:left="0"/>
        <w:rPr>
          <w:noProof/>
        </w:rPr>
      </w:pPr>
      <w:r>
        <w:rPr>
          <w:noProof/>
        </w:rPr>
        <w:t xml:space="preserve">A </w:t>
      </w:r>
      <w:r>
        <w:rPr>
          <w:i/>
          <w:noProof/>
        </w:rPr>
        <w:t xml:space="preserve">Testo Unico </w:t>
      </w:r>
      <w:r>
        <w:rPr>
          <w:noProof/>
        </w:rPr>
        <w:t xml:space="preserve">fő prioritásai a </w:t>
      </w:r>
      <w:r>
        <w:rPr>
          <w:noProof/>
        </w:rPr>
        <w:t>következők:</w:t>
      </w:r>
    </w:p>
    <w:p w14:paraId="2D5CBB66" w14:textId="77777777" w:rsidR="003F5418" w:rsidRDefault="002A6C25">
      <w:pPr>
        <w:pStyle w:val="Text1"/>
        <w:numPr>
          <w:ilvl w:val="0"/>
          <w:numId w:val="30"/>
        </w:numPr>
        <w:spacing w:before="0"/>
        <w:rPr>
          <w:noProof/>
        </w:rPr>
      </w:pPr>
      <w:r>
        <w:rPr>
          <w:noProof/>
        </w:rPr>
        <w:t>A „megújuló energiaforrások hasznosításának felgyorsítására alkalmas területek” meghatározása a felülvizsgált megújulóenergia-irányelvvel összhangban. Ezeket a területeket a tengeri szélenergia elterjedésének felgyorsítása érdekében a tengeri t</w:t>
      </w:r>
      <w:r>
        <w:rPr>
          <w:noProof/>
        </w:rPr>
        <w:t>erületrendezési tervekkel összhangban is meg kell határozni.</w:t>
      </w:r>
    </w:p>
    <w:p w14:paraId="598E13B1" w14:textId="77777777" w:rsidR="003F5418" w:rsidRDefault="002A6C25">
      <w:pPr>
        <w:pStyle w:val="Text1"/>
        <w:numPr>
          <w:ilvl w:val="0"/>
          <w:numId w:val="30"/>
        </w:numPr>
        <w:spacing w:before="0"/>
        <w:rPr>
          <w:noProof/>
        </w:rPr>
      </w:pPr>
      <w:r>
        <w:rPr>
          <w:noProof/>
        </w:rPr>
        <w:t xml:space="preserve">A megújuló energiaforrásokra vonatkozó szubnacionális engedélyezési eljárások észszerűsítésére és harmonizálására vonatkozó elvek meghatározása. A </w:t>
      </w:r>
      <w:r>
        <w:rPr>
          <w:i/>
          <w:noProof/>
        </w:rPr>
        <w:t>Testo Unico</w:t>
      </w:r>
      <w:r>
        <w:rPr>
          <w:noProof/>
        </w:rPr>
        <w:t xml:space="preserve"> különösen a „felső határokra” vonatk</w:t>
      </w:r>
      <w:r>
        <w:rPr>
          <w:noProof/>
        </w:rPr>
        <w:t xml:space="preserve">ozó szabályokat határoz meg, azaz a régiók nem hajthatnak végre a nemzeti jogszabályokban meghatározottaknál szigorúbb engedélyezési szabályokat.  </w:t>
      </w:r>
    </w:p>
    <w:p w14:paraId="3A964CC3" w14:textId="77777777" w:rsidR="003F5418" w:rsidRDefault="002A6C25">
      <w:pPr>
        <w:pStyle w:val="Text1"/>
        <w:numPr>
          <w:ilvl w:val="0"/>
          <w:numId w:val="30"/>
        </w:numPr>
        <w:spacing w:before="0"/>
        <w:rPr>
          <w:noProof/>
        </w:rPr>
      </w:pPr>
      <w:r>
        <w:rPr>
          <w:noProof/>
        </w:rPr>
        <w:t>A megújuló energiaforrások telepítéséhez és alkalmazásához szükséges valamennyi nemzeti és regionális szintű</w:t>
      </w:r>
      <w:r>
        <w:rPr>
          <w:noProof/>
        </w:rPr>
        <w:t xml:space="preserve"> engedély megszerzésére szolgáló egységes digitális platform létrehozásának és működőképessé tételének biztosítása. A </w:t>
      </w:r>
      <w:r>
        <w:rPr>
          <w:i/>
          <w:noProof/>
        </w:rPr>
        <w:t xml:space="preserve">Testo Unico </w:t>
      </w:r>
      <w:r>
        <w:rPr>
          <w:noProof/>
        </w:rPr>
        <w:t>különösen biztosítja, hogy a platform az egyszeri adatszolgáltatás elve köré épüljön, amely szerint a pályázóknak csak egyszer</w:t>
      </w:r>
      <w:r>
        <w:rPr>
          <w:noProof/>
        </w:rPr>
        <w:t xml:space="preserve"> kell benyújtaniuk ugyanazokat az információkat vagy dokumentumokat a közintézményeknek.</w:t>
      </w:r>
    </w:p>
    <w:p w14:paraId="330B980D" w14:textId="113AE914" w:rsidR="003F5418" w:rsidRDefault="002F198A">
      <w:pPr>
        <w:pStyle w:val="Heading4"/>
        <w:numPr>
          <w:ilvl w:val="3"/>
          <w:numId w:val="0"/>
        </w:numPr>
        <w:rPr>
          <w:rStyle w:val="normaltextrun"/>
          <w:b/>
          <w:noProof/>
        </w:rPr>
      </w:pPr>
      <w:r>
        <w:rPr>
          <w:b/>
          <w:bCs/>
          <w:noProof/>
        </w:rPr>
        <w:t>2</w:t>
      </w:r>
      <w:r w:rsidRPr="002F198A">
        <w:rPr>
          <w:b/>
          <w:bCs/>
          <w:noProof/>
        </w:rPr>
        <w:t xml:space="preserve">. </w:t>
      </w:r>
      <w:r>
        <w:rPr>
          <w:rStyle w:val="normaltextrun"/>
          <w:b/>
          <w:noProof/>
        </w:rPr>
        <w:t>Reform. A környezetre káros támogatások csökkentése</w:t>
      </w:r>
    </w:p>
    <w:p w14:paraId="5ED501F0" w14:textId="77777777" w:rsidR="003F5418" w:rsidRDefault="002A6C25">
      <w:pPr>
        <w:spacing w:after="120"/>
        <w:jc w:val="both"/>
        <w:rPr>
          <w:noProof/>
        </w:rPr>
      </w:pPr>
      <w:r>
        <w:rPr>
          <w:noProof/>
        </w:rPr>
        <w:t>E reform célja a környezeti szempontból káros támogatások (EHS) csökkentése a MASE által közzétett, a környezeti</w:t>
      </w:r>
      <w:r>
        <w:rPr>
          <w:noProof/>
        </w:rPr>
        <w:t xml:space="preserve"> szempontból káros támogatások éves katalógusa alapján. </w:t>
      </w:r>
    </w:p>
    <w:p w14:paraId="2CB83E83" w14:textId="4DF85540" w:rsidR="003F5418" w:rsidRDefault="002F198A">
      <w:pPr>
        <w:pStyle w:val="Heading4"/>
        <w:numPr>
          <w:ilvl w:val="3"/>
          <w:numId w:val="0"/>
        </w:numPr>
        <w:ind w:left="850" w:hanging="850"/>
        <w:rPr>
          <w:rStyle w:val="normaltextrun"/>
          <w:b/>
          <w:noProof/>
        </w:rPr>
      </w:pPr>
      <w:r>
        <w:rPr>
          <w:b/>
          <w:bCs/>
          <w:noProof/>
        </w:rPr>
        <w:t>3</w:t>
      </w:r>
      <w:r w:rsidRPr="002F198A">
        <w:rPr>
          <w:b/>
          <w:bCs/>
          <w:noProof/>
        </w:rPr>
        <w:t xml:space="preserve">. </w:t>
      </w:r>
      <w:r>
        <w:rPr>
          <w:rStyle w:val="normaltextrun"/>
          <w:b/>
          <w:noProof/>
        </w:rPr>
        <w:t>Reform. A biometán gázhálózathoz való csatlakozás költségeinek csökkentése</w:t>
      </w:r>
    </w:p>
    <w:p w14:paraId="3342F7C4" w14:textId="77777777" w:rsidR="003F5418" w:rsidRDefault="002A6C25">
      <w:pPr>
        <w:pStyle w:val="Text1"/>
        <w:spacing w:before="0"/>
        <w:ind w:left="0"/>
        <w:rPr>
          <w:noProof/>
        </w:rPr>
      </w:pPr>
      <w:r>
        <w:rPr>
          <w:noProof/>
        </w:rPr>
        <w:t xml:space="preserve">A reform célja, hogy megkönnyítse a biometán integrálását az energiarendszerbe és az energiapiacba, valamint új </w:t>
      </w:r>
      <w:r>
        <w:rPr>
          <w:noProof/>
        </w:rPr>
        <w:t>fenntartható biometán-termelési kapacitásokat hozzon létre az (EU) 2018/2001 irányelvvel (a megújuló energiaforrásokról szóló irányelvvel) és annak felhatalmazáson alapuló jogi aktusaival összhangban. A cél a földgázhálózat rugalmasságának és hatékonyságán</w:t>
      </w:r>
      <w:r>
        <w:rPr>
          <w:noProof/>
        </w:rPr>
        <w:t>ak előmozdítása a biometánra való átállás megkönnyítése révén. A rugalmasság és a hatékonyság növelése várhatóan hozzájárul az energiarendszer dekarbonizációjához és az energiafüggetlenséghez.</w:t>
      </w:r>
    </w:p>
    <w:p w14:paraId="2B27DB51" w14:textId="77777777" w:rsidR="003F5418" w:rsidRDefault="002A6C25">
      <w:pPr>
        <w:pStyle w:val="Text1"/>
        <w:spacing w:before="0"/>
        <w:ind w:left="0"/>
        <w:rPr>
          <w:noProof/>
        </w:rPr>
      </w:pPr>
      <w:r>
        <w:rPr>
          <w:noProof/>
        </w:rPr>
        <w:t>A reform végrehajtása (1) csökkenti a fenntartható biometán-elő</w:t>
      </w:r>
      <w:r>
        <w:rPr>
          <w:noProof/>
        </w:rPr>
        <w:t>állító üzemek csatlakozási költségeit, és (2) ösztönzi a kizárólag a fenntartható biometán földgázhálózatokban való elterjedését célzó beruházásokat. A reform a következőket részesíti előnyben: az átviteli és az elosztó hálózatok nagyobb fokú integrációja;</w:t>
      </w:r>
      <w:r>
        <w:rPr>
          <w:noProof/>
        </w:rPr>
        <w:t xml:space="preserve"> a hálózati csatlakozással kapcsolatos beruházások költségeinek megosztására szolgáló mechanizmusok bevezetése. Ezek a mechanizmusok a költségeket a biometán-termelőről a fenntartható biometánból részesülő teljes közösségre hárítják át.</w:t>
      </w:r>
    </w:p>
    <w:p w14:paraId="33158659" w14:textId="04A265D4" w:rsidR="003F5418" w:rsidRDefault="002F198A">
      <w:pPr>
        <w:pStyle w:val="P68B1DB1-Heading429"/>
        <w:numPr>
          <w:ilvl w:val="0"/>
          <w:numId w:val="0"/>
        </w:numPr>
        <w:rPr>
          <w:noProof/>
        </w:rPr>
      </w:pPr>
      <w:r>
        <w:rPr>
          <w:noProof/>
        </w:rPr>
        <w:t>4</w:t>
      </w:r>
      <w:r w:rsidRPr="002F198A">
        <w:rPr>
          <w:noProof/>
        </w:rPr>
        <w:t xml:space="preserve">. </w:t>
      </w:r>
      <w:r>
        <w:rPr>
          <w:noProof/>
        </w:rPr>
        <w:t>Reform. A megújuló energiavásárlási megállapodásokhoz (Power Purchase Agreement) kapcsolódó pénzügyi kockázat csökkentése</w:t>
      </w:r>
    </w:p>
    <w:p w14:paraId="5BCFC897" w14:textId="77777777" w:rsidR="003F5418" w:rsidRDefault="002A6C25">
      <w:pPr>
        <w:pStyle w:val="Text1"/>
        <w:spacing w:before="0"/>
        <w:ind w:left="0"/>
        <w:rPr>
          <w:noProof/>
        </w:rPr>
      </w:pPr>
      <w:r>
        <w:rPr>
          <w:noProof/>
        </w:rPr>
        <w:t>A reform célja egy olyan garanciarendszer létrehozása, amely mérsékli a legalább hároméves időtartamra szóló megújulóenergia-vásárlási megállapodásokk</w:t>
      </w:r>
      <w:r>
        <w:rPr>
          <w:noProof/>
        </w:rPr>
        <w:t xml:space="preserve">al kapcsolatos pénzügyi kockázatot. </w:t>
      </w:r>
    </w:p>
    <w:p w14:paraId="4D4F34E7" w14:textId="77777777" w:rsidR="003F5418" w:rsidRDefault="002A6C25">
      <w:pPr>
        <w:pStyle w:val="Text1"/>
        <w:spacing w:before="0"/>
        <w:ind w:left="0"/>
        <w:rPr>
          <w:noProof/>
        </w:rPr>
      </w:pPr>
      <w:r>
        <w:rPr>
          <w:noProof/>
        </w:rPr>
        <w:t xml:space="preserve">A reform: </w:t>
      </w:r>
    </w:p>
    <w:p w14:paraId="72AD58E8" w14:textId="77777777" w:rsidR="003F5418" w:rsidRDefault="002A6C25">
      <w:pPr>
        <w:pStyle w:val="Text1"/>
        <w:numPr>
          <w:ilvl w:val="0"/>
          <w:numId w:val="36"/>
        </w:numPr>
        <w:spacing w:before="0"/>
        <w:rPr>
          <w:noProof/>
        </w:rPr>
      </w:pPr>
      <w:r>
        <w:rPr>
          <w:noProof/>
        </w:rPr>
        <w:t xml:space="preserve">annak előírása minden üzemeltető számára, hogy a villamosenergia-piacon biztosított garanciaeszközök révén garantálja a villamosenergia-vásárlási megállapodások ellenértékének részleges fedezését; </w:t>
      </w:r>
    </w:p>
    <w:p w14:paraId="7F38B80F" w14:textId="77777777" w:rsidR="003F5418" w:rsidRDefault="002A6C25">
      <w:pPr>
        <w:pStyle w:val="Text1"/>
        <w:numPr>
          <w:ilvl w:val="0"/>
          <w:numId w:val="36"/>
        </w:numPr>
        <w:spacing w:before="0"/>
        <w:rPr>
          <w:noProof/>
        </w:rPr>
      </w:pPr>
      <w:r>
        <w:rPr>
          <w:noProof/>
        </w:rPr>
        <w:t>a nemtelje</w:t>
      </w:r>
      <w:r>
        <w:rPr>
          <w:noProof/>
        </w:rPr>
        <w:t>sítés kockázatának csökkentésére irányuló intézkedések bevezetése, beleértve az ajánlattevőre vonatkozó követelményeket és korlátozásokat, valamint a gyártó nemteljesítése esetén alkalmazandó szabályozási szankciókat;</w:t>
      </w:r>
    </w:p>
    <w:p w14:paraId="3DFA1A59" w14:textId="77777777" w:rsidR="003F5418" w:rsidRDefault="002A6C25">
      <w:pPr>
        <w:pStyle w:val="Text1"/>
        <w:numPr>
          <w:ilvl w:val="0"/>
          <w:numId w:val="36"/>
        </w:numPr>
        <w:spacing w:before="0"/>
        <w:rPr>
          <w:noProof/>
        </w:rPr>
      </w:pPr>
      <w:r>
        <w:rPr>
          <w:noProof/>
        </w:rPr>
        <w:t>meg kell határozni azt az intézményi s</w:t>
      </w:r>
      <w:r>
        <w:rPr>
          <w:noProof/>
        </w:rPr>
        <w:t xml:space="preserve">zervezetet, amely átvállalja a végső menedékes eladó/vevő szerepét, és amely átvenné a csődbe jutott partnertől, és biztosítja a teljesítő partnerrel szemben vállalt kötelezettségek teljesítését.  </w:t>
      </w:r>
    </w:p>
    <w:p w14:paraId="3ED1AEC2" w14:textId="74881B33" w:rsidR="003F5418" w:rsidRDefault="002F198A">
      <w:pPr>
        <w:pStyle w:val="P68B1DB1-Heading429"/>
        <w:numPr>
          <w:ilvl w:val="3"/>
          <w:numId w:val="0"/>
        </w:numPr>
        <w:ind w:left="850" w:hanging="850"/>
        <w:rPr>
          <w:noProof/>
        </w:rPr>
      </w:pPr>
      <w:bookmarkStart w:id="16" w:name="_Hlk160472416"/>
      <w:r w:rsidRPr="002F198A">
        <w:rPr>
          <w:noProof/>
        </w:rPr>
        <w:t xml:space="preserve">5. </w:t>
      </w:r>
      <w:r>
        <w:rPr>
          <w:noProof/>
        </w:rPr>
        <w:t>Reform. Új készségekre vonatkozó terv – Átállások</w:t>
      </w:r>
    </w:p>
    <w:bookmarkEnd w:id="16"/>
    <w:p w14:paraId="0D2A2DEF" w14:textId="06571A48" w:rsidR="003F5418" w:rsidRDefault="002A6C25">
      <w:pPr>
        <w:spacing w:after="120"/>
        <w:jc w:val="both"/>
        <w:rPr>
          <w:noProof/>
        </w:rPr>
      </w:pPr>
      <w:r>
        <w:rPr>
          <w:noProof/>
        </w:rPr>
        <w:t>A ref</w:t>
      </w:r>
      <w:r>
        <w:rPr>
          <w:noProof/>
        </w:rPr>
        <w:t>orm célja a képzés szabályozási keretének aktualizálása és a strukturális munkaerőhiány elleni küzdelem eszközeinek működőképessé tétele. A reformnak aktualizálnia kell a 2021. december 14-i rendelettel elfogadott és a 2021. december 28-i Gazzetta Ufficial</w:t>
      </w:r>
      <w:r>
        <w:rPr>
          <w:noProof/>
        </w:rPr>
        <w:t>e n.307 számában közzétett új készségfejlesztési tervet. A cél az olyan mechanizmusok megerősítése, amelyek összekapcsolják a tanfolyamok tervezését a munkaerőpiaci igényekkel, azzal a konkrét céllal, hogy jobban kísérjék a zöld és digitális átállást, az é</w:t>
      </w:r>
      <w:r>
        <w:rPr>
          <w:noProof/>
        </w:rPr>
        <w:t>rintett szereplőknek a célzott készségfejlesztési paktumokban való részvétele révén. A reform célja a magánszektor képzésben betöltött szerepének megerősítése és a készségek elismerésének javítása, beleértve a munkahelyi és rövid képzési modulok révén megs</w:t>
      </w:r>
      <w:r>
        <w:rPr>
          <w:noProof/>
        </w:rPr>
        <w:t xml:space="preserve">zerzett készségeket is. A reform megtervezése és végrehajtása során figyelembe kell venni a 10. beruházás keretében megvalósuló kísérleti projekteket és azok eredményeit. </w:t>
      </w:r>
    </w:p>
    <w:p w14:paraId="2630DB0E" w14:textId="77777777" w:rsidR="003F5418" w:rsidRDefault="002A6C25">
      <w:pPr>
        <w:spacing w:after="120"/>
        <w:jc w:val="both"/>
        <w:rPr>
          <w:noProof/>
        </w:rPr>
      </w:pPr>
      <w:r>
        <w:rPr>
          <w:noProof/>
          <w:color w:val="000000" w:themeColor="text1"/>
        </w:rPr>
        <w:t xml:space="preserve">Az e reform által támogatott képzés nem kapcsolódik a következőkhöz: </w:t>
      </w:r>
      <w:r>
        <w:rPr>
          <w:noProof/>
        </w:rPr>
        <w:t xml:space="preserve">i. a fosszilis </w:t>
      </w:r>
      <w:r>
        <w:rPr>
          <w:noProof/>
        </w:rPr>
        <w:t>tüzelőanyagokhoz kapcsolódó tevékenységek és eszközök, beleértve a downstream felhasználást is, ii. az uniós kibocsátáskereskedelmi rendszer</w:t>
      </w:r>
      <w:r>
        <w:rPr>
          <w:rStyle w:val="FootnoteReference"/>
          <w:noProof/>
        </w:rPr>
        <w:footnoteReference w:id="123"/>
      </w:r>
      <w:r>
        <w:rPr>
          <w:noProof/>
        </w:rPr>
        <w:t>(ETS) keretébe tartozó tevékenységek és eszközök, amelyek elérik a vonatkozó referenciaértékeket meg nem haladó, el</w:t>
      </w:r>
      <w:r>
        <w:rPr>
          <w:noProof/>
        </w:rPr>
        <w:t>őre jelzett üvegházhatásúgáz-kibocsátást, iii. a hulladéklerakókhoz, égetőművekhez és mechanikai-biológiai hulladékkezelő létesítményekhez kapcsolódó</w:t>
      </w:r>
      <w:r>
        <w:rPr>
          <w:noProof/>
        </w:rPr>
        <w:footnoteReference w:id="124"/>
      </w:r>
      <w:r>
        <w:rPr>
          <w:noProof/>
        </w:rPr>
        <w:t>tevékenységek</w:t>
      </w:r>
      <w:r>
        <w:rPr>
          <w:rStyle w:val="FootnoteReference"/>
          <w:noProof/>
        </w:rPr>
        <w:footnoteReference w:id="125"/>
      </w:r>
      <w:r>
        <w:rPr>
          <w:noProof/>
        </w:rPr>
        <w:t xml:space="preserve"> és eszközök</w:t>
      </w:r>
      <w:r>
        <w:rPr>
          <w:rStyle w:val="FootnoteReference"/>
          <w:noProof/>
        </w:rPr>
        <w:footnoteReference w:id="126"/>
      </w:r>
      <w:r>
        <w:rPr>
          <w:noProof/>
        </w:rPr>
        <w:t>.</w:t>
      </w:r>
      <w:r>
        <w:rPr>
          <w:noProof/>
          <w:color w:val="000000" w:themeColor="text1"/>
        </w:rPr>
        <w:t> A feladatmeghatározás előírja továbbá, hogy csak olyan tevékenységek választh</w:t>
      </w:r>
      <w:r>
        <w:rPr>
          <w:noProof/>
          <w:color w:val="000000" w:themeColor="text1"/>
        </w:rPr>
        <w:t>atók ki, amelyek megfelelnek a vonatkozó uniós és nemzeti környezetvédelmi jogszabályoknak.</w:t>
      </w:r>
    </w:p>
    <w:p w14:paraId="3B506886" w14:textId="24887CB9" w:rsidR="003F5418" w:rsidRDefault="002F198A">
      <w:pPr>
        <w:pStyle w:val="Heading4"/>
        <w:numPr>
          <w:ilvl w:val="3"/>
          <w:numId w:val="0"/>
        </w:numPr>
        <w:ind w:left="850" w:hanging="850"/>
        <w:rPr>
          <w:rStyle w:val="normaltextrun"/>
          <w:b/>
          <w:noProof/>
        </w:rPr>
      </w:pPr>
      <w:r w:rsidRPr="002F198A">
        <w:rPr>
          <w:b/>
          <w:bCs/>
          <w:noProof/>
        </w:rPr>
        <w:t xml:space="preserve">1. </w:t>
      </w:r>
      <w:r>
        <w:rPr>
          <w:rStyle w:val="normaltextrun"/>
          <w:b/>
          <w:noProof/>
        </w:rPr>
        <w:t>Beruházás. Kibővített intézkedés: Az intelligens hálózatok megerősítése</w:t>
      </w:r>
    </w:p>
    <w:p w14:paraId="16C6BE9D" w14:textId="5F57AD5E" w:rsidR="003F5418" w:rsidRDefault="002A6C25">
      <w:pPr>
        <w:pStyle w:val="Text1"/>
        <w:spacing w:before="0"/>
        <w:ind w:left="0"/>
        <w:rPr>
          <w:noProof/>
        </w:rPr>
      </w:pPr>
      <w:r>
        <w:rPr>
          <w:noProof/>
        </w:rPr>
        <w:t>E beruházás célja a 2. küldetés 2. komponensébe (Az intelligens hálózatok megerősítése) t</w:t>
      </w:r>
      <w:r>
        <w:rPr>
          <w:noProof/>
        </w:rPr>
        <w:t>artozó 2.1. beruházás fokozása. A megnövelt beruházás a közepes és alacsony feszültségű hálózati részekre irányuló beavatkozásokból áll, így a meglévő intézkedésben már előirányzottnál legalább 230000 lakos energiafogyasztását villamosítja. A meglévő beruh</w:t>
      </w:r>
      <w:r>
        <w:rPr>
          <w:noProof/>
        </w:rPr>
        <w:t xml:space="preserve">ázásnak és a megnövelt résznek együttesen legalább 1730000 lakos fogyasztását kell villamosítania. </w:t>
      </w:r>
    </w:p>
    <w:p w14:paraId="618B5005" w14:textId="7F598122" w:rsidR="003F5418" w:rsidRDefault="002F198A">
      <w:pPr>
        <w:pStyle w:val="Heading4"/>
        <w:numPr>
          <w:ilvl w:val="0"/>
          <w:numId w:val="0"/>
        </w:numPr>
        <w:ind w:left="850" w:hanging="850"/>
        <w:rPr>
          <w:rStyle w:val="normaltextrun"/>
          <w:b/>
          <w:noProof/>
        </w:rPr>
      </w:pPr>
      <w:r>
        <w:rPr>
          <w:b/>
          <w:bCs/>
          <w:noProof/>
        </w:rPr>
        <w:t>2</w:t>
      </w:r>
      <w:r w:rsidRPr="002F198A">
        <w:rPr>
          <w:b/>
          <w:bCs/>
          <w:noProof/>
        </w:rPr>
        <w:t xml:space="preserve">. </w:t>
      </w:r>
      <w:r>
        <w:rPr>
          <w:rStyle w:val="normaltextrun"/>
          <w:b/>
          <w:noProof/>
        </w:rPr>
        <w:t>Beruházás. Növekedési intézkedés: A villamosenergia-hálózat rezilienciájának növelését célzó beavatkozások</w:t>
      </w:r>
    </w:p>
    <w:p w14:paraId="3889B87E" w14:textId="77777777" w:rsidR="003F5418" w:rsidRDefault="002A6C25">
      <w:pPr>
        <w:pStyle w:val="Text1"/>
        <w:spacing w:before="0"/>
        <w:ind w:left="0"/>
        <w:rPr>
          <w:noProof/>
        </w:rPr>
      </w:pPr>
      <w:r>
        <w:rPr>
          <w:noProof/>
        </w:rPr>
        <w:t>Ez a beruházás növeli a 2. küldetés 2. kompone</w:t>
      </w:r>
      <w:r>
        <w:rPr>
          <w:noProof/>
        </w:rPr>
        <w:t>nsébe tartozó 2.2. beruházást. A kibővített beruházás olyan beavatkozásokból áll, amelyek legalább 648 km-nyi villamosenergia-hálózat ellenálló képességének javítását célozzák a meglévő intézkedés által már előirányzottnál nagyobb mértékben. A meglévő inté</w:t>
      </w:r>
      <w:r>
        <w:rPr>
          <w:noProof/>
        </w:rPr>
        <w:t>zkedésben már előirányzott feltételek alkalmazandók. A meglévő beruházás és a növekvő beruházás együttesen legalább 4 648 km-re növeli a rezilienciát.</w:t>
      </w:r>
    </w:p>
    <w:p w14:paraId="16778A19" w14:textId="27C370EF" w:rsidR="003F5418" w:rsidRDefault="002F198A">
      <w:pPr>
        <w:pStyle w:val="P68B1DB1-Heading429"/>
        <w:numPr>
          <w:ilvl w:val="0"/>
          <w:numId w:val="0"/>
        </w:numPr>
        <w:rPr>
          <w:noProof/>
        </w:rPr>
      </w:pPr>
      <w:r w:rsidRPr="002F198A">
        <w:rPr>
          <w:noProof/>
        </w:rPr>
        <w:t xml:space="preserve">3. </w:t>
      </w:r>
      <w:r>
        <w:rPr>
          <w:noProof/>
        </w:rPr>
        <w:t>Beruházás. Növekedési intézkedés: Hidrogén előállítása barnamezős területeken (hidrogénvölgyek)</w:t>
      </w:r>
    </w:p>
    <w:p w14:paraId="02F9B023" w14:textId="77777777" w:rsidR="003F5418" w:rsidRDefault="002A6C25">
      <w:pPr>
        <w:pStyle w:val="Text1"/>
        <w:spacing w:before="0"/>
        <w:ind w:left="0"/>
        <w:rPr>
          <w:noProof/>
        </w:rPr>
      </w:pPr>
      <w:r>
        <w:rPr>
          <w:noProof/>
        </w:rPr>
        <w:t>Ez a b</w:t>
      </w:r>
      <w:r>
        <w:rPr>
          <w:noProof/>
        </w:rPr>
        <w:t>eruházás Olaszország helyreállítási és rezilienciaépítési tervének 2. komponensébe tartozó 3.1. beruházás kibővített változata. A fokozott beruházás a meglévő intézkedésben előirányzottnál két további hidrogéntermelési projekt befejezéséből áll az elhagyot</w:t>
      </w:r>
      <w:r>
        <w:rPr>
          <w:noProof/>
        </w:rPr>
        <w:t xml:space="preserve">t ipari területeken. A meglévő beruházás és a növekvő beruházás együttesen legalább 12 projekt befejezését támogatja. </w:t>
      </w:r>
    </w:p>
    <w:p w14:paraId="3FE6D408" w14:textId="77777777" w:rsidR="003F5418" w:rsidRDefault="002A6C25">
      <w:pPr>
        <w:pStyle w:val="Text1"/>
        <w:spacing w:before="0"/>
        <w:ind w:left="0"/>
        <w:rPr>
          <w:noProof/>
        </w:rPr>
      </w:pPr>
      <w:r>
        <w:rPr>
          <w:noProof/>
        </w:rPr>
        <w:t>Az intézkedés az (EU) 2018/2001 irányelvvel (megújuló energiaforrásokról szóló irányelv) és annak felhatalmazáson alapuló jogi aktusaival</w:t>
      </w:r>
      <w:r>
        <w:rPr>
          <w:noProof/>
        </w:rPr>
        <w:t xml:space="preserve"> összhangban csak az elektrolízisen alapuló megújulóhidrogén-termelést támogathatja. A meglévő intézkedésben már előirányzott minden egyéb feltétel alkalmazandó.</w:t>
      </w:r>
    </w:p>
    <w:p w14:paraId="1560FBEC" w14:textId="37E18D88" w:rsidR="003F5418" w:rsidRDefault="002F198A">
      <w:pPr>
        <w:pStyle w:val="P68B1DB1-Heading429"/>
        <w:numPr>
          <w:ilvl w:val="0"/>
          <w:numId w:val="0"/>
        </w:numPr>
        <w:ind w:left="850" w:hanging="850"/>
        <w:rPr>
          <w:noProof/>
        </w:rPr>
      </w:pPr>
      <w:r>
        <w:rPr>
          <w:noProof/>
        </w:rPr>
        <w:t>4</w:t>
      </w:r>
      <w:r w:rsidRPr="002F198A">
        <w:rPr>
          <w:noProof/>
        </w:rPr>
        <w:t xml:space="preserve">. </w:t>
      </w:r>
      <w:r>
        <w:rPr>
          <w:noProof/>
        </w:rPr>
        <w:t>Beruházás. Tirrén-féle kapcsolat</w:t>
      </w:r>
    </w:p>
    <w:p w14:paraId="44AD3C04" w14:textId="77777777" w:rsidR="003F5418" w:rsidRDefault="002A6C25">
      <w:pPr>
        <w:pStyle w:val="Text1"/>
        <w:spacing w:before="0"/>
        <w:ind w:left="0"/>
        <w:rPr>
          <w:noProof/>
        </w:rPr>
      </w:pPr>
      <w:r>
        <w:rPr>
          <w:noProof/>
        </w:rPr>
        <w:t>E beruházás célja a villamosenergia-átviteli infrastruktúr</w:t>
      </w:r>
      <w:r>
        <w:rPr>
          <w:noProof/>
        </w:rPr>
        <w:t>a bővítése annak érdekében, hogy Dél-Olaszországban lehetővé váljon a megújuló energiaforrásokból származó kapacitás összegyűjtése és integrálása a nemzeti átviteli hálózatba.</w:t>
      </w:r>
    </w:p>
    <w:p w14:paraId="44E43088" w14:textId="77777777" w:rsidR="003F5418" w:rsidRDefault="002A6C25">
      <w:pPr>
        <w:pStyle w:val="Text1"/>
        <w:spacing w:before="0"/>
        <w:ind w:left="0"/>
        <w:rPr>
          <w:noProof/>
        </w:rPr>
      </w:pPr>
      <w:r>
        <w:rPr>
          <w:noProof/>
        </w:rPr>
        <w:t xml:space="preserve">Ez a beruházás támogatja a „trrén összeköttetés” és különösen a Szicília és </w:t>
      </w:r>
      <w:r>
        <w:rPr>
          <w:noProof/>
        </w:rPr>
        <w:t>Campania közötti „keleti összeköttetési vonal” megépítését. A beruházás az Eboli és Caracoli közötti 514 km-es pont-pont egyenáramú (HVDC) tenger alatti kábelek telepítését finanszírozza. A beruházást 2026. augusztus 31-ig be kell fejezni.</w:t>
      </w:r>
    </w:p>
    <w:p w14:paraId="0126AB66" w14:textId="58B15439" w:rsidR="003F5418" w:rsidRDefault="002F198A">
      <w:pPr>
        <w:pStyle w:val="P68B1DB1-Heading429"/>
        <w:numPr>
          <w:ilvl w:val="0"/>
          <w:numId w:val="0"/>
        </w:numPr>
        <w:ind w:left="850" w:hanging="850"/>
        <w:rPr>
          <w:noProof/>
        </w:rPr>
      </w:pPr>
      <w:r>
        <w:rPr>
          <w:noProof/>
        </w:rPr>
        <w:t>5</w:t>
      </w:r>
      <w:r w:rsidRPr="002F198A">
        <w:rPr>
          <w:noProof/>
        </w:rPr>
        <w:t xml:space="preserve">. </w:t>
      </w:r>
      <w:r>
        <w:rPr>
          <w:noProof/>
        </w:rPr>
        <w:t>Beruházás. SA.CO.I.3</w:t>
      </w:r>
    </w:p>
    <w:p w14:paraId="438A214D" w14:textId="77777777" w:rsidR="003F5418" w:rsidRDefault="002A6C25">
      <w:pPr>
        <w:pStyle w:val="Text1"/>
        <w:spacing w:before="0"/>
        <w:ind w:left="0"/>
        <w:rPr>
          <w:noProof/>
        </w:rPr>
      </w:pPr>
      <w:r>
        <w:rPr>
          <w:noProof/>
        </w:rPr>
        <w:t>E beruházás célja a Szardíniát Olaszország többi részével összekötő villamosenergia-átviteli infrastruktúra Korzikán keresztül történő korszerűsítése, lehetővé téve a megújuló energiaforrásokból származó kapacitások összegyűjtését és a nemzeti átvi</w:t>
      </w:r>
      <w:r>
        <w:rPr>
          <w:noProof/>
        </w:rPr>
        <w:t>teli hálózatba való integrálását.</w:t>
      </w:r>
    </w:p>
    <w:p w14:paraId="252C5820" w14:textId="5698025D" w:rsidR="003F5418" w:rsidRDefault="002A6C25">
      <w:pPr>
        <w:pStyle w:val="Text1"/>
        <w:spacing w:before="0"/>
        <w:ind w:left="0"/>
        <w:rPr>
          <w:noProof/>
        </w:rPr>
      </w:pPr>
      <w:r>
        <w:rPr>
          <w:noProof/>
        </w:rPr>
        <w:t xml:space="preserve">A beruházás célja a „Szardínia-Korzika-Olaszország 3” összekapcsolási projekt kivitelezésének támogatása. A projekt a Codrongianosban (Szardínia) és a toszkánai Suvereto-ban található konvertáló állomások héjának építését </w:t>
      </w:r>
      <w:r>
        <w:rPr>
          <w:noProof/>
        </w:rPr>
        <w:t>foglalja magában. „Ládák”: az átalakító állomások külső infrastruktúrája, és nem foglalják magukban azokat a gépeket vagy egyéb berendezéseket, amelyeket e beruházás befejezése után kell telepíteni. A beruházást 2026. augusztus 31-ig be kell fejezni.</w:t>
      </w:r>
    </w:p>
    <w:p w14:paraId="313D77B4" w14:textId="774BBFFA" w:rsidR="003F5418" w:rsidRDefault="002F198A">
      <w:pPr>
        <w:pStyle w:val="P68B1DB1-Heading429"/>
        <w:numPr>
          <w:ilvl w:val="0"/>
          <w:numId w:val="0"/>
        </w:numPr>
        <w:rPr>
          <w:noProof/>
        </w:rPr>
      </w:pPr>
      <w:r>
        <w:rPr>
          <w:noProof/>
        </w:rPr>
        <w:t>6</w:t>
      </w:r>
      <w:r w:rsidRPr="002F198A">
        <w:rPr>
          <w:noProof/>
        </w:rPr>
        <w:t xml:space="preserve">. </w:t>
      </w:r>
      <w:r>
        <w:rPr>
          <w:noProof/>
        </w:rPr>
        <w:t>Beruházás. Határokon átnyúló villamosenergia-összeköttetési projektek Olaszország és a szomszédos országok között</w:t>
      </w:r>
    </w:p>
    <w:p w14:paraId="1E25F116" w14:textId="77777777" w:rsidR="003F5418" w:rsidRDefault="002A6C25">
      <w:pPr>
        <w:pStyle w:val="Text1"/>
        <w:spacing w:before="0"/>
        <w:ind w:left="0"/>
        <w:rPr>
          <w:noProof/>
        </w:rPr>
      </w:pPr>
      <w:r>
        <w:rPr>
          <w:noProof/>
        </w:rPr>
        <w:t xml:space="preserve">E beruházás célja az Olaszország, Ausztria és Szlovénia közötti villamosenergia-átviteli infrastruktúra bővítése és korszerűsítése. A beruházás </w:t>
      </w:r>
      <w:r>
        <w:rPr>
          <w:noProof/>
        </w:rPr>
        <w:t xml:space="preserve">különösen a következő határokon átnyúló rendszerösszekötők befejezéséből áll: </w:t>
      </w:r>
    </w:p>
    <w:p w14:paraId="309E916A" w14:textId="77777777" w:rsidR="003F5418" w:rsidRDefault="002A6C25">
      <w:pPr>
        <w:pStyle w:val="Text1"/>
        <w:numPr>
          <w:ilvl w:val="0"/>
          <w:numId w:val="28"/>
        </w:numPr>
        <w:spacing w:before="0"/>
        <w:rPr>
          <w:noProof/>
        </w:rPr>
      </w:pPr>
      <w:r>
        <w:rPr>
          <w:noProof/>
        </w:rPr>
        <w:t>„Somplago (Olaszország)-Würmlach (Ausztria), a meglévő rendszerösszekötők névleges kapacitásának 300 MW-tal történő növelése;</w:t>
      </w:r>
    </w:p>
    <w:p w14:paraId="4E3D60BB" w14:textId="77777777" w:rsidR="003F5418" w:rsidRDefault="002A6C25">
      <w:pPr>
        <w:pStyle w:val="Text1"/>
        <w:numPr>
          <w:ilvl w:val="0"/>
          <w:numId w:val="28"/>
        </w:numPr>
        <w:spacing w:before="0"/>
        <w:rPr>
          <w:noProof/>
        </w:rPr>
      </w:pPr>
      <w:r>
        <w:rPr>
          <w:noProof/>
        </w:rPr>
        <w:t>„Zaule (Olaszország)-Dekani (Szlovénia)”</w:t>
      </w:r>
    </w:p>
    <w:p w14:paraId="23B4BBE1" w14:textId="77777777" w:rsidR="003F5418" w:rsidRDefault="002A6C25">
      <w:pPr>
        <w:pStyle w:val="Text1"/>
        <w:numPr>
          <w:ilvl w:val="0"/>
          <w:numId w:val="28"/>
        </w:numPr>
        <w:spacing w:before="0"/>
        <w:rPr>
          <w:noProof/>
        </w:rPr>
      </w:pPr>
      <w:r>
        <w:rPr>
          <w:noProof/>
        </w:rPr>
        <w:t>„Redipugli</w:t>
      </w:r>
      <w:r>
        <w:rPr>
          <w:noProof/>
        </w:rPr>
        <w:t>a (Olaszország) – Vrtojba (Szlovénia)”</w:t>
      </w:r>
    </w:p>
    <w:p w14:paraId="67986753" w14:textId="77777777" w:rsidR="003F5418" w:rsidRDefault="002A6C25">
      <w:pPr>
        <w:pStyle w:val="Text1"/>
        <w:spacing w:before="0"/>
        <w:ind w:left="0"/>
        <w:rPr>
          <w:noProof/>
        </w:rPr>
      </w:pPr>
      <w:r>
        <w:rPr>
          <w:noProof/>
        </w:rPr>
        <w:t>A Zaule-Dekani és Redipuglia-Vrtojba rendszerösszekötők munkálatainak befejezésekor az Olaszország és Szlovénia közötti rendszerösszekötők összesített névleges kapacitását 250 MW-tal kell növelni.</w:t>
      </w:r>
    </w:p>
    <w:p w14:paraId="5CC0CB05" w14:textId="77777777" w:rsidR="003F5418" w:rsidRDefault="002A6C25">
      <w:pPr>
        <w:pStyle w:val="Text1"/>
        <w:spacing w:before="0"/>
        <w:ind w:left="0"/>
        <w:rPr>
          <w:noProof/>
        </w:rPr>
      </w:pPr>
      <w:r>
        <w:rPr>
          <w:noProof/>
        </w:rPr>
        <w:t>A beruházás csak a r</w:t>
      </w:r>
      <w:r>
        <w:rPr>
          <w:noProof/>
        </w:rPr>
        <w:t>endszerösszekötő olasz rész 2026. augusztus 31-ig történő befejezésére terjedhet ki. A munkálatok befejezésekor az infrastruktúrának készen kell állnia arra, hogy Ausztria és Szlovénia részéről az infrastruktúra többi részének befejezését és üzembe helyezé</w:t>
      </w:r>
      <w:r>
        <w:rPr>
          <w:noProof/>
        </w:rPr>
        <w:t>sét követően működésbe lépjen.</w:t>
      </w:r>
    </w:p>
    <w:p w14:paraId="6B395FEC" w14:textId="77777777" w:rsidR="003F5418" w:rsidRDefault="002A6C25">
      <w:pPr>
        <w:pStyle w:val="Text1"/>
        <w:spacing w:before="0"/>
        <w:ind w:left="0"/>
        <w:rPr>
          <w:noProof/>
        </w:rPr>
      </w:pPr>
      <w:r>
        <w:rPr>
          <w:noProof/>
        </w:rPr>
        <w:t>A túlkompenzáció kockázatának elkerülése érdekében Olaszország 2026. augusztus 31-ig jelentést nyújt be a Bizottságnak. A jelentésben be kell mutatni, hogy a három rendszerösszekötő számára az energiapiaci szabályok alól bizt</w:t>
      </w:r>
      <w:r>
        <w:rPr>
          <w:noProof/>
        </w:rPr>
        <w:t>osított mentességek továbbra is indokoltak. Értékeli továbbá, hogy bevezettek-e megfelelő biztosítékokat annak biztosítására, hogy a villamos energiáról szóló (EU) 2019/943 rendelet 63. cikkének (1) bekezdésében foglalt feltételek továbbra is teljesüljenek</w:t>
      </w:r>
      <w:r>
        <w:rPr>
          <w:noProof/>
        </w:rPr>
        <w:t xml:space="preserve">. Az értékelés során figyelembe kell venni, hogy a vonatkozó uniós és állami források milyen mértékben befolyásolják a projektek kockázatosságával kapcsolatos feltételeket. </w:t>
      </w:r>
    </w:p>
    <w:p w14:paraId="1321CA29" w14:textId="292C1A7A" w:rsidR="003F5418" w:rsidRDefault="002F198A">
      <w:pPr>
        <w:pStyle w:val="P68B1DB1-Heading429"/>
        <w:numPr>
          <w:ilvl w:val="0"/>
          <w:numId w:val="0"/>
        </w:numPr>
        <w:rPr>
          <w:noProof/>
        </w:rPr>
      </w:pPr>
      <w:r>
        <w:rPr>
          <w:noProof/>
        </w:rPr>
        <w:t>7</w:t>
      </w:r>
      <w:r w:rsidRPr="002F198A">
        <w:rPr>
          <w:noProof/>
        </w:rPr>
        <w:t xml:space="preserve">. </w:t>
      </w:r>
      <w:r>
        <w:rPr>
          <w:noProof/>
        </w:rPr>
        <w:t xml:space="preserve">Beruházás. Intelligens nemzeti átviteli hálózat </w:t>
      </w:r>
    </w:p>
    <w:p w14:paraId="12555041" w14:textId="77777777" w:rsidR="003F5418" w:rsidRDefault="002A6C25">
      <w:pPr>
        <w:pStyle w:val="Text1"/>
        <w:spacing w:before="0"/>
        <w:ind w:left="0"/>
        <w:rPr>
          <w:noProof/>
        </w:rPr>
      </w:pPr>
      <w:r>
        <w:rPr>
          <w:noProof/>
        </w:rPr>
        <w:t xml:space="preserve">A beruházás célja a nemzeti </w:t>
      </w:r>
      <w:r>
        <w:rPr>
          <w:noProof/>
        </w:rPr>
        <w:t>átviteli hálózat (NTG) digitalizálása, valamint az átvitelirendszer-üzemeltető által irányított irányítási és ellenőrzési rendszer javítása. A beruházásnak mind az átviteli hálózatra, mind annak szoftverkomponenseire kell összpontosítania, és elő kell segí</w:t>
      </w:r>
      <w:r>
        <w:rPr>
          <w:noProof/>
        </w:rPr>
        <w:t>tenie a fogyasztók és a termelő-fogyasztók energiapiaci integrációját, fel kell gyorsítania a megújuló energiaforrások elterjedését és növelnie kell a hálózat rezilienciáját.</w:t>
      </w:r>
    </w:p>
    <w:p w14:paraId="6DF47A6B" w14:textId="77777777" w:rsidR="003F5418" w:rsidRDefault="002A6C25">
      <w:pPr>
        <w:pStyle w:val="Text1"/>
        <w:spacing w:before="0"/>
        <w:ind w:left="0"/>
        <w:rPr>
          <w:noProof/>
        </w:rPr>
      </w:pPr>
      <w:r>
        <w:rPr>
          <w:noProof/>
        </w:rPr>
        <w:t>A beruházás a következőket foglalja magában:</w:t>
      </w:r>
    </w:p>
    <w:p w14:paraId="57094C89" w14:textId="77777777" w:rsidR="003F5418" w:rsidRDefault="002A6C25">
      <w:pPr>
        <w:pStyle w:val="Text1"/>
        <w:numPr>
          <w:ilvl w:val="0"/>
          <w:numId w:val="29"/>
        </w:numPr>
        <w:spacing w:before="0"/>
        <w:rPr>
          <w:noProof/>
        </w:rPr>
      </w:pPr>
      <w:r>
        <w:rPr>
          <w:noProof/>
        </w:rPr>
        <w:t>a 104-es biztonságos protokoll telep</w:t>
      </w:r>
      <w:r>
        <w:rPr>
          <w:noProof/>
        </w:rPr>
        <w:t>ítése legalább 250 elektromos állomáson. A telepítést követően és az információs és kommunikációs technológiai (IKT) architektúrával szinergiában minden adatnak a központi irányítási és ellenőrzési rendszeren keresztül kell áramlania.</w:t>
      </w:r>
    </w:p>
    <w:p w14:paraId="1ACA12BE" w14:textId="77777777" w:rsidR="003F5418" w:rsidRDefault="002A6C25">
      <w:pPr>
        <w:pStyle w:val="Text1"/>
        <w:numPr>
          <w:ilvl w:val="0"/>
          <w:numId w:val="29"/>
        </w:numPr>
        <w:spacing w:before="0"/>
        <w:rPr>
          <w:noProof/>
        </w:rPr>
      </w:pPr>
      <w:r>
        <w:rPr>
          <w:noProof/>
        </w:rPr>
        <w:t>5G berendezés vagy IK</w:t>
      </w:r>
      <w:r>
        <w:rPr>
          <w:noProof/>
        </w:rPr>
        <w:t>T-architektúra telepítése legalább 40 elektromos állomáson.</w:t>
      </w:r>
    </w:p>
    <w:p w14:paraId="553DB6DF" w14:textId="214112D4" w:rsidR="003F5418" w:rsidRDefault="002A6C25">
      <w:pPr>
        <w:pStyle w:val="Text1"/>
        <w:numPr>
          <w:ilvl w:val="0"/>
          <w:numId w:val="29"/>
        </w:numPr>
        <w:spacing w:before="0"/>
        <w:rPr>
          <w:noProof/>
        </w:rPr>
      </w:pPr>
      <w:r>
        <w:rPr>
          <w:noProof/>
        </w:rPr>
        <w:t>Ipari IoT monitoringrendszer telepítése legalább 1500 elektromos oszlopra az irányítási rendszerben feldolgozható adatok gyűjtése céljából.</w:t>
      </w:r>
    </w:p>
    <w:p w14:paraId="3B9D7D87" w14:textId="77777777" w:rsidR="003F5418" w:rsidRDefault="002A6C25">
      <w:pPr>
        <w:spacing w:after="120"/>
        <w:jc w:val="both"/>
        <w:rPr>
          <w:noProof/>
        </w:rPr>
      </w:pPr>
      <w:r>
        <w:rPr>
          <w:noProof/>
        </w:rPr>
        <w:t>Az e beruházás keretében telepített berendezéseknek szük</w:t>
      </w:r>
      <w:r>
        <w:rPr>
          <w:noProof/>
        </w:rPr>
        <w:t>ség esetén meg kell felelniük a 2009/125/EK irányelvvel összhangban a szerverekre és az adattárolásra, a számítógépekre, a kiszolgáló számítógépekre vagy az elektronikus kijelzőkre vonatkozóan meghatározott, energiával kapcsolatos követelményeknek. A beruh</w:t>
      </w:r>
      <w:r>
        <w:rPr>
          <w:noProof/>
        </w:rPr>
        <w:t>ázásnak bizonyítania kell a vonatkozó gyakorlatok – például az adatközpontok energiahatékonyságáról szóló európai magatartási kódex legújabb változatában vagy a CEN-CENELEC CLC TR50600–99–1 számú, „Adatközponti létesítmények és infrastruktúrák – 99–1. rész</w:t>
      </w:r>
      <w:r>
        <w:rPr>
          <w:noProof/>
        </w:rPr>
        <w:t>: Ajánlott energiagazdálkodási gyakorlatok”.</w:t>
      </w:r>
    </w:p>
    <w:p w14:paraId="23E568D4" w14:textId="0D7707A8" w:rsidR="003F5418" w:rsidRDefault="002F198A">
      <w:pPr>
        <w:pStyle w:val="P68B1DB1-Heading429"/>
        <w:numPr>
          <w:ilvl w:val="3"/>
          <w:numId w:val="0"/>
        </w:numPr>
        <w:ind w:left="850" w:hanging="850"/>
        <w:rPr>
          <w:noProof/>
        </w:rPr>
      </w:pPr>
      <w:r>
        <w:rPr>
          <w:noProof/>
        </w:rPr>
        <w:t>8</w:t>
      </w:r>
      <w:r w:rsidRPr="002F198A">
        <w:rPr>
          <w:noProof/>
        </w:rPr>
        <w:t xml:space="preserve">. </w:t>
      </w:r>
      <w:r>
        <w:rPr>
          <w:noProof/>
        </w:rPr>
        <w:t>Beruházás. A kritikus fontosságú nyersanyagokkal való fenntartható, körforgásos és biztonságos ellátás</w:t>
      </w:r>
    </w:p>
    <w:p w14:paraId="32F35D1D" w14:textId="77777777" w:rsidR="003F5418" w:rsidRDefault="002A6C25">
      <w:pPr>
        <w:pStyle w:val="Text1"/>
        <w:spacing w:before="0"/>
        <w:ind w:left="0"/>
        <w:rPr>
          <w:noProof/>
        </w:rPr>
      </w:pPr>
      <w:r>
        <w:rPr>
          <w:noProof/>
        </w:rPr>
        <w:t xml:space="preserve">E beruházás célja a kritikus fontosságú nyersanyagok visszanyerésének és újrafeldolgozásának, és ezáltal </w:t>
      </w:r>
      <w:r>
        <w:rPr>
          <w:noProof/>
        </w:rPr>
        <w:t xml:space="preserve">a zöld átálláshoz kapcsolódó kritikus fontosságú nyersanyagok és technológiák értékláncainak támogatása. </w:t>
      </w:r>
    </w:p>
    <w:p w14:paraId="3D48020B" w14:textId="77777777" w:rsidR="003F5418" w:rsidRDefault="002A6C25">
      <w:pPr>
        <w:pStyle w:val="Text1"/>
        <w:spacing w:before="0"/>
        <w:ind w:left="0"/>
        <w:rPr>
          <w:noProof/>
        </w:rPr>
      </w:pPr>
      <w:r>
        <w:rPr>
          <w:noProof/>
        </w:rPr>
        <w:t xml:space="preserve">A beruházás négy fő cselekvési irányból áll: </w:t>
      </w:r>
    </w:p>
    <w:p w14:paraId="0E83380A" w14:textId="77777777" w:rsidR="003F5418" w:rsidRDefault="002A6C25">
      <w:pPr>
        <w:pStyle w:val="Text1"/>
        <w:numPr>
          <w:ilvl w:val="0"/>
          <w:numId w:val="134"/>
        </w:numPr>
        <w:spacing w:before="0"/>
        <w:rPr>
          <w:noProof/>
        </w:rPr>
      </w:pPr>
      <w:r>
        <w:rPr>
          <w:noProof/>
        </w:rPr>
        <w:t xml:space="preserve">Környezettudatos tervezés: e beavatkozási vonal célja a kritikus fontosságú nyersanyagok iránti igények </w:t>
      </w:r>
      <w:r>
        <w:rPr>
          <w:noProof/>
        </w:rPr>
        <w:t xml:space="preserve">és a környezettudatos tervezésben rejlő lehetőségek megértése a kritikus fontosságú nyersanyagok iránti kereslet csökkentése érdekében, előnyben részesítve az energetikai átálláshoz kapcsolódó ipari ellátási láncok körforgásos megközelítését. </w:t>
      </w:r>
    </w:p>
    <w:p w14:paraId="5B099B84" w14:textId="77777777" w:rsidR="003F5418" w:rsidRDefault="002A6C25">
      <w:pPr>
        <w:pStyle w:val="Text1"/>
        <w:spacing w:before="0"/>
        <w:ind w:left="720"/>
        <w:rPr>
          <w:noProof/>
        </w:rPr>
      </w:pPr>
      <w:r>
        <w:rPr>
          <w:noProof/>
        </w:rPr>
        <w:t>E tevékenysé</w:t>
      </w:r>
      <w:r>
        <w:rPr>
          <w:noProof/>
        </w:rPr>
        <w:t>gi vonal várható eredménye a kritikus fontosságú nyersanyagok iránti jövőbeli igényeket elemző jelentés. A jelentésben értékelni kell, hogy a környezettudatos tervezés milyen lehetőségeket kínál a kritikus fontosságú nyersanyagok iránti kereslet csökkentés</w:t>
      </w:r>
      <w:r>
        <w:rPr>
          <w:noProof/>
        </w:rPr>
        <w:t>ére és azok újrafeldolgozhatóságának előmozdítására.</w:t>
      </w:r>
    </w:p>
    <w:p w14:paraId="1AA00686" w14:textId="77777777" w:rsidR="003F5418" w:rsidRDefault="002A6C25">
      <w:pPr>
        <w:pStyle w:val="Text1"/>
        <w:numPr>
          <w:ilvl w:val="0"/>
          <w:numId w:val="27"/>
        </w:numPr>
        <w:spacing w:before="0"/>
        <w:rPr>
          <w:noProof/>
        </w:rPr>
      </w:pPr>
      <w:r>
        <w:rPr>
          <w:noProof/>
        </w:rPr>
        <w:t>A környezettudatos tervezésre, valamint az elektromos és elektronikus berendezések hulladékai – többek között a szélturbinalapátok és a fotovoltaikus panelek – gyűjtésének, logisztikájának és újrafeldolg</w:t>
      </w:r>
      <w:r>
        <w:rPr>
          <w:noProof/>
        </w:rPr>
        <w:t>ozásának javítására összpontosító K+F projektek. A projektek a következő három kutatási, fejlesztési és innovációs irányvonalra összpontosítanak:</w:t>
      </w:r>
    </w:p>
    <w:p w14:paraId="082707EB" w14:textId="77777777" w:rsidR="003F5418" w:rsidRDefault="002A6C25">
      <w:pPr>
        <w:pStyle w:val="Text1"/>
        <w:numPr>
          <w:ilvl w:val="1"/>
          <w:numId w:val="27"/>
        </w:numPr>
        <w:spacing w:before="0"/>
        <w:rPr>
          <w:noProof/>
        </w:rPr>
      </w:pPr>
      <w:r>
        <w:rPr>
          <w:noProof/>
        </w:rPr>
        <w:t>A kritikus és stratégiai fontosságú nyersanyagok hulladékainak hasznosítására, újrafeldolgozására és kezelésér</w:t>
      </w:r>
      <w:r>
        <w:rPr>
          <w:noProof/>
        </w:rPr>
        <w:t>e szolgáló új vagy továbbfejlesztett technológiák, információs rendszerek és üzleti módszerek;</w:t>
      </w:r>
    </w:p>
    <w:p w14:paraId="5C676F8D" w14:textId="77777777" w:rsidR="003F5418" w:rsidRDefault="002A6C25">
      <w:pPr>
        <w:pStyle w:val="ListParagraph"/>
        <w:numPr>
          <w:ilvl w:val="1"/>
          <w:numId w:val="27"/>
        </w:numPr>
        <w:spacing w:before="0"/>
        <w:contextualSpacing w:val="0"/>
        <w:rPr>
          <w:noProof/>
        </w:rPr>
      </w:pPr>
      <w:r>
        <w:rPr>
          <w:noProof/>
        </w:rPr>
        <w:t xml:space="preserve">A környezettudatos tervezés integrálása az összetett termékek és rendszerek gyártásába, valamint a piaci és fogyasztási folyamatokba; </w:t>
      </w:r>
    </w:p>
    <w:p w14:paraId="072F625F" w14:textId="77777777" w:rsidR="003F5418" w:rsidRDefault="002A6C25">
      <w:pPr>
        <w:pStyle w:val="ListParagraph"/>
        <w:numPr>
          <w:ilvl w:val="1"/>
          <w:numId w:val="27"/>
        </w:numPr>
        <w:spacing w:before="0"/>
        <w:contextualSpacing w:val="0"/>
        <w:rPr>
          <w:noProof/>
        </w:rPr>
      </w:pPr>
      <w:r>
        <w:rPr>
          <w:noProof/>
        </w:rPr>
        <w:t>A települési hulladék gyűj</w:t>
      </w:r>
      <w:r>
        <w:rPr>
          <w:noProof/>
        </w:rPr>
        <w:t>tésének és válogatásának, valamint válogatásának optimalizálása a városi bányászati tevékenységekhez szükséges kritikus fontosságú nyersanyagok következetes és magas színvonalú ellátásának biztosítása érdekében.</w:t>
      </w:r>
    </w:p>
    <w:p w14:paraId="3FDD8A70" w14:textId="77777777" w:rsidR="003F5418" w:rsidRDefault="002A6C25">
      <w:pPr>
        <w:pStyle w:val="Text1"/>
        <w:numPr>
          <w:ilvl w:val="0"/>
          <w:numId w:val="27"/>
        </w:numPr>
        <w:spacing w:before="0"/>
        <w:rPr>
          <w:noProof/>
        </w:rPr>
      </w:pPr>
      <w:r>
        <w:rPr>
          <w:noProof/>
        </w:rPr>
        <w:t>Városi bányászat: e beavatkozási vonal célja</w:t>
      </w:r>
      <w:r>
        <w:rPr>
          <w:noProof/>
        </w:rPr>
        <w:t xml:space="preserve"> a városi bányászati tevékenységekben és a megszűnt bányászati tevékenységekből származó, már meglévő hulladékban rejlő lehetőségek felmérése.</w:t>
      </w:r>
    </w:p>
    <w:p w14:paraId="3114BFCF" w14:textId="77777777" w:rsidR="003F5418" w:rsidRDefault="002A6C25">
      <w:pPr>
        <w:pStyle w:val="Text1"/>
        <w:spacing w:before="0"/>
        <w:ind w:left="720"/>
        <w:rPr>
          <w:noProof/>
        </w:rPr>
      </w:pPr>
      <w:r>
        <w:rPr>
          <w:noProof/>
        </w:rPr>
        <w:t>E tevékenységi vonal várható eredménye egy nyilvános adatbázis (földrajzi információs rendszer), amely lehetővé t</w:t>
      </w:r>
      <w:r>
        <w:rPr>
          <w:noProof/>
        </w:rPr>
        <w:t>eszi a városi környezetben (városi bányákban) szétszórt újrahasznosítható erőforrások vagy anyagok, valamint az elhagyott bányákban meglévő hulladék földrajzi helymeghatározását és megjelenítését.</w:t>
      </w:r>
    </w:p>
    <w:p w14:paraId="040F28DE" w14:textId="77777777" w:rsidR="003F5418" w:rsidRDefault="002A6C25">
      <w:pPr>
        <w:pStyle w:val="Text1"/>
        <w:numPr>
          <w:ilvl w:val="0"/>
          <w:numId w:val="27"/>
        </w:numPr>
        <w:spacing w:before="0"/>
        <w:rPr>
          <w:noProof/>
        </w:rPr>
      </w:pPr>
      <w:r>
        <w:rPr>
          <w:noProof/>
        </w:rPr>
        <w:t xml:space="preserve">Városi bányászati és környezetbarát tervezési technológiai </w:t>
      </w:r>
      <w:r>
        <w:rPr>
          <w:noProof/>
        </w:rPr>
        <w:t>központ létrehozása vagy berendezése. A központ olyan laboratóriumok hálózata, amelyek előnyben részesítik a magánvállalatok és a kutatóintézetek közötti interakciót annak érdekében, hogy javítsák a zöld átálláshoz kapcsolódó, elhasználódott összetett term</w:t>
      </w:r>
      <w:r>
        <w:rPr>
          <w:noProof/>
        </w:rPr>
        <w:t>ékek és nyersanyagok (beleértve a lítiumot, neodímiumot és szilíciumfémet) alacsony életciklus végi újrahasznosítási rátával (Eol-RIR) rendelkező, az ellátási láncból történő hasznosítását és újrafeldolgozását.</w:t>
      </w:r>
    </w:p>
    <w:p w14:paraId="549F76C2" w14:textId="77777777" w:rsidR="003F5418" w:rsidRDefault="002A6C25">
      <w:pPr>
        <w:pStyle w:val="Text1"/>
        <w:spacing w:before="0"/>
        <w:ind w:left="720"/>
        <w:rPr>
          <w:noProof/>
        </w:rPr>
      </w:pPr>
      <w:r>
        <w:rPr>
          <w:noProof/>
        </w:rPr>
        <w:t>E tevékenységi kör esetében a várt eredmény e</w:t>
      </w:r>
      <w:r>
        <w:rPr>
          <w:noProof/>
        </w:rPr>
        <w:t xml:space="preserve"> laboratóriumok felszerelése.</w:t>
      </w:r>
    </w:p>
    <w:p w14:paraId="049BCD77" w14:textId="7A589D40" w:rsidR="003F5418" w:rsidRDefault="002F198A">
      <w:pPr>
        <w:pStyle w:val="P68B1DB1-Heading429"/>
        <w:numPr>
          <w:ilvl w:val="3"/>
          <w:numId w:val="0"/>
        </w:numPr>
        <w:rPr>
          <w:noProof/>
        </w:rPr>
      </w:pPr>
      <w:r>
        <w:rPr>
          <w:noProof/>
        </w:rPr>
        <w:t>9</w:t>
      </w:r>
      <w:r w:rsidRPr="002F198A">
        <w:rPr>
          <w:noProof/>
        </w:rPr>
        <w:t xml:space="preserve">. </w:t>
      </w:r>
      <w:r>
        <w:rPr>
          <w:noProof/>
        </w:rPr>
        <w:t>Beruházás. Növekedési intézkedés: technikai segítségnyújtás és kapacitásépítés megerősítése az olasz helyreállítási és rezilienciaépítési terv végrehajtásához</w:t>
      </w:r>
    </w:p>
    <w:p w14:paraId="682611AA" w14:textId="77777777" w:rsidR="003F5418" w:rsidRDefault="002A6C25">
      <w:pPr>
        <w:spacing w:after="120"/>
        <w:ind w:right="-45"/>
        <w:jc w:val="both"/>
        <w:rPr>
          <w:noProof/>
        </w:rPr>
      </w:pPr>
      <w:r>
        <w:rPr>
          <w:noProof/>
        </w:rPr>
        <w:t>Ez a beruházás növeli Olaszország helyreállítási és rezilienciaé</w:t>
      </w:r>
      <w:r>
        <w:rPr>
          <w:noProof/>
        </w:rPr>
        <w:t xml:space="preserve">pítési tervének 1. komponensébe tartozó 1.9. beruházást. </w:t>
      </w:r>
    </w:p>
    <w:p w14:paraId="178092E2" w14:textId="77777777" w:rsidR="003F5418" w:rsidRDefault="002A6C25">
      <w:pPr>
        <w:spacing w:after="120"/>
        <w:ind w:right="-45"/>
        <w:jc w:val="both"/>
        <w:rPr>
          <w:noProof/>
        </w:rPr>
      </w:pPr>
      <w:r>
        <w:rPr>
          <w:noProof/>
        </w:rPr>
        <w:t xml:space="preserve">Ez az intézkedés növeli a meglévő beruházásokat azáltal, hogy a www.syllabus.gov.it tanulási platformon biztosított meglévő képzési programot olyan képzési </w:t>
      </w:r>
      <w:hyperlink r:id="rId410">
        <w:r>
          <w:rPr>
            <w:rStyle w:val="Hyperlink"/>
            <w:noProof/>
          </w:rPr>
          <w:t>modulokkal</w:t>
        </w:r>
      </w:hyperlink>
      <w:r>
        <w:rPr>
          <w:noProof/>
        </w:rPr>
        <w:t xml:space="preserve"> egészíti ki, amelyek felkészítik a helyi köztisztviselőket a zöld átállásra.</w:t>
      </w:r>
    </w:p>
    <w:p w14:paraId="3A8F9FB3" w14:textId="77777777" w:rsidR="003F5418" w:rsidRDefault="002A6C25">
      <w:pPr>
        <w:spacing w:after="120"/>
        <w:ind w:right="-45"/>
        <w:jc w:val="both"/>
        <w:rPr>
          <w:noProof/>
        </w:rPr>
      </w:pPr>
      <w:r>
        <w:rPr>
          <w:noProof/>
        </w:rPr>
        <w:t>A képzési moduloknak legalább a következő témákkal kell foglalkozniuk: a megújuló energiaforrásokból előállított erőművek engedélyezési eljárásai; a megújulóenergia</w:t>
      </w:r>
      <w:r>
        <w:rPr>
          <w:noProof/>
        </w:rPr>
        <w:t xml:space="preserve">-közösségek előmozdítása; a közigazgatás energiamegtakarításának támogatása és megszervezése; zöld e-közbeszerzés az energia és az alacsonyabb környezeti hatással járó termékek terén;  az épületek energiahatékonyságára irányuló beszerzések; a közigazgatás </w:t>
      </w:r>
      <w:r>
        <w:rPr>
          <w:noProof/>
        </w:rPr>
        <w:t xml:space="preserve">vezető szerepe az energiahatékonyság és a fenntartható magatartás terén, az energia területén: bevált gyakorlatok és a fenntarthatóság kultúrájának terjesztése; modellek a fenntartható mobilitás előmozdítására az energiatakarékosság érdekében. </w:t>
      </w:r>
    </w:p>
    <w:p w14:paraId="32EE6753" w14:textId="6905ED3C" w:rsidR="003F5418" w:rsidRDefault="002F198A">
      <w:pPr>
        <w:pStyle w:val="P68B1DB1-Heading429"/>
        <w:numPr>
          <w:ilvl w:val="0"/>
          <w:numId w:val="0"/>
        </w:numPr>
        <w:ind w:left="850" w:hanging="850"/>
        <w:rPr>
          <w:noProof/>
        </w:rPr>
      </w:pPr>
      <w:r w:rsidRPr="002F198A">
        <w:rPr>
          <w:noProof/>
        </w:rPr>
        <w:t xml:space="preserve">10. </w:t>
      </w:r>
      <w:r>
        <w:rPr>
          <w:noProof/>
        </w:rPr>
        <w:t>Beruházás. A készségekkel kapcsolatos kísérleti projektek – „Zöld Crescere Green”</w:t>
      </w:r>
    </w:p>
    <w:p w14:paraId="7EFEB80F" w14:textId="77777777" w:rsidR="003F5418" w:rsidRDefault="002A6C25">
      <w:pPr>
        <w:pStyle w:val="P68B1DB1-Normal12"/>
        <w:spacing w:after="120"/>
        <w:jc w:val="both"/>
        <w:rPr>
          <w:noProof/>
        </w:rPr>
      </w:pPr>
      <w:r>
        <w:rPr>
          <w:noProof/>
        </w:rPr>
        <w:t xml:space="preserve">E beruházás célja a zöld készségek regionális szint feletti szintű fejlesztése a vállalkozások és a magánszektor bevonásával, valamint az ágazati szempontok figyelembevételével. </w:t>
      </w:r>
    </w:p>
    <w:p w14:paraId="0CE820A5" w14:textId="77777777" w:rsidR="003F5418" w:rsidRDefault="002A6C25">
      <w:pPr>
        <w:pStyle w:val="P68B1DB1-Normal12"/>
        <w:spacing w:after="120"/>
        <w:jc w:val="both"/>
        <w:rPr>
          <w:noProof/>
        </w:rPr>
      </w:pPr>
      <w:r>
        <w:rPr>
          <w:noProof/>
        </w:rPr>
        <w:t xml:space="preserve">A </w:t>
      </w:r>
      <w:r>
        <w:rPr>
          <w:noProof/>
        </w:rPr>
        <w:t>rövid képzési beavatkozásoknak a munkaerőpiacon a zöld átálláshoz leginkább szükséges szakmai készségekre kell összpontosítaniuk. Az érintett szakmákat az „5. reform: Új készségekre vonatkozó terv – Átállások”. A kedvezményezetteket a munkavállalók garantá</w:t>
      </w:r>
      <w:r>
        <w:rPr>
          <w:noProof/>
        </w:rPr>
        <w:t>lt foglalkoztathatóságára vonatkozó nemzeti program (GOL) résztvevői közül kell azonosítani (5. küldetés: Komponens – 1. reform”), aki az értékelési folyamatot követően egy erre a célra szolgáló képzési komponenssel kísért utat követ. A beruházás célja tov</w:t>
      </w:r>
      <w:r>
        <w:rPr>
          <w:noProof/>
        </w:rPr>
        <w:t xml:space="preserve">ábbá a képzési tevékenységek tervezésében részt vevő közigazgatási szervek, intézmények és partnerek kapacitásának növelése. </w:t>
      </w:r>
    </w:p>
    <w:p w14:paraId="403923E5" w14:textId="77777777" w:rsidR="003F5418" w:rsidRDefault="002A6C25">
      <w:pPr>
        <w:spacing w:after="120"/>
        <w:jc w:val="both"/>
        <w:rPr>
          <w:noProof/>
        </w:rPr>
      </w:pPr>
      <w:r>
        <w:rPr>
          <w:noProof/>
        </w:rPr>
        <w:t>Az e beruházás által támogatott képzés nem kapcsolódik a következőkhöz: i. a fosszilis tüzelőanyagokhoz kapcsolódó tevékenységek é</w:t>
      </w:r>
      <w:r>
        <w:rPr>
          <w:noProof/>
        </w:rPr>
        <w:t>s eszközök, beleértve a downstream felhasználást is, ii. az uniós kibocsátáskereskedelmi rendszer</w:t>
      </w:r>
      <w:r>
        <w:rPr>
          <w:rStyle w:val="FootnoteReference"/>
          <w:noProof/>
        </w:rPr>
        <w:footnoteReference w:id="127"/>
      </w:r>
      <w:r>
        <w:rPr>
          <w:noProof/>
        </w:rPr>
        <w:t>(ETS) keretébe tartozó tevékenységek és eszközök, amelyek elérik a vonatkozó referenciaértékeket meg nem haladó, előre jelzett üvegházhatásúgáz-kibocsátást, i</w:t>
      </w:r>
      <w:r>
        <w:rPr>
          <w:noProof/>
        </w:rPr>
        <w:t>ii. a hulladéklerakókhoz, égetőművekhez és mechanikai-biológiai hulladékkezelő létesítményekhez kapcsolódó</w:t>
      </w:r>
      <w:r>
        <w:rPr>
          <w:noProof/>
        </w:rPr>
        <w:footnoteReference w:id="128"/>
      </w:r>
      <w:r>
        <w:rPr>
          <w:noProof/>
        </w:rPr>
        <w:t>tevékenységek</w:t>
      </w:r>
      <w:r>
        <w:rPr>
          <w:rStyle w:val="FootnoteReference"/>
          <w:noProof/>
        </w:rPr>
        <w:footnoteReference w:id="129"/>
      </w:r>
      <w:r>
        <w:rPr>
          <w:noProof/>
        </w:rPr>
        <w:t xml:space="preserve"> és eszközök</w:t>
      </w:r>
      <w:r>
        <w:rPr>
          <w:rStyle w:val="FootnoteReference"/>
          <w:noProof/>
        </w:rPr>
        <w:footnoteReference w:id="130"/>
      </w:r>
      <w:r>
        <w:rPr>
          <w:noProof/>
        </w:rPr>
        <w:t>. A feladatmeghatározás előírja továbbá, hogy csak olyan tevékenységek választhatók ki, amelyek megfelelnek a vonatkozó un</w:t>
      </w:r>
      <w:r>
        <w:rPr>
          <w:noProof/>
        </w:rPr>
        <w:t>iós és nemzeti környezetvédelmi jogszabályoknak.</w:t>
      </w:r>
    </w:p>
    <w:p w14:paraId="6B22ECBE" w14:textId="39951835" w:rsidR="003F5418" w:rsidRDefault="002F198A">
      <w:pPr>
        <w:pStyle w:val="P68B1DB1-Heading429"/>
        <w:numPr>
          <w:ilvl w:val="3"/>
          <w:numId w:val="0"/>
        </w:numPr>
        <w:rPr>
          <w:noProof/>
        </w:rPr>
      </w:pPr>
      <w:r w:rsidRPr="002F198A">
        <w:rPr>
          <w:noProof/>
        </w:rPr>
        <w:t>1</w:t>
      </w:r>
      <w:r>
        <w:rPr>
          <w:noProof/>
        </w:rPr>
        <w:t>1</w:t>
      </w:r>
      <w:r w:rsidRPr="002F198A">
        <w:rPr>
          <w:noProof/>
        </w:rPr>
        <w:t xml:space="preserve">. </w:t>
      </w:r>
      <w:r>
        <w:rPr>
          <w:noProof/>
        </w:rPr>
        <w:t>Beruházás. A regionális tömegközlekedési vasúti flotta kibocsátásmentes vonatokkal és egyetemes szolgáltatással történő megerősítése</w:t>
      </w:r>
    </w:p>
    <w:p w14:paraId="35E12C16" w14:textId="77777777" w:rsidR="003F5418" w:rsidRDefault="002A6C25">
      <w:pPr>
        <w:spacing w:before="120" w:after="120"/>
        <w:jc w:val="both"/>
        <w:rPr>
          <w:noProof/>
        </w:rPr>
      </w:pPr>
      <w:r>
        <w:rPr>
          <w:noProof/>
        </w:rPr>
        <w:t xml:space="preserve">Ez a beruházás legalább 69 kibocsátásmentes személyszállító vonat </w:t>
      </w:r>
      <w:r>
        <w:rPr>
          <w:noProof/>
        </w:rPr>
        <w:t>beszerzéséből és üzembe helyezéséből áll (ahol a vonat legalább egy mozdonyból áll, beleértve az utasszállító kocsikat is) és további 30, egyetemes szolgáltatásra szolgáló kocsi beszerzéséből és üzembe helyezéséből áll. Összességében a beruházásnak összese</w:t>
      </w:r>
      <w:r>
        <w:rPr>
          <w:noProof/>
        </w:rPr>
        <w:t xml:space="preserve">n legalább 342 darabot kell biztosítania, amelyek közül legalább 69 mozdony. Csak elektromos vagy hidrogén üzemanyagcella támogatható. A bimodális vonatok nem támogathatók. </w:t>
      </w:r>
    </w:p>
    <w:p w14:paraId="1A651399" w14:textId="6682E5EF" w:rsidR="003F5418" w:rsidRDefault="002F198A">
      <w:pPr>
        <w:pStyle w:val="P68B1DB1-Heading429"/>
        <w:numPr>
          <w:ilvl w:val="3"/>
          <w:numId w:val="0"/>
        </w:numPr>
        <w:rPr>
          <w:noProof/>
        </w:rPr>
      </w:pPr>
      <w:r w:rsidRPr="002F198A">
        <w:rPr>
          <w:noProof/>
        </w:rPr>
        <w:t>1</w:t>
      </w:r>
      <w:r>
        <w:rPr>
          <w:noProof/>
        </w:rPr>
        <w:t>2</w:t>
      </w:r>
      <w:r w:rsidRPr="002F198A">
        <w:rPr>
          <w:noProof/>
        </w:rPr>
        <w:t xml:space="preserve">. </w:t>
      </w:r>
      <w:r>
        <w:rPr>
          <w:noProof/>
        </w:rPr>
        <w:t>Beruházás: Támogatási program a nemzetközi, ipari és K+F vezető szerep fejlesztésére a kibocsátásmentes buszok terén</w:t>
      </w:r>
    </w:p>
    <w:p w14:paraId="32AD92A0" w14:textId="24385AF5" w:rsidR="003F5418" w:rsidRDefault="002A6C25">
      <w:pPr>
        <w:spacing w:after="120"/>
        <w:jc w:val="both"/>
        <w:rPr>
          <w:noProof/>
        </w:rPr>
      </w:pPr>
      <w:r>
        <w:rPr>
          <w:noProof/>
        </w:rPr>
        <w:t>Ez az intézkedés „Nemzetközi, ipari és K+F vezető szerep kialakítása a kibocsátásmentes buszok terén” elnevezésű támogatási programba történő állami beruházásból áll annak érdekében, hogy ösztönözze a magánberuházások</w:t>
      </w:r>
      <w:r>
        <w:rPr>
          <w:noProof/>
        </w:rPr>
        <w:t>at és javítsa a finanszírozáshoz való hozzáférést Olaszországban a kibocsátásmentes (akkumulátoros elektromos akkumulátor, hidrogén üzemanyagcella vagy hidrogén belső égésű) buszflották ellátási láncába történő beruházások támogatása érdekében. A program ú</w:t>
      </w:r>
      <w:r>
        <w:rPr>
          <w:noProof/>
        </w:rPr>
        <w:t>gy működik, hogy közvetlenül a magánszektornak nyújt támogatást. A Helyreállítási és Rezilienciaépítési Eszköz beruházásai alapján a program kezdetben legalább 100 000 000 EUR vissza nem térítendő támogatást kíván nyújtani.</w:t>
      </w:r>
    </w:p>
    <w:p w14:paraId="47DEC6E3" w14:textId="77777777" w:rsidR="003F5418" w:rsidRDefault="002A6C25">
      <w:pPr>
        <w:spacing w:after="120"/>
        <w:jc w:val="both"/>
        <w:rPr>
          <w:noProof/>
        </w:rPr>
      </w:pPr>
      <w:r>
        <w:rPr>
          <w:noProof/>
        </w:rPr>
        <w:t>A programot végrehajtó partnerké</w:t>
      </w:r>
      <w:r>
        <w:rPr>
          <w:noProof/>
        </w:rPr>
        <w:t>nt az Invitalia S.p.A. irányítja. A rendszer a következő termékcsoportot foglalja magában:</w:t>
      </w:r>
    </w:p>
    <w:p w14:paraId="4880C63C" w14:textId="1758DC45" w:rsidR="003F5418" w:rsidRDefault="002A6C25">
      <w:pPr>
        <w:pStyle w:val="ListParagraph"/>
        <w:numPr>
          <w:ilvl w:val="0"/>
          <w:numId w:val="136"/>
        </w:numPr>
        <w:spacing w:before="0"/>
        <w:rPr>
          <w:noProof/>
        </w:rPr>
      </w:pPr>
      <w:r>
        <w:rPr>
          <w:noProof/>
        </w:rPr>
        <w:t xml:space="preserve"> A kibocsátásmentes buszgyártási ellátási láncban részt vevő vállalatoknak nyújtott vissza nem térítendő támogatások. A hibrid buszok nem jogosultak támogatásra.</w:t>
      </w:r>
    </w:p>
    <w:p w14:paraId="0F41C87D" w14:textId="77777777" w:rsidR="003F5418" w:rsidRDefault="002A6C25">
      <w:pPr>
        <w:spacing w:after="120"/>
        <w:jc w:val="both"/>
        <w:rPr>
          <w:noProof/>
        </w:rPr>
      </w:pPr>
      <w:r>
        <w:rPr>
          <w:noProof/>
        </w:rPr>
        <w:t>A t</w:t>
      </w:r>
      <w:r>
        <w:rPr>
          <w:noProof/>
        </w:rPr>
        <w:t>ámogatási rendszerbe történő beruházás végrehajtása érdekében Olaszország és az Invitalia S.p.A. végrehajtási megállapodást ír alá, amely tartalmazza a következő tartalmat:</w:t>
      </w:r>
    </w:p>
    <w:p w14:paraId="69B50AF8" w14:textId="77777777" w:rsidR="003F5418" w:rsidRDefault="002A6C25">
      <w:pPr>
        <w:pStyle w:val="ListParagraph"/>
        <w:numPr>
          <w:ilvl w:val="0"/>
          <w:numId w:val="135"/>
        </w:numPr>
        <w:spacing w:before="0"/>
        <w:rPr>
          <w:noProof/>
        </w:rPr>
      </w:pPr>
      <w:r>
        <w:rPr>
          <w:noProof/>
        </w:rPr>
        <w:t>A program döntéshozatali folyamatának leírása: A program odaítéléséről szóló végleg</w:t>
      </w:r>
      <w:r>
        <w:rPr>
          <w:noProof/>
        </w:rPr>
        <w:t>es határozatot beruházási bizottság vagy más, azzal egyenértékű irányító testület hozza meg, és a kormánytól független tagok szavazatainak többségével hagyja jóvá.</w:t>
      </w:r>
    </w:p>
    <w:p w14:paraId="6172C8B3" w14:textId="77777777" w:rsidR="003F5418" w:rsidRDefault="002A6C25">
      <w:pPr>
        <w:pStyle w:val="ListParagraph"/>
        <w:numPr>
          <w:ilvl w:val="0"/>
          <w:numId w:val="135"/>
        </w:numPr>
        <w:spacing w:before="0"/>
        <w:rPr>
          <w:noProof/>
        </w:rPr>
      </w:pPr>
      <w:r>
        <w:rPr>
          <w:noProof/>
        </w:rPr>
        <w:t>A kapcsolódó támogatási politika fő követelményei, amelyek a következőket foglalják magukban</w:t>
      </w:r>
      <w:r>
        <w:rPr>
          <w:noProof/>
        </w:rPr>
        <w:t>:</w:t>
      </w:r>
    </w:p>
    <w:p w14:paraId="0B8A577E" w14:textId="77777777" w:rsidR="003F5418" w:rsidRDefault="002A6C25">
      <w:pPr>
        <w:pStyle w:val="ListParagraph"/>
        <w:numPr>
          <w:ilvl w:val="1"/>
          <w:numId w:val="135"/>
        </w:numPr>
        <w:spacing w:before="0"/>
        <w:rPr>
          <w:noProof/>
        </w:rPr>
      </w:pPr>
      <w:r>
        <w:rPr>
          <w:noProof/>
        </w:rPr>
        <w:t xml:space="preserve">A nyújtott támogatások és a támogatható végső kedvezményezettek leírása. </w:t>
      </w:r>
    </w:p>
    <w:p w14:paraId="554B35CB" w14:textId="77777777" w:rsidR="003F5418" w:rsidRDefault="002A6C25">
      <w:pPr>
        <w:pStyle w:val="ListParagraph"/>
        <w:numPr>
          <w:ilvl w:val="1"/>
          <w:numId w:val="135"/>
        </w:numPr>
        <w:spacing w:before="0"/>
        <w:rPr>
          <w:noProof/>
        </w:rPr>
      </w:pPr>
      <w:r>
        <w:rPr>
          <w:noProof/>
        </w:rPr>
        <w:t>Az a követelmény, hogy minden támogatott beruházás gazdaságilag életképes legyen.</w:t>
      </w:r>
    </w:p>
    <w:p w14:paraId="415B8F5A" w14:textId="77777777" w:rsidR="003F5418" w:rsidRDefault="002A6C25">
      <w:pPr>
        <w:pStyle w:val="ListParagraph"/>
        <w:numPr>
          <w:ilvl w:val="1"/>
          <w:numId w:val="135"/>
        </w:numPr>
        <w:spacing w:before="0"/>
        <w:rPr>
          <w:noProof/>
        </w:rPr>
      </w:pPr>
      <w:r>
        <w:rPr>
          <w:noProof/>
        </w:rPr>
        <w:t>A jelentős károkozás elkerülését célzó elvnek való megfelelés követelménye a DNSH technikai iránym</w:t>
      </w:r>
      <w:r>
        <w:rPr>
          <w:noProof/>
        </w:rPr>
        <w:t>utatásban (2021/C58/01) meghatározottak szerint. A támogatási politika kizárja különösen a következő tevékenységek és eszközök listáját a támogathatóság köréből: i. a fosszilis tüzelőanyagokhoz kapcsolódó tevékenységek és eszközök, beleértve a downstream f</w:t>
      </w:r>
      <w:r>
        <w:rPr>
          <w:noProof/>
        </w:rPr>
        <w:t>elhasználást is, ii. az uniós kibocsátáskereskedelmi rendszer</w:t>
      </w:r>
      <w:r>
        <w:rPr>
          <w:noProof/>
        </w:rPr>
        <w:footnoteReference w:id="131"/>
      </w:r>
      <w:r>
        <w:rPr>
          <w:noProof/>
        </w:rPr>
        <w:t>(ETS) keretébe tartozó tevékenységek és eszközök, amelyek elérik a vonatkozó referenciaértékeket meg nem haladó, előre jelzett üvegházhatásúgáz-kibocsátást, iii. a hulladéklerakókhoz, égetőművek</w:t>
      </w:r>
      <w:r>
        <w:rPr>
          <w:noProof/>
        </w:rPr>
        <w:t>hez és mechanikai-biológiai hulladékkezelő létesítményekhez kapcsolódó</w:t>
      </w:r>
      <w:r>
        <w:rPr>
          <w:noProof/>
        </w:rPr>
        <w:footnoteReference w:id="132"/>
      </w:r>
      <w:r>
        <w:rPr>
          <w:noProof/>
        </w:rPr>
        <w:t>tevékenységek</w:t>
      </w:r>
      <w:r>
        <w:rPr>
          <w:noProof/>
        </w:rPr>
        <w:footnoteReference w:id="133"/>
      </w:r>
      <w:r>
        <w:rPr>
          <w:noProof/>
        </w:rPr>
        <w:t xml:space="preserve"> és eszközök</w:t>
      </w:r>
      <w:r>
        <w:rPr>
          <w:noProof/>
        </w:rPr>
        <w:footnoteReference w:id="134"/>
      </w:r>
      <w:r>
        <w:rPr>
          <w:noProof/>
        </w:rPr>
        <w:t xml:space="preserve">. </w:t>
      </w:r>
    </w:p>
    <w:p w14:paraId="70974B08" w14:textId="77777777" w:rsidR="003F5418" w:rsidRDefault="002A6C25">
      <w:pPr>
        <w:pStyle w:val="ListParagraph"/>
        <w:numPr>
          <w:ilvl w:val="1"/>
          <w:numId w:val="135"/>
        </w:numPr>
        <w:spacing w:before="0"/>
        <w:rPr>
          <w:noProof/>
        </w:rPr>
      </w:pPr>
      <w:r>
        <w:rPr>
          <w:noProof/>
        </w:rPr>
        <w:t>Az a követelmény, hogy a program végső kedvezményezettjei nem részesülhetnek támogatásban más uniós eszközökből ugyanazon költségek fedezésére.</w:t>
      </w:r>
    </w:p>
    <w:p w14:paraId="77265BDA" w14:textId="77777777" w:rsidR="003F5418" w:rsidRDefault="002A6C25">
      <w:pPr>
        <w:pStyle w:val="ListParagraph"/>
        <w:numPr>
          <w:ilvl w:val="0"/>
          <w:numId w:val="135"/>
        </w:numPr>
        <w:spacing w:before="0"/>
        <w:rPr>
          <w:noProof/>
        </w:rPr>
      </w:pPr>
      <w:r>
        <w:rPr>
          <w:noProof/>
        </w:rPr>
        <w:t>A végrehajt</w:t>
      </w:r>
      <w:r>
        <w:rPr>
          <w:noProof/>
        </w:rPr>
        <w:t>ási megállapodás hatálya alá tartozó összeg, a végrehajtó partner díjstruktúrája, valamint az a követelmény, hogy a program fel nem használt bevételeit – 2026 után is – ugyanazon szakpolitikai célokra kell felhasználni.</w:t>
      </w:r>
    </w:p>
    <w:p w14:paraId="159EB468" w14:textId="77777777" w:rsidR="003F5418" w:rsidRDefault="002A6C25">
      <w:pPr>
        <w:pStyle w:val="ListParagraph"/>
        <w:numPr>
          <w:ilvl w:val="0"/>
          <w:numId w:val="135"/>
        </w:numPr>
        <w:spacing w:before="0"/>
        <w:rPr>
          <w:noProof/>
        </w:rPr>
      </w:pPr>
      <w:r>
        <w:rPr>
          <w:noProof/>
        </w:rPr>
        <w:t>Nyomonkövetési, ellenőrzési és kontr</w:t>
      </w:r>
      <w:r>
        <w:rPr>
          <w:noProof/>
        </w:rPr>
        <w:t>ollkövetelmények, beleértve a következőket:</w:t>
      </w:r>
    </w:p>
    <w:p w14:paraId="047BB727" w14:textId="77777777" w:rsidR="003F5418" w:rsidRDefault="002A6C25">
      <w:pPr>
        <w:pStyle w:val="ListParagraph"/>
        <w:numPr>
          <w:ilvl w:val="1"/>
          <w:numId w:val="30"/>
        </w:numPr>
        <w:spacing w:before="0"/>
        <w:rPr>
          <w:noProof/>
        </w:rPr>
      </w:pPr>
      <w:r>
        <w:rPr>
          <w:noProof/>
        </w:rPr>
        <w:t>A végrehajtó partner által a mozgósított támogatásokról való jelentéstételhez használt monitoringrendszer leírása.</w:t>
      </w:r>
    </w:p>
    <w:p w14:paraId="192DFD95" w14:textId="77777777" w:rsidR="003F5418" w:rsidRDefault="002A6C25">
      <w:pPr>
        <w:pStyle w:val="ListParagraph"/>
        <w:numPr>
          <w:ilvl w:val="1"/>
          <w:numId w:val="30"/>
        </w:numPr>
        <w:spacing w:before="0"/>
        <w:rPr>
          <w:noProof/>
        </w:rPr>
      </w:pPr>
      <w:r>
        <w:rPr>
          <w:noProof/>
        </w:rPr>
        <w:t>A végrehajtó partner azon eljárásainak leírása, amelyek biztosítják a csalás, a korrupció és az ö</w:t>
      </w:r>
      <w:r>
        <w:rPr>
          <w:noProof/>
        </w:rPr>
        <w:t xml:space="preserve">sszeférhetetlenség megelőzését, felderítését és korrekcióját. </w:t>
      </w:r>
    </w:p>
    <w:p w14:paraId="1465E944" w14:textId="77777777" w:rsidR="003F5418" w:rsidRDefault="002A6C25">
      <w:pPr>
        <w:pStyle w:val="ListParagraph"/>
        <w:numPr>
          <w:ilvl w:val="1"/>
          <w:numId w:val="30"/>
        </w:numPr>
        <w:spacing w:before="0"/>
        <w:rPr>
          <w:noProof/>
        </w:rPr>
      </w:pPr>
      <w:r>
        <w:rPr>
          <w:noProof/>
        </w:rPr>
        <w:t>Az egyes műveletek támogathatóságának a végrehajtási megállapodásban meghatározott követelményekkel összhangban történő ellenőrzésére vonatkozó kötelezettség, mielőtt támogatást ítélnének oda e</w:t>
      </w:r>
      <w:r>
        <w:rPr>
          <w:noProof/>
        </w:rPr>
        <w:t>gy műveletnek.</w:t>
      </w:r>
    </w:p>
    <w:p w14:paraId="24B288A8" w14:textId="2192928D" w:rsidR="003F5418" w:rsidRDefault="002A6C25">
      <w:pPr>
        <w:pStyle w:val="ListParagraph"/>
        <w:numPr>
          <w:ilvl w:val="1"/>
          <w:numId w:val="30"/>
        </w:numPr>
        <w:spacing w:before="0"/>
        <w:rPr>
          <w:noProof/>
        </w:rPr>
      </w:pPr>
      <w:r>
        <w:rPr>
          <w:noProof/>
        </w:rPr>
        <w:t>Az Invitalia S.p.A. ellenőrzési tervével összhangban kockázatalapú utólagos ellenőrzések elvégzésére vonatkozó kötelezettség. Ezeknek az ellenőrzéseknek meg kell győződniük arról, hogy i. az ellenőrzési rendszerek hatékonyak-e, beleértve a c</w:t>
      </w:r>
      <w:r>
        <w:rPr>
          <w:noProof/>
        </w:rPr>
        <w:t>salás, a korrupció és az összeférhetetlenség feltárását; a DNSH-elvnek, az állami támogatásokra vonatkozó szabályoknak és az éghajlat-politikai célkitűzésekre vonatkozó követelményeknek való megfelelés; és iii. tiszteletben tartják azt a követelményt, hogy</w:t>
      </w:r>
      <w:r>
        <w:rPr>
          <w:noProof/>
        </w:rPr>
        <w:t xml:space="preserve"> a program végső kedvezményezettjei nem részesültek támogatásban más uniós eszközökből ugyanazon költségek fedezésére. Az ellenőrzések azt is ellenőrzik, hogy az ügyletek jogszerűek-e, és hogy betartják-e az alkalmazandó végrehajtási megállapodás és támoga</w:t>
      </w:r>
      <w:r>
        <w:rPr>
          <w:noProof/>
        </w:rPr>
        <w:t xml:space="preserve">tási megállapodás feltételeit. </w:t>
      </w:r>
    </w:p>
    <w:p w14:paraId="70315C49" w14:textId="663FCF70" w:rsidR="003F5418" w:rsidRDefault="002A6C25">
      <w:pPr>
        <w:pStyle w:val="ListParagraph"/>
        <w:numPr>
          <w:ilvl w:val="0"/>
          <w:numId w:val="135"/>
        </w:numPr>
        <w:spacing w:before="0"/>
        <w:rPr>
          <w:noProof/>
        </w:rPr>
      </w:pPr>
      <w:r>
        <w:rPr>
          <w:noProof/>
        </w:rPr>
        <w:t>A végrehajtó partner által végrehajtott éghajlat-politikai beruházásokra vonatkozó követelmények: a Helyreállítási és Rezilienciaépítési Eszköz programba történő beruházásából legalább 100 000 000 EUR-nak a Helyreállítási és</w:t>
      </w:r>
      <w:r>
        <w:rPr>
          <w:noProof/>
        </w:rPr>
        <w:t xml:space="preserve"> Rezilienciaépítési Eszközről szóló rendelet VI. mellékletével összhangban hozzá kell járulnia az éghajlatváltozással kapcsolatos célkitűzésekhez.</w:t>
      </w:r>
      <w:r>
        <w:rPr>
          <w:noProof/>
        </w:rPr>
        <w:footnoteReference w:id="135"/>
      </w:r>
      <w:r>
        <w:rPr>
          <w:noProof/>
        </w:rPr>
        <w:t xml:space="preserve"> </w:t>
      </w:r>
    </w:p>
    <w:p w14:paraId="30AE52C2" w14:textId="77777777" w:rsidR="003F5418" w:rsidRDefault="002A6C25">
      <w:pPr>
        <w:spacing w:after="120"/>
        <w:jc w:val="both"/>
        <w:rPr>
          <w:noProof/>
        </w:rPr>
        <w:sectPr w:rsidR="003F5418">
          <w:headerReference w:type="even" r:id="rId411"/>
          <w:headerReference w:type="default" r:id="rId412"/>
          <w:footerReference w:type="even" r:id="rId413"/>
          <w:footerReference w:type="default" r:id="rId414"/>
          <w:headerReference w:type="first" r:id="rId415"/>
          <w:footerReference w:type="first" r:id="rId416"/>
          <w:pgSz w:w="11907" w:h="16839"/>
          <w:pgMar w:top="1440" w:right="1440" w:bottom="1440" w:left="1440" w:header="567" w:footer="567" w:gutter="0"/>
          <w:cols w:space="720"/>
          <w:docGrid w:linePitch="360"/>
        </w:sectPr>
      </w:pPr>
      <w:r>
        <w:rPr>
          <w:noProof/>
        </w:rPr>
        <w:t xml:space="preserve">Az intézkedés végrehajtását 2026. augusztus 31-ig be kell fejezni. </w:t>
      </w:r>
    </w:p>
    <w:p w14:paraId="2AA9A83B" w14:textId="77777777" w:rsidR="003F5418" w:rsidRDefault="002A6C25">
      <w:pPr>
        <w:pStyle w:val="Heading3"/>
        <w:numPr>
          <w:ilvl w:val="2"/>
          <w:numId w:val="0"/>
        </w:numPr>
        <w:rPr>
          <w:b/>
          <w:i w:val="0"/>
          <w:noProof/>
          <w:u w:val="single"/>
        </w:rPr>
      </w:pPr>
      <w:r>
        <w:rPr>
          <w:b/>
          <w:i w:val="0"/>
          <w:noProof/>
          <w:u w:val="single"/>
        </w:rPr>
        <w:t xml:space="preserve">Q.2. </w:t>
      </w:r>
      <w:r>
        <w:rPr>
          <w:noProof/>
        </w:rPr>
        <w:t xml:space="preserve"> </w:t>
      </w:r>
      <w:r>
        <w:rPr>
          <w:b/>
          <w:i w:val="0"/>
          <w:noProof/>
          <w:u w:val="single"/>
        </w:rPr>
        <w:t>Vissza nem térítendő pénzügyi támogatás – a végrehajtáshoz és a nyomon követéshez kapcsolódó mérföldkövek, célok, mutatók és ütemterv</w:t>
      </w:r>
    </w:p>
    <w:tbl>
      <w:tblPr>
        <w:tblW w:w="5275"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5"/>
        <w:gridCol w:w="1559"/>
        <w:gridCol w:w="1134"/>
        <w:gridCol w:w="1418"/>
        <w:gridCol w:w="1984"/>
        <w:gridCol w:w="1134"/>
        <w:gridCol w:w="993"/>
        <w:gridCol w:w="992"/>
        <w:gridCol w:w="992"/>
        <w:gridCol w:w="709"/>
        <w:gridCol w:w="3261"/>
      </w:tblGrid>
      <w:tr w:rsidR="003F5418" w14:paraId="51B097E7" w14:textId="77777777">
        <w:trPr>
          <w:trHeight w:val="765"/>
          <w:tblHeader/>
        </w:trPr>
        <w:tc>
          <w:tcPr>
            <w:tcW w:w="1185" w:type="dxa"/>
            <w:vMerge w:val="restart"/>
            <w:shd w:val="clear" w:color="auto" w:fill="BDD7EE"/>
            <w:vAlign w:val="center"/>
            <w:hideMark/>
          </w:tcPr>
          <w:p w14:paraId="49A7AB69" w14:textId="77777777" w:rsidR="003F5418" w:rsidRDefault="002A6C25">
            <w:pPr>
              <w:pStyle w:val="P68B1DB1-Normal3"/>
              <w:spacing w:after="120"/>
              <w:jc w:val="center"/>
              <w:rPr>
                <w:noProof/>
              </w:rPr>
            </w:pPr>
            <w:r>
              <w:rPr>
                <w:noProof/>
              </w:rPr>
              <w:t>Sorszám</w:t>
            </w:r>
          </w:p>
        </w:tc>
        <w:tc>
          <w:tcPr>
            <w:tcW w:w="1559" w:type="dxa"/>
            <w:vMerge w:val="restart"/>
            <w:shd w:val="clear" w:color="auto" w:fill="BDD7EE"/>
            <w:vAlign w:val="center"/>
            <w:hideMark/>
          </w:tcPr>
          <w:p w14:paraId="4067BC07" w14:textId="77777777" w:rsidR="003F5418" w:rsidRDefault="002A6C25">
            <w:pPr>
              <w:pStyle w:val="P68B1DB1-Normal3"/>
              <w:spacing w:after="120"/>
              <w:jc w:val="center"/>
              <w:rPr>
                <w:noProof/>
              </w:rPr>
            </w:pPr>
            <w:r>
              <w:rPr>
                <w:noProof/>
              </w:rPr>
              <w:t xml:space="preserve">Kapcsolódó intézkedés (reform vagy </w:t>
            </w:r>
            <w:r>
              <w:rPr>
                <w:noProof/>
              </w:rPr>
              <w:t>beruházás)</w:t>
            </w:r>
          </w:p>
        </w:tc>
        <w:tc>
          <w:tcPr>
            <w:tcW w:w="1134" w:type="dxa"/>
            <w:vMerge w:val="restart"/>
            <w:shd w:val="clear" w:color="auto" w:fill="BDD7EE"/>
            <w:vAlign w:val="center"/>
            <w:hideMark/>
          </w:tcPr>
          <w:p w14:paraId="66A52D0F" w14:textId="77777777" w:rsidR="003F5418" w:rsidRDefault="002A6C25">
            <w:pPr>
              <w:pStyle w:val="P68B1DB1-Normal3"/>
              <w:spacing w:after="120"/>
              <w:jc w:val="center"/>
              <w:rPr>
                <w:noProof/>
              </w:rPr>
            </w:pPr>
            <w:r>
              <w:rPr>
                <w:noProof/>
              </w:rPr>
              <w:t>Mérföldkő</w:t>
            </w:r>
          </w:p>
          <w:p w14:paraId="69BE9474" w14:textId="77777777" w:rsidR="003F5418" w:rsidRDefault="002A6C25">
            <w:pPr>
              <w:pStyle w:val="P68B1DB1-Normal3"/>
              <w:spacing w:after="120"/>
              <w:jc w:val="center"/>
              <w:rPr>
                <w:noProof/>
              </w:rPr>
            </w:pPr>
            <w:r>
              <w:rPr>
                <w:noProof/>
              </w:rPr>
              <w:t>/Cél</w:t>
            </w:r>
          </w:p>
        </w:tc>
        <w:tc>
          <w:tcPr>
            <w:tcW w:w="1418" w:type="dxa"/>
            <w:vMerge w:val="restart"/>
            <w:shd w:val="clear" w:color="auto" w:fill="BDD7EE"/>
            <w:vAlign w:val="center"/>
            <w:hideMark/>
          </w:tcPr>
          <w:p w14:paraId="4F521795" w14:textId="77777777" w:rsidR="003F5418" w:rsidRDefault="002A6C25">
            <w:pPr>
              <w:pStyle w:val="P68B1DB1-Normal3"/>
              <w:spacing w:after="120"/>
              <w:jc w:val="center"/>
              <w:rPr>
                <w:noProof/>
              </w:rPr>
            </w:pPr>
            <w:r>
              <w:rPr>
                <w:noProof/>
              </w:rPr>
              <w:t>Név</w:t>
            </w:r>
          </w:p>
        </w:tc>
        <w:tc>
          <w:tcPr>
            <w:tcW w:w="1984" w:type="dxa"/>
            <w:vMerge w:val="restart"/>
            <w:shd w:val="clear" w:color="auto" w:fill="BDD7EE"/>
            <w:vAlign w:val="center"/>
            <w:hideMark/>
          </w:tcPr>
          <w:p w14:paraId="1B5F891F" w14:textId="77777777" w:rsidR="003F5418" w:rsidRDefault="002A6C25">
            <w:pPr>
              <w:spacing w:after="120"/>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119" w:type="dxa"/>
            <w:gridSpan w:val="3"/>
            <w:shd w:val="clear" w:color="auto" w:fill="BDD7EE"/>
            <w:vAlign w:val="center"/>
            <w:hideMark/>
          </w:tcPr>
          <w:p w14:paraId="3B1C2382" w14:textId="77777777" w:rsidR="003F5418" w:rsidRDefault="002A6C25">
            <w:pPr>
              <w:spacing w:after="120"/>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701" w:type="dxa"/>
            <w:gridSpan w:val="2"/>
            <w:shd w:val="clear" w:color="auto" w:fill="BDD7EE"/>
            <w:vAlign w:val="center"/>
            <w:hideMark/>
          </w:tcPr>
          <w:p w14:paraId="418B0360" w14:textId="77777777" w:rsidR="003F5418" w:rsidRDefault="002A6C25">
            <w:pPr>
              <w:pStyle w:val="P68B1DB1-Normal3"/>
              <w:spacing w:after="120"/>
              <w:jc w:val="center"/>
              <w:rPr>
                <w:noProof/>
              </w:rPr>
            </w:pPr>
            <w:r>
              <w:rPr>
                <w:noProof/>
              </w:rPr>
              <w:t>A végrehajtás indikatív ütemterve</w:t>
            </w:r>
          </w:p>
        </w:tc>
        <w:tc>
          <w:tcPr>
            <w:tcW w:w="3261" w:type="dxa"/>
            <w:vMerge w:val="restart"/>
            <w:shd w:val="clear" w:color="auto" w:fill="BDD7EE"/>
            <w:vAlign w:val="center"/>
            <w:hideMark/>
          </w:tcPr>
          <w:p w14:paraId="0D0D48DA" w14:textId="77777777" w:rsidR="003F5418" w:rsidRDefault="002A6C25">
            <w:pPr>
              <w:pStyle w:val="P68B1DB1-Normal3"/>
              <w:spacing w:after="120"/>
              <w:jc w:val="center"/>
              <w:rPr>
                <w:noProof/>
              </w:rPr>
            </w:pPr>
            <w:r>
              <w:rPr>
                <w:noProof/>
              </w:rPr>
              <w:t>Az egyes mérföldkövek és célértékek leírása</w:t>
            </w:r>
          </w:p>
        </w:tc>
      </w:tr>
      <w:tr w:rsidR="003F5418" w14:paraId="631FE88E" w14:textId="77777777">
        <w:trPr>
          <w:trHeight w:val="691"/>
          <w:tblHeader/>
        </w:trPr>
        <w:tc>
          <w:tcPr>
            <w:tcW w:w="1185" w:type="dxa"/>
            <w:vMerge/>
            <w:vAlign w:val="center"/>
            <w:hideMark/>
          </w:tcPr>
          <w:p w14:paraId="7EC06868" w14:textId="77777777" w:rsidR="003F5418" w:rsidRDefault="003F5418">
            <w:pPr>
              <w:spacing w:after="120"/>
              <w:jc w:val="center"/>
              <w:rPr>
                <w:rFonts w:ascii="Arial Narrow" w:hAnsi="Arial Narrow"/>
                <w:b/>
                <w:noProof/>
                <w:sz w:val="20"/>
              </w:rPr>
            </w:pPr>
          </w:p>
        </w:tc>
        <w:tc>
          <w:tcPr>
            <w:tcW w:w="1559" w:type="dxa"/>
            <w:vMerge/>
            <w:vAlign w:val="center"/>
            <w:hideMark/>
          </w:tcPr>
          <w:p w14:paraId="367268C6" w14:textId="77777777" w:rsidR="003F5418" w:rsidRDefault="003F5418">
            <w:pPr>
              <w:spacing w:after="120"/>
              <w:jc w:val="center"/>
              <w:rPr>
                <w:rFonts w:ascii="Arial Narrow" w:hAnsi="Arial Narrow"/>
                <w:b/>
                <w:noProof/>
                <w:sz w:val="20"/>
              </w:rPr>
            </w:pPr>
          </w:p>
        </w:tc>
        <w:tc>
          <w:tcPr>
            <w:tcW w:w="1134" w:type="dxa"/>
            <w:vMerge/>
            <w:vAlign w:val="center"/>
            <w:hideMark/>
          </w:tcPr>
          <w:p w14:paraId="5E2A4BAB" w14:textId="77777777" w:rsidR="003F5418" w:rsidRDefault="003F5418">
            <w:pPr>
              <w:spacing w:after="120"/>
              <w:jc w:val="center"/>
              <w:rPr>
                <w:rFonts w:ascii="Arial Narrow" w:hAnsi="Arial Narrow"/>
                <w:b/>
                <w:noProof/>
                <w:sz w:val="20"/>
              </w:rPr>
            </w:pPr>
          </w:p>
        </w:tc>
        <w:tc>
          <w:tcPr>
            <w:tcW w:w="1418" w:type="dxa"/>
            <w:vMerge/>
            <w:vAlign w:val="center"/>
            <w:hideMark/>
          </w:tcPr>
          <w:p w14:paraId="17A5D3DD" w14:textId="77777777" w:rsidR="003F5418" w:rsidRDefault="003F5418">
            <w:pPr>
              <w:spacing w:after="120"/>
              <w:jc w:val="center"/>
              <w:rPr>
                <w:rFonts w:ascii="Arial Narrow" w:hAnsi="Arial Narrow"/>
                <w:b/>
                <w:noProof/>
                <w:sz w:val="20"/>
              </w:rPr>
            </w:pPr>
          </w:p>
        </w:tc>
        <w:tc>
          <w:tcPr>
            <w:tcW w:w="1984" w:type="dxa"/>
            <w:vMerge/>
            <w:vAlign w:val="center"/>
            <w:hideMark/>
          </w:tcPr>
          <w:p w14:paraId="4FBD789C" w14:textId="77777777" w:rsidR="003F5418" w:rsidRDefault="003F5418">
            <w:pPr>
              <w:spacing w:after="120"/>
              <w:jc w:val="center"/>
              <w:rPr>
                <w:rFonts w:ascii="Arial Narrow" w:hAnsi="Arial Narrow"/>
                <w:b/>
                <w:noProof/>
                <w:sz w:val="20"/>
              </w:rPr>
            </w:pPr>
          </w:p>
        </w:tc>
        <w:tc>
          <w:tcPr>
            <w:tcW w:w="1134" w:type="dxa"/>
            <w:shd w:val="clear" w:color="auto" w:fill="BDD7EE"/>
            <w:vAlign w:val="center"/>
            <w:hideMark/>
          </w:tcPr>
          <w:p w14:paraId="32C8E2C5" w14:textId="77777777" w:rsidR="003F5418" w:rsidRDefault="002A6C25">
            <w:pPr>
              <w:pStyle w:val="P68B1DB1-Normal3"/>
              <w:spacing w:after="120"/>
              <w:jc w:val="center"/>
              <w:rPr>
                <w:noProof/>
              </w:rPr>
            </w:pPr>
            <w:r>
              <w:rPr>
                <w:noProof/>
              </w:rPr>
              <w:t>Mértékegység</w:t>
            </w:r>
          </w:p>
        </w:tc>
        <w:tc>
          <w:tcPr>
            <w:tcW w:w="993" w:type="dxa"/>
            <w:shd w:val="clear" w:color="auto" w:fill="BDD7EE"/>
            <w:vAlign w:val="center"/>
            <w:hideMark/>
          </w:tcPr>
          <w:p w14:paraId="5FB08132" w14:textId="77777777" w:rsidR="003F5418" w:rsidRDefault="002A6C25">
            <w:pPr>
              <w:pStyle w:val="P68B1DB1-Normal3"/>
              <w:spacing w:after="120"/>
              <w:jc w:val="center"/>
              <w:rPr>
                <w:noProof/>
              </w:rPr>
            </w:pPr>
            <w:r>
              <w:rPr>
                <w:noProof/>
              </w:rPr>
              <w:t>Kiindulási</w:t>
            </w:r>
          </w:p>
        </w:tc>
        <w:tc>
          <w:tcPr>
            <w:tcW w:w="992" w:type="dxa"/>
            <w:shd w:val="clear" w:color="auto" w:fill="BDD7EE"/>
            <w:vAlign w:val="center"/>
            <w:hideMark/>
          </w:tcPr>
          <w:p w14:paraId="11594F02" w14:textId="77777777" w:rsidR="003F5418" w:rsidRDefault="002A6C25">
            <w:pPr>
              <w:pStyle w:val="P68B1DB1-Normal3"/>
              <w:spacing w:after="120"/>
              <w:jc w:val="center"/>
              <w:rPr>
                <w:noProof/>
              </w:rPr>
            </w:pPr>
            <w:r>
              <w:rPr>
                <w:noProof/>
              </w:rPr>
              <w:t>Cél</w:t>
            </w:r>
          </w:p>
        </w:tc>
        <w:tc>
          <w:tcPr>
            <w:tcW w:w="992" w:type="dxa"/>
            <w:shd w:val="clear" w:color="auto" w:fill="BDD7EE"/>
            <w:vAlign w:val="center"/>
            <w:hideMark/>
          </w:tcPr>
          <w:p w14:paraId="2A38AC29" w14:textId="77777777" w:rsidR="003F5418" w:rsidRDefault="002A6C25">
            <w:pPr>
              <w:pStyle w:val="P68B1DB1-Normal3"/>
              <w:spacing w:after="120"/>
              <w:jc w:val="center"/>
              <w:rPr>
                <w:noProof/>
              </w:rPr>
            </w:pPr>
            <w:r>
              <w:rPr>
                <w:noProof/>
              </w:rPr>
              <w:t>Negyedév</w:t>
            </w:r>
          </w:p>
        </w:tc>
        <w:tc>
          <w:tcPr>
            <w:tcW w:w="709" w:type="dxa"/>
            <w:shd w:val="clear" w:color="auto" w:fill="BDD7EE"/>
            <w:vAlign w:val="center"/>
            <w:hideMark/>
          </w:tcPr>
          <w:p w14:paraId="5B316FB8" w14:textId="77777777" w:rsidR="003F5418" w:rsidRDefault="002A6C25">
            <w:pPr>
              <w:pStyle w:val="P68B1DB1-Normal3"/>
              <w:spacing w:after="120"/>
              <w:jc w:val="center"/>
              <w:rPr>
                <w:noProof/>
              </w:rPr>
            </w:pPr>
            <w:r>
              <w:rPr>
                <w:noProof/>
              </w:rPr>
              <w:t>Éve</w:t>
            </w:r>
          </w:p>
        </w:tc>
        <w:tc>
          <w:tcPr>
            <w:tcW w:w="3261" w:type="dxa"/>
            <w:vMerge/>
            <w:vAlign w:val="center"/>
            <w:hideMark/>
          </w:tcPr>
          <w:p w14:paraId="1297C2FC" w14:textId="77777777" w:rsidR="003F5418" w:rsidRDefault="003F5418">
            <w:pPr>
              <w:spacing w:after="120"/>
              <w:jc w:val="center"/>
              <w:rPr>
                <w:rFonts w:ascii="Arial Narrow" w:hAnsi="Arial Narrow"/>
                <w:b/>
                <w:noProof/>
                <w:sz w:val="20"/>
              </w:rPr>
            </w:pPr>
          </w:p>
        </w:tc>
      </w:tr>
      <w:tr w:rsidR="003F5418" w14:paraId="1FDD9B62" w14:textId="77777777">
        <w:trPr>
          <w:trHeight w:val="309"/>
        </w:trPr>
        <w:tc>
          <w:tcPr>
            <w:tcW w:w="1185" w:type="dxa"/>
            <w:shd w:val="clear" w:color="auto" w:fill="C6EFCE"/>
            <w:noWrap/>
            <w:vAlign w:val="center"/>
          </w:tcPr>
          <w:p w14:paraId="5A297377" w14:textId="77777777" w:rsidR="003F5418" w:rsidRDefault="002A6C25">
            <w:pPr>
              <w:pStyle w:val="P68B1DB1-Normal4"/>
              <w:spacing w:after="120"/>
              <w:jc w:val="center"/>
              <w:rPr>
                <w:noProof/>
              </w:rPr>
            </w:pPr>
            <w:r>
              <w:rPr>
                <w:noProof/>
              </w:rPr>
              <w:t>M7–1</w:t>
            </w:r>
          </w:p>
        </w:tc>
        <w:tc>
          <w:tcPr>
            <w:tcW w:w="1559" w:type="dxa"/>
            <w:shd w:val="clear" w:color="auto" w:fill="C6EFCE"/>
            <w:noWrap/>
          </w:tcPr>
          <w:p w14:paraId="033F7AF2" w14:textId="77777777" w:rsidR="003F5418" w:rsidRDefault="002A6C25">
            <w:pPr>
              <w:pStyle w:val="P68B1DB1-Normal4"/>
              <w:spacing w:after="120"/>
              <w:jc w:val="center"/>
              <w:rPr>
                <w:noProof/>
              </w:rPr>
            </w:pPr>
            <w:r>
              <w:rPr>
                <w:noProof/>
              </w:rPr>
              <w:t xml:space="preserve">Az 1. </w:t>
            </w:r>
            <w:r>
              <w:rPr>
                <w:noProof/>
              </w:rPr>
              <w:t>reformot A megújuló energiára vonatkozó engedélyezési eljárások egyszerűsítése</w:t>
            </w:r>
          </w:p>
        </w:tc>
        <w:tc>
          <w:tcPr>
            <w:tcW w:w="1134" w:type="dxa"/>
            <w:shd w:val="clear" w:color="auto" w:fill="C6EFCE"/>
            <w:noWrap/>
          </w:tcPr>
          <w:p w14:paraId="355C39CE"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2E226DE7" w14:textId="77777777" w:rsidR="003F5418" w:rsidRDefault="002A6C25">
            <w:pPr>
              <w:pStyle w:val="P68B1DB1-Normal4"/>
              <w:spacing w:after="120"/>
              <w:jc w:val="center"/>
              <w:rPr>
                <w:noProof/>
              </w:rPr>
            </w:pPr>
            <w:r>
              <w:rPr>
                <w:noProof/>
              </w:rPr>
              <w:t>A „megújuló energiaforrások felgyorsítására alkalmas célterületek” meghatározása</w:t>
            </w:r>
          </w:p>
        </w:tc>
        <w:tc>
          <w:tcPr>
            <w:tcW w:w="1984" w:type="dxa"/>
            <w:shd w:val="clear" w:color="auto" w:fill="C6EFCE"/>
            <w:noWrap/>
          </w:tcPr>
          <w:p w14:paraId="79DF0E22" w14:textId="77777777" w:rsidR="003F5418" w:rsidRDefault="002A6C25">
            <w:pPr>
              <w:pStyle w:val="P68B1DB1-Normal4"/>
              <w:spacing w:after="120"/>
              <w:jc w:val="center"/>
              <w:rPr>
                <w:noProof/>
              </w:rPr>
            </w:pPr>
            <w:r>
              <w:rPr>
                <w:noProof/>
              </w:rPr>
              <w:t xml:space="preserve">A jogalkotási aktus azon rendelkezése, amely a megújuló energiaforrások </w:t>
            </w:r>
            <w:r>
              <w:rPr>
                <w:noProof/>
              </w:rPr>
              <w:t>hasznosításának felgyorsítására alkalmas célterületek meghatározására vonatkozó elsődleges jogszabályok hatálybalépését jelzi</w:t>
            </w:r>
          </w:p>
        </w:tc>
        <w:tc>
          <w:tcPr>
            <w:tcW w:w="1134" w:type="dxa"/>
            <w:shd w:val="clear" w:color="auto" w:fill="C6EFCE"/>
            <w:noWrap/>
            <w:vAlign w:val="center"/>
          </w:tcPr>
          <w:p w14:paraId="7D2E18AC"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6C757518"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711A083C"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EBAE301"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32A364EC" w14:textId="77777777" w:rsidR="003F5418" w:rsidRDefault="002A6C25">
            <w:pPr>
              <w:pStyle w:val="P68B1DB1-Normal4"/>
              <w:spacing w:after="120"/>
              <w:jc w:val="center"/>
              <w:rPr>
                <w:noProof/>
              </w:rPr>
            </w:pPr>
            <w:r>
              <w:rPr>
                <w:noProof/>
              </w:rPr>
              <w:t>2024</w:t>
            </w:r>
          </w:p>
        </w:tc>
        <w:tc>
          <w:tcPr>
            <w:tcW w:w="3261" w:type="dxa"/>
            <w:shd w:val="clear" w:color="auto" w:fill="C6EFCE"/>
            <w:noWrap/>
          </w:tcPr>
          <w:p w14:paraId="4163771E" w14:textId="77777777" w:rsidR="003F5418" w:rsidRDefault="002A6C25">
            <w:pPr>
              <w:pStyle w:val="P68B1DB1-Normal4"/>
              <w:spacing w:after="120"/>
              <w:rPr>
                <w:noProof/>
              </w:rPr>
            </w:pPr>
            <w:r>
              <w:rPr>
                <w:noProof/>
              </w:rPr>
              <w:t>A szubnacionális közigazgatási egységekben a „megújuló gyorsítási területeket” meghatározó elsődleges jogszabályok hatá</w:t>
            </w:r>
            <w:r>
              <w:rPr>
                <w:noProof/>
              </w:rPr>
              <w:t>lybalépése.</w:t>
            </w:r>
          </w:p>
        </w:tc>
      </w:tr>
      <w:tr w:rsidR="003F5418" w14:paraId="77B85FE4" w14:textId="77777777">
        <w:trPr>
          <w:trHeight w:val="309"/>
        </w:trPr>
        <w:tc>
          <w:tcPr>
            <w:tcW w:w="1185" w:type="dxa"/>
            <w:shd w:val="clear" w:color="auto" w:fill="C6EFCE"/>
            <w:noWrap/>
          </w:tcPr>
          <w:p w14:paraId="139EBE25" w14:textId="77777777" w:rsidR="003F5418" w:rsidRDefault="002A6C25">
            <w:pPr>
              <w:pStyle w:val="P68B1DB1-Normal4"/>
              <w:spacing w:after="120"/>
              <w:jc w:val="center"/>
              <w:rPr>
                <w:noProof/>
              </w:rPr>
            </w:pPr>
            <w:r>
              <w:rPr>
                <w:noProof/>
              </w:rPr>
              <w:t>M7–2</w:t>
            </w:r>
          </w:p>
        </w:tc>
        <w:tc>
          <w:tcPr>
            <w:tcW w:w="1559" w:type="dxa"/>
            <w:shd w:val="clear" w:color="auto" w:fill="C6EFCE"/>
            <w:noWrap/>
          </w:tcPr>
          <w:p w14:paraId="4BF1461E" w14:textId="77777777" w:rsidR="003F5418" w:rsidRDefault="002A6C25">
            <w:pPr>
              <w:pStyle w:val="P68B1DB1-Normal4"/>
              <w:spacing w:after="120"/>
              <w:jc w:val="center"/>
              <w:rPr>
                <w:noProof/>
              </w:rPr>
            </w:pPr>
            <w:r>
              <w:rPr>
                <w:noProof/>
              </w:rPr>
              <w:t>Az 1. reformot A megújuló energiára vonatkozó engedélyezési eljárások egyszerűsítése</w:t>
            </w:r>
          </w:p>
        </w:tc>
        <w:tc>
          <w:tcPr>
            <w:tcW w:w="1134" w:type="dxa"/>
            <w:shd w:val="clear" w:color="auto" w:fill="C6EFCE"/>
            <w:noWrap/>
          </w:tcPr>
          <w:p w14:paraId="021BBAFA"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7CE0C6A2" w14:textId="77777777" w:rsidR="003F5418" w:rsidRDefault="002A6C25">
            <w:pPr>
              <w:pStyle w:val="P68B1DB1-Normal4"/>
              <w:spacing w:after="120"/>
              <w:jc w:val="center"/>
              <w:rPr>
                <w:noProof/>
              </w:rPr>
            </w:pPr>
            <w:r>
              <w:rPr>
                <w:noProof/>
              </w:rPr>
              <w:t xml:space="preserve">Az elsődleges jog hatálybalépése (Testo Unico) </w:t>
            </w:r>
          </w:p>
        </w:tc>
        <w:tc>
          <w:tcPr>
            <w:tcW w:w="1984" w:type="dxa"/>
            <w:shd w:val="clear" w:color="auto" w:fill="C6EFCE"/>
            <w:noWrap/>
          </w:tcPr>
          <w:p w14:paraId="56312F70" w14:textId="77777777" w:rsidR="003F5418" w:rsidRDefault="002A6C25">
            <w:pPr>
              <w:pStyle w:val="P68B1DB1-Normal4"/>
              <w:spacing w:after="120"/>
              <w:jc w:val="center"/>
              <w:rPr>
                <w:noProof/>
              </w:rPr>
            </w:pPr>
            <w:r>
              <w:rPr>
                <w:noProof/>
              </w:rPr>
              <w:t>Az elsődleges jog hatálybalépését feltüntető törvényi rendelkezés</w:t>
            </w:r>
          </w:p>
        </w:tc>
        <w:tc>
          <w:tcPr>
            <w:tcW w:w="1134" w:type="dxa"/>
            <w:shd w:val="clear" w:color="auto" w:fill="C6EFCE"/>
            <w:noWrap/>
          </w:tcPr>
          <w:p w14:paraId="37F5AC89" w14:textId="77777777" w:rsidR="003F5418" w:rsidRDefault="003F5418">
            <w:pPr>
              <w:spacing w:after="120"/>
              <w:jc w:val="center"/>
              <w:rPr>
                <w:rFonts w:ascii="Arial Narrow" w:hAnsi="Arial Narrow"/>
                <w:noProof/>
                <w:color w:val="006100"/>
                <w:sz w:val="20"/>
              </w:rPr>
            </w:pPr>
          </w:p>
        </w:tc>
        <w:tc>
          <w:tcPr>
            <w:tcW w:w="993" w:type="dxa"/>
            <w:shd w:val="clear" w:color="auto" w:fill="C6EFCE"/>
            <w:noWrap/>
          </w:tcPr>
          <w:p w14:paraId="66E8DD3B"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E7C1BFE"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A4AA6E8"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2CF1DEA2" w14:textId="77777777" w:rsidR="003F5418" w:rsidRDefault="002A6C25">
            <w:pPr>
              <w:pStyle w:val="P68B1DB1-Normal4"/>
              <w:spacing w:after="120"/>
              <w:jc w:val="center"/>
              <w:rPr>
                <w:noProof/>
              </w:rPr>
            </w:pPr>
            <w:r>
              <w:rPr>
                <w:noProof/>
              </w:rPr>
              <w:t>2025</w:t>
            </w:r>
          </w:p>
        </w:tc>
        <w:tc>
          <w:tcPr>
            <w:tcW w:w="3261" w:type="dxa"/>
            <w:shd w:val="clear" w:color="auto" w:fill="C6EFCE"/>
            <w:noWrap/>
          </w:tcPr>
          <w:p w14:paraId="55F6CA36" w14:textId="77777777" w:rsidR="003F5418" w:rsidRDefault="002A6C25">
            <w:pPr>
              <w:pStyle w:val="P68B1DB1-Normal4"/>
              <w:spacing w:after="120"/>
              <w:rPr>
                <w:noProof/>
              </w:rPr>
            </w:pPr>
            <w:r>
              <w:rPr>
                <w:noProof/>
              </w:rPr>
              <w:t>A Testo Unico</w:t>
            </w:r>
            <w:r>
              <w:rPr>
                <w:noProof/>
              </w:rPr>
              <w:t xml:space="preserve"> (elsődleges jogszabály) hatálybalépése a megújuló energiaforrások alkalmazását szabályozó valamennyi norma összegyűjtéséről, összeállításáról és egységesítéséről, valamint az összes vonatkozó korábbi jogszabály hatályon kívül helyezéséről. </w:t>
            </w:r>
          </w:p>
        </w:tc>
      </w:tr>
      <w:tr w:rsidR="003F5418" w14:paraId="242B97D8" w14:textId="77777777">
        <w:trPr>
          <w:trHeight w:val="309"/>
        </w:trPr>
        <w:tc>
          <w:tcPr>
            <w:tcW w:w="1185" w:type="dxa"/>
            <w:shd w:val="clear" w:color="auto" w:fill="C6EFCE"/>
            <w:noWrap/>
          </w:tcPr>
          <w:p w14:paraId="7743ABB4" w14:textId="77777777" w:rsidR="003F5418" w:rsidRDefault="002A6C25">
            <w:pPr>
              <w:pStyle w:val="P68B1DB1-Normal4"/>
              <w:spacing w:after="120"/>
              <w:jc w:val="center"/>
              <w:rPr>
                <w:noProof/>
              </w:rPr>
            </w:pPr>
            <w:r>
              <w:rPr>
                <w:noProof/>
              </w:rPr>
              <w:t>M7–3</w:t>
            </w:r>
          </w:p>
        </w:tc>
        <w:tc>
          <w:tcPr>
            <w:tcW w:w="1559" w:type="dxa"/>
            <w:shd w:val="clear" w:color="auto" w:fill="C6EFCE"/>
            <w:noWrap/>
          </w:tcPr>
          <w:p w14:paraId="7A1F1E95" w14:textId="77777777" w:rsidR="003F5418" w:rsidRDefault="002A6C25">
            <w:pPr>
              <w:pStyle w:val="P68B1DB1-Normal4"/>
              <w:spacing w:after="120"/>
              <w:jc w:val="center"/>
              <w:rPr>
                <w:noProof/>
              </w:rPr>
            </w:pPr>
            <w:r>
              <w:rPr>
                <w:noProof/>
              </w:rPr>
              <w:t xml:space="preserve">Az 1. </w:t>
            </w:r>
            <w:r>
              <w:rPr>
                <w:noProof/>
              </w:rPr>
              <w:t>reformot A megújuló energiára vonatkozó engedélyezési eljárások egyszerűsítése</w:t>
            </w:r>
          </w:p>
          <w:p w14:paraId="16E5469F" w14:textId="77777777" w:rsidR="003F5418" w:rsidRDefault="003F5418">
            <w:pPr>
              <w:spacing w:after="120"/>
              <w:rPr>
                <w:rFonts w:ascii="Arial Narrow" w:hAnsi="Arial Narrow"/>
                <w:noProof/>
                <w:color w:val="006100"/>
                <w:sz w:val="20"/>
              </w:rPr>
            </w:pPr>
          </w:p>
        </w:tc>
        <w:tc>
          <w:tcPr>
            <w:tcW w:w="1134" w:type="dxa"/>
            <w:shd w:val="clear" w:color="auto" w:fill="C6EFCE"/>
            <w:noWrap/>
          </w:tcPr>
          <w:p w14:paraId="74D30B6A"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5F69D08D" w14:textId="77777777" w:rsidR="003F5418" w:rsidRDefault="002A6C25">
            <w:pPr>
              <w:pStyle w:val="P68B1DB1-Normal4"/>
              <w:spacing w:after="120"/>
              <w:jc w:val="center"/>
              <w:rPr>
                <w:noProof/>
              </w:rPr>
            </w:pPr>
            <w:r>
              <w:rPr>
                <w:noProof/>
              </w:rPr>
              <w:t>A megújuló energiaforrásokkal kapcsolatos engedélyekre vonatkozó egységes digitális platform létrehozása és működőképessé tétele</w:t>
            </w:r>
          </w:p>
        </w:tc>
        <w:tc>
          <w:tcPr>
            <w:tcW w:w="1984" w:type="dxa"/>
            <w:shd w:val="clear" w:color="auto" w:fill="C6EFCE"/>
            <w:noWrap/>
          </w:tcPr>
          <w:p w14:paraId="7972928D" w14:textId="77777777" w:rsidR="003F5418" w:rsidRDefault="002A6C25">
            <w:pPr>
              <w:pStyle w:val="P68B1DB1-Normal4"/>
              <w:spacing w:after="120"/>
              <w:jc w:val="center"/>
              <w:rPr>
                <w:noProof/>
              </w:rPr>
            </w:pPr>
            <w:r>
              <w:rPr>
                <w:noProof/>
              </w:rPr>
              <w:t xml:space="preserve">A megújuló energiaforrásokkal </w:t>
            </w:r>
            <w:r>
              <w:rPr>
                <w:noProof/>
              </w:rPr>
              <w:t>kapcsolatos engedélyezéshez szükséges egyablakos digitális platform létrehozása és működőképessé tétele</w:t>
            </w:r>
          </w:p>
        </w:tc>
        <w:tc>
          <w:tcPr>
            <w:tcW w:w="1134" w:type="dxa"/>
            <w:shd w:val="clear" w:color="auto" w:fill="C6EFCE"/>
            <w:noWrap/>
          </w:tcPr>
          <w:p w14:paraId="3B6D298D" w14:textId="77777777" w:rsidR="003F5418" w:rsidRDefault="003F5418">
            <w:pPr>
              <w:spacing w:after="120"/>
              <w:jc w:val="center"/>
              <w:rPr>
                <w:rFonts w:ascii="Arial Narrow" w:hAnsi="Arial Narrow"/>
                <w:noProof/>
                <w:color w:val="006100"/>
                <w:sz w:val="20"/>
              </w:rPr>
            </w:pPr>
          </w:p>
        </w:tc>
        <w:tc>
          <w:tcPr>
            <w:tcW w:w="993" w:type="dxa"/>
            <w:shd w:val="clear" w:color="auto" w:fill="C6EFCE"/>
            <w:noWrap/>
          </w:tcPr>
          <w:p w14:paraId="65DFE9A7"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5A1386EE"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3A2C3B71"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4DF135DE" w14:textId="77777777" w:rsidR="003F5418" w:rsidRDefault="002A6C25">
            <w:pPr>
              <w:pStyle w:val="P68B1DB1-Normal4"/>
              <w:spacing w:after="120"/>
              <w:jc w:val="center"/>
              <w:rPr>
                <w:noProof/>
              </w:rPr>
            </w:pPr>
            <w:r>
              <w:rPr>
                <w:noProof/>
              </w:rPr>
              <w:t>2025</w:t>
            </w:r>
          </w:p>
        </w:tc>
        <w:tc>
          <w:tcPr>
            <w:tcW w:w="3261" w:type="dxa"/>
            <w:shd w:val="clear" w:color="auto" w:fill="C6EFCE"/>
            <w:noWrap/>
          </w:tcPr>
          <w:p w14:paraId="39AC5AFE" w14:textId="77777777" w:rsidR="003F5418" w:rsidRDefault="002A6C25">
            <w:pPr>
              <w:pStyle w:val="P68B1DB1-Normal4"/>
              <w:spacing w:after="120"/>
              <w:rPr>
                <w:noProof/>
              </w:rPr>
            </w:pPr>
            <w:r>
              <w:rPr>
                <w:noProof/>
              </w:rPr>
              <w:t>Létrejön és működőképessé válik a megújuló energiaforrások telepítésével és telepítésével kapcsolatos valamennyi engedély megszerzésére szolg</w:t>
            </w:r>
            <w:r>
              <w:rPr>
                <w:noProof/>
              </w:rPr>
              <w:t>áló egyablakos digitális platform nemzeti és regionális szinten. Az egyszeri adatszolgáltatás elve érvényesül.</w:t>
            </w:r>
          </w:p>
        </w:tc>
      </w:tr>
      <w:tr w:rsidR="003F5418" w14:paraId="15C4D290" w14:textId="77777777">
        <w:trPr>
          <w:trHeight w:val="309"/>
        </w:trPr>
        <w:tc>
          <w:tcPr>
            <w:tcW w:w="1185" w:type="dxa"/>
            <w:shd w:val="clear" w:color="auto" w:fill="C6EFCE"/>
            <w:noWrap/>
          </w:tcPr>
          <w:p w14:paraId="376CFD94" w14:textId="77777777" w:rsidR="003F5418" w:rsidRDefault="002A6C25">
            <w:pPr>
              <w:pStyle w:val="P68B1DB1-Normal4"/>
              <w:spacing w:after="120"/>
              <w:jc w:val="center"/>
              <w:rPr>
                <w:noProof/>
              </w:rPr>
            </w:pPr>
            <w:r>
              <w:rPr>
                <w:noProof/>
              </w:rPr>
              <w:t>M7–4</w:t>
            </w:r>
          </w:p>
        </w:tc>
        <w:tc>
          <w:tcPr>
            <w:tcW w:w="1559" w:type="dxa"/>
            <w:shd w:val="clear" w:color="auto" w:fill="C6EFCE"/>
            <w:noWrap/>
          </w:tcPr>
          <w:p w14:paraId="6B48F4E0" w14:textId="77777777" w:rsidR="003F5418" w:rsidRDefault="002A6C25">
            <w:pPr>
              <w:pStyle w:val="P68B1DB1-Normal4"/>
              <w:spacing w:after="120"/>
              <w:jc w:val="center"/>
              <w:rPr>
                <w:noProof/>
              </w:rPr>
            </w:pPr>
            <w:r>
              <w:rPr>
                <w:noProof/>
              </w:rPr>
              <w:t>Reform: A környezetre káros támogatások csökkentése</w:t>
            </w:r>
          </w:p>
        </w:tc>
        <w:tc>
          <w:tcPr>
            <w:tcW w:w="1134" w:type="dxa"/>
            <w:shd w:val="clear" w:color="auto" w:fill="C6EFCE"/>
            <w:noWrap/>
          </w:tcPr>
          <w:p w14:paraId="68E7149B"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040E796B" w14:textId="77777777" w:rsidR="003F5418" w:rsidRDefault="002A6C25">
            <w:pPr>
              <w:pStyle w:val="P68B1DB1-Normal4"/>
              <w:spacing w:after="120"/>
              <w:jc w:val="center"/>
              <w:rPr>
                <w:noProof/>
              </w:rPr>
            </w:pPr>
            <w:r>
              <w:rPr>
                <w:noProof/>
              </w:rPr>
              <w:t>Kormányzati jelentés elfogadása az érdekelt felekkel a környezeti szempontból</w:t>
            </w:r>
            <w:r>
              <w:rPr>
                <w:noProof/>
              </w:rPr>
              <w:t xml:space="preserve"> káros támogatások 2030-ig történő csökkentésére vonatkozó ütemterv meghatározása érdekében folytatott kormányzati konzultáció eredményeire építve.</w:t>
            </w:r>
          </w:p>
        </w:tc>
        <w:tc>
          <w:tcPr>
            <w:tcW w:w="1984" w:type="dxa"/>
            <w:shd w:val="clear" w:color="auto" w:fill="C6EFCE"/>
            <w:noWrap/>
          </w:tcPr>
          <w:p w14:paraId="3A54C20E" w14:textId="77777777" w:rsidR="003F5418" w:rsidRDefault="002A6C25">
            <w:pPr>
              <w:pStyle w:val="P68B1DB1-Normal4"/>
              <w:spacing w:after="120"/>
              <w:jc w:val="center"/>
              <w:rPr>
                <w:noProof/>
              </w:rPr>
            </w:pPr>
            <w:r>
              <w:rPr>
                <w:noProof/>
              </w:rPr>
              <w:t>Kormányzati jelentés elfogadása</w:t>
            </w:r>
          </w:p>
        </w:tc>
        <w:tc>
          <w:tcPr>
            <w:tcW w:w="1134" w:type="dxa"/>
            <w:shd w:val="clear" w:color="auto" w:fill="C6EFCE"/>
            <w:noWrap/>
          </w:tcPr>
          <w:p w14:paraId="60A5782A" w14:textId="77777777" w:rsidR="003F5418" w:rsidRDefault="003F5418">
            <w:pPr>
              <w:spacing w:after="120"/>
              <w:jc w:val="center"/>
              <w:rPr>
                <w:rFonts w:ascii="Arial Narrow" w:hAnsi="Arial Narrow"/>
                <w:noProof/>
                <w:color w:val="006100"/>
                <w:sz w:val="20"/>
              </w:rPr>
            </w:pPr>
          </w:p>
        </w:tc>
        <w:tc>
          <w:tcPr>
            <w:tcW w:w="993" w:type="dxa"/>
            <w:shd w:val="clear" w:color="auto" w:fill="C6EFCE"/>
            <w:noWrap/>
          </w:tcPr>
          <w:p w14:paraId="46FFBE5F"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5C37178E"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88F82A5"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4493C889" w14:textId="77777777" w:rsidR="003F5418" w:rsidRDefault="002A6C25">
            <w:pPr>
              <w:pStyle w:val="P68B1DB1-Normal4"/>
              <w:spacing w:after="120"/>
              <w:jc w:val="center"/>
              <w:rPr>
                <w:noProof/>
              </w:rPr>
            </w:pPr>
            <w:r>
              <w:rPr>
                <w:noProof/>
              </w:rPr>
              <w:t>2024</w:t>
            </w:r>
          </w:p>
        </w:tc>
        <w:tc>
          <w:tcPr>
            <w:tcW w:w="3261" w:type="dxa"/>
            <w:shd w:val="clear" w:color="auto" w:fill="C6EFCE"/>
            <w:noWrap/>
          </w:tcPr>
          <w:p w14:paraId="74810C61" w14:textId="77777777" w:rsidR="003F5418" w:rsidRDefault="002A6C25">
            <w:pPr>
              <w:pStyle w:val="P68B1DB1-Normal4"/>
              <w:spacing w:after="120"/>
              <w:rPr>
                <w:noProof/>
              </w:rPr>
            </w:pPr>
            <w:r>
              <w:rPr>
                <w:noProof/>
              </w:rPr>
              <w:t xml:space="preserve">A reformnak rendelkeznie kell a környezeti szempontból káros </w:t>
            </w:r>
            <w:r>
              <w:rPr>
                <w:noProof/>
              </w:rPr>
              <w:t>támogatások 2022. évi katalógusában meghatározott, környezeti szempontból káros támogatások csökkentéséről. A jelentésben ismertetni kell az érintett érdekelt felekkel a környezeti szempontból káros támogatások fenti reformjáról folytatott konzultáció érde</w:t>
            </w:r>
            <w:r>
              <w:rPr>
                <w:noProof/>
              </w:rPr>
              <w:t>kében hozott intézkedéseket, beleértve az érdekelt felektől kapott észrevételeket is. A konzultációba bevont érdekelt feleknek magukban kell foglalniuk az érintett állami szerveket és a magánszféra érdekelt feleit.</w:t>
            </w:r>
          </w:p>
        </w:tc>
      </w:tr>
      <w:tr w:rsidR="003F5418" w14:paraId="1170266E" w14:textId="77777777">
        <w:trPr>
          <w:trHeight w:val="309"/>
        </w:trPr>
        <w:tc>
          <w:tcPr>
            <w:tcW w:w="1185" w:type="dxa"/>
            <w:shd w:val="clear" w:color="auto" w:fill="C6EFCE"/>
            <w:noWrap/>
          </w:tcPr>
          <w:p w14:paraId="3ACE9263" w14:textId="77777777" w:rsidR="003F5418" w:rsidRDefault="002A6C25">
            <w:pPr>
              <w:pStyle w:val="P68B1DB1-Normal4"/>
              <w:spacing w:after="120"/>
              <w:jc w:val="center"/>
              <w:rPr>
                <w:noProof/>
              </w:rPr>
            </w:pPr>
            <w:r>
              <w:rPr>
                <w:noProof/>
              </w:rPr>
              <w:t>M7–05</w:t>
            </w:r>
          </w:p>
        </w:tc>
        <w:tc>
          <w:tcPr>
            <w:tcW w:w="1559" w:type="dxa"/>
            <w:shd w:val="clear" w:color="auto" w:fill="C6EFCE"/>
            <w:noWrap/>
          </w:tcPr>
          <w:p w14:paraId="21D2C306" w14:textId="77777777" w:rsidR="003F5418" w:rsidRDefault="002A6C25">
            <w:pPr>
              <w:pStyle w:val="P68B1DB1-Normal4"/>
              <w:spacing w:after="120"/>
              <w:jc w:val="center"/>
              <w:rPr>
                <w:noProof/>
              </w:rPr>
            </w:pPr>
            <w:r>
              <w:rPr>
                <w:noProof/>
              </w:rPr>
              <w:t xml:space="preserve">Reform: A környezetre káros </w:t>
            </w:r>
            <w:r>
              <w:rPr>
                <w:noProof/>
              </w:rPr>
              <w:t>támogatások csökkentése</w:t>
            </w:r>
          </w:p>
        </w:tc>
        <w:tc>
          <w:tcPr>
            <w:tcW w:w="1134" w:type="dxa"/>
            <w:shd w:val="clear" w:color="auto" w:fill="C6EFCE"/>
            <w:noWrap/>
          </w:tcPr>
          <w:p w14:paraId="2D90759A"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19FC662C" w14:textId="77777777" w:rsidR="003F5418" w:rsidRDefault="002A6C25">
            <w:pPr>
              <w:pStyle w:val="P68B1DB1-Normal4"/>
              <w:spacing w:after="120"/>
              <w:jc w:val="center"/>
              <w:rPr>
                <w:noProof/>
              </w:rPr>
            </w:pPr>
            <w:r>
              <w:rPr>
                <w:noProof/>
              </w:rPr>
              <w:t>Az elsődleges és másodlagos jog hatálybalépése.</w:t>
            </w:r>
          </w:p>
        </w:tc>
        <w:tc>
          <w:tcPr>
            <w:tcW w:w="1984" w:type="dxa"/>
            <w:shd w:val="clear" w:color="auto" w:fill="C6EFCE"/>
            <w:noWrap/>
            <w:vAlign w:val="center"/>
          </w:tcPr>
          <w:p w14:paraId="02E85591" w14:textId="77777777" w:rsidR="003F5418" w:rsidRDefault="002A6C25">
            <w:pPr>
              <w:pStyle w:val="P68B1DB1-Normal4"/>
              <w:spacing w:after="120"/>
              <w:jc w:val="center"/>
              <w:rPr>
                <w:noProof/>
              </w:rPr>
            </w:pPr>
            <w:r>
              <w:rPr>
                <w:noProof/>
              </w:rPr>
              <w:t>Az elsődleges és másodlagos jog hatálybalépését feltüntető jogszabályi rendelkezés.</w:t>
            </w:r>
          </w:p>
        </w:tc>
        <w:tc>
          <w:tcPr>
            <w:tcW w:w="1134" w:type="dxa"/>
            <w:shd w:val="clear" w:color="auto" w:fill="C6EFCE"/>
            <w:noWrap/>
            <w:vAlign w:val="center"/>
          </w:tcPr>
          <w:p w14:paraId="26275C44"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4F0B6636"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35CF75E"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208A8B25"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7E08D48B"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33CECAFD" w14:textId="77777777" w:rsidR="003F5418" w:rsidRDefault="002A6C25">
            <w:pPr>
              <w:pStyle w:val="P68B1DB1-Normal4"/>
              <w:spacing w:after="120"/>
              <w:rPr>
                <w:noProof/>
              </w:rPr>
            </w:pPr>
            <w:r>
              <w:rPr>
                <w:noProof/>
              </w:rPr>
              <w:t xml:space="preserve">A környezeti szempontból káros támogatások reformjának végrehajtását a környezeti szempontból káros támogatások 2026-ban legalább 2 milliárd EUR-val történő csökkentésével kell kezdeni. </w:t>
            </w:r>
          </w:p>
          <w:p w14:paraId="1F4E145E" w14:textId="77777777" w:rsidR="003F5418" w:rsidRDefault="002A6C25">
            <w:pPr>
              <w:pStyle w:val="P68B1DB1-Normal4"/>
              <w:spacing w:after="120"/>
              <w:rPr>
                <w:noProof/>
              </w:rPr>
            </w:pPr>
            <w:r>
              <w:rPr>
                <w:noProof/>
              </w:rPr>
              <w:t>Emellett a jogszabályoknak meg kell határozniuk a környezeti szempont</w:t>
            </w:r>
            <w:r>
              <w:rPr>
                <w:noProof/>
              </w:rPr>
              <w:t>ból káros támogatások 2030-ig történő további, legalább 3,5 milliárd EUR összegű csökkentésének ütemtervét.</w:t>
            </w:r>
          </w:p>
        </w:tc>
      </w:tr>
      <w:tr w:rsidR="003F5418" w14:paraId="3374BEE0" w14:textId="77777777">
        <w:trPr>
          <w:trHeight w:val="309"/>
        </w:trPr>
        <w:tc>
          <w:tcPr>
            <w:tcW w:w="1185" w:type="dxa"/>
            <w:shd w:val="clear" w:color="auto" w:fill="C6EFCE"/>
            <w:noWrap/>
            <w:vAlign w:val="center"/>
          </w:tcPr>
          <w:p w14:paraId="167EF9FE" w14:textId="77777777" w:rsidR="003F5418" w:rsidRDefault="002A6C25">
            <w:pPr>
              <w:pStyle w:val="P68B1DB1-Normal4"/>
              <w:spacing w:after="120"/>
              <w:jc w:val="center"/>
              <w:rPr>
                <w:noProof/>
              </w:rPr>
            </w:pPr>
            <w:r>
              <w:rPr>
                <w:noProof/>
              </w:rPr>
              <w:t>M7–6. INTÉZKEDÉS</w:t>
            </w:r>
          </w:p>
        </w:tc>
        <w:tc>
          <w:tcPr>
            <w:tcW w:w="1559" w:type="dxa"/>
            <w:shd w:val="clear" w:color="auto" w:fill="C6EFCE"/>
            <w:noWrap/>
          </w:tcPr>
          <w:p w14:paraId="20494950" w14:textId="77777777" w:rsidR="003F5418" w:rsidRDefault="002A6C25">
            <w:pPr>
              <w:pStyle w:val="P68B1DB1-Normal4"/>
              <w:spacing w:after="120"/>
              <w:jc w:val="center"/>
              <w:rPr>
                <w:noProof/>
              </w:rPr>
            </w:pPr>
            <w:r>
              <w:rPr>
                <w:noProof/>
              </w:rPr>
              <w:t>Reform: A biometán gázhálózathoz való csatlakozás költségeinek csökkentése</w:t>
            </w:r>
          </w:p>
        </w:tc>
        <w:tc>
          <w:tcPr>
            <w:tcW w:w="1134" w:type="dxa"/>
            <w:shd w:val="clear" w:color="auto" w:fill="C6EFCE"/>
            <w:noWrap/>
          </w:tcPr>
          <w:p w14:paraId="368E32D7" w14:textId="77777777" w:rsidR="003F5418" w:rsidRDefault="002A6C25">
            <w:pPr>
              <w:pStyle w:val="P68B1DB1-Normal4"/>
              <w:spacing w:after="120"/>
              <w:jc w:val="center"/>
              <w:rPr>
                <w:noProof/>
              </w:rPr>
            </w:pPr>
            <w:r>
              <w:rPr>
                <w:noProof/>
              </w:rPr>
              <w:t>Mérföldkő</w:t>
            </w:r>
          </w:p>
        </w:tc>
        <w:tc>
          <w:tcPr>
            <w:tcW w:w="1418" w:type="dxa"/>
            <w:shd w:val="clear" w:color="auto" w:fill="C6EFCE"/>
            <w:noWrap/>
          </w:tcPr>
          <w:p w14:paraId="08414577" w14:textId="77777777" w:rsidR="003F5418" w:rsidRDefault="002A6C25">
            <w:pPr>
              <w:pStyle w:val="P68B1DB1-Normal4"/>
              <w:spacing w:after="120"/>
              <w:jc w:val="center"/>
              <w:rPr>
                <w:noProof/>
              </w:rPr>
            </w:pPr>
            <w:r>
              <w:rPr>
                <w:noProof/>
              </w:rPr>
              <w:t>A biometán</w:t>
            </w:r>
            <w:r>
              <w:rPr>
                <w:noProof/>
              </w:rPr>
              <w:t xml:space="preserve">-előállító üzemek gázhálózathoz való csatlakozási költségeinek csökkentésére irányuló jogszabály hatálybalépése </w:t>
            </w:r>
          </w:p>
        </w:tc>
        <w:tc>
          <w:tcPr>
            <w:tcW w:w="1984" w:type="dxa"/>
            <w:shd w:val="clear" w:color="auto" w:fill="C6EFCE"/>
            <w:noWrap/>
          </w:tcPr>
          <w:p w14:paraId="4B129429" w14:textId="77777777" w:rsidR="003F5418" w:rsidRDefault="002A6C25">
            <w:pPr>
              <w:pStyle w:val="P68B1DB1-Normal4"/>
              <w:spacing w:after="120"/>
              <w:jc w:val="center"/>
              <w:rPr>
                <w:noProof/>
              </w:rPr>
            </w:pPr>
            <w:r>
              <w:rPr>
                <w:noProof/>
              </w:rPr>
              <w:t>Az elsődleges és másodlagos jog hatálybalépését feltüntető jogszabályi rendelkezés.</w:t>
            </w:r>
          </w:p>
        </w:tc>
        <w:tc>
          <w:tcPr>
            <w:tcW w:w="1134" w:type="dxa"/>
            <w:shd w:val="clear" w:color="auto" w:fill="C6EFCE"/>
            <w:noWrap/>
          </w:tcPr>
          <w:p w14:paraId="22CACFFF" w14:textId="77777777" w:rsidR="003F5418" w:rsidRDefault="003F5418">
            <w:pPr>
              <w:spacing w:after="120"/>
              <w:jc w:val="center"/>
              <w:rPr>
                <w:rFonts w:ascii="Arial Narrow" w:hAnsi="Arial Narrow"/>
                <w:noProof/>
                <w:color w:val="006100"/>
                <w:sz w:val="20"/>
              </w:rPr>
            </w:pPr>
          </w:p>
        </w:tc>
        <w:tc>
          <w:tcPr>
            <w:tcW w:w="993" w:type="dxa"/>
            <w:shd w:val="clear" w:color="auto" w:fill="C6EFCE"/>
            <w:noWrap/>
          </w:tcPr>
          <w:p w14:paraId="599A4114" w14:textId="77777777" w:rsidR="003F5418" w:rsidRDefault="003F5418">
            <w:pPr>
              <w:spacing w:after="120"/>
              <w:jc w:val="center"/>
              <w:rPr>
                <w:rFonts w:ascii="Arial Narrow" w:hAnsi="Arial Narrow"/>
                <w:noProof/>
                <w:color w:val="006100"/>
                <w:sz w:val="20"/>
              </w:rPr>
            </w:pPr>
          </w:p>
        </w:tc>
        <w:tc>
          <w:tcPr>
            <w:tcW w:w="992" w:type="dxa"/>
            <w:shd w:val="clear" w:color="auto" w:fill="C6EFCE"/>
            <w:noWrap/>
          </w:tcPr>
          <w:p w14:paraId="0DBF7522" w14:textId="77777777" w:rsidR="003F5418" w:rsidRDefault="003F5418">
            <w:pPr>
              <w:spacing w:after="120"/>
              <w:jc w:val="center"/>
              <w:rPr>
                <w:rFonts w:ascii="Arial Narrow" w:hAnsi="Arial Narrow"/>
                <w:noProof/>
                <w:color w:val="006100"/>
                <w:sz w:val="20"/>
              </w:rPr>
            </w:pPr>
          </w:p>
        </w:tc>
        <w:tc>
          <w:tcPr>
            <w:tcW w:w="992" w:type="dxa"/>
            <w:shd w:val="clear" w:color="auto" w:fill="C6EFCE"/>
            <w:noWrap/>
          </w:tcPr>
          <w:p w14:paraId="04FD5D2A" w14:textId="77777777" w:rsidR="003F5418" w:rsidRDefault="002A6C25">
            <w:pPr>
              <w:pStyle w:val="P68B1DB1-Normal4"/>
              <w:spacing w:after="120"/>
              <w:jc w:val="center"/>
              <w:rPr>
                <w:noProof/>
              </w:rPr>
            </w:pPr>
            <w:r>
              <w:rPr>
                <w:noProof/>
              </w:rPr>
              <w:t>Q3</w:t>
            </w:r>
          </w:p>
        </w:tc>
        <w:tc>
          <w:tcPr>
            <w:tcW w:w="709" w:type="dxa"/>
            <w:shd w:val="clear" w:color="auto" w:fill="C6EFCE"/>
            <w:noWrap/>
          </w:tcPr>
          <w:p w14:paraId="06EBD680" w14:textId="77777777" w:rsidR="003F5418" w:rsidRDefault="002A6C25">
            <w:pPr>
              <w:pStyle w:val="P68B1DB1-Normal4"/>
              <w:spacing w:after="120"/>
              <w:jc w:val="center"/>
              <w:rPr>
                <w:noProof/>
              </w:rPr>
            </w:pPr>
            <w:r>
              <w:rPr>
                <w:noProof/>
              </w:rPr>
              <w:t>2025</w:t>
            </w:r>
          </w:p>
        </w:tc>
        <w:tc>
          <w:tcPr>
            <w:tcW w:w="3261" w:type="dxa"/>
            <w:shd w:val="clear" w:color="auto" w:fill="C6EFCE"/>
            <w:noWrap/>
          </w:tcPr>
          <w:p w14:paraId="20908F7E" w14:textId="77777777" w:rsidR="003F5418" w:rsidRDefault="002A6C25">
            <w:pPr>
              <w:pStyle w:val="P68B1DB1-Normal4"/>
              <w:spacing w:after="120"/>
              <w:rPr>
                <w:noProof/>
              </w:rPr>
            </w:pPr>
            <w:r>
              <w:rPr>
                <w:noProof/>
              </w:rPr>
              <w:t>A jogszabály:</w:t>
            </w:r>
          </w:p>
          <w:p w14:paraId="64DDA7F1" w14:textId="77777777" w:rsidR="003F5418" w:rsidRDefault="002A6C25">
            <w:pPr>
              <w:pStyle w:val="P68B1DB1-ListParagraph5"/>
              <w:numPr>
                <w:ilvl w:val="3"/>
                <w:numId w:val="23"/>
              </w:numPr>
              <w:spacing w:before="0"/>
              <w:ind w:left="382"/>
              <w:contextualSpacing w:val="0"/>
              <w:rPr>
                <w:noProof/>
              </w:rPr>
            </w:pPr>
            <w:r>
              <w:rPr>
                <w:noProof/>
              </w:rPr>
              <w:t xml:space="preserve">A biometán-előállító üzemek </w:t>
            </w:r>
            <w:r>
              <w:rPr>
                <w:noProof/>
              </w:rPr>
              <w:t>gázhálózathoz való csatlakozási költségeinek csökkentése a termelő számára.</w:t>
            </w:r>
          </w:p>
          <w:p w14:paraId="2680BA38" w14:textId="77777777" w:rsidR="003F5418" w:rsidRDefault="002A6C25">
            <w:pPr>
              <w:pStyle w:val="P68B1DB1-ListParagraph5"/>
              <w:numPr>
                <w:ilvl w:val="3"/>
                <w:numId w:val="23"/>
              </w:numPr>
              <w:spacing w:before="0"/>
              <w:ind w:left="382"/>
              <w:contextualSpacing w:val="0"/>
              <w:rPr>
                <w:noProof/>
              </w:rPr>
            </w:pPr>
            <w:r>
              <w:rPr>
                <w:noProof/>
              </w:rPr>
              <w:t xml:space="preserve">Szabályozási ösztönzők biztosítása a gázhálózatba történő beruházásokhoz a megújuló gázok fejlesztése érdekében. </w:t>
            </w:r>
          </w:p>
        </w:tc>
      </w:tr>
      <w:tr w:rsidR="003F5418" w14:paraId="460B9B11" w14:textId="77777777">
        <w:trPr>
          <w:trHeight w:val="309"/>
        </w:trPr>
        <w:tc>
          <w:tcPr>
            <w:tcW w:w="1185" w:type="dxa"/>
            <w:shd w:val="clear" w:color="auto" w:fill="C6EFCE"/>
            <w:noWrap/>
            <w:vAlign w:val="center"/>
          </w:tcPr>
          <w:p w14:paraId="20CB6A9F" w14:textId="77777777" w:rsidR="003F5418" w:rsidRDefault="002A6C25">
            <w:pPr>
              <w:pStyle w:val="P68B1DB1-Normal4"/>
              <w:spacing w:after="120"/>
              <w:jc w:val="center"/>
              <w:rPr>
                <w:noProof/>
              </w:rPr>
            </w:pPr>
            <w:r>
              <w:rPr>
                <w:noProof/>
              </w:rPr>
              <w:t>M7–7</w:t>
            </w:r>
          </w:p>
        </w:tc>
        <w:tc>
          <w:tcPr>
            <w:tcW w:w="1559" w:type="dxa"/>
            <w:shd w:val="clear" w:color="auto" w:fill="C6EFCE"/>
            <w:noWrap/>
            <w:vAlign w:val="center"/>
          </w:tcPr>
          <w:p w14:paraId="36C62809" w14:textId="77777777" w:rsidR="003F5418" w:rsidRDefault="002A6C25">
            <w:pPr>
              <w:pStyle w:val="P68B1DB1-Normal4"/>
              <w:spacing w:after="120"/>
              <w:jc w:val="center"/>
              <w:rPr>
                <w:noProof/>
              </w:rPr>
            </w:pPr>
            <w:r>
              <w:rPr>
                <w:noProof/>
              </w:rPr>
              <w:t>Reform: A megújuló energiavásárlási megállapodásokhoz (Power</w:t>
            </w:r>
            <w:r>
              <w:rPr>
                <w:noProof/>
              </w:rPr>
              <w:t xml:space="preserve"> Purchase Agreement) kapcsolódó pénzügyi kockázat csökkentése</w:t>
            </w:r>
          </w:p>
        </w:tc>
        <w:tc>
          <w:tcPr>
            <w:tcW w:w="1134" w:type="dxa"/>
            <w:shd w:val="clear" w:color="auto" w:fill="C6EFCE"/>
            <w:noWrap/>
            <w:vAlign w:val="center"/>
          </w:tcPr>
          <w:p w14:paraId="6AFAA5AD"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2CB2D7D5" w14:textId="77777777" w:rsidR="003F5418" w:rsidRDefault="002A6C25">
            <w:pPr>
              <w:pStyle w:val="P68B1DB1-Normal4"/>
              <w:spacing w:after="120"/>
              <w:jc w:val="center"/>
              <w:rPr>
                <w:noProof/>
              </w:rPr>
            </w:pPr>
            <w:r>
              <w:rPr>
                <w:noProof/>
              </w:rPr>
              <w:t>Az elsődleges jog hatálybalépése</w:t>
            </w:r>
          </w:p>
        </w:tc>
        <w:tc>
          <w:tcPr>
            <w:tcW w:w="1984" w:type="dxa"/>
            <w:shd w:val="clear" w:color="auto" w:fill="C6EFCE"/>
            <w:noWrap/>
            <w:vAlign w:val="center"/>
          </w:tcPr>
          <w:p w14:paraId="640ED520" w14:textId="77777777" w:rsidR="003F5418" w:rsidRDefault="002A6C25">
            <w:pPr>
              <w:pStyle w:val="P68B1DB1-Normal4"/>
              <w:spacing w:after="120"/>
              <w:jc w:val="center"/>
              <w:rPr>
                <w:noProof/>
              </w:rPr>
            </w:pPr>
            <w:r>
              <w:rPr>
                <w:noProof/>
              </w:rPr>
              <w:t>A jogszabály hatálybalépésére vonatkozó rendelkezés a jogszabályban</w:t>
            </w:r>
          </w:p>
        </w:tc>
        <w:tc>
          <w:tcPr>
            <w:tcW w:w="1134" w:type="dxa"/>
            <w:shd w:val="clear" w:color="auto" w:fill="C6EFCE"/>
            <w:noWrap/>
            <w:vAlign w:val="center"/>
          </w:tcPr>
          <w:p w14:paraId="28132928"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021EB907"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6FACFEAF"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5AB361CE" w14:textId="77777777" w:rsidR="003F5418" w:rsidRDefault="002A6C25">
            <w:pPr>
              <w:pStyle w:val="P68B1DB1-Normal4"/>
              <w:spacing w:after="120"/>
              <w:jc w:val="center"/>
              <w:rPr>
                <w:noProof/>
              </w:rPr>
            </w:pPr>
            <w:r>
              <w:rPr>
                <w:noProof/>
              </w:rPr>
              <w:t>Q3</w:t>
            </w:r>
          </w:p>
        </w:tc>
        <w:tc>
          <w:tcPr>
            <w:tcW w:w="709" w:type="dxa"/>
            <w:shd w:val="clear" w:color="auto" w:fill="C6EFCE"/>
            <w:noWrap/>
            <w:vAlign w:val="center"/>
          </w:tcPr>
          <w:p w14:paraId="2EBC11B3"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7FFFCF26" w14:textId="77777777" w:rsidR="003F5418" w:rsidRDefault="002A6C25">
            <w:pPr>
              <w:pStyle w:val="P68B1DB1-Normal4"/>
              <w:spacing w:after="120"/>
              <w:rPr>
                <w:noProof/>
              </w:rPr>
            </w:pPr>
            <w:r>
              <w:rPr>
                <w:noProof/>
              </w:rPr>
              <w:t>Az elsődleges jog hatálybalépése. Az elsődleges jog:</w:t>
            </w:r>
          </w:p>
          <w:p w14:paraId="13BADDD1" w14:textId="77777777" w:rsidR="003F5418" w:rsidRDefault="002A6C25">
            <w:pPr>
              <w:pStyle w:val="P68B1DB1-ListParagraph5"/>
              <w:numPr>
                <w:ilvl w:val="0"/>
                <w:numId w:val="37"/>
              </w:numPr>
              <w:spacing w:before="0"/>
              <w:ind w:left="301" w:hanging="284"/>
              <w:contextualSpacing w:val="0"/>
              <w:rPr>
                <w:noProof/>
              </w:rPr>
            </w:pPr>
            <w:r>
              <w:rPr>
                <w:noProof/>
              </w:rPr>
              <w:t xml:space="preserve">annak előírása minden üzemeltető számára, hogy a villamosenergia-piacon biztosított garanciaeszközök révén garantálja a villamosenergia-vásárlási megállapodások ellenértékének részleges fedezését; </w:t>
            </w:r>
          </w:p>
          <w:p w14:paraId="02DC5BE5" w14:textId="77777777" w:rsidR="003F5418" w:rsidRDefault="002A6C25">
            <w:pPr>
              <w:pStyle w:val="P68B1DB1-ListParagraph5"/>
              <w:numPr>
                <w:ilvl w:val="0"/>
                <w:numId w:val="37"/>
              </w:numPr>
              <w:spacing w:before="0"/>
              <w:ind w:left="301" w:hanging="284"/>
              <w:contextualSpacing w:val="0"/>
              <w:rPr>
                <w:noProof/>
              </w:rPr>
            </w:pPr>
            <w:r>
              <w:rPr>
                <w:noProof/>
              </w:rPr>
              <w:t>a nemteljesítés kockázatának csökkentésére irányuló intézk</w:t>
            </w:r>
            <w:r>
              <w:rPr>
                <w:noProof/>
              </w:rPr>
              <w:t>edések bevezetése, beleértve az ajánlattevőre vonatkozó követelményeket és korlátozásokat, valamint a gyártó nemteljesítése esetén alkalmazandó szabályozási szankciókat</w:t>
            </w:r>
          </w:p>
          <w:p w14:paraId="5ABDFFCF" w14:textId="77777777" w:rsidR="003F5418" w:rsidRDefault="002A6C25">
            <w:pPr>
              <w:pStyle w:val="P68B1DB1-ListParagraph5"/>
              <w:numPr>
                <w:ilvl w:val="0"/>
                <w:numId w:val="37"/>
              </w:numPr>
              <w:spacing w:before="0"/>
              <w:ind w:left="301" w:hanging="284"/>
              <w:contextualSpacing w:val="0"/>
              <w:rPr>
                <w:noProof/>
              </w:rPr>
            </w:pPr>
            <w:r>
              <w:rPr>
                <w:noProof/>
              </w:rPr>
              <w:t>meg kell határozni azt az intézményi szervezetet, amely átvállalja a végső menedékes el</w:t>
            </w:r>
            <w:r>
              <w:rPr>
                <w:noProof/>
              </w:rPr>
              <w:t>adó/vevő szerepét, és amely átvenné a csődbe jutott partnertől, és biztosítja a teljesítő partnerrel szemben vállalt kötelezettségek teljesítését.</w:t>
            </w:r>
          </w:p>
        </w:tc>
      </w:tr>
      <w:tr w:rsidR="003F5418" w14:paraId="6E298068" w14:textId="77777777">
        <w:trPr>
          <w:trHeight w:val="309"/>
        </w:trPr>
        <w:tc>
          <w:tcPr>
            <w:tcW w:w="1185" w:type="dxa"/>
            <w:shd w:val="clear" w:color="auto" w:fill="C6EFCE"/>
            <w:noWrap/>
            <w:vAlign w:val="center"/>
          </w:tcPr>
          <w:p w14:paraId="4648B71D" w14:textId="77777777" w:rsidR="003F5418" w:rsidRDefault="002A6C25">
            <w:pPr>
              <w:pStyle w:val="P68B1DB1-Normal4"/>
              <w:spacing w:after="120"/>
              <w:jc w:val="center"/>
              <w:rPr>
                <w:noProof/>
              </w:rPr>
            </w:pPr>
            <w:r>
              <w:rPr>
                <w:noProof/>
              </w:rPr>
              <w:t>M7–8</w:t>
            </w:r>
          </w:p>
        </w:tc>
        <w:tc>
          <w:tcPr>
            <w:tcW w:w="1559" w:type="dxa"/>
            <w:shd w:val="clear" w:color="auto" w:fill="C6EFCE"/>
            <w:noWrap/>
            <w:vAlign w:val="center"/>
          </w:tcPr>
          <w:p w14:paraId="6EA5A880" w14:textId="77777777" w:rsidR="003F5418" w:rsidRDefault="002A6C25">
            <w:pPr>
              <w:pStyle w:val="P68B1DB1-Normal4"/>
              <w:spacing w:after="120"/>
              <w:jc w:val="center"/>
              <w:rPr>
                <w:noProof/>
              </w:rPr>
            </w:pPr>
            <w:r>
              <w:rPr>
                <w:noProof/>
              </w:rPr>
              <w:t xml:space="preserve">Reform: A megújuló energiavásárlási megállapodásokhoz (Power Purchase Agreement) kapcsolódó pénzügyi </w:t>
            </w:r>
            <w:r>
              <w:rPr>
                <w:noProof/>
              </w:rPr>
              <w:t>kockázat csökkentése</w:t>
            </w:r>
          </w:p>
        </w:tc>
        <w:tc>
          <w:tcPr>
            <w:tcW w:w="1134" w:type="dxa"/>
            <w:shd w:val="clear" w:color="auto" w:fill="C6EFCE"/>
            <w:noWrap/>
            <w:vAlign w:val="center"/>
          </w:tcPr>
          <w:p w14:paraId="643E35F3"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41A8AA6E" w14:textId="77777777" w:rsidR="003F5418" w:rsidRDefault="002A6C25">
            <w:pPr>
              <w:pStyle w:val="P68B1DB1-Normal4"/>
              <w:spacing w:after="120"/>
              <w:jc w:val="center"/>
              <w:rPr>
                <w:noProof/>
              </w:rPr>
            </w:pPr>
            <w:r>
              <w:rPr>
                <w:noProof/>
              </w:rPr>
              <w:t>A másodlagos jog hatálybalépése</w:t>
            </w:r>
          </w:p>
        </w:tc>
        <w:tc>
          <w:tcPr>
            <w:tcW w:w="1984" w:type="dxa"/>
            <w:shd w:val="clear" w:color="auto" w:fill="C6EFCE"/>
            <w:noWrap/>
            <w:vAlign w:val="center"/>
          </w:tcPr>
          <w:p w14:paraId="7E9F212A" w14:textId="77777777" w:rsidR="003F5418" w:rsidRDefault="002A6C25">
            <w:pPr>
              <w:pStyle w:val="P68B1DB1-Normal4"/>
              <w:spacing w:after="120"/>
              <w:jc w:val="center"/>
              <w:rPr>
                <w:noProof/>
              </w:rPr>
            </w:pPr>
            <w:r>
              <w:rPr>
                <w:noProof/>
              </w:rPr>
              <w:t>A másodlagos jog hatálybalépését feltüntető jogszabályi rendelkezés</w:t>
            </w:r>
          </w:p>
        </w:tc>
        <w:tc>
          <w:tcPr>
            <w:tcW w:w="1134" w:type="dxa"/>
            <w:shd w:val="clear" w:color="auto" w:fill="C6EFCE"/>
            <w:noWrap/>
            <w:vAlign w:val="center"/>
          </w:tcPr>
          <w:p w14:paraId="39C834FB"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50A54A3D"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701DE3D1"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5B9CB14"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03B08560"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25F975D0" w14:textId="77777777" w:rsidR="003F5418" w:rsidRDefault="002A6C25">
            <w:pPr>
              <w:pStyle w:val="P68B1DB1-Normal4"/>
              <w:spacing w:after="120"/>
              <w:rPr>
                <w:noProof/>
              </w:rPr>
            </w:pPr>
            <w:r>
              <w:rPr>
                <w:noProof/>
              </w:rPr>
              <w:t>Az elsődleges jogszabályok végrehajtását biztosító valamennyi másodlagos jogszabály hatálybalépése.</w:t>
            </w:r>
          </w:p>
        </w:tc>
      </w:tr>
      <w:tr w:rsidR="003F5418" w14:paraId="6EDBE4CC" w14:textId="77777777">
        <w:trPr>
          <w:trHeight w:val="309"/>
        </w:trPr>
        <w:tc>
          <w:tcPr>
            <w:tcW w:w="1185" w:type="dxa"/>
            <w:shd w:val="clear" w:color="auto" w:fill="C6EFCE"/>
            <w:noWrap/>
            <w:vAlign w:val="center"/>
          </w:tcPr>
          <w:p w14:paraId="492FF970" w14:textId="77777777" w:rsidR="003F5418" w:rsidRDefault="002A6C25">
            <w:pPr>
              <w:pStyle w:val="P68B1DB1-Normal4"/>
              <w:spacing w:after="120"/>
              <w:jc w:val="center"/>
              <w:rPr>
                <w:noProof/>
              </w:rPr>
            </w:pPr>
            <w:r>
              <w:rPr>
                <w:noProof/>
              </w:rPr>
              <w:t>M7–9</w:t>
            </w:r>
          </w:p>
        </w:tc>
        <w:tc>
          <w:tcPr>
            <w:tcW w:w="1559" w:type="dxa"/>
            <w:shd w:val="clear" w:color="auto" w:fill="C6EFCE"/>
            <w:noWrap/>
            <w:vAlign w:val="center"/>
          </w:tcPr>
          <w:p w14:paraId="508107A4" w14:textId="77777777" w:rsidR="003F5418" w:rsidRDefault="002A6C25">
            <w:pPr>
              <w:pStyle w:val="P68B1DB1-Normal4"/>
              <w:spacing w:after="120"/>
              <w:jc w:val="center"/>
              <w:rPr>
                <w:noProof/>
              </w:rPr>
            </w:pPr>
            <w:r>
              <w:rPr>
                <w:noProof/>
              </w:rPr>
              <w:t xml:space="preserve">Reform: </w:t>
            </w:r>
            <w:r>
              <w:rPr>
                <w:noProof/>
              </w:rPr>
              <w:t>Új készségekre vonatkozó terv – Átállások</w:t>
            </w:r>
          </w:p>
        </w:tc>
        <w:tc>
          <w:tcPr>
            <w:tcW w:w="1134" w:type="dxa"/>
            <w:shd w:val="clear" w:color="auto" w:fill="C6EFCE"/>
            <w:noWrap/>
            <w:vAlign w:val="center"/>
          </w:tcPr>
          <w:p w14:paraId="010F0323"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37F8000D" w14:textId="77777777" w:rsidR="003F5418" w:rsidRDefault="002A6C25">
            <w:pPr>
              <w:pStyle w:val="P68B1DB1-Normal4"/>
              <w:spacing w:after="120"/>
              <w:jc w:val="center"/>
              <w:rPr>
                <w:noProof/>
              </w:rPr>
            </w:pPr>
            <w:r>
              <w:rPr>
                <w:noProof/>
              </w:rPr>
              <w:t>Az új készségfejlesztési terv elfogadása és közzététele – Átállások és a végrehajtási ütemterv</w:t>
            </w:r>
          </w:p>
        </w:tc>
        <w:tc>
          <w:tcPr>
            <w:tcW w:w="1984" w:type="dxa"/>
            <w:shd w:val="clear" w:color="auto" w:fill="C6EFCE"/>
            <w:noWrap/>
            <w:vAlign w:val="center"/>
          </w:tcPr>
          <w:p w14:paraId="4026BE40" w14:textId="77777777" w:rsidR="003F5418" w:rsidRDefault="002A6C25">
            <w:pPr>
              <w:pStyle w:val="P68B1DB1-Normal4"/>
              <w:spacing w:after="120"/>
              <w:jc w:val="center"/>
              <w:rPr>
                <w:noProof/>
              </w:rPr>
            </w:pPr>
            <w:r>
              <w:rPr>
                <w:noProof/>
              </w:rPr>
              <w:t>A terv és az ütemterv elfogadása</w:t>
            </w:r>
          </w:p>
        </w:tc>
        <w:tc>
          <w:tcPr>
            <w:tcW w:w="1134" w:type="dxa"/>
            <w:shd w:val="clear" w:color="auto" w:fill="C6EFCE"/>
            <w:noWrap/>
            <w:vAlign w:val="center"/>
          </w:tcPr>
          <w:p w14:paraId="295D8627"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03F04509"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33952CF5"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7CEA7FCD" w14:textId="77777777" w:rsidR="003F5418" w:rsidRDefault="002A6C25">
            <w:pPr>
              <w:pStyle w:val="P68B1DB1-Normal4"/>
              <w:spacing w:after="120"/>
              <w:jc w:val="center"/>
              <w:rPr>
                <w:noProof/>
              </w:rPr>
            </w:pPr>
            <w:r>
              <w:rPr>
                <w:noProof/>
              </w:rPr>
              <w:t>Q1</w:t>
            </w:r>
          </w:p>
        </w:tc>
        <w:tc>
          <w:tcPr>
            <w:tcW w:w="709" w:type="dxa"/>
            <w:shd w:val="clear" w:color="auto" w:fill="C6EFCE"/>
            <w:noWrap/>
            <w:vAlign w:val="center"/>
          </w:tcPr>
          <w:p w14:paraId="4B35E2A5"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6D44A17D" w14:textId="77777777" w:rsidR="003F5418" w:rsidRDefault="002A6C25">
            <w:pPr>
              <w:pStyle w:val="P68B1DB1-Normal4"/>
              <w:spacing w:after="120"/>
              <w:rPr>
                <w:noProof/>
              </w:rPr>
            </w:pPr>
            <w:r>
              <w:rPr>
                <w:noProof/>
              </w:rPr>
              <w:t xml:space="preserve">Módosul a 2021. december 14-i rendelettel elfogadott és a 2021. </w:t>
            </w:r>
            <w:r>
              <w:rPr>
                <w:noProof/>
              </w:rPr>
              <w:t>december 28-i Gazzetta ufficiale n.307 számában közzétett „Piano Nuove Competenze” (Piano Nuove Competenze), és hatályba lép az új átállási készségterv. A terv tartalmazza a regionális jogszabályokban részletesebben meghatározandó általános elveket, amelye</w:t>
            </w:r>
            <w:r>
              <w:rPr>
                <w:noProof/>
              </w:rPr>
              <w:t>k a következőket foglalják magukban:</w:t>
            </w:r>
          </w:p>
          <w:p w14:paraId="7CF43889" w14:textId="77777777" w:rsidR="003F5418" w:rsidRDefault="002A6C25">
            <w:pPr>
              <w:pStyle w:val="P68B1DB1-ListParagraph5"/>
              <w:numPr>
                <w:ilvl w:val="0"/>
                <w:numId w:val="34"/>
              </w:numPr>
              <w:spacing w:before="0"/>
              <w:ind w:left="382" w:hanging="142"/>
              <w:rPr>
                <w:noProof/>
              </w:rPr>
            </w:pPr>
            <w:r>
              <w:rPr>
                <w:noProof/>
              </w:rPr>
              <w:t xml:space="preserve">a magánszektor nagyobb mértékű bevonása a képzési szolgáltatásokba, </w:t>
            </w:r>
          </w:p>
          <w:p w14:paraId="4029D0FD" w14:textId="77777777" w:rsidR="003F5418" w:rsidRDefault="002A6C25">
            <w:pPr>
              <w:pStyle w:val="P68B1DB1-ListParagraph5"/>
              <w:numPr>
                <w:ilvl w:val="0"/>
                <w:numId w:val="34"/>
              </w:numPr>
              <w:spacing w:before="0"/>
              <w:ind w:left="382" w:hanging="142"/>
              <w:contextualSpacing w:val="0"/>
              <w:rPr>
                <w:noProof/>
              </w:rPr>
            </w:pPr>
            <w:r>
              <w:rPr>
                <w:noProof/>
              </w:rPr>
              <w:t xml:space="preserve">a munkahelyi képzés és a mikrotanúsítványok jobb elismerése, </w:t>
            </w:r>
          </w:p>
          <w:p w14:paraId="1F433F12" w14:textId="77777777" w:rsidR="003F5418" w:rsidRDefault="002A6C25">
            <w:pPr>
              <w:pStyle w:val="P68B1DB1-ListParagraph5"/>
              <w:numPr>
                <w:ilvl w:val="0"/>
                <w:numId w:val="34"/>
              </w:numPr>
              <w:spacing w:before="0"/>
              <w:ind w:left="382" w:hanging="142"/>
              <w:contextualSpacing w:val="0"/>
              <w:rPr>
                <w:noProof/>
              </w:rPr>
            </w:pPr>
            <w:r>
              <w:rPr>
                <w:noProof/>
              </w:rPr>
              <w:t>alaposabb előzetes munkaerőpiaci elemzés és a képzés foglalkozási hatásainak nyomon köve</w:t>
            </w:r>
            <w:r>
              <w:rPr>
                <w:noProof/>
              </w:rPr>
              <w:t xml:space="preserve">tése. </w:t>
            </w:r>
          </w:p>
          <w:p w14:paraId="71D7621D" w14:textId="77777777" w:rsidR="003F5418" w:rsidRDefault="002A6C25">
            <w:pPr>
              <w:pStyle w:val="P68B1DB1-Normal4"/>
              <w:spacing w:after="120"/>
              <w:rPr>
                <w:noProof/>
              </w:rPr>
            </w:pPr>
            <w:r>
              <w:rPr>
                <w:noProof/>
              </w:rPr>
              <w:t>Végrehajtási ütemtervet is elfogadtak.</w:t>
            </w:r>
          </w:p>
        </w:tc>
      </w:tr>
      <w:tr w:rsidR="003F5418" w14:paraId="142ECF6F" w14:textId="77777777">
        <w:trPr>
          <w:trHeight w:val="309"/>
        </w:trPr>
        <w:tc>
          <w:tcPr>
            <w:tcW w:w="1185" w:type="dxa"/>
            <w:shd w:val="clear" w:color="auto" w:fill="C6EFCE"/>
            <w:noWrap/>
            <w:vAlign w:val="center"/>
          </w:tcPr>
          <w:p w14:paraId="04E56677" w14:textId="77777777" w:rsidR="003F5418" w:rsidRDefault="002A6C25">
            <w:pPr>
              <w:pStyle w:val="P68B1DB1-Normal4"/>
              <w:spacing w:after="120"/>
              <w:jc w:val="center"/>
              <w:rPr>
                <w:noProof/>
              </w:rPr>
            </w:pPr>
            <w:r>
              <w:rPr>
                <w:noProof/>
              </w:rPr>
              <w:t>7–10. INTÉZKEDÉS</w:t>
            </w:r>
          </w:p>
        </w:tc>
        <w:tc>
          <w:tcPr>
            <w:tcW w:w="1559" w:type="dxa"/>
            <w:shd w:val="clear" w:color="auto" w:fill="C6EFCE"/>
            <w:noWrap/>
            <w:vAlign w:val="center"/>
          </w:tcPr>
          <w:p w14:paraId="6F989C8C" w14:textId="77777777" w:rsidR="003F5418" w:rsidRDefault="002A6C25">
            <w:pPr>
              <w:pStyle w:val="P68B1DB1-Normal4"/>
              <w:spacing w:after="120"/>
              <w:jc w:val="center"/>
              <w:rPr>
                <w:noProof/>
              </w:rPr>
            </w:pPr>
            <w:r>
              <w:rPr>
                <w:noProof/>
              </w:rPr>
              <w:t>Reform: Új készségekre vonatkozó terv – Átállások</w:t>
            </w:r>
          </w:p>
        </w:tc>
        <w:tc>
          <w:tcPr>
            <w:tcW w:w="1134" w:type="dxa"/>
            <w:shd w:val="clear" w:color="auto" w:fill="C6EFCE"/>
            <w:noWrap/>
            <w:vAlign w:val="center"/>
          </w:tcPr>
          <w:p w14:paraId="4CBAA556"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2F65C576" w14:textId="77777777" w:rsidR="003F5418" w:rsidRDefault="002A6C25">
            <w:pPr>
              <w:pStyle w:val="P68B1DB1-Normal4"/>
              <w:spacing w:after="120"/>
              <w:jc w:val="center"/>
              <w:rPr>
                <w:noProof/>
              </w:rPr>
            </w:pPr>
            <w:r>
              <w:rPr>
                <w:noProof/>
              </w:rPr>
              <w:t>A regionális jogszabályok hatálybalépése</w:t>
            </w:r>
          </w:p>
        </w:tc>
        <w:tc>
          <w:tcPr>
            <w:tcW w:w="1984" w:type="dxa"/>
            <w:shd w:val="clear" w:color="auto" w:fill="C6EFCE"/>
            <w:noWrap/>
            <w:vAlign w:val="center"/>
          </w:tcPr>
          <w:p w14:paraId="6E5504F3" w14:textId="77777777" w:rsidR="003F5418" w:rsidRDefault="002A6C25">
            <w:pPr>
              <w:pStyle w:val="P68B1DB1-Normal4"/>
              <w:spacing w:after="120"/>
              <w:jc w:val="center"/>
              <w:rPr>
                <w:noProof/>
              </w:rPr>
            </w:pPr>
            <w:r>
              <w:rPr>
                <w:noProof/>
              </w:rPr>
              <w:t>A regionális törvények hatálybalépését feltüntető törvényi rendelkezés</w:t>
            </w:r>
          </w:p>
        </w:tc>
        <w:tc>
          <w:tcPr>
            <w:tcW w:w="1134" w:type="dxa"/>
            <w:shd w:val="clear" w:color="auto" w:fill="C6EFCE"/>
            <w:noWrap/>
            <w:vAlign w:val="center"/>
          </w:tcPr>
          <w:p w14:paraId="4EABCA40"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2F7AC95A"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148B3BD8"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3C837F26" w14:textId="77777777" w:rsidR="003F5418" w:rsidRDefault="002A6C25">
            <w:pPr>
              <w:pStyle w:val="P68B1DB1-Normal4"/>
              <w:spacing w:after="120"/>
              <w:jc w:val="center"/>
              <w:rPr>
                <w:noProof/>
              </w:rPr>
            </w:pPr>
            <w:r>
              <w:rPr>
                <w:noProof/>
              </w:rPr>
              <w:t>Q3</w:t>
            </w:r>
          </w:p>
        </w:tc>
        <w:tc>
          <w:tcPr>
            <w:tcW w:w="709" w:type="dxa"/>
            <w:shd w:val="clear" w:color="auto" w:fill="C6EFCE"/>
            <w:noWrap/>
            <w:vAlign w:val="center"/>
          </w:tcPr>
          <w:p w14:paraId="1BB198B1"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073B8782" w14:textId="77777777" w:rsidR="003F5418" w:rsidRDefault="002A6C25">
            <w:pPr>
              <w:pStyle w:val="P68B1DB1-Normal4"/>
              <w:spacing w:after="120"/>
              <w:rPr>
                <w:noProof/>
              </w:rPr>
            </w:pPr>
            <w:r>
              <w:rPr>
                <w:noProof/>
              </w:rPr>
              <w:t xml:space="preserve">A </w:t>
            </w:r>
            <w:r>
              <w:rPr>
                <w:noProof/>
              </w:rPr>
              <w:t>regionális jogszabályok hatálybalépése.</w:t>
            </w:r>
          </w:p>
          <w:p w14:paraId="11CA4B77" w14:textId="77777777" w:rsidR="003F5418" w:rsidRDefault="002A6C25">
            <w:pPr>
              <w:pStyle w:val="P68B1DB1-Normal4"/>
              <w:spacing w:after="120"/>
              <w:rPr>
                <w:noProof/>
              </w:rPr>
            </w:pPr>
            <w:r>
              <w:rPr>
                <w:noProof/>
              </w:rPr>
              <w:t>A törvények valamennyi régióra és autonóm tartományra vonatkoznak, és bevezetik a következőket:</w:t>
            </w:r>
          </w:p>
          <w:p w14:paraId="18BDC16A" w14:textId="77777777" w:rsidR="003F5418" w:rsidRDefault="002A6C25">
            <w:pPr>
              <w:pStyle w:val="P68B1DB1-ListParagraph5"/>
              <w:numPr>
                <w:ilvl w:val="0"/>
                <w:numId w:val="35"/>
              </w:numPr>
              <w:spacing w:before="0"/>
              <w:ind w:left="382" w:hanging="283"/>
              <w:contextualSpacing w:val="0"/>
              <w:rPr>
                <w:noProof/>
              </w:rPr>
            </w:pPr>
            <w:r>
              <w:rPr>
                <w:noProof/>
              </w:rPr>
              <w:t>mechanizmusok annak biztosítására, hogy a képzési tevékenységeket a munkaerőpiac által kifejezett igények alapján tervez</w:t>
            </w:r>
            <w:r>
              <w:rPr>
                <w:noProof/>
              </w:rPr>
              <w:t xml:space="preserve">zék meg, előnyben részesítve azokat, ahol a legnagyobb a strukturális munkaerőhiány, például jóváhagyott készségfejlesztési paktumok révén; </w:t>
            </w:r>
          </w:p>
          <w:p w14:paraId="42B1C74A" w14:textId="77777777" w:rsidR="003F5418" w:rsidRDefault="002A6C25">
            <w:pPr>
              <w:pStyle w:val="P68B1DB1-ListParagraph5"/>
              <w:numPr>
                <w:ilvl w:val="0"/>
                <w:numId w:val="35"/>
              </w:numPr>
              <w:spacing w:before="0"/>
              <w:ind w:left="382" w:hanging="283"/>
              <w:contextualSpacing w:val="0"/>
              <w:rPr>
                <w:noProof/>
              </w:rPr>
            </w:pPr>
            <w:r>
              <w:rPr>
                <w:noProof/>
              </w:rPr>
              <w:t xml:space="preserve">a becsült foglalkoztatási eredmények képzési hirdetményekben és hirdetményekben való feltüntetésére vonatkozó </w:t>
            </w:r>
            <w:r>
              <w:rPr>
                <w:noProof/>
              </w:rPr>
              <w:t>kötelezettség;</w:t>
            </w:r>
          </w:p>
          <w:p w14:paraId="39373C2C" w14:textId="77777777" w:rsidR="003F5418" w:rsidRDefault="002A6C25">
            <w:pPr>
              <w:pStyle w:val="P68B1DB1-ListParagraph5"/>
              <w:numPr>
                <w:ilvl w:val="0"/>
                <w:numId w:val="35"/>
              </w:numPr>
              <w:spacing w:before="0"/>
              <w:ind w:left="382" w:hanging="283"/>
              <w:contextualSpacing w:val="0"/>
              <w:rPr>
                <w:noProof/>
              </w:rPr>
            </w:pPr>
            <w:r>
              <w:rPr>
                <w:noProof/>
              </w:rPr>
              <w:t>a vállalaton belüli képzés elismerése;</w:t>
            </w:r>
          </w:p>
          <w:p w14:paraId="170C391B" w14:textId="77777777" w:rsidR="003F5418" w:rsidRDefault="002A6C25">
            <w:pPr>
              <w:pStyle w:val="P68B1DB1-ListParagraph5"/>
              <w:numPr>
                <w:ilvl w:val="0"/>
                <w:numId w:val="35"/>
              </w:numPr>
              <w:spacing w:before="0"/>
              <w:ind w:left="382" w:hanging="283"/>
              <w:contextualSpacing w:val="0"/>
              <w:rPr>
                <w:noProof/>
              </w:rPr>
            </w:pPr>
            <w:r>
              <w:rPr>
                <w:noProof/>
              </w:rPr>
              <w:t>a megszerzett készségek és a rövid képzések (az úgynevezett mikrotanúsítványok) elismerése;</w:t>
            </w:r>
          </w:p>
          <w:p w14:paraId="4AF78179" w14:textId="77777777" w:rsidR="003F5418" w:rsidRDefault="002A6C25">
            <w:pPr>
              <w:pStyle w:val="P68B1DB1-ListParagraph5"/>
              <w:numPr>
                <w:ilvl w:val="0"/>
                <w:numId w:val="35"/>
              </w:numPr>
              <w:spacing w:before="0"/>
              <w:ind w:left="382" w:hanging="283"/>
              <w:contextualSpacing w:val="0"/>
              <w:rPr>
                <w:noProof/>
              </w:rPr>
            </w:pPr>
            <w:r>
              <w:rPr>
                <w:noProof/>
              </w:rPr>
              <w:t>A magán társfinanszírozást ösztönző mechanizmusok.</w:t>
            </w:r>
          </w:p>
        </w:tc>
      </w:tr>
      <w:tr w:rsidR="003F5418" w14:paraId="71643126" w14:textId="77777777">
        <w:trPr>
          <w:trHeight w:val="309"/>
        </w:trPr>
        <w:tc>
          <w:tcPr>
            <w:tcW w:w="1185" w:type="dxa"/>
            <w:shd w:val="clear" w:color="auto" w:fill="C6EFCE"/>
            <w:noWrap/>
            <w:vAlign w:val="center"/>
          </w:tcPr>
          <w:p w14:paraId="62D88BF2" w14:textId="77777777" w:rsidR="003F5418" w:rsidRDefault="002A6C25">
            <w:pPr>
              <w:pStyle w:val="P68B1DB1-Normal4"/>
              <w:spacing w:after="120"/>
              <w:jc w:val="center"/>
              <w:rPr>
                <w:noProof/>
              </w:rPr>
            </w:pPr>
            <w:r>
              <w:rPr>
                <w:noProof/>
              </w:rPr>
              <w:t>7–11 INTÉZKEDÉS</w:t>
            </w:r>
          </w:p>
        </w:tc>
        <w:tc>
          <w:tcPr>
            <w:tcW w:w="1559" w:type="dxa"/>
            <w:shd w:val="clear" w:color="auto" w:fill="C6EFCE"/>
            <w:noWrap/>
            <w:vAlign w:val="center"/>
          </w:tcPr>
          <w:p w14:paraId="287DACB7" w14:textId="77777777" w:rsidR="003F5418" w:rsidRDefault="002A6C25">
            <w:pPr>
              <w:pStyle w:val="P68B1DB1-Normal4"/>
              <w:spacing w:after="120"/>
              <w:jc w:val="center"/>
              <w:rPr>
                <w:noProof/>
              </w:rPr>
            </w:pPr>
            <w:r>
              <w:rPr>
                <w:noProof/>
              </w:rPr>
              <w:t>Az 1. beruházást Növekedési intézkedés: Az</w:t>
            </w:r>
            <w:r>
              <w:rPr>
                <w:noProof/>
              </w:rPr>
              <w:t xml:space="preserve"> intelligens hálózatok megerősítése</w:t>
            </w:r>
          </w:p>
        </w:tc>
        <w:tc>
          <w:tcPr>
            <w:tcW w:w="1134" w:type="dxa"/>
            <w:shd w:val="clear" w:color="auto" w:fill="C6EFCE"/>
            <w:noWrap/>
            <w:vAlign w:val="center"/>
          </w:tcPr>
          <w:p w14:paraId="7857AE3C"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56C4381F" w14:textId="77777777" w:rsidR="003F5418" w:rsidRDefault="002A6C25">
            <w:pPr>
              <w:pStyle w:val="P68B1DB1-Normal4"/>
              <w:spacing w:after="120"/>
              <w:jc w:val="center"/>
              <w:rPr>
                <w:noProof/>
              </w:rPr>
            </w:pPr>
            <w:r>
              <w:rPr>
                <w:noProof/>
              </w:rPr>
              <w:t>Intelligens hálózatok – az energiafogyasztás villamosítása</w:t>
            </w:r>
          </w:p>
        </w:tc>
        <w:tc>
          <w:tcPr>
            <w:tcW w:w="1984" w:type="dxa"/>
            <w:shd w:val="clear" w:color="auto" w:fill="C6EFCE"/>
            <w:noWrap/>
            <w:vAlign w:val="center"/>
          </w:tcPr>
          <w:p w14:paraId="40A9CEB6"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4D6BE09A"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3E944E89" w14:textId="77777777" w:rsidR="003F5418" w:rsidRDefault="002A6C25">
            <w:pPr>
              <w:pStyle w:val="P68B1DB1-Normal4"/>
              <w:spacing w:after="120"/>
              <w:jc w:val="center"/>
              <w:rPr>
                <w:noProof/>
              </w:rPr>
            </w:pPr>
            <w:r>
              <w:rPr>
                <w:noProof/>
              </w:rPr>
              <w:t>1 500 000</w:t>
            </w:r>
          </w:p>
        </w:tc>
        <w:tc>
          <w:tcPr>
            <w:tcW w:w="992" w:type="dxa"/>
            <w:shd w:val="clear" w:color="auto" w:fill="C6EFCE"/>
            <w:noWrap/>
            <w:vAlign w:val="center"/>
          </w:tcPr>
          <w:p w14:paraId="5A95A866" w14:textId="77777777" w:rsidR="003F5418" w:rsidRDefault="002A6C25">
            <w:pPr>
              <w:pStyle w:val="P68B1DB1-Normal4"/>
              <w:spacing w:after="120"/>
              <w:jc w:val="center"/>
              <w:rPr>
                <w:noProof/>
              </w:rPr>
            </w:pPr>
            <w:r>
              <w:rPr>
                <w:noProof/>
              </w:rPr>
              <w:t>1 730 000</w:t>
            </w:r>
          </w:p>
        </w:tc>
        <w:tc>
          <w:tcPr>
            <w:tcW w:w="992" w:type="dxa"/>
            <w:shd w:val="clear" w:color="auto" w:fill="C6EFCE"/>
            <w:noWrap/>
            <w:vAlign w:val="center"/>
          </w:tcPr>
          <w:p w14:paraId="3A6A2799"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157DEA8E"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1A9C187D" w14:textId="77777777" w:rsidR="003F5418" w:rsidRDefault="002A6C25">
            <w:pPr>
              <w:pStyle w:val="P68B1DB1-Normal4"/>
              <w:spacing w:after="120"/>
              <w:rPr>
                <w:noProof/>
                <w:color w:val="FF0000"/>
              </w:rPr>
            </w:pPr>
            <w:r>
              <w:rPr>
                <w:noProof/>
              </w:rPr>
              <w:t>A legalább 1730000 lakost elérő energiafogyasztás villamosítása.</w:t>
            </w:r>
          </w:p>
        </w:tc>
      </w:tr>
      <w:tr w:rsidR="003F5418" w14:paraId="5EB03058" w14:textId="77777777">
        <w:trPr>
          <w:trHeight w:val="309"/>
        </w:trPr>
        <w:tc>
          <w:tcPr>
            <w:tcW w:w="1185" w:type="dxa"/>
            <w:shd w:val="clear" w:color="auto" w:fill="C6EFCE"/>
            <w:noWrap/>
            <w:vAlign w:val="center"/>
          </w:tcPr>
          <w:p w14:paraId="2BBE726C" w14:textId="77777777" w:rsidR="003F5418" w:rsidRDefault="002A6C25">
            <w:pPr>
              <w:pStyle w:val="P68B1DB1-Normal4"/>
              <w:spacing w:after="120"/>
              <w:jc w:val="center"/>
              <w:rPr>
                <w:noProof/>
              </w:rPr>
            </w:pPr>
            <w:r>
              <w:rPr>
                <w:noProof/>
              </w:rPr>
              <w:t>M7–12. INTÉZKEDÉS</w:t>
            </w:r>
          </w:p>
        </w:tc>
        <w:tc>
          <w:tcPr>
            <w:tcW w:w="1559" w:type="dxa"/>
            <w:shd w:val="clear" w:color="auto" w:fill="C6EFCE"/>
            <w:noWrap/>
            <w:vAlign w:val="center"/>
          </w:tcPr>
          <w:p w14:paraId="44385733" w14:textId="77777777" w:rsidR="003F5418" w:rsidRDefault="002A6C25">
            <w:pPr>
              <w:pStyle w:val="P68B1DB1-Normal4"/>
              <w:spacing w:after="120"/>
              <w:jc w:val="center"/>
              <w:rPr>
                <w:noProof/>
              </w:rPr>
            </w:pPr>
            <w:r>
              <w:rPr>
                <w:noProof/>
              </w:rPr>
              <w:t xml:space="preserve">A 2. beruházást Növekedési intézkedés: </w:t>
            </w:r>
            <w:r>
              <w:rPr>
                <w:noProof/>
              </w:rPr>
              <w:t>A villamosenergia-hálózat rezilienciájának növelését célzó beavatkozások</w:t>
            </w:r>
          </w:p>
        </w:tc>
        <w:tc>
          <w:tcPr>
            <w:tcW w:w="1134" w:type="dxa"/>
            <w:shd w:val="clear" w:color="auto" w:fill="C6EFCE"/>
            <w:noWrap/>
            <w:vAlign w:val="center"/>
          </w:tcPr>
          <w:p w14:paraId="407621AF"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0EF70E78" w14:textId="77777777" w:rsidR="003F5418" w:rsidRDefault="002A6C25">
            <w:pPr>
              <w:pStyle w:val="P68B1DB1-Normal4"/>
              <w:spacing w:after="120"/>
              <w:jc w:val="center"/>
              <w:rPr>
                <w:noProof/>
              </w:rPr>
            </w:pPr>
            <w:r>
              <w:rPr>
                <w:noProof/>
              </w:rPr>
              <w:t>A villamosenergia-rendszer rezilienciájának növelése</w:t>
            </w:r>
          </w:p>
        </w:tc>
        <w:tc>
          <w:tcPr>
            <w:tcW w:w="1984" w:type="dxa"/>
            <w:shd w:val="clear" w:color="auto" w:fill="C6EFCE"/>
            <w:noWrap/>
            <w:vAlign w:val="center"/>
          </w:tcPr>
          <w:p w14:paraId="36F2C78B"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1ADDF0F2"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4F713866" w14:textId="77777777" w:rsidR="003F5418" w:rsidRDefault="002A6C25">
            <w:pPr>
              <w:pStyle w:val="P68B1DB1-Normal4"/>
              <w:spacing w:after="120"/>
              <w:jc w:val="center"/>
              <w:rPr>
                <w:noProof/>
              </w:rPr>
            </w:pPr>
            <w:r>
              <w:rPr>
                <w:noProof/>
              </w:rPr>
              <w:t>4 000</w:t>
            </w:r>
          </w:p>
        </w:tc>
        <w:tc>
          <w:tcPr>
            <w:tcW w:w="992" w:type="dxa"/>
            <w:shd w:val="clear" w:color="auto" w:fill="C6EFCE"/>
            <w:noWrap/>
            <w:vAlign w:val="center"/>
          </w:tcPr>
          <w:p w14:paraId="458D7BA5" w14:textId="77777777" w:rsidR="003F5418" w:rsidRDefault="002A6C25">
            <w:pPr>
              <w:pStyle w:val="P68B1DB1-Normal4"/>
              <w:spacing w:after="120"/>
              <w:jc w:val="center"/>
              <w:rPr>
                <w:noProof/>
              </w:rPr>
            </w:pPr>
            <w:r>
              <w:rPr>
                <w:noProof/>
              </w:rPr>
              <w:t>4 648</w:t>
            </w:r>
          </w:p>
        </w:tc>
        <w:tc>
          <w:tcPr>
            <w:tcW w:w="992" w:type="dxa"/>
            <w:shd w:val="clear" w:color="auto" w:fill="C6EFCE"/>
            <w:noWrap/>
            <w:vAlign w:val="center"/>
          </w:tcPr>
          <w:p w14:paraId="5FCD3392"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5E403E94"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61ADAC19" w14:textId="77777777" w:rsidR="003F5418" w:rsidRDefault="002A6C25">
            <w:pPr>
              <w:pStyle w:val="P68B1DB1-Normal4"/>
              <w:spacing w:after="120"/>
              <w:rPr>
                <w:noProof/>
                <w:color w:val="FF0000"/>
              </w:rPr>
            </w:pPr>
            <w:r>
              <w:rPr>
                <w:noProof/>
              </w:rPr>
              <w:t>A villamosenergia-rendszer legalább 4 648 km-es rezilienciájának növelése.</w:t>
            </w:r>
          </w:p>
        </w:tc>
      </w:tr>
      <w:tr w:rsidR="003F5418" w14:paraId="2967E2A4" w14:textId="77777777">
        <w:trPr>
          <w:trHeight w:val="309"/>
        </w:trPr>
        <w:tc>
          <w:tcPr>
            <w:tcW w:w="1185" w:type="dxa"/>
            <w:shd w:val="clear" w:color="auto" w:fill="C6EFCE"/>
            <w:noWrap/>
            <w:vAlign w:val="center"/>
          </w:tcPr>
          <w:p w14:paraId="283B8413" w14:textId="77777777" w:rsidR="003F5418" w:rsidRDefault="002A6C25">
            <w:pPr>
              <w:pStyle w:val="P68B1DB1-Normal4"/>
              <w:spacing w:after="120"/>
              <w:jc w:val="center"/>
              <w:rPr>
                <w:noProof/>
              </w:rPr>
            </w:pPr>
            <w:r>
              <w:rPr>
                <w:noProof/>
              </w:rPr>
              <w:t>7–13. INTÉZKEDÉS</w:t>
            </w:r>
          </w:p>
        </w:tc>
        <w:tc>
          <w:tcPr>
            <w:tcW w:w="1559" w:type="dxa"/>
            <w:shd w:val="clear" w:color="auto" w:fill="C6EFCE"/>
            <w:noWrap/>
            <w:vAlign w:val="center"/>
          </w:tcPr>
          <w:p w14:paraId="0E469A28" w14:textId="77777777" w:rsidR="003F5418" w:rsidRDefault="002A6C25">
            <w:pPr>
              <w:pStyle w:val="P68B1DB1-Normal4"/>
              <w:spacing w:after="120"/>
              <w:jc w:val="center"/>
              <w:rPr>
                <w:noProof/>
              </w:rPr>
            </w:pPr>
            <w:r>
              <w:rPr>
                <w:noProof/>
              </w:rPr>
              <w:t>Beruházás: Növekedési intézkedés: Hidrogén előállítása barnamezős területeken (hidrogénvölgyek)</w:t>
            </w:r>
          </w:p>
        </w:tc>
        <w:tc>
          <w:tcPr>
            <w:tcW w:w="1134" w:type="dxa"/>
            <w:shd w:val="clear" w:color="auto" w:fill="C6EFCE"/>
            <w:noWrap/>
            <w:vAlign w:val="center"/>
          </w:tcPr>
          <w:p w14:paraId="4594AE6C"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73F4406B" w14:textId="77777777" w:rsidR="003F5418" w:rsidRDefault="002A6C25">
            <w:pPr>
              <w:pStyle w:val="P68B1DB1-Normal4"/>
              <w:spacing w:after="120"/>
              <w:jc w:val="center"/>
              <w:rPr>
                <w:noProof/>
              </w:rPr>
            </w:pPr>
            <w:r>
              <w:rPr>
                <w:noProof/>
              </w:rPr>
              <w:t>Az ipari területeken történő hidrogéntermeléssel kapcsolatos projekt lezárása</w:t>
            </w:r>
          </w:p>
        </w:tc>
        <w:tc>
          <w:tcPr>
            <w:tcW w:w="1984" w:type="dxa"/>
            <w:shd w:val="clear" w:color="auto" w:fill="C6EFCE"/>
            <w:noWrap/>
            <w:vAlign w:val="center"/>
          </w:tcPr>
          <w:p w14:paraId="7C584B3E"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624B8BD2"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073FF2B3" w14:textId="77777777" w:rsidR="003F5418" w:rsidRDefault="002A6C25">
            <w:pPr>
              <w:pStyle w:val="P68B1DB1-Normal4"/>
              <w:spacing w:after="120"/>
              <w:jc w:val="center"/>
              <w:rPr>
                <w:noProof/>
              </w:rPr>
            </w:pPr>
            <w:r>
              <w:rPr>
                <w:noProof/>
              </w:rPr>
              <w:t>10</w:t>
            </w:r>
          </w:p>
        </w:tc>
        <w:tc>
          <w:tcPr>
            <w:tcW w:w="992" w:type="dxa"/>
            <w:shd w:val="clear" w:color="auto" w:fill="C6EFCE"/>
            <w:noWrap/>
            <w:vAlign w:val="center"/>
          </w:tcPr>
          <w:p w14:paraId="3B4E76B9" w14:textId="77777777" w:rsidR="003F5418" w:rsidRDefault="002A6C25">
            <w:pPr>
              <w:pStyle w:val="P68B1DB1-Normal4"/>
              <w:spacing w:after="120"/>
              <w:jc w:val="center"/>
              <w:rPr>
                <w:noProof/>
              </w:rPr>
            </w:pPr>
            <w:r>
              <w:rPr>
                <w:noProof/>
              </w:rPr>
              <w:t>12</w:t>
            </w:r>
          </w:p>
        </w:tc>
        <w:tc>
          <w:tcPr>
            <w:tcW w:w="992" w:type="dxa"/>
            <w:shd w:val="clear" w:color="auto" w:fill="C6EFCE"/>
            <w:noWrap/>
            <w:vAlign w:val="center"/>
          </w:tcPr>
          <w:p w14:paraId="4C2D6BCD"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058D7417"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1EAB36F4" w14:textId="77777777" w:rsidR="003F5418" w:rsidRDefault="002A6C25">
            <w:pPr>
              <w:pStyle w:val="P68B1DB1-Normal4"/>
              <w:spacing w:after="120"/>
              <w:rPr>
                <w:noProof/>
              </w:rPr>
            </w:pPr>
            <w:r>
              <w:rPr>
                <w:noProof/>
              </w:rPr>
              <w:t xml:space="preserve">Legalább 12 hidrogéntermelési projekt befejezése elhagyott ipari területeken, egyenként legalább 1–5 MW átlagos kapacitással. </w:t>
            </w:r>
          </w:p>
        </w:tc>
      </w:tr>
      <w:tr w:rsidR="003F5418" w14:paraId="7C67AE55" w14:textId="77777777">
        <w:trPr>
          <w:trHeight w:val="309"/>
        </w:trPr>
        <w:tc>
          <w:tcPr>
            <w:tcW w:w="1185" w:type="dxa"/>
            <w:shd w:val="clear" w:color="auto" w:fill="C6EFCE"/>
            <w:noWrap/>
            <w:vAlign w:val="center"/>
          </w:tcPr>
          <w:p w14:paraId="116E89AB" w14:textId="77777777" w:rsidR="003F5418" w:rsidRDefault="002A6C25">
            <w:pPr>
              <w:pStyle w:val="P68B1DB1-Normal4"/>
              <w:spacing w:after="120"/>
              <w:jc w:val="center"/>
              <w:rPr>
                <w:noProof/>
              </w:rPr>
            </w:pPr>
            <w:r>
              <w:rPr>
                <w:noProof/>
              </w:rPr>
              <w:t>M7–14</w:t>
            </w:r>
          </w:p>
        </w:tc>
        <w:tc>
          <w:tcPr>
            <w:tcW w:w="1559" w:type="dxa"/>
            <w:shd w:val="clear" w:color="auto" w:fill="C6EFCE"/>
            <w:noWrap/>
            <w:vAlign w:val="center"/>
          </w:tcPr>
          <w:p w14:paraId="58A421A9" w14:textId="77777777" w:rsidR="003F5418" w:rsidRDefault="002A6C25">
            <w:pPr>
              <w:pStyle w:val="P68B1DB1-Normal4"/>
              <w:spacing w:after="120"/>
              <w:jc w:val="center"/>
              <w:rPr>
                <w:noProof/>
              </w:rPr>
            </w:pPr>
            <w:r>
              <w:rPr>
                <w:noProof/>
              </w:rPr>
              <w:t>Beruházás: Tirrén-féle kapcsolat</w:t>
            </w:r>
          </w:p>
        </w:tc>
        <w:tc>
          <w:tcPr>
            <w:tcW w:w="1134" w:type="dxa"/>
            <w:shd w:val="clear" w:color="auto" w:fill="C6EFCE"/>
            <w:noWrap/>
            <w:vAlign w:val="center"/>
          </w:tcPr>
          <w:p w14:paraId="2BAC479B"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0B43DEC7" w14:textId="77777777" w:rsidR="003F5418" w:rsidRDefault="002A6C25">
            <w:pPr>
              <w:pStyle w:val="P68B1DB1-Normal4"/>
              <w:spacing w:after="120"/>
              <w:jc w:val="center"/>
              <w:rPr>
                <w:noProof/>
              </w:rPr>
            </w:pPr>
            <w:r>
              <w:rPr>
                <w:noProof/>
              </w:rPr>
              <w:t>Szerződések odaítélése</w:t>
            </w:r>
          </w:p>
        </w:tc>
        <w:tc>
          <w:tcPr>
            <w:tcW w:w="1984" w:type="dxa"/>
            <w:shd w:val="clear" w:color="auto" w:fill="C6EFCE"/>
            <w:noWrap/>
            <w:vAlign w:val="center"/>
          </w:tcPr>
          <w:p w14:paraId="45C62720" w14:textId="77777777" w:rsidR="003F5418" w:rsidRDefault="002A6C25">
            <w:pPr>
              <w:pStyle w:val="P68B1DB1-Normal4"/>
              <w:spacing w:after="120"/>
              <w:jc w:val="center"/>
              <w:rPr>
                <w:noProof/>
              </w:rPr>
            </w:pPr>
            <w:r>
              <w:rPr>
                <w:noProof/>
              </w:rPr>
              <w:t>Értesítés a szerződések odaítéléséről</w:t>
            </w:r>
          </w:p>
        </w:tc>
        <w:tc>
          <w:tcPr>
            <w:tcW w:w="1134" w:type="dxa"/>
            <w:shd w:val="clear" w:color="auto" w:fill="C6EFCE"/>
            <w:noWrap/>
            <w:vAlign w:val="center"/>
          </w:tcPr>
          <w:p w14:paraId="5DD7BE41"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38AAB654"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82191E1"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AE624A8" w14:textId="77777777" w:rsidR="003F5418" w:rsidRDefault="002A6C25">
            <w:pPr>
              <w:pStyle w:val="P68B1DB1-Normal4"/>
              <w:spacing w:after="120"/>
              <w:jc w:val="center"/>
              <w:rPr>
                <w:noProof/>
              </w:rPr>
            </w:pPr>
            <w:r>
              <w:rPr>
                <w:noProof/>
              </w:rPr>
              <w:t>Q3</w:t>
            </w:r>
          </w:p>
        </w:tc>
        <w:tc>
          <w:tcPr>
            <w:tcW w:w="709" w:type="dxa"/>
            <w:shd w:val="clear" w:color="auto" w:fill="C6EFCE"/>
            <w:noWrap/>
            <w:vAlign w:val="center"/>
          </w:tcPr>
          <w:p w14:paraId="3A18F22F"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6A0FD4E8" w14:textId="77777777" w:rsidR="003F5418" w:rsidRDefault="002A6C25">
            <w:pPr>
              <w:pStyle w:val="P68B1DB1-Normal4"/>
              <w:spacing w:after="120"/>
              <w:rPr>
                <w:noProof/>
              </w:rPr>
            </w:pPr>
            <w:r>
              <w:rPr>
                <w:noProof/>
              </w:rPr>
              <w:t>Értesítés a Caracoli és az Eboli közötti 514 km hosszúságú kábelek lefektetéséhez szükséges munkálatokra vonatkozó valamennyi szerződés odaítéléséről.</w:t>
            </w:r>
          </w:p>
        </w:tc>
      </w:tr>
      <w:tr w:rsidR="003F5418" w14:paraId="62C99509" w14:textId="77777777">
        <w:trPr>
          <w:trHeight w:val="309"/>
        </w:trPr>
        <w:tc>
          <w:tcPr>
            <w:tcW w:w="1185" w:type="dxa"/>
            <w:shd w:val="clear" w:color="auto" w:fill="C6EFCE"/>
            <w:noWrap/>
            <w:vAlign w:val="center"/>
          </w:tcPr>
          <w:p w14:paraId="3097DBDB" w14:textId="77777777" w:rsidR="003F5418" w:rsidRDefault="002A6C25">
            <w:pPr>
              <w:pStyle w:val="P68B1DB1-Normal4"/>
              <w:spacing w:after="120"/>
              <w:jc w:val="center"/>
              <w:rPr>
                <w:noProof/>
              </w:rPr>
            </w:pPr>
            <w:r>
              <w:rPr>
                <w:noProof/>
              </w:rPr>
              <w:t>M7–15</w:t>
            </w:r>
          </w:p>
        </w:tc>
        <w:tc>
          <w:tcPr>
            <w:tcW w:w="1559" w:type="dxa"/>
            <w:shd w:val="clear" w:color="auto" w:fill="C6EFCE"/>
            <w:noWrap/>
            <w:vAlign w:val="center"/>
          </w:tcPr>
          <w:p w14:paraId="4CDA2677" w14:textId="77777777" w:rsidR="003F5418" w:rsidRDefault="002A6C25">
            <w:pPr>
              <w:pStyle w:val="P68B1DB1-Normal4"/>
              <w:spacing w:after="120"/>
              <w:jc w:val="center"/>
              <w:rPr>
                <w:noProof/>
              </w:rPr>
            </w:pPr>
            <w:r>
              <w:rPr>
                <w:noProof/>
              </w:rPr>
              <w:t>Beruházás: Tirrén-féle kapcsolat</w:t>
            </w:r>
          </w:p>
        </w:tc>
        <w:tc>
          <w:tcPr>
            <w:tcW w:w="1134" w:type="dxa"/>
            <w:shd w:val="clear" w:color="auto" w:fill="C6EFCE"/>
            <w:noWrap/>
            <w:vAlign w:val="center"/>
          </w:tcPr>
          <w:p w14:paraId="68028F20"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4539AE0B" w14:textId="77777777" w:rsidR="003F5418" w:rsidRDefault="002A6C25">
            <w:pPr>
              <w:pStyle w:val="P68B1DB1-Normal4"/>
              <w:spacing w:after="120"/>
              <w:jc w:val="center"/>
              <w:rPr>
                <w:noProof/>
              </w:rPr>
            </w:pPr>
            <w:r>
              <w:rPr>
                <w:noProof/>
              </w:rPr>
              <w:t>514 km kábellel</w:t>
            </w:r>
          </w:p>
        </w:tc>
        <w:tc>
          <w:tcPr>
            <w:tcW w:w="1984" w:type="dxa"/>
            <w:shd w:val="clear" w:color="auto" w:fill="C6EFCE"/>
            <w:noWrap/>
            <w:vAlign w:val="center"/>
          </w:tcPr>
          <w:p w14:paraId="50D6B9A8"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589D3DD1" w14:textId="77777777" w:rsidR="003F5418" w:rsidRDefault="002A6C25">
            <w:pPr>
              <w:pStyle w:val="P68B1DB1-Normal4"/>
              <w:spacing w:after="120"/>
              <w:jc w:val="center"/>
              <w:rPr>
                <w:noProof/>
              </w:rPr>
            </w:pPr>
            <w:r>
              <w:rPr>
                <w:noProof/>
              </w:rPr>
              <w:t>Kilométer</w:t>
            </w:r>
          </w:p>
        </w:tc>
        <w:tc>
          <w:tcPr>
            <w:tcW w:w="993" w:type="dxa"/>
            <w:shd w:val="clear" w:color="auto" w:fill="C6EFCE"/>
            <w:noWrap/>
            <w:vAlign w:val="center"/>
          </w:tcPr>
          <w:p w14:paraId="23596853"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3803F31F" w14:textId="77777777" w:rsidR="003F5418" w:rsidRDefault="002A6C25">
            <w:pPr>
              <w:pStyle w:val="P68B1DB1-Normal4"/>
              <w:spacing w:after="120"/>
              <w:jc w:val="center"/>
              <w:rPr>
                <w:noProof/>
              </w:rPr>
            </w:pPr>
            <w:r>
              <w:rPr>
                <w:noProof/>
              </w:rPr>
              <w:t>514</w:t>
            </w:r>
          </w:p>
        </w:tc>
        <w:tc>
          <w:tcPr>
            <w:tcW w:w="992" w:type="dxa"/>
            <w:shd w:val="clear" w:color="auto" w:fill="C6EFCE"/>
            <w:noWrap/>
            <w:vAlign w:val="center"/>
          </w:tcPr>
          <w:p w14:paraId="0A92C43B"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3B7EC85A"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09D8F206" w14:textId="77777777" w:rsidR="003F5418" w:rsidRDefault="002A6C25">
            <w:pPr>
              <w:pStyle w:val="P68B1DB1-Normal4"/>
              <w:spacing w:after="120"/>
              <w:rPr>
                <w:noProof/>
              </w:rPr>
            </w:pPr>
            <w:r>
              <w:rPr>
                <w:noProof/>
              </w:rPr>
              <w:t xml:space="preserve">514 km hosszúságú </w:t>
            </w:r>
            <w:r>
              <w:rPr>
                <w:noProof/>
              </w:rPr>
              <w:t>kábel, amely Caracolit (Palermo) kapcsolja össze az ebolival (Salerno), és 500 MW kapacitást biztosít.</w:t>
            </w:r>
          </w:p>
        </w:tc>
      </w:tr>
      <w:tr w:rsidR="003F5418" w14:paraId="08FAF11B" w14:textId="77777777">
        <w:trPr>
          <w:trHeight w:val="309"/>
        </w:trPr>
        <w:tc>
          <w:tcPr>
            <w:tcW w:w="1185" w:type="dxa"/>
            <w:shd w:val="clear" w:color="auto" w:fill="C6EFCE"/>
            <w:noWrap/>
            <w:vAlign w:val="center"/>
          </w:tcPr>
          <w:p w14:paraId="6A6777B2" w14:textId="77777777" w:rsidR="003F5418" w:rsidRDefault="002A6C25">
            <w:pPr>
              <w:pStyle w:val="P68B1DB1-Normal4"/>
              <w:spacing w:after="120"/>
              <w:jc w:val="center"/>
              <w:rPr>
                <w:noProof/>
              </w:rPr>
            </w:pPr>
            <w:r>
              <w:rPr>
                <w:noProof/>
              </w:rPr>
              <w:t>M7–16</w:t>
            </w:r>
          </w:p>
        </w:tc>
        <w:tc>
          <w:tcPr>
            <w:tcW w:w="1559" w:type="dxa"/>
            <w:shd w:val="clear" w:color="auto" w:fill="C6EFCE"/>
            <w:noWrap/>
            <w:vAlign w:val="center"/>
          </w:tcPr>
          <w:p w14:paraId="1E67EA6B" w14:textId="77777777" w:rsidR="003F5418" w:rsidRDefault="002A6C25">
            <w:pPr>
              <w:pStyle w:val="P68B1DB1-Normal4"/>
              <w:spacing w:after="120"/>
              <w:jc w:val="center"/>
              <w:rPr>
                <w:noProof/>
              </w:rPr>
            </w:pPr>
            <w:r>
              <w:rPr>
                <w:noProof/>
              </w:rPr>
              <w:t>Beruházás: SA.CO.I.3</w:t>
            </w:r>
          </w:p>
        </w:tc>
        <w:tc>
          <w:tcPr>
            <w:tcW w:w="1134" w:type="dxa"/>
            <w:shd w:val="clear" w:color="auto" w:fill="C6EFCE"/>
            <w:noWrap/>
            <w:vAlign w:val="center"/>
          </w:tcPr>
          <w:p w14:paraId="1398BCED"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65949076" w14:textId="77777777" w:rsidR="003F5418" w:rsidRDefault="002A6C25">
            <w:pPr>
              <w:pStyle w:val="P68B1DB1-Normal4"/>
              <w:spacing w:after="120"/>
              <w:jc w:val="center"/>
              <w:rPr>
                <w:noProof/>
              </w:rPr>
            </w:pPr>
            <w:r>
              <w:rPr>
                <w:noProof/>
              </w:rPr>
              <w:t>Szerződések odaítélése</w:t>
            </w:r>
          </w:p>
        </w:tc>
        <w:tc>
          <w:tcPr>
            <w:tcW w:w="1984" w:type="dxa"/>
            <w:shd w:val="clear" w:color="auto" w:fill="C6EFCE"/>
            <w:noWrap/>
            <w:vAlign w:val="center"/>
          </w:tcPr>
          <w:p w14:paraId="0F76D9D5" w14:textId="77777777" w:rsidR="003F5418" w:rsidRDefault="002A6C25">
            <w:pPr>
              <w:pStyle w:val="P68B1DB1-Normal4"/>
              <w:spacing w:after="120"/>
              <w:jc w:val="center"/>
              <w:rPr>
                <w:noProof/>
              </w:rPr>
            </w:pPr>
            <w:r>
              <w:rPr>
                <w:noProof/>
              </w:rPr>
              <w:t>Értesítés a szerződések odaítéléséről</w:t>
            </w:r>
          </w:p>
        </w:tc>
        <w:tc>
          <w:tcPr>
            <w:tcW w:w="1134" w:type="dxa"/>
            <w:shd w:val="clear" w:color="auto" w:fill="C6EFCE"/>
            <w:noWrap/>
            <w:vAlign w:val="center"/>
          </w:tcPr>
          <w:p w14:paraId="5D8F877C" w14:textId="77777777" w:rsidR="003F5418" w:rsidRDefault="003F5418">
            <w:pPr>
              <w:spacing w:after="120"/>
              <w:jc w:val="center"/>
              <w:rPr>
                <w:rFonts w:ascii="Arial Narrow" w:hAnsi="Arial Narrow"/>
                <w:noProof/>
                <w:color w:val="FF0000"/>
                <w:sz w:val="20"/>
              </w:rPr>
            </w:pPr>
          </w:p>
        </w:tc>
        <w:tc>
          <w:tcPr>
            <w:tcW w:w="993" w:type="dxa"/>
            <w:shd w:val="clear" w:color="auto" w:fill="C6EFCE"/>
            <w:noWrap/>
            <w:vAlign w:val="center"/>
          </w:tcPr>
          <w:p w14:paraId="664D8858"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774922D"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5E18AC00"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738B6C2A"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46C1843D" w14:textId="77777777" w:rsidR="003F5418" w:rsidRDefault="002A6C25">
            <w:pPr>
              <w:pStyle w:val="P68B1DB1-Normal4"/>
              <w:spacing w:after="120"/>
              <w:rPr>
                <w:noProof/>
              </w:rPr>
            </w:pPr>
            <w:r>
              <w:rPr>
                <w:noProof/>
              </w:rPr>
              <w:t xml:space="preserve">Értesítés a szardíniai és toszkánai </w:t>
            </w:r>
            <w:r>
              <w:rPr>
                <w:noProof/>
              </w:rPr>
              <w:t>konvertálóállomások burkolatainak befejezéséhez szükséges munkálatokra vonatkozó valamennyi szerződés odaítéléséről.</w:t>
            </w:r>
          </w:p>
        </w:tc>
      </w:tr>
      <w:tr w:rsidR="003F5418" w14:paraId="4BA69890" w14:textId="77777777">
        <w:trPr>
          <w:trHeight w:val="309"/>
        </w:trPr>
        <w:tc>
          <w:tcPr>
            <w:tcW w:w="1185" w:type="dxa"/>
            <w:shd w:val="clear" w:color="auto" w:fill="C6EFCE"/>
            <w:noWrap/>
            <w:vAlign w:val="center"/>
          </w:tcPr>
          <w:p w14:paraId="1E003D3A" w14:textId="77777777" w:rsidR="003F5418" w:rsidRDefault="002A6C25">
            <w:pPr>
              <w:pStyle w:val="P68B1DB1-Normal4"/>
              <w:spacing w:after="120"/>
              <w:jc w:val="center"/>
              <w:rPr>
                <w:noProof/>
              </w:rPr>
            </w:pPr>
            <w:r>
              <w:rPr>
                <w:noProof/>
              </w:rPr>
              <w:t>M7–17</w:t>
            </w:r>
          </w:p>
        </w:tc>
        <w:tc>
          <w:tcPr>
            <w:tcW w:w="1559" w:type="dxa"/>
            <w:shd w:val="clear" w:color="auto" w:fill="C6EFCE"/>
            <w:noWrap/>
            <w:vAlign w:val="center"/>
          </w:tcPr>
          <w:p w14:paraId="0A399831" w14:textId="77777777" w:rsidR="003F5418" w:rsidRDefault="002A6C25">
            <w:pPr>
              <w:pStyle w:val="P68B1DB1-Normal4"/>
              <w:spacing w:after="120"/>
              <w:jc w:val="center"/>
              <w:rPr>
                <w:noProof/>
              </w:rPr>
            </w:pPr>
            <w:r>
              <w:rPr>
                <w:noProof/>
              </w:rPr>
              <w:t>Beruházás: SA.CO.I.3</w:t>
            </w:r>
          </w:p>
        </w:tc>
        <w:tc>
          <w:tcPr>
            <w:tcW w:w="1134" w:type="dxa"/>
            <w:shd w:val="clear" w:color="auto" w:fill="C6EFCE"/>
            <w:noWrap/>
            <w:vAlign w:val="center"/>
          </w:tcPr>
          <w:p w14:paraId="5E90332A"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5D07C845" w14:textId="77777777" w:rsidR="003F5418" w:rsidRDefault="002A6C25">
            <w:pPr>
              <w:pStyle w:val="P68B1DB1-Normal4"/>
              <w:spacing w:after="120"/>
              <w:jc w:val="center"/>
              <w:rPr>
                <w:noProof/>
              </w:rPr>
            </w:pPr>
            <w:r>
              <w:rPr>
                <w:noProof/>
              </w:rPr>
              <w:t>A szardíniai (Codrongianos) és toszkánai (Suvereto) konvertáló állomások héjának befejezése</w:t>
            </w:r>
          </w:p>
        </w:tc>
        <w:tc>
          <w:tcPr>
            <w:tcW w:w="1984" w:type="dxa"/>
            <w:shd w:val="clear" w:color="auto" w:fill="C6EFCE"/>
            <w:noWrap/>
            <w:vAlign w:val="center"/>
          </w:tcPr>
          <w:p w14:paraId="0E9ADC21" w14:textId="77777777" w:rsidR="003F5418" w:rsidRDefault="002A6C25">
            <w:pPr>
              <w:pStyle w:val="P68B1DB1-Normal4"/>
              <w:spacing w:after="120"/>
              <w:jc w:val="center"/>
              <w:rPr>
                <w:noProof/>
              </w:rPr>
            </w:pPr>
            <w:r>
              <w:rPr>
                <w:noProof/>
              </w:rPr>
              <w:t>Értesítés</w:t>
            </w:r>
            <w:r>
              <w:rPr>
                <w:noProof/>
              </w:rPr>
              <w:t xml:space="preserve"> a munkálatok befejezéséről</w:t>
            </w:r>
          </w:p>
        </w:tc>
        <w:tc>
          <w:tcPr>
            <w:tcW w:w="1134" w:type="dxa"/>
            <w:shd w:val="clear" w:color="auto" w:fill="C6EFCE"/>
            <w:noWrap/>
            <w:vAlign w:val="center"/>
          </w:tcPr>
          <w:p w14:paraId="65FBA864"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0277EC55"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DB230DA"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808E8F9"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18DE77C5"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29A575D8" w14:textId="77777777" w:rsidR="003F5418" w:rsidRDefault="002A6C25">
            <w:pPr>
              <w:pStyle w:val="P68B1DB1-Normal4"/>
              <w:spacing w:after="120"/>
              <w:rPr>
                <w:noProof/>
              </w:rPr>
            </w:pPr>
            <w:r>
              <w:rPr>
                <w:noProof/>
              </w:rPr>
              <w:t>Értesítés a szardíniai és toszkánai konvertáló állomások héjának befejezéséről.</w:t>
            </w:r>
          </w:p>
        </w:tc>
      </w:tr>
      <w:tr w:rsidR="003F5418" w14:paraId="2257809E" w14:textId="77777777">
        <w:trPr>
          <w:trHeight w:val="309"/>
        </w:trPr>
        <w:tc>
          <w:tcPr>
            <w:tcW w:w="1185" w:type="dxa"/>
            <w:shd w:val="clear" w:color="auto" w:fill="C6EFCE"/>
            <w:noWrap/>
            <w:vAlign w:val="center"/>
          </w:tcPr>
          <w:p w14:paraId="5137B5E3" w14:textId="77777777" w:rsidR="003F5418" w:rsidRDefault="002A6C25">
            <w:pPr>
              <w:pStyle w:val="P68B1DB1-Normal4"/>
              <w:spacing w:after="120"/>
              <w:jc w:val="center"/>
              <w:rPr>
                <w:noProof/>
              </w:rPr>
            </w:pPr>
            <w:r>
              <w:rPr>
                <w:noProof/>
              </w:rPr>
              <w:t>M7–18. INTÉZKEDÉS</w:t>
            </w:r>
          </w:p>
        </w:tc>
        <w:tc>
          <w:tcPr>
            <w:tcW w:w="1559" w:type="dxa"/>
            <w:shd w:val="clear" w:color="auto" w:fill="C6EFCE"/>
            <w:noWrap/>
            <w:vAlign w:val="center"/>
          </w:tcPr>
          <w:p w14:paraId="61499CAE" w14:textId="77777777" w:rsidR="003F5418" w:rsidRDefault="002A6C25">
            <w:pPr>
              <w:pStyle w:val="P68B1DB1-Normal4"/>
              <w:spacing w:after="120"/>
              <w:jc w:val="center"/>
              <w:rPr>
                <w:noProof/>
              </w:rPr>
            </w:pPr>
            <w:r>
              <w:rPr>
                <w:noProof/>
              </w:rPr>
              <w:t>Beruházás: Határokon átnyúló villamosenergia-összeköttetési projektek Olaszország és a szomszédos országok között</w:t>
            </w:r>
          </w:p>
        </w:tc>
        <w:tc>
          <w:tcPr>
            <w:tcW w:w="1134" w:type="dxa"/>
            <w:shd w:val="clear" w:color="auto" w:fill="C6EFCE"/>
            <w:noWrap/>
            <w:vAlign w:val="center"/>
          </w:tcPr>
          <w:p w14:paraId="600CA988"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60D0BCF1" w14:textId="77777777" w:rsidR="003F5418" w:rsidRDefault="002A6C25">
            <w:pPr>
              <w:pStyle w:val="P68B1DB1-Normal4"/>
              <w:spacing w:after="120"/>
              <w:jc w:val="center"/>
              <w:rPr>
                <w:noProof/>
                <w:color w:val="FF0000"/>
              </w:rPr>
            </w:pPr>
            <w:r>
              <w:rPr>
                <w:noProof/>
              </w:rPr>
              <w:t>Az Olaszország-Ausztria „Somplago – Würmlach” rendszerösszekötő építésére vonatkozó szerződések odaítélése</w:t>
            </w:r>
          </w:p>
        </w:tc>
        <w:tc>
          <w:tcPr>
            <w:tcW w:w="1984" w:type="dxa"/>
            <w:shd w:val="clear" w:color="auto" w:fill="C6EFCE"/>
            <w:noWrap/>
            <w:vAlign w:val="center"/>
          </w:tcPr>
          <w:p w14:paraId="42ED5107" w14:textId="77777777" w:rsidR="003F5418" w:rsidRDefault="002A6C25">
            <w:pPr>
              <w:pStyle w:val="P68B1DB1-Normal4"/>
              <w:spacing w:after="120"/>
              <w:jc w:val="center"/>
              <w:rPr>
                <w:noProof/>
              </w:rPr>
            </w:pPr>
            <w:r>
              <w:rPr>
                <w:noProof/>
              </w:rPr>
              <w:t>Értesítés a szerződések odaítéléséről</w:t>
            </w:r>
          </w:p>
        </w:tc>
        <w:tc>
          <w:tcPr>
            <w:tcW w:w="1134" w:type="dxa"/>
            <w:shd w:val="clear" w:color="auto" w:fill="C6EFCE"/>
            <w:noWrap/>
            <w:vAlign w:val="center"/>
          </w:tcPr>
          <w:p w14:paraId="254A4D77"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2E8A927E"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1522B176"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6EFEAC7E" w14:textId="77777777" w:rsidR="003F5418" w:rsidRDefault="002A6C25">
            <w:pPr>
              <w:pStyle w:val="P68B1DB1-Normal4"/>
              <w:spacing w:after="120"/>
              <w:jc w:val="center"/>
              <w:rPr>
                <w:noProof/>
              </w:rPr>
            </w:pPr>
            <w:r>
              <w:rPr>
                <w:noProof/>
              </w:rPr>
              <w:t>Q3</w:t>
            </w:r>
          </w:p>
        </w:tc>
        <w:tc>
          <w:tcPr>
            <w:tcW w:w="709" w:type="dxa"/>
            <w:shd w:val="clear" w:color="auto" w:fill="C6EFCE"/>
            <w:noWrap/>
            <w:vAlign w:val="center"/>
          </w:tcPr>
          <w:p w14:paraId="3B2C598E"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2F747920" w14:textId="77777777" w:rsidR="003F5418" w:rsidRDefault="002A6C25">
            <w:pPr>
              <w:pStyle w:val="P68B1DB1-Normal4"/>
              <w:spacing w:after="120"/>
              <w:rPr>
                <w:noProof/>
                <w:color w:val="FF0000"/>
              </w:rPr>
            </w:pPr>
            <w:r>
              <w:rPr>
                <w:noProof/>
              </w:rPr>
              <w:t xml:space="preserve">Értesítés az Olaszország-Ausztria „Somplago – Würmlach” rendszerösszekötő megépítésének </w:t>
            </w:r>
            <w:r>
              <w:rPr>
                <w:noProof/>
              </w:rPr>
              <w:t>megkezdéséhez szükséges valamennyi szerződés odaítéléséről.</w:t>
            </w:r>
          </w:p>
        </w:tc>
      </w:tr>
      <w:tr w:rsidR="003F5418" w14:paraId="12450B33" w14:textId="77777777">
        <w:trPr>
          <w:trHeight w:val="309"/>
        </w:trPr>
        <w:tc>
          <w:tcPr>
            <w:tcW w:w="1185" w:type="dxa"/>
            <w:shd w:val="clear" w:color="auto" w:fill="C6EFCE"/>
            <w:noWrap/>
            <w:vAlign w:val="center"/>
          </w:tcPr>
          <w:p w14:paraId="11EDE586" w14:textId="77777777" w:rsidR="003F5418" w:rsidRDefault="002A6C25">
            <w:pPr>
              <w:pStyle w:val="P68B1DB1-Normal4"/>
              <w:spacing w:after="120"/>
              <w:jc w:val="center"/>
              <w:rPr>
                <w:noProof/>
              </w:rPr>
            </w:pPr>
            <w:r>
              <w:rPr>
                <w:noProof/>
              </w:rPr>
              <w:t>7–19. INTÉZKEDÉS</w:t>
            </w:r>
          </w:p>
        </w:tc>
        <w:tc>
          <w:tcPr>
            <w:tcW w:w="1559" w:type="dxa"/>
            <w:shd w:val="clear" w:color="auto" w:fill="C6EFCE"/>
            <w:noWrap/>
            <w:vAlign w:val="center"/>
          </w:tcPr>
          <w:p w14:paraId="6E8AFB07" w14:textId="77777777" w:rsidR="003F5418" w:rsidRDefault="002A6C25">
            <w:pPr>
              <w:pStyle w:val="P68B1DB1-Normal4"/>
              <w:spacing w:after="120"/>
              <w:jc w:val="center"/>
              <w:rPr>
                <w:noProof/>
              </w:rPr>
            </w:pPr>
            <w:r>
              <w:rPr>
                <w:noProof/>
              </w:rPr>
              <w:t>Beruházás: Határokon átnyúló villamosenergia-összeköttetési projektek Olaszország és a szomszédos országok között</w:t>
            </w:r>
          </w:p>
        </w:tc>
        <w:tc>
          <w:tcPr>
            <w:tcW w:w="1134" w:type="dxa"/>
            <w:shd w:val="clear" w:color="auto" w:fill="C6EFCE"/>
            <w:noWrap/>
            <w:vAlign w:val="center"/>
          </w:tcPr>
          <w:p w14:paraId="64CD21F8"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2C9D0CA0" w14:textId="77777777" w:rsidR="003F5418" w:rsidRDefault="002A6C25">
            <w:pPr>
              <w:pStyle w:val="P68B1DB1-Normal4"/>
              <w:spacing w:after="120"/>
              <w:jc w:val="center"/>
              <w:rPr>
                <w:noProof/>
              </w:rPr>
            </w:pPr>
            <w:r>
              <w:rPr>
                <w:noProof/>
              </w:rPr>
              <w:t xml:space="preserve">Az Olaszország és Ausztria közötti rendszerösszekötő </w:t>
            </w:r>
            <w:r>
              <w:rPr>
                <w:noProof/>
              </w:rPr>
              <w:t>névleges kapacitásának növekedése a rendszerösszekötő befejezésének eredményeként</w:t>
            </w:r>
          </w:p>
        </w:tc>
        <w:tc>
          <w:tcPr>
            <w:tcW w:w="1984" w:type="dxa"/>
            <w:shd w:val="clear" w:color="auto" w:fill="C6EFCE"/>
            <w:noWrap/>
            <w:vAlign w:val="center"/>
          </w:tcPr>
          <w:p w14:paraId="1FFA0E53"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57044278" w14:textId="77777777" w:rsidR="003F5418" w:rsidRDefault="002A6C25">
            <w:pPr>
              <w:pStyle w:val="P68B1DB1-Normal4"/>
              <w:spacing w:after="120"/>
              <w:jc w:val="center"/>
              <w:rPr>
                <w:noProof/>
              </w:rPr>
            </w:pPr>
            <w:r>
              <w:rPr>
                <w:noProof/>
              </w:rPr>
              <w:t>MW</w:t>
            </w:r>
          </w:p>
        </w:tc>
        <w:tc>
          <w:tcPr>
            <w:tcW w:w="993" w:type="dxa"/>
            <w:shd w:val="clear" w:color="auto" w:fill="C6EFCE"/>
            <w:noWrap/>
            <w:vAlign w:val="center"/>
          </w:tcPr>
          <w:p w14:paraId="5976D7E6"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3F457862" w14:textId="77777777" w:rsidR="003F5418" w:rsidRDefault="002A6C25">
            <w:pPr>
              <w:pStyle w:val="P68B1DB1-Normal4"/>
              <w:spacing w:after="120"/>
              <w:jc w:val="center"/>
              <w:rPr>
                <w:noProof/>
              </w:rPr>
            </w:pPr>
            <w:r>
              <w:rPr>
                <w:noProof/>
              </w:rPr>
              <w:t>300</w:t>
            </w:r>
          </w:p>
        </w:tc>
        <w:tc>
          <w:tcPr>
            <w:tcW w:w="992" w:type="dxa"/>
            <w:shd w:val="clear" w:color="auto" w:fill="C6EFCE"/>
            <w:noWrap/>
            <w:vAlign w:val="center"/>
          </w:tcPr>
          <w:p w14:paraId="67281BAB"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08BA67AF"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72286203" w14:textId="77777777" w:rsidR="003F5418" w:rsidRDefault="002A6C25">
            <w:pPr>
              <w:pStyle w:val="P68B1DB1-Normal4"/>
              <w:spacing w:after="120"/>
              <w:rPr>
                <w:noProof/>
              </w:rPr>
            </w:pPr>
            <w:r>
              <w:rPr>
                <w:noProof/>
              </w:rPr>
              <w:t xml:space="preserve">Az Olaszország-Ausztria rendszerösszekötő befejezése: „Somplago – Würmlach”. Az olasz oldalon végzett munkálatok befejezését követően az Olaszország és </w:t>
            </w:r>
            <w:r>
              <w:rPr>
                <w:noProof/>
              </w:rPr>
              <w:t>Ausztria közötti rendszerösszekötő névleges kapacitását 300 MW-tal kell növelni.</w:t>
            </w:r>
          </w:p>
        </w:tc>
      </w:tr>
      <w:tr w:rsidR="003F5418" w14:paraId="0A0FB879" w14:textId="77777777">
        <w:trPr>
          <w:trHeight w:val="309"/>
        </w:trPr>
        <w:tc>
          <w:tcPr>
            <w:tcW w:w="1185" w:type="dxa"/>
            <w:shd w:val="clear" w:color="auto" w:fill="C6EFCE"/>
            <w:noWrap/>
            <w:vAlign w:val="center"/>
          </w:tcPr>
          <w:p w14:paraId="7DCB4B9C" w14:textId="77777777" w:rsidR="003F5418" w:rsidRDefault="002A6C25">
            <w:pPr>
              <w:pStyle w:val="P68B1DB1-Normal4"/>
              <w:spacing w:after="120"/>
              <w:jc w:val="center"/>
              <w:rPr>
                <w:noProof/>
              </w:rPr>
            </w:pPr>
            <w:r>
              <w:rPr>
                <w:noProof/>
              </w:rPr>
              <w:t>M7–20</w:t>
            </w:r>
          </w:p>
        </w:tc>
        <w:tc>
          <w:tcPr>
            <w:tcW w:w="1559" w:type="dxa"/>
            <w:shd w:val="clear" w:color="auto" w:fill="C6EFCE"/>
            <w:noWrap/>
            <w:vAlign w:val="center"/>
          </w:tcPr>
          <w:p w14:paraId="7B20A6B0" w14:textId="77777777" w:rsidR="003F5418" w:rsidRDefault="002A6C25">
            <w:pPr>
              <w:pStyle w:val="P68B1DB1-Normal4"/>
              <w:spacing w:after="120"/>
              <w:jc w:val="center"/>
              <w:rPr>
                <w:noProof/>
              </w:rPr>
            </w:pPr>
            <w:r>
              <w:rPr>
                <w:noProof/>
              </w:rPr>
              <w:t>Beruházás: Határokon átnyúló villamosenergia-összeköttetési projektek Olaszország és a szomszédos országok között</w:t>
            </w:r>
          </w:p>
        </w:tc>
        <w:tc>
          <w:tcPr>
            <w:tcW w:w="1134" w:type="dxa"/>
            <w:shd w:val="clear" w:color="auto" w:fill="C6EFCE"/>
            <w:noWrap/>
            <w:vAlign w:val="center"/>
          </w:tcPr>
          <w:p w14:paraId="2EA7BA6E" w14:textId="77777777" w:rsidR="003F5418" w:rsidRDefault="002A6C25">
            <w:pPr>
              <w:pStyle w:val="P68B1DB1-Normal4"/>
              <w:spacing w:after="120"/>
              <w:jc w:val="center"/>
              <w:rPr>
                <w:noProof/>
              </w:rPr>
            </w:pPr>
            <w:r>
              <w:rPr>
                <w:noProof/>
              </w:rPr>
              <w:t>Mérföldkő</w:t>
            </w:r>
          </w:p>
        </w:tc>
        <w:tc>
          <w:tcPr>
            <w:tcW w:w="1418" w:type="dxa"/>
            <w:shd w:val="clear" w:color="auto" w:fill="C6EFCE"/>
            <w:noWrap/>
            <w:vAlign w:val="center"/>
          </w:tcPr>
          <w:p w14:paraId="73A7D79D" w14:textId="77777777" w:rsidR="003F5418" w:rsidRDefault="002A6C25">
            <w:pPr>
              <w:pStyle w:val="P68B1DB1-Normal4"/>
              <w:spacing w:after="120"/>
              <w:jc w:val="center"/>
              <w:rPr>
                <w:noProof/>
              </w:rPr>
            </w:pPr>
            <w:r>
              <w:rPr>
                <w:noProof/>
              </w:rPr>
              <w:t xml:space="preserve">Az </w:t>
            </w:r>
            <w:r>
              <w:rPr>
                <w:noProof/>
              </w:rPr>
              <w:t xml:space="preserve">Olaszország és Szlovénia közötti két rendszerösszekötő építésére vonatkozó szerződések odaítélése: „Zaule – Dekani” és „Redipuglia – Vrtojba”  </w:t>
            </w:r>
          </w:p>
        </w:tc>
        <w:tc>
          <w:tcPr>
            <w:tcW w:w="1984" w:type="dxa"/>
            <w:shd w:val="clear" w:color="auto" w:fill="C6EFCE"/>
            <w:noWrap/>
            <w:vAlign w:val="center"/>
          </w:tcPr>
          <w:p w14:paraId="09079115" w14:textId="77777777" w:rsidR="003F5418" w:rsidRDefault="002A6C25">
            <w:pPr>
              <w:pStyle w:val="P68B1DB1-Normal4"/>
              <w:spacing w:after="120"/>
              <w:jc w:val="center"/>
              <w:rPr>
                <w:noProof/>
              </w:rPr>
            </w:pPr>
            <w:r>
              <w:rPr>
                <w:noProof/>
              </w:rPr>
              <w:t>Értesítés a szerződések odaítéléséről</w:t>
            </w:r>
          </w:p>
        </w:tc>
        <w:tc>
          <w:tcPr>
            <w:tcW w:w="1134" w:type="dxa"/>
            <w:shd w:val="clear" w:color="auto" w:fill="C6EFCE"/>
            <w:noWrap/>
            <w:vAlign w:val="center"/>
          </w:tcPr>
          <w:p w14:paraId="02558D9A" w14:textId="77777777" w:rsidR="003F5418" w:rsidRDefault="003F5418">
            <w:pPr>
              <w:spacing w:after="120"/>
              <w:jc w:val="center"/>
              <w:rPr>
                <w:rFonts w:ascii="Arial Narrow" w:hAnsi="Arial Narrow"/>
                <w:noProof/>
                <w:color w:val="006100"/>
                <w:sz w:val="20"/>
              </w:rPr>
            </w:pPr>
          </w:p>
        </w:tc>
        <w:tc>
          <w:tcPr>
            <w:tcW w:w="993" w:type="dxa"/>
            <w:shd w:val="clear" w:color="auto" w:fill="C6EFCE"/>
            <w:noWrap/>
            <w:vAlign w:val="center"/>
          </w:tcPr>
          <w:p w14:paraId="2725FE8D"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77A32423"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48AE5D68"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64424103"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5CC4EEF3" w14:textId="77777777" w:rsidR="003F5418" w:rsidRDefault="002A6C25">
            <w:pPr>
              <w:pStyle w:val="P68B1DB1-Normal4"/>
              <w:spacing w:after="120"/>
              <w:rPr>
                <w:noProof/>
              </w:rPr>
            </w:pPr>
            <w:r>
              <w:rPr>
                <w:noProof/>
              </w:rPr>
              <w:t xml:space="preserve">Értesítés az Olaszország és Szlovénia közötti két </w:t>
            </w:r>
            <w:r>
              <w:rPr>
                <w:noProof/>
              </w:rPr>
              <w:t>rendszerösszekötő építésének megkezdéséhez szükséges valamennyi szerződés odaítéléséről: „Zaule-Dekani” és „Redipuglia-Vrtojba”.</w:t>
            </w:r>
          </w:p>
        </w:tc>
      </w:tr>
      <w:tr w:rsidR="003F5418" w14:paraId="7BF07362" w14:textId="77777777">
        <w:trPr>
          <w:trHeight w:val="309"/>
        </w:trPr>
        <w:tc>
          <w:tcPr>
            <w:tcW w:w="1185" w:type="dxa"/>
            <w:shd w:val="clear" w:color="auto" w:fill="C6EFCE"/>
            <w:noWrap/>
            <w:vAlign w:val="center"/>
          </w:tcPr>
          <w:p w14:paraId="1824A56B" w14:textId="77777777" w:rsidR="003F5418" w:rsidRDefault="002A6C25">
            <w:pPr>
              <w:pStyle w:val="P68B1DB1-Normal4"/>
              <w:spacing w:after="120"/>
              <w:jc w:val="center"/>
              <w:rPr>
                <w:noProof/>
              </w:rPr>
            </w:pPr>
            <w:r>
              <w:rPr>
                <w:noProof/>
              </w:rPr>
              <w:t>7–21. INTÉZKEDÉS</w:t>
            </w:r>
          </w:p>
        </w:tc>
        <w:tc>
          <w:tcPr>
            <w:tcW w:w="1559" w:type="dxa"/>
            <w:shd w:val="clear" w:color="auto" w:fill="C6EFCE"/>
            <w:noWrap/>
            <w:vAlign w:val="center"/>
          </w:tcPr>
          <w:p w14:paraId="50EABAD5" w14:textId="77777777" w:rsidR="003F5418" w:rsidRDefault="002A6C25">
            <w:pPr>
              <w:pStyle w:val="P68B1DB1-Normal4"/>
              <w:spacing w:after="120"/>
              <w:jc w:val="center"/>
              <w:rPr>
                <w:noProof/>
              </w:rPr>
            </w:pPr>
            <w:r>
              <w:rPr>
                <w:noProof/>
              </w:rPr>
              <w:t xml:space="preserve">Beruházás: Határokon átnyúló villamosenergia-összeköttetési projektek Olaszország és a szomszédos országok </w:t>
            </w:r>
            <w:r>
              <w:rPr>
                <w:noProof/>
              </w:rPr>
              <w:t>között</w:t>
            </w:r>
          </w:p>
        </w:tc>
        <w:tc>
          <w:tcPr>
            <w:tcW w:w="1134" w:type="dxa"/>
            <w:shd w:val="clear" w:color="auto" w:fill="C6EFCE"/>
            <w:noWrap/>
            <w:vAlign w:val="center"/>
          </w:tcPr>
          <w:p w14:paraId="580E69B9"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3BFAD113" w14:textId="77777777" w:rsidR="003F5418" w:rsidRDefault="002A6C25">
            <w:pPr>
              <w:pStyle w:val="P68B1DB1-Normal4"/>
              <w:spacing w:after="120"/>
              <w:jc w:val="center"/>
              <w:rPr>
                <w:noProof/>
              </w:rPr>
            </w:pPr>
            <w:r>
              <w:rPr>
                <w:noProof/>
              </w:rPr>
              <w:t>Az Olaszország és Szlovénia közötti névleges rendszerösszekötő kapacitás növelése a munkálatok befejezését követően</w:t>
            </w:r>
          </w:p>
        </w:tc>
        <w:tc>
          <w:tcPr>
            <w:tcW w:w="1984" w:type="dxa"/>
            <w:shd w:val="clear" w:color="auto" w:fill="C6EFCE"/>
            <w:noWrap/>
            <w:vAlign w:val="center"/>
          </w:tcPr>
          <w:p w14:paraId="20338AD7"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746211C6" w14:textId="77777777" w:rsidR="003F5418" w:rsidRDefault="002A6C25">
            <w:pPr>
              <w:pStyle w:val="P68B1DB1-Normal4"/>
              <w:spacing w:after="120"/>
              <w:jc w:val="center"/>
              <w:rPr>
                <w:noProof/>
              </w:rPr>
            </w:pPr>
            <w:r>
              <w:rPr>
                <w:noProof/>
              </w:rPr>
              <w:t>MW</w:t>
            </w:r>
          </w:p>
        </w:tc>
        <w:tc>
          <w:tcPr>
            <w:tcW w:w="993" w:type="dxa"/>
            <w:shd w:val="clear" w:color="auto" w:fill="C6EFCE"/>
            <w:noWrap/>
            <w:vAlign w:val="center"/>
          </w:tcPr>
          <w:p w14:paraId="7150D78E"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456A61E4" w14:textId="77777777" w:rsidR="003F5418" w:rsidRDefault="002A6C25">
            <w:pPr>
              <w:pStyle w:val="P68B1DB1-Normal4"/>
              <w:spacing w:after="120"/>
              <w:jc w:val="center"/>
              <w:rPr>
                <w:noProof/>
              </w:rPr>
            </w:pPr>
            <w:r>
              <w:rPr>
                <w:noProof/>
              </w:rPr>
              <w:t>250</w:t>
            </w:r>
          </w:p>
        </w:tc>
        <w:tc>
          <w:tcPr>
            <w:tcW w:w="992" w:type="dxa"/>
            <w:shd w:val="clear" w:color="auto" w:fill="C6EFCE"/>
            <w:noWrap/>
            <w:vAlign w:val="center"/>
          </w:tcPr>
          <w:p w14:paraId="1D3A32AF"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5CB728A8"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799FA100" w14:textId="77777777" w:rsidR="003F5418" w:rsidRDefault="002A6C25">
            <w:pPr>
              <w:pStyle w:val="P68B1DB1-Normal4"/>
              <w:spacing w:after="120"/>
              <w:rPr>
                <w:noProof/>
              </w:rPr>
            </w:pPr>
            <w:r>
              <w:rPr>
                <w:noProof/>
              </w:rPr>
              <w:t xml:space="preserve">Olaszország-Szlovénia rendszerösszekötők befejezése: „Zaule – Dekani” és „Redipuglia – Vrtojba”. Az olasz </w:t>
            </w:r>
            <w:r>
              <w:rPr>
                <w:noProof/>
              </w:rPr>
              <w:t>oldalon végzett munkálatok befejezését követően az Olaszország és Szlovénia közötti két rendszerösszekötő összesített névleges kapacitását 250 MW-tal kell növelni.</w:t>
            </w:r>
          </w:p>
        </w:tc>
      </w:tr>
      <w:tr w:rsidR="003F5418" w14:paraId="2ED2BFC5" w14:textId="77777777">
        <w:trPr>
          <w:trHeight w:val="309"/>
        </w:trPr>
        <w:tc>
          <w:tcPr>
            <w:tcW w:w="1185" w:type="dxa"/>
            <w:shd w:val="clear" w:color="auto" w:fill="C6EFCE"/>
            <w:noWrap/>
            <w:vAlign w:val="center"/>
          </w:tcPr>
          <w:p w14:paraId="52877681" w14:textId="77777777" w:rsidR="003F5418" w:rsidRDefault="002A6C25">
            <w:pPr>
              <w:pStyle w:val="P68B1DB1-Normal4"/>
              <w:spacing w:after="120"/>
              <w:jc w:val="center"/>
              <w:rPr>
                <w:noProof/>
              </w:rPr>
            </w:pPr>
            <w:r>
              <w:rPr>
                <w:noProof/>
              </w:rPr>
              <w:t>7–22. INTÉZKEDÉS</w:t>
            </w:r>
          </w:p>
        </w:tc>
        <w:tc>
          <w:tcPr>
            <w:tcW w:w="1559" w:type="dxa"/>
            <w:shd w:val="clear" w:color="auto" w:fill="C6EFCE"/>
            <w:noWrap/>
            <w:vAlign w:val="center"/>
          </w:tcPr>
          <w:p w14:paraId="31DA0F1A" w14:textId="77777777" w:rsidR="003F5418" w:rsidRDefault="002A6C25">
            <w:pPr>
              <w:pStyle w:val="P68B1DB1-Normal4"/>
              <w:spacing w:after="120"/>
              <w:jc w:val="center"/>
              <w:rPr>
                <w:noProof/>
              </w:rPr>
            </w:pPr>
            <w:r>
              <w:rPr>
                <w:noProof/>
              </w:rPr>
              <w:t>Beruházás: Intelligens nemzeti átviteli hálózat</w:t>
            </w:r>
          </w:p>
        </w:tc>
        <w:tc>
          <w:tcPr>
            <w:tcW w:w="1134" w:type="dxa"/>
            <w:shd w:val="clear" w:color="auto" w:fill="C6EFCE"/>
            <w:noWrap/>
            <w:vAlign w:val="center"/>
          </w:tcPr>
          <w:p w14:paraId="158222ED"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3C82A6B4" w14:textId="77777777" w:rsidR="003F5418" w:rsidRDefault="002A6C25">
            <w:pPr>
              <w:pStyle w:val="P68B1DB1-Normal4"/>
              <w:spacing w:after="120"/>
              <w:jc w:val="center"/>
              <w:rPr>
                <w:noProof/>
              </w:rPr>
            </w:pPr>
            <w:r>
              <w:rPr>
                <w:noProof/>
              </w:rPr>
              <w:t xml:space="preserve">5G berendezések vagy </w:t>
            </w:r>
            <w:r>
              <w:rPr>
                <w:noProof/>
              </w:rPr>
              <w:t>IKT-architektúrák állomásokon történő telepítése</w:t>
            </w:r>
          </w:p>
        </w:tc>
        <w:tc>
          <w:tcPr>
            <w:tcW w:w="1984" w:type="dxa"/>
            <w:shd w:val="clear" w:color="auto" w:fill="C6EFCE"/>
            <w:noWrap/>
            <w:vAlign w:val="center"/>
          </w:tcPr>
          <w:p w14:paraId="7B42219A"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33100576" w14:textId="77777777" w:rsidR="003F5418" w:rsidRDefault="002A6C25">
            <w:pPr>
              <w:pStyle w:val="P68B1DB1-Normal4"/>
              <w:spacing w:after="120"/>
              <w:jc w:val="center"/>
              <w:rPr>
                <w:noProof/>
              </w:rPr>
            </w:pPr>
            <w:r>
              <w:rPr>
                <w:noProof/>
              </w:rPr>
              <w:t>Állomások száma</w:t>
            </w:r>
          </w:p>
        </w:tc>
        <w:tc>
          <w:tcPr>
            <w:tcW w:w="993" w:type="dxa"/>
            <w:shd w:val="clear" w:color="auto" w:fill="C6EFCE"/>
            <w:noWrap/>
            <w:vAlign w:val="center"/>
          </w:tcPr>
          <w:p w14:paraId="08AE44BB"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208F6AA4" w14:textId="77777777" w:rsidR="003F5418" w:rsidRDefault="002A6C25">
            <w:pPr>
              <w:pStyle w:val="P68B1DB1-Normal4"/>
              <w:spacing w:after="120"/>
              <w:jc w:val="center"/>
              <w:rPr>
                <w:strike/>
                <w:noProof/>
              </w:rPr>
            </w:pPr>
            <w:r>
              <w:rPr>
                <w:noProof/>
              </w:rPr>
              <w:t>40</w:t>
            </w:r>
          </w:p>
        </w:tc>
        <w:tc>
          <w:tcPr>
            <w:tcW w:w="992" w:type="dxa"/>
            <w:shd w:val="clear" w:color="auto" w:fill="C6EFCE"/>
            <w:noWrap/>
            <w:vAlign w:val="center"/>
          </w:tcPr>
          <w:p w14:paraId="38FACB9A"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0861AB5D"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25F7CF27" w14:textId="77777777" w:rsidR="003F5418" w:rsidRDefault="002A6C25">
            <w:pPr>
              <w:pStyle w:val="P68B1DB1-Normal4"/>
              <w:spacing w:after="120"/>
              <w:rPr>
                <w:noProof/>
              </w:rPr>
            </w:pPr>
            <w:r>
              <w:rPr>
                <w:noProof/>
              </w:rPr>
              <w:t>Az új 5G berendezést vagy IKT-architektúrát legalább 40 állomáson kell telepíteni és üzembe helyezni.</w:t>
            </w:r>
          </w:p>
        </w:tc>
      </w:tr>
      <w:tr w:rsidR="003F5418" w14:paraId="7DAC94E8" w14:textId="77777777">
        <w:trPr>
          <w:trHeight w:val="147"/>
        </w:trPr>
        <w:tc>
          <w:tcPr>
            <w:tcW w:w="1185" w:type="dxa"/>
            <w:shd w:val="clear" w:color="auto" w:fill="C6EFCE"/>
            <w:noWrap/>
            <w:vAlign w:val="center"/>
          </w:tcPr>
          <w:p w14:paraId="6613AFAC" w14:textId="77777777" w:rsidR="003F5418" w:rsidRDefault="002A6C25">
            <w:pPr>
              <w:pStyle w:val="P68B1DB1-Normal4"/>
              <w:spacing w:after="120"/>
              <w:jc w:val="center"/>
              <w:rPr>
                <w:noProof/>
              </w:rPr>
            </w:pPr>
            <w:r>
              <w:rPr>
                <w:noProof/>
              </w:rPr>
              <w:t>7–23. INTÉZKEDÉS</w:t>
            </w:r>
          </w:p>
        </w:tc>
        <w:tc>
          <w:tcPr>
            <w:tcW w:w="1559" w:type="dxa"/>
            <w:shd w:val="clear" w:color="auto" w:fill="C6EFCE"/>
            <w:noWrap/>
            <w:vAlign w:val="center"/>
          </w:tcPr>
          <w:p w14:paraId="1C4741C9" w14:textId="77777777" w:rsidR="003F5418" w:rsidRDefault="002A6C25">
            <w:pPr>
              <w:pStyle w:val="P68B1DB1-Normal4"/>
              <w:spacing w:after="120"/>
              <w:jc w:val="center"/>
              <w:rPr>
                <w:noProof/>
              </w:rPr>
            </w:pPr>
            <w:r>
              <w:rPr>
                <w:noProof/>
              </w:rPr>
              <w:t>Beruházás: Intelligens nemzeti átviteli hálózat</w:t>
            </w:r>
          </w:p>
        </w:tc>
        <w:tc>
          <w:tcPr>
            <w:tcW w:w="1134" w:type="dxa"/>
            <w:shd w:val="clear" w:color="auto" w:fill="C6EFCE"/>
            <w:noWrap/>
            <w:vAlign w:val="center"/>
          </w:tcPr>
          <w:p w14:paraId="74B38FDD"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27A2F4F1" w14:textId="77777777" w:rsidR="003F5418" w:rsidRDefault="002A6C25">
            <w:pPr>
              <w:pStyle w:val="P68B1DB1-Normal4"/>
              <w:spacing w:after="120"/>
              <w:jc w:val="center"/>
              <w:rPr>
                <w:noProof/>
              </w:rPr>
            </w:pPr>
            <w:r>
              <w:rPr>
                <w:noProof/>
              </w:rPr>
              <w:t xml:space="preserve"> Új hálózatirányítási és -ellenőrzési rendszer</w:t>
            </w:r>
          </w:p>
        </w:tc>
        <w:tc>
          <w:tcPr>
            <w:tcW w:w="1984" w:type="dxa"/>
            <w:shd w:val="clear" w:color="auto" w:fill="C6EFCE"/>
            <w:noWrap/>
            <w:vAlign w:val="center"/>
          </w:tcPr>
          <w:p w14:paraId="319B8B82"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3743B86B" w14:textId="77777777" w:rsidR="003F5418" w:rsidRDefault="002A6C25">
            <w:pPr>
              <w:pStyle w:val="P68B1DB1-Normal4"/>
              <w:spacing w:after="120"/>
              <w:jc w:val="center"/>
              <w:rPr>
                <w:noProof/>
              </w:rPr>
            </w:pPr>
            <w:r>
              <w:rPr>
                <w:noProof/>
              </w:rPr>
              <w:t xml:space="preserve">Szám </w:t>
            </w:r>
          </w:p>
        </w:tc>
        <w:tc>
          <w:tcPr>
            <w:tcW w:w="993" w:type="dxa"/>
            <w:shd w:val="clear" w:color="auto" w:fill="C6EFCE"/>
            <w:noWrap/>
            <w:vAlign w:val="center"/>
          </w:tcPr>
          <w:p w14:paraId="3C06B192"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67D6F991" w14:textId="77777777" w:rsidR="003F5418" w:rsidRDefault="002A6C25">
            <w:pPr>
              <w:pStyle w:val="P68B1DB1-Normal4"/>
              <w:spacing w:after="120"/>
              <w:jc w:val="center"/>
              <w:rPr>
                <w:noProof/>
              </w:rPr>
            </w:pPr>
            <w:r>
              <w:rPr>
                <w:noProof/>
              </w:rPr>
              <w:t>250</w:t>
            </w:r>
          </w:p>
        </w:tc>
        <w:tc>
          <w:tcPr>
            <w:tcW w:w="992" w:type="dxa"/>
            <w:shd w:val="clear" w:color="auto" w:fill="C6EFCE"/>
            <w:noWrap/>
            <w:vAlign w:val="center"/>
          </w:tcPr>
          <w:p w14:paraId="3D310D1D"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1DD0D86B"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700B5444" w14:textId="77777777" w:rsidR="003F5418" w:rsidRDefault="002A6C25">
            <w:pPr>
              <w:pStyle w:val="P68B1DB1-Normal4"/>
              <w:spacing w:after="120"/>
              <w:rPr>
                <w:noProof/>
              </w:rPr>
            </w:pPr>
            <w:r>
              <w:rPr>
                <w:noProof/>
              </w:rPr>
              <w:t>A 104-es biztonságos protokoll (IEC 62351 protokoll) telepítése legalább 250 elektromos állomáson.</w:t>
            </w:r>
          </w:p>
        </w:tc>
      </w:tr>
      <w:tr w:rsidR="003F5418" w14:paraId="15563316" w14:textId="77777777">
        <w:trPr>
          <w:trHeight w:val="147"/>
        </w:trPr>
        <w:tc>
          <w:tcPr>
            <w:tcW w:w="1185" w:type="dxa"/>
            <w:shd w:val="clear" w:color="auto" w:fill="C6EFCE"/>
            <w:noWrap/>
            <w:vAlign w:val="center"/>
          </w:tcPr>
          <w:p w14:paraId="60D9912C" w14:textId="77777777" w:rsidR="003F5418" w:rsidRDefault="002A6C25">
            <w:pPr>
              <w:pStyle w:val="P68B1DB1-Normal4"/>
              <w:spacing w:after="120"/>
              <w:jc w:val="center"/>
              <w:rPr>
                <w:noProof/>
              </w:rPr>
            </w:pPr>
            <w:r>
              <w:rPr>
                <w:noProof/>
              </w:rPr>
              <w:t>M7–24</w:t>
            </w:r>
          </w:p>
        </w:tc>
        <w:tc>
          <w:tcPr>
            <w:tcW w:w="1559" w:type="dxa"/>
            <w:shd w:val="clear" w:color="auto" w:fill="C6EFCE"/>
            <w:noWrap/>
            <w:vAlign w:val="center"/>
          </w:tcPr>
          <w:p w14:paraId="15A33FCB" w14:textId="77777777" w:rsidR="003F5418" w:rsidRDefault="002A6C25">
            <w:pPr>
              <w:pStyle w:val="P68B1DB1-Normal4"/>
              <w:spacing w:after="120"/>
              <w:jc w:val="center"/>
              <w:rPr>
                <w:noProof/>
              </w:rPr>
            </w:pPr>
            <w:r>
              <w:rPr>
                <w:noProof/>
              </w:rPr>
              <w:t>Beruházás: Intelligens nemzeti átviteli hálózat</w:t>
            </w:r>
          </w:p>
        </w:tc>
        <w:tc>
          <w:tcPr>
            <w:tcW w:w="1134" w:type="dxa"/>
            <w:shd w:val="clear" w:color="auto" w:fill="C6EFCE"/>
            <w:noWrap/>
            <w:vAlign w:val="center"/>
          </w:tcPr>
          <w:p w14:paraId="32D31D6C" w14:textId="77777777" w:rsidR="003F5418" w:rsidRDefault="002A6C25">
            <w:pPr>
              <w:pStyle w:val="P68B1DB1-Normal4"/>
              <w:spacing w:after="120"/>
              <w:jc w:val="center"/>
              <w:rPr>
                <w:noProof/>
              </w:rPr>
            </w:pPr>
            <w:r>
              <w:rPr>
                <w:noProof/>
              </w:rPr>
              <w:t xml:space="preserve">Cél </w:t>
            </w:r>
          </w:p>
        </w:tc>
        <w:tc>
          <w:tcPr>
            <w:tcW w:w="1418" w:type="dxa"/>
            <w:shd w:val="clear" w:color="auto" w:fill="C6EFCE"/>
            <w:noWrap/>
            <w:vAlign w:val="center"/>
          </w:tcPr>
          <w:p w14:paraId="681C876E" w14:textId="77777777" w:rsidR="003F5418" w:rsidRDefault="002A6C25">
            <w:pPr>
              <w:pStyle w:val="P68B1DB1-Normal4"/>
              <w:spacing w:after="120"/>
              <w:jc w:val="center"/>
              <w:rPr>
                <w:noProof/>
              </w:rPr>
            </w:pPr>
            <w:r>
              <w:rPr>
                <w:noProof/>
              </w:rPr>
              <w:t>Ipari dolgok</w:t>
            </w:r>
          </w:p>
        </w:tc>
        <w:tc>
          <w:tcPr>
            <w:tcW w:w="1984" w:type="dxa"/>
            <w:shd w:val="clear" w:color="auto" w:fill="C6EFCE"/>
            <w:noWrap/>
            <w:vAlign w:val="center"/>
          </w:tcPr>
          <w:p w14:paraId="298486F1"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5C398851"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262F712E"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0515BED1" w14:textId="3D4BB4CA" w:rsidR="003F5418" w:rsidRDefault="002A6C25">
            <w:pPr>
              <w:pStyle w:val="P68B1DB1-Normal4"/>
              <w:spacing w:after="120"/>
              <w:jc w:val="center"/>
              <w:rPr>
                <w:noProof/>
              </w:rPr>
            </w:pPr>
            <w:r>
              <w:rPr>
                <w:noProof/>
              </w:rPr>
              <w:t>1 500</w:t>
            </w:r>
          </w:p>
        </w:tc>
        <w:tc>
          <w:tcPr>
            <w:tcW w:w="992" w:type="dxa"/>
            <w:shd w:val="clear" w:color="auto" w:fill="C6EFCE"/>
            <w:noWrap/>
            <w:vAlign w:val="center"/>
          </w:tcPr>
          <w:p w14:paraId="2E4607E2"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4FA9262B"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272A1AE3" w14:textId="4CFEB0E5" w:rsidR="003F5418" w:rsidRDefault="002A6C25">
            <w:pPr>
              <w:pStyle w:val="P68B1DB1-Normal4"/>
              <w:spacing w:after="120"/>
              <w:rPr>
                <w:noProof/>
              </w:rPr>
            </w:pPr>
            <w:r>
              <w:rPr>
                <w:noProof/>
              </w:rPr>
              <w:t>Legalább 1500 elektromos pilonba telepített ipari IoT monitoringrendszerek, amelyek célja az irányítási rendszerben feldolgozható adatok gyűjtése.</w:t>
            </w:r>
          </w:p>
        </w:tc>
      </w:tr>
      <w:tr w:rsidR="003F5418" w14:paraId="45CE2327" w14:textId="77777777">
        <w:trPr>
          <w:trHeight w:val="2206"/>
        </w:trPr>
        <w:tc>
          <w:tcPr>
            <w:tcW w:w="1185"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28472" w14:textId="77777777" w:rsidR="003F5418" w:rsidRDefault="002A6C25">
            <w:pPr>
              <w:pStyle w:val="P68B1DB1-Normal4"/>
              <w:spacing w:after="120"/>
              <w:jc w:val="center"/>
              <w:rPr>
                <w:noProof/>
              </w:rPr>
            </w:pPr>
            <w:r>
              <w:rPr>
                <w:noProof/>
              </w:rPr>
              <w:t>M7–25 INTÉZKEDÉS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tcPr>
          <w:p w14:paraId="40CFDEC2" w14:textId="0D67CC76" w:rsidR="003F5418" w:rsidRDefault="002A6C25">
            <w:pPr>
              <w:pStyle w:val="P68B1DB1-Normal4"/>
              <w:spacing w:after="120"/>
              <w:jc w:val="center"/>
              <w:rPr>
                <w:noProof/>
              </w:rPr>
            </w:pPr>
            <w:r>
              <w:rPr>
                <w:noProof/>
              </w:rPr>
              <w:t xml:space="preserve">Beruházás: A kritikus fontosságú nyersanyagokkal való fenntartható, körforgásos és </w:t>
            </w:r>
            <w:r>
              <w:rPr>
                <w:noProof/>
              </w:rPr>
              <w:t>biztonságos ellátás</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01A18E0C" w14:textId="77777777" w:rsidR="003F5418" w:rsidRDefault="002A6C25">
            <w:pPr>
              <w:pStyle w:val="P68B1DB1-Normal4"/>
              <w:spacing w:after="120"/>
              <w:jc w:val="center"/>
              <w:rPr>
                <w:noProof/>
              </w:rPr>
            </w:pPr>
            <w:r>
              <w:rPr>
                <w:noProof/>
              </w:rPr>
              <w:t>Mérföldkő</w:t>
            </w:r>
          </w:p>
        </w:tc>
        <w:tc>
          <w:tcPr>
            <w:tcW w:w="1418" w:type="dxa"/>
            <w:tcBorders>
              <w:top w:val="single" w:sz="4" w:space="0" w:color="auto"/>
              <w:left w:val="single" w:sz="4" w:space="0" w:color="auto"/>
              <w:bottom w:val="single" w:sz="4" w:space="0" w:color="auto"/>
              <w:right w:val="single" w:sz="4" w:space="0" w:color="auto"/>
            </w:tcBorders>
            <w:shd w:val="clear" w:color="auto" w:fill="C6EFCE"/>
            <w:noWrap/>
          </w:tcPr>
          <w:p w14:paraId="2DD32678" w14:textId="77777777" w:rsidR="003F5418" w:rsidRDefault="002A6C25">
            <w:pPr>
              <w:pStyle w:val="P68B1DB1-Normal4"/>
              <w:spacing w:after="120"/>
              <w:jc w:val="center"/>
              <w:rPr>
                <w:noProof/>
              </w:rPr>
            </w:pPr>
            <w:r>
              <w:rPr>
                <w:noProof/>
              </w:rPr>
              <w:t>A kritikus fontosságú nyersanyagok iránti jövőbeli igényekről és a környezettudatos tervezésben rejlő, a kritikus fontosságú nyersanyagok iránti kereslet csökkentésére irányuló potenciálról szóló jelentés közzététele</w:t>
            </w:r>
          </w:p>
        </w:tc>
        <w:tc>
          <w:tcPr>
            <w:tcW w:w="198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77A7B5" w14:textId="77777777" w:rsidR="003F5418" w:rsidRDefault="002A6C25">
            <w:pPr>
              <w:pStyle w:val="P68B1DB1-Normal4"/>
              <w:spacing w:after="120"/>
              <w:jc w:val="center"/>
              <w:rPr>
                <w:noProof/>
              </w:rPr>
            </w:pPr>
            <w:r>
              <w:rPr>
                <w:noProof/>
              </w:rPr>
              <w:t xml:space="preserve">A </w:t>
            </w:r>
            <w:r>
              <w:rPr>
                <w:noProof/>
              </w:rPr>
              <w:t>jelentés közzététele</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698F20" w14:textId="77777777" w:rsidR="003F5418" w:rsidRDefault="002A6C25">
            <w:pPr>
              <w:pStyle w:val="P68B1DB1-Normal4"/>
              <w:spacing w:after="120"/>
              <w:jc w:val="center"/>
              <w:rPr>
                <w:noProof/>
              </w:rPr>
            </w:pPr>
            <w:r>
              <w:rPr>
                <w:noProof/>
              </w:rPr>
              <w:t>NINCS</w:t>
            </w:r>
          </w:p>
        </w:tc>
        <w:tc>
          <w:tcPr>
            <w:tcW w:w="99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9A4A1F2" w14:textId="77777777" w:rsidR="003F5418" w:rsidRDefault="002A6C25">
            <w:pPr>
              <w:pStyle w:val="P68B1DB1-Normal4"/>
              <w:spacing w:after="120"/>
              <w:jc w:val="center"/>
              <w:rPr>
                <w:noProof/>
              </w:rPr>
            </w:pPr>
            <w:r>
              <w:rPr>
                <w:noProof/>
              </w:rPr>
              <w:t>NINCS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E57E82" w14:textId="77777777" w:rsidR="003F5418" w:rsidRDefault="002A6C25">
            <w:pPr>
              <w:pStyle w:val="P68B1DB1-Normal4"/>
              <w:spacing w:after="120"/>
              <w:jc w:val="center"/>
              <w:rPr>
                <w:noProof/>
              </w:rPr>
            </w:pPr>
            <w:r>
              <w:rPr>
                <w:noProof/>
              </w:rPr>
              <w:t>NINCS</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33008A" w14:textId="77777777" w:rsidR="003F5418" w:rsidRDefault="002A6C25">
            <w:pPr>
              <w:pStyle w:val="P68B1DB1-Normal4"/>
              <w:spacing w:after="120"/>
              <w:jc w:val="center"/>
              <w:rPr>
                <w:noProof/>
              </w:rPr>
            </w:pPr>
            <w:r>
              <w:rPr>
                <w:noProof/>
              </w:rPr>
              <w:t>Q2</w:t>
            </w:r>
          </w:p>
        </w:tc>
        <w:tc>
          <w:tcPr>
            <w:tcW w:w="70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A89AA2" w14:textId="77777777" w:rsidR="003F5418" w:rsidRDefault="002A6C25">
            <w:pPr>
              <w:pStyle w:val="P68B1DB1-Normal4"/>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3040ECEE" w14:textId="77777777" w:rsidR="003F5418" w:rsidRDefault="002A6C25">
            <w:pPr>
              <w:pStyle w:val="P68B1DB1-Normal4"/>
              <w:spacing w:after="120"/>
              <w:rPr>
                <w:noProof/>
              </w:rPr>
            </w:pPr>
            <w:r>
              <w:rPr>
                <w:noProof/>
              </w:rPr>
              <w:t xml:space="preserve">A jelentésben elemezni kell a kritikus fontosságú nyersanyagok iránti jövőbeli igényeket és a környezettudatos tervezésben rejlő lehetőségeket a kritikus fontosságú nyersanyagok iránti kereslet csökkentésére. </w:t>
            </w:r>
          </w:p>
        </w:tc>
      </w:tr>
      <w:tr w:rsidR="003F5418" w14:paraId="49D9DDC6" w14:textId="77777777">
        <w:trPr>
          <w:trHeight w:val="309"/>
        </w:trPr>
        <w:tc>
          <w:tcPr>
            <w:tcW w:w="1185" w:type="dxa"/>
            <w:shd w:val="clear" w:color="auto" w:fill="C6EFCE"/>
            <w:noWrap/>
            <w:vAlign w:val="center"/>
          </w:tcPr>
          <w:p w14:paraId="10276DF5" w14:textId="77777777" w:rsidR="003F5418" w:rsidRDefault="002A6C25">
            <w:pPr>
              <w:pStyle w:val="P68B1DB1-Normal4"/>
              <w:spacing w:after="120"/>
              <w:jc w:val="center"/>
              <w:rPr>
                <w:noProof/>
              </w:rPr>
            </w:pPr>
            <w:r>
              <w:rPr>
                <w:noProof/>
              </w:rPr>
              <w:t>M7–26. INTÉZKEDÉS</w:t>
            </w:r>
          </w:p>
        </w:tc>
        <w:tc>
          <w:tcPr>
            <w:tcW w:w="1559" w:type="dxa"/>
            <w:shd w:val="clear" w:color="auto" w:fill="C6EFCE"/>
            <w:noWrap/>
          </w:tcPr>
          <w:p w14:paraId="53B1FADD" w14:textId="621B7234" w:rsidR="003F5418" w:rsidRDefault="002A6C25">
            <w:pPr>
              <w:pStyle w:val="P68B1DB1-Normal4"/>
              <w:spacing w:after="120"/>
              <w:jc w:val="center"/>
              <w:rPr>
                <w:noProof/>
              </w:rPr>
            </w:pPr>
            <w:r>
              <w:rPr>
                <w:noProof/>
              </w:rPr>
              <w:t>Beruházás: A kritikus fontosságú nyersanyagokkal való fenntartható, körforgásos és biztonságos ellátás</w:t>
            </w:r>
          </w:p>
        </w:tc>
        <w:tc>
          <w:tcPr>
            <w:tcW w:w="1134" w:type="dxa"/>
            <w:shd w:val="clear" w:color="auto" w:fill="C6EFCE"/>
            <w:noWrap/>
          </w:tcPr>
          <w:p w14:paraId="6DF1C63A" w14:textId="51F91C97" w:rsidR="003F5418" w:rsidRDefault="002A6C25">
            <w:pPr>
              <w:pStyle w:val="P68B1DB1-Normal4"/>
              <w:spacing w:after="120"/>
              <w:jc w:val="center"/>
              <w:rPr>
                <w:noProof/>
              </w:rPr>
            </w:pPr>
            <w:r>
              <w:rPr>
                <w:noProof/>
              </w:rPr>
              <w:t>Mérföldkő</w:t>
            </w:r>
          </w:p>
        </w:tc>
        <w:tc>
          <w:tcPr>
            <w:tcW w:w="1418" w:type="dxa"/>
            <w:shd w:val="clear" w:color="auto" w:fill="C6EFCE"/>
            <w:noWrap/>
          </w:tcPr>
          <w:p w14:paraId="6F4E8605" w14:textId="77777777" w:rsidR="003F5418" w:rsidRDefault="002A6C25">
            <w:pPr>
              <w:pStyle w:val="P68B1DB1-Normal4"/>
              <w:spacing w:after="120"/>
              <w:jc w:val="center"/>
              <w:rPr>
                <w:noProof/>
              </w:rPr>
            </w:pPr>
            <w:r>
              <w:rPr>
                <w:noProof/>
              </w:rPr>
              <w:t xml:space="preserve">Az ásványinyersanyag-kitermelésből származó hulladékkal kapcsolatos földrajzi információs rendszer (GIS) a kritikus </w:t>
            </w:r>
            <w:r>
              <w:rPr>
                <w:noProof/>
              </w:rPr>
              <w:t>fontosságú nyersanyagokkal való fenntartható, körforgásos és biztonságos ellátás érdekében</w:t>
            </w:r>
          </w:p>
        </w:tc>
        <w:tc>
          <w:tcPr>
            <w:tcW w:w="1984" w:type="dxa"/>
            <w:shd w:val="clear" w:color="auto" w:fill="C6EFCE"/>
            <w:noWrap/>
            <w:vAlign w:val="center"/>
          </w:tcPr>
          <w:p w14:paraId="32785DD6" w14:textId="77777777" w:rsidR="003F5418" w:rsidRDefault="002A6C25">
            <w:pPr>
              <w:pStyle w:val="P68B1DB1-Normal4"/>
              <w:spacing w:after="120"/>
              <w:jc w:val="center"/>
              <w:rPr>
                <w:noProof/>
              </w:rPr>
            </w:pPr>
            <w:r>
              <w:rPr>
                <w:noProof/>
              </w:rPr>
              <w:t>Az adatbázis közzététele</w:t>
            </w:r>
          </w:p>
        </w:tc>
        <w:tc>
          <w:tcPr>
            <w:tcW w:w="1134" w:type="dxa"/>
            <w:shd w:val="clear" w:color="auto" w:fill="C6EFCE"/>
            <w:noWrap/>
            <w:vAlign w:val="center"/>
          </w:tcPr>
          <w:p w14:paraId="4EB4A37F" w14:textId="77777777" w:rsidR="003F5418" w:rsidRDefault="002A6C25">
            <w:pPr>
              <w:pStyle w:val="P68B1DB1-Normal4"/>
              <w:spacing w:after="120"/>
              <w:jc w:val="center"/>
              <w:rPr>
                <w:noProof/>
              </w:rPr>
            </w:pPr>
            <w:r>
              <w:rPr>
                <w:noProof/>
              </w:rPr>
              <w:t>NINCS</w:t>
            </w:r>
          </w:p>
        </w:tc>
        <w:tc>
          <w:tcPr>
            <w:tcW w:w="993" w:type="dxa"/>
            <w:shd w:val="clear" w:color="auto" w:fill="C6EFCE"/>
            <w:noWrap/>
            <w:vAlign w:val="center"/>
          </w:tcPr>
          <w:p w14:paraId="02F1274B" w14:textId="77777777" w:rsidR="003F5418" w:rsidRDefault="002A6C25">
            <w:pPr>
              <w:pStyle w:val="P68B1DB1-Normal4"/>
              <w:spacing w:after="120"/>
              <w:jc w:val="center"/>
              <w:rPr>
                <w:noProof/>
              </w:rPr>
            </w:pPr>
            <w:r>
              <w:rPr>
                <w:noProof/>
              </w:rPr>
              <w:t>NINCS</w:t>
            </w:r>
          </w:p>
        </w:tc>
        <w:tc>
          <w:tcPr>
            <w:tcW w:w="992" w:type="dxa"/>
            <w:shd w:val="clear" w:color="auto" w:fill="C6EFCE"/>
            <w:noWrap/>
            <w:vAlign w:val="center"/>
          </w:tcPr>
          <w:p w14:paraId="787D07CA" w14:textId="77777777" w:rsidR="003F5418" w:rsidRDefault="002A6C25">
            <w:pPr>
              <w:pStyle w:val="P68B1DB1-Normal4"/>
              <w:spacing w:after="120"/>
              <w:jc w:val="center"/>
              <w:rPr>
                <w:noProof/>
              </w:rPr>
            </w:pPr>
            <w:r>
              <w:rPr>
                <w:noProof/>
              </w:rPr>
              <w:t>NINCS</w:t>
            </w:r>
          </w:p>
        </w:tc>
        <w:tc>
          <w:tcPr>
            <w:tcW w:w="992" w:type="dxa"/>
            <w:shd w:val="clear" w:color="auto" w:fill="C6EFCE"/>
            <w:noWrap/>
            <w:vAlign w:val="center"/>
          </w:tcPr>
          <w:p w14:paraId="6FA0BC48" w14:textId="77777777" w:rsidR="003F5418" w:rsidRDefault="002A6C25">
            <w:pPr>
              <w:pStyle w:val="P68B1DB1-Normal4"/>
              <w:spacing w:after="120"/>
              <w:jc w:val="center"/>
              <w:rPr>
                <w:noProof/>
              </w:rPr>
            </w:pPr>
            <w:r>
              <w:rPr>
                <w:noProof/>
              </w:rPr>
              <w:t>Q4</w:t>
            </w:r>
          </w:p>
        </w:tc>
        <w:tc>
          <w:tcPr>
            <w:tcW w:w="709" w:type="dxa"/>
            <w:shd w:val="clear" w:color="auto" w:fill="C6EFCE"/>
            <w:noWrap/>
            <w:vAlign w:val="center"/>
          </w:tcPr>
          <w:p w14:paraId="0463F64B" w14:textId="77777777" w:rsidR="003F5418" w:rsidRDefault="002A6C25">
            <w:pPr>
              <w:pStyle w:val="P68B1DB1-Normal4"/>
              <w:spacing w:after="120"/>
              <w:jc w:val="center"/>
              <w:rPr>
                <w:noProof/>
              </w:rPr>
            </w:pPr>
            <w:r>
              <w:rPr>
                <w:noProof/>
              </w:rPr>
              <w:t>2025</w:t>
            </w:r>
          </w:p>
        </w:tc>
        <w:tc>
          <w:tcPr>
            <w:tcW w:w="3261" w:type="dxa"/>
            <w:shd w:val="clear" w:color="auto" w:fill="C6EFCE"/>
            <w:noWrap/>
            <w:vAlign w:val="center"/>
          </w:tcPr>
          <w:p w14:paraId="09EC5086" w14:textId="77777777" w:rsidR="003F5418" w:rsidRDefault="002A6C25">
            <w:pPr>
              <w:pStyle w:val="P68B1DB1-Normal4"/>
              <w:rPr>
                <w:noProof/>
              </w:rPr>
            </w:pPr>
            <w:r>
              <w:rPr>
                <w:noProof/>
              </w:rPr>
              <w:t>Nyilvános adatbázis (földrajzi információs rendszer), amely lehetővé teszi az újrafeldolgozható erőforrások vagy a</w:t>
            </w:r>
            <w:r>
              <w:rPr>
                <w:noProof/>
              </w:rPr>
              <w:t>nyagok földrajzi helymeghatározását és megjelenítését a városi környezetben (városi bányák), valamint az elhagyott bányákban meglévő hulladékokat.</w:t>
            </w:r>
          </w:p>
        </w:tc>
      </w:tr>
      <w:tr w:rsidR="003F5418" w14:paraId="3ACD45D7" w14:textId="77777777">
        <w:trPr>
          <w:trHeight w:val="309"/>
        </w:trPr>
        <w:tc>
          <w:tcPr>
            <w:tcW w:w="1185" w:type="dxa"/>
            <w:shd w:val="clear" w:color="auto" w:fill="C6EFCE"/>
            <w:noWrap/>
            <w:vAlign w:val="center"/>
          </w:tcPr>
          <w:p w14:paraId="461DDE81" w14:textId="77777777" w:rsidR="003F5418" w:rsidRDefault="002A6C25">
            <w:pPr>
              <w:pStyle w:val="P68B1DB1-Normal4"/>
              <w:spacing w:after="120"/>
              <w:jc w:val="center"/>
              <w:rPr>
                <w:noProof/>
              </w:rPr>
            </w:pPr>
            <w:r>
              <w:rPr>
                <w:noProof/>
              </w:rPr>
              <w:t>M7–27. INTÉZKEDÉS</w:t>
            </w:r>
          </w:p>
        </w:tc>
        <w:tc>
          <w:tcPr>
            <w:tcW w:w="1559" w:type="dxa"/>
            <w:shd w:val="clear" w:color="auto" w:fill="C6EFCE"/>
            <w:noWrap/>
          </w:tcPr>
          <w:p w14:paraId="02EDD215" w14:textId="5CCAB5AE" w:rsidR="003F5418" w:rsidRDefault="002A6C25">
            <w:pPr>
              <w:pStyle w:val="P68B1DB1-Normal4"/>
              <w:spacing w:after="120"/>
              <w:jc w:val="center"/>
              <w:rPr>
                <w:noProof/>
              </w:rPr>
            </w:pPr>
            <w:r>
              <w:rPr>
                <w:noProof/>
              </w:rPr>
              <w:t xml:space="preserve">Beruházás: A kritikus fontosságú nyersanyagokkal való fenntartható, körforgásos és </w:t>
            </w:r>
            <w:r>
              <w:rPr>
                <w:noProof/>
              </w:rPr>
              <w:t>biztonságos ellátás</w:t>
            </w:r>
          </w:p>
        </w:tc>
        <w:tc>
          <w:tcPr>
            <w:tcW w:w="1134" w:type="dxa"/>
            <w:shd w:val="clear" w:color="auto" w:fill="C6EFCE"/>
            <w:noWrap/>
          </w:tcPr>
          <w:p w14:paraId="78A13396" w14:textId="77777777" w:rsidR="003F5418" w:rsidRDefault="002A6C25">
            <w:pPr>
              <w:pStyle w:val="P68B1DB1-Normal4"/>
              <w:spacing w:after="120"/>
              <w:jc w:val="center"/>
              <w:rPr>
                <w:noProof/>
              </w:rPr>
            </w:pPr>
            <w:r>
              <w:rPr>
                <w:noProof/>
              </w:rPr>
              <w:t xml:space="preserve">Cél </w:t>
            </w:r>
          </w:p>
        </w:tc>
        <w:tc>
          <w:tcPr>
            <w:tcW w:w="1418" w:type="dxa"/>
            <w:shd w:val="clear" w:color="auto" w:fill="C6EFCE"/>
            <w:noWrap/>
          </w:tcPr>
          <w:p w14:paraId="5B44F808" w14:textId="77777777" w:rsidR="003F5418" w:rsidRDefault="002A6C25">
            <w:pPr>
              <w:pStyle w:val="P68B1DB1-Normal4"/>
              <w:spacing w:after="120"/>
              <w:jc w:val="center"/>
              <w:rPr>
                <w:noProof/>
              </w:rPr>
            </w:pPr>
            <w:r>
              <w:rPr>
                <w:noProof/>
              </w:rPr>
              <w:t>A környezettudatos tervezéssel és a városi bányászattal kapcsolatos K+F projektek lezárása a kritikus fontosságú nyersanyagok fenntartható, körforgásos és biztonságos ellátása érdekében</w:t>
            </w:r>
          </w:p>
        </w:tc>
        <w:tc>
          <w:tcPr>
            <w:tcW w:w="1984" w:type="dxa"/>
            <w:shd w:val="clear" w:color="auto" w:fill="C6EFCE"/>
            <w:noWrap/>
            <w:vAlign w:val="center"/>
          </w:tcPr>
          <w:p w14:paraId="7FEC2318"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210B47E8"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48D2503E"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475D46DF" w14:textId="77777777" w:rsidR="003F5418" w:rsidRDefault="002A6C25">
            <w:pPr>
              <w:pStyle w:val="P68B1DB1-Normal4"/>
              <w:spacing w:after="120"/>
              <w:jc w:val="center"/>
              <w:rPr>
                <w:noProof/>
              </w:rPr>
            </w:pPr>
            <w:r>
              <w:rPr>
                <w:noProof/>
              </w:rPr>
              <w:t>10</w:t>
            </w:r>
          </w:p>
        </w:tc>
        <w:tc>
          <w:tcPr>
            <w:tcW w:w="992" w:type="dxa"/>
            <w:shd w:val="clear" w:color="auto" w:fill="C6EFCE"/>
            <w:noWrap/>
            <w:vAlign w:val="center"/>
          </w:tcPr>
          <w:p w14:paraId="6074A583"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75FE7DE2" w14:textId="77777777" w:rsidR="003F5418" w:rsidRDefault="002A6C25">
            <w:pPr>
              <w:pStyle w:val="P68B1DB1-Normal4"/>
              <w:spacing w:after="120"/>
              <w:jc w:val="center"/>
              <w:rPr>
                <w:noProof/>
              </w:rPr>
            </w:pPr>
            <w:r>
              <w:rPr>
                <w:noProof/>
              </w:rPr>
              <w:t>2026</w:t>
            </w:r>
          </w:p>
        </w:tc>
        <w:tc>
          <w:tcPr>
            <w:tcW w:w="3261" w:type="dxa"/>
            <w:shd w:val="clear" w:color="auto" w:fill="C6EFCE"/>
            <w:noWrap/>
          </w:tcPr>
          <w:p w14:paraId="3F304B80" w14:textId="77777777" w:rsidR="003F5418" w:rsidRDefault="002A6C25">
            <w:pPr>
              <w:pStyle w:val="P68B1DB1-Normal4"/>
              <w:spacing w:after="120"/>
              <w:rPr>
                <w:noProof/>
              </w:rPr>
            </w:pPr>
            <w:r>
              <w:rPr>
                <w:noProof/>
              </w:rPr>
              <w:t xml:space="preserve">Legalább 10 olyan K+F </w:t>
            </w:r>
            <w:r>
              <w:rPr>
                <w:noProof/>
              </w:rPr>
              <w:t>projekt lezárása, amelyek a környezettudatos tervezésre, valamint az elektromos és elektronikus berendezések hulladékainak – többek között a szélturbinalapátok és a fotovoltaikus panelek – gyűjtésének, logisztikájának és újrafeldolgozásának javítására irán</w:t>
            </w:r>
            <w:r>
              <w:rPr>
                <w:noProof/>
              </w:rPr>
              <w:t>yulnak.</w:t>
            </w:r>
          </w:p>
        </w:tc>
      </w:tr>
      <w:tr w:rsidR="003F5418" w14:paraId="16FC0B65" w14:textId="77777777">
        <w:trPr>
          <w:trHeight w:val="309"/>
        </w:trPr>
        <w:tc>
          <w:tcPr>
            <w:tcW w:w="1185" w:type="dxa"/>
            <w:shd w:val="clear" w:color="auto" w:fill="C6EFCE"/>
            <w:noWrap/>
            <w:vAlign w:val="center"/>
          </w:tcPr>
          <w:p w14:paraId="6FFD28DC" w14:textId="77777777" w:rsidR="003F5418" w:rsidRDefault="002A6C25">
            <w:pPr>
              <w:pStyle w:val="P68B1DB1-Normal4"/>
              <w:spacing w:after="120"/>
              <w:jc w:val="center"/>
              <w:rPr>
                <w:noProof/>
              </w:rPr>
            </w:pPr>
            <w:r>
              <w:rPr>
                <w:noProof/>
              </w:rPr>
              <w:t>7–28. INTÉZKEDÉS</w:t>
            </w:r>
          </w:p>
        </w:tc>
        <w:tc>
          <w:tcPr>
            <w:tcW w:w="1559" w:type="dxa"/>
            <w:shd w:val="clear" w:color="auto" w:fill="C6EFCE"/>
            <w:noWrap/>
            <w:vAlign w:val="center"/>
          </w:tcPr>
          <w:p w14:paraId="5E15855E" w14:textId="67A8B278" w:rsidR="003F5418" w:rsidRDefault="002A6C25">
            <w:pPr>
              <w:pStyle w:val="P68B1DB1-Normal4"/>
              <w:spacing w:after="120"/>
              <w:jc w:val="center"/>
              <w:rPr>
                <w:noProof/>
              </w:rPr>
            </w:pPr>
            <w:r>
              <w:rPr>
                <w:noProof/>
              </w:rPr>
              <w:t>Beruházás: A kritikus fontosságú nyersanyagokkal való fenntartható, körforgásos és biztonságos ellátás</w:t>
            </w:r>
          </w:p>
        </w:tc>
        <w:tc>
          <w:tcPr>
            <w:tcW w:w="1134" w:type="dxa"/>
            <w:shd w:val="clear" w:color="auto" w:fill="C6EFCE"/>
            <w:noWrap/>
            <w:vAlign w:val="center"/>
          </w:tcPr>
          <w:p w14:paraId="7AAA5451" w14:textId="77777777" w:rsidR="003F5418" w:rsidRDefault="002A6C25">
            <w:pPr>
              <w:pStyle w:val="P68B1DB1-Normal4"/>
              <w:spacing w:after="120"/>
              <w:jc w:val="center"/>
              <w:rPr>
                <w:noProof/>
              </w:rPr>
            </w:pPr>
            <w:r>
              <w:rPr>
                <w:noProof/>
              </w:rPr>
              <w:t>Cél</w:t>
            </w:r>
          </w:p>
        </w:tc>
        <w:tc>
          <w:tcPr>
            <w:tcW w:w="1418" w:type="dxa"/>
            <w:shd w:val="clear" w:color="auto" w:fill="C6EFCE"/>
            <w:noWrap/>
            <w:vAlign w:val="center"/>
          </w:tcPr>
          <w:p w14:paraId="73719A37" w14:textId="77777777" w:rsidR="003F5418" w:rsidRDefault="002A6C25">
            <w:pPr>
              <w:pStyle w:val="P68B1DB1-Normal4"/>
              <w:spacing w:after="120"/>
              <w:jc w:val="center"/>
              <w:rPr>
                <w:noProof/>
              </w:rPr>
            </w:pPr>
            <w:r>
              <w:rPr>
                <w:noProof/>
              </w:rPr>
              <w:t>A városi bányászati és környezetbarát tervezési technológiai központhoz tartozó laboratóriumok berendezései</w:t>
            </w:r>
          </w:p>
        </w:tc>
        <w:tc>
          <w:tcPr>
            <w:tcW w:w="1984" w:type="dxa"/>
            <w:shd w:val="clear" w:color="auto" w:fill="C6EFCE"/>
            <w:noWrap/>
          </w:tcPr>
          <w:p w14:paraId="6836144F" w14:textId="77777777" w:rsidR="003F5418" w:rsidRDefault="003F5418">
            <w:pPr>
              <w:spacing w:after="120"/>
              <w:jc w:val="center"/>
              <w:rPr>
                <w:rFonts w:ascii="Arial Narrow" w:hAnsi="Arial Narrow"/>
                <w:noProof/>
                <w:color w:val="006100"/>
                <w:sz w:val="20"/>
              </w:rPr>
            </w:pPr>
          </w:p>
        </w:tc>
        <w:tc>
          <w:tcPr>
            <w:tcW w:w="1134" w:type="dxa"/>
            <w:shd w:val="clear" w:color="auto" w:fill="C6EFCE"/>
            <w:noWrap/>
            <w:vAlign w:val="center"/>
          </w:tcPr>
          <w:p w14:paraId="7DB5FCED" w14:textId="77777777" w:rsidR="003F5418" w:rsidRDefault="002A6C25">
            <w:pPr>
              <w:pStyle w:val="P68B1DB1-Normal4"/>
              <w:spacing w:after="120"/>
              <w:jc w:val="center"/>
              <w:rPr>
                <w:noProof/>
              </w:rPr>
            </w:pPr>
            <w:r>
              <w:rPr>
                <w:noProof/>
              </w:rPr>
              <w:t>Szám</w:t>
            </w:r>
          </w:p>
        </w:tc>
        <w:tc>
          <w:tcPr>
            <w:tcW w:w="993" w:type="dxa"/>
            <w:shd w:val="clear" w:color="auto" w:fill="C6EFCE"/>
            <w:noWrap/>
            <w:vAlign w:val="center"/>
          </w:tcPr>
          <w:p w14:paraId="49B51552" w14:textId="77777777" w:rsidR="003F5418" w:rsidRDefault="002A6C25">
            <w:pPr>
              <w:pStyle w:val="P68B1DB1-Normal4"/>
              <w:spacing w:after="120"/>
              <w:jc w:val="center"/>
              <w:rPr>
                <w:noProof/>
              </w:rPr>
            </w:pPr>
            <w:r>
              <w:rPr>
                <w:noProof/>
              </w:rPr>
              <w:t>0</w:t>
            </w:r>
          </w:p>
        </w:tc>
        <w:tc>
          <w:tcPr>
            <w:tcW w:w="992" w:type="dxa"/>
            <w:shd w:val="clear" w:color="auto" w:fill="C6EFCE"/>
            <w:noWrap/>
            <w:vAlign w:val="center"/>
          </w:tcPr>
          <w:p w14:paraId="42FFC321" w14:textId="77777777" w:rsidR="003F5418" w:rsidRDefault="002A6C25">
            <w:pPr>
              <w:pStyle w:val="P68B1DB1-Normal4"/>
              <w:spacing w:after="120"/>
              <w:jc w:val="center"/>
              <w:rPr>
                <w:noProof/>
              </w:rPr>
            </w:pPr>
            <w:r>
              <w:rPr>
                <w:noProof/>
              </w:rPr>
              <w:t>6</w:t>
            </w:r>
          </w:p>
        </w:tc>
        <w:tc>
          <w:tcPr>
            <w:tcW w:w="992" w:type="dxa"/>
            <w:shd w:val="clear" w:color="auto" w:fill="C6EFCE"/>
            <w:noWrap/>
            <w:vAlign w:val="center"/>
          </w:tcPr>
          <w:p w14:paraId="68EDA8BF" w14:textId="77777777" w:rsidR="003F5418" w:rsidRDefault="002A6C25">
            <w:pPr>
              <w:pStyle w:val="P68B1DB1-Normal4"/>
              <w:spacing w:after="120"/>
              <w:jc w:val="center"/>
              <w:rPr>
                <w:noProof/>
              </w:rPr>
            </w:pPr>
            <w:r>
              <w:rPr>
                <w:noProof/>
              </w:rPr>
              <w:t>Q2</w:t>
            </w:r>
          </w:p>
        </w:tc>
        <w:tc>
          <w:tcPr>
            <w:tcW w:w="709" w:type="dxa"/>
            <w:shd w:val="clear" w:color="auto" w:fill="C6EFCE"/>
            <w:noWrap/>
            <w:vAlign w:val="center"/>
          </w:tcPr>
          <w:p w14:paraId="006F867A"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518696B0" w14:textId="77777777" w:rsidR="003F5418" w:rsidRDefault="002A6C25">
            <w:pPr>
              <w:pStyle w:val="P68B1DB1-Normal4"/>
              <w:spacing w:after="120"/>
              <w:rPr>
                <w:noProof/>
              </w:rPr>
            </w:pPr>
            <w:r>
              <w:rPr>
                <w:noProof/>
              </w:rPr>
              <w:t>A városi bányászati és környezetbarát tervezési technológiai központhoz tartozó legalább 6 laboratórium berendezése.</w:t>
            </w:r>
          </w:p>
          <w:p w14:paraId="334FC9C3" w14:textId="77777777" w:rsidR="003F5418" w:rsidRDefault="002A6C25">
            <w:pPr>
              <w:pStyle w:val="P68B1DB1-Normal4"/>
              <w:spacing w:after="120"/>
              <w:rPr>
                <w:noProof/>
              </w:rPr>
            </w:pPr>
            <w:r>
              <w:rPr>
                <w:noProof/>
              </w:rPr>
              <w:t>A laboratóriumoknak lehetővé kell tenniük a magánvállalatok és a kutatóintézetek közötti együttműködést a zöld átálláshoz kapcsolódó k</w:t>
            </w:r>
            <w:r>
              <w:rPr>
                <w:noProof/>
              </w:rPr>
              <w:t xml:space="preserve">ritikus fontosságú nyersanyagok visszanyerésének és újrafeldolgozásának fokozását célzó megoldások keresésében. </w:t>
            </w:r>
          </w:p>
        </w:tc>
      </w:tr>
      <w:tr w:rsidR="003F5418" w14:paraId="1FF169EF" w14:textId="77777777">
        <w:trPr>
          <w:trHeight w:val="309"/>
        </w:trPr>
        <w:tc>
          <w:tcPr>
            <w:tcW w:w="1185" w:type="dxa"/>
            <w:tcBorders>
              <w:bottom w:val="single" w:sz="4" w:space="0" w:color="auto"/>
            </w:tcBorders>
            <w:shd w:val="clear" w:color="auto" w:fill="C6EFCE"/>
            <w:noWrap/>
            <w:vAlign w:val="center"/>
          </w:tcPr>
          <w:p w14:paraId="5E4DD517" w14:textId="77777777" w:rsidR="003F5418" w:rsidRDefault="002A6C25">
            <w:pPr>
              <w:pStyle w:val="P68B1DB1-Normal4"/>
              <w:spacing w:after="120"/>
              <w:jc w:val="center"/>
              <w:rPr>
                <w:noProof/>
              </w:rPr>
            </w:pPr>
            <w:r>
              <w:rPr>
                <w:noProof/>
              </w:rPr>
              <w:t>M7–29</w:t>
            </w:r>
          </w:p>
        </w:tc>
        <w:tc>
          <w:tcPr>
            <w:tcW w:w="1559" w:type="dxa"/>
            <w:tcBorders>
              <w:bottom w:val="single" w:sz="4" w:space="0" w:color="auto"/>
            </w:tcBorders>
            <w:shd w:val="clear" w:color="auto" w:fill="C6EFCE"/>
            <w:noWrap/>
            <w:vAlign w:val="center"/>
          </w:tcPr>
          <w:p w14:paraId="6AF4C46C" w14:textId="77777777" w:rsidR="003F5418" w:rsidRDefault="002A6C25">
            <w:pPr>
              <w:pStyle w:val="P68B1DB1-Normal4"/>
              <w:spacing w:after="120"/>
              <w:jc w:val="center"/>
              <w:rPr>
                <w:noProof/>
              </w:rPr>
            </w:pPr>
            <w:r>
              <w:rPr>
                <w:noProof/>
              </w:rPr>
              <w:t xml:space="preserve">Beruházás: Növekedési intézkedés: Technikai segítségnyújtás és kapacitásépítés megerősítése az olasz helyreállítási és </w:t>
            </w:r>
            <w:r>
              <w:rPr>
                <w:noProof/>
              </w:rPr>
              <w:t>rezilienciaépítési terv végrehajtásához</w:t>
            </w:r>
          </w:p>
        </w:tc>
        <w:tc>
          <w:tcPr>
            <w:tcW w:w="1134" w:type="dxa"/>
            <w:tcBorders>
              <w:bottom w:val="single" w:sz="4" w:space="0" w:color="auto"/>
            </w:tcBorders>
            <w:shd w:val="clear" w:color="auto" w:fill="C6EFCE"/>
            <w:noWrap/>
            <w:vAlign w:val="center"/>
          </w:tcPr>
          <w:p w14:paraId="4B2040BF" w14:textId="77777777" w:rsidR="003F5418" w:rsidRDefault="002A6C25">
            <w:pPr>
              <w:pStyle w:val="P68B1DB1-Normal4"/>
              <w:spacing w:after="120"/>
              <w:jc w:val="center"/>
              <w:rPr>
                <w:noProof/>
              </w:rPr>
            </w:pPr>
            <w:r>
              <w:rPr>
                <w:noProof/>
              </w:rPr>
              <w:t>Cél</w:t>
            </w:r>
          </w:p>
        </w:tc>
        <w:tc>
          <w:tcPr>
            <w:tcW w:w="1418" w:type="dxa"/>
            <w:tcBorders>
              <w:bottom w:val="single" w:sz="4" w:space="0" w:color="auto"/>
            </w:tcBorders>
            <w:shd w:val="clear" w:color="auto" w:fill="C6EFCE"/>
            <w:noWrap/>
            <w:vAlign w:val="center"/>
          </w:tcPr>
          <w:p w14:paraId="2F60AD3D" w14:textId="77777777" w:rsidR="003F5418" w:rsidRDefault="002A6C25">
            <w:pPr>
              <w:pStyle w:val="P68B1DB1-Normal4"/>
              <w:spacing w:after="120"/>
              <w:jc w:val="center"/>
              <w:rPr>
                <w:noProof/>
              </w:rPr>
            </w:pPr>
            <w:r>
              <w:rPr>
                <w:noProof/>
              </w:rPr>
              <w:t>Oktatás és képzés</w:t>
            </w:r>
          </w:p>
        </w:tc>
        <w:tc>
          <w:tcPr>
            <w:tcW w:w="1984" w:type="dxa"/>
            <w:tcBorders>
              <w:bottom w:val="single" w:sz="4" w:space="0" w:color="auto"/>
            </w:tcBorders>
            <w:shd w:val="clear" w:color="auto" w:fill="C6EFCE"/>
            <w:noWrap/>
            <w:vAlign w:val="center"/>
          </w:tcPr>
          <w:p w14:paraId="2AE2CC70" w14:textId="77777777" w:rsidR="003F5418" w:rsidRDefault="003F5418">
            <w:pPr>
              <w:spacing w:after="120"/>
              <w:jc w:val="center"/>
              <w:rPr>
                <w:rFonts w:ascii="Arial Narrow" w:hAnsi="Arial Narrow"/>
                <w:noProof/>
                <w:color w:val="006100"/>
                <w:sz w:val="20"/>
              </w:rPr>
            </w:pPr>
          </w:p>
        </w:tc>
        <w:tc>
          <w:tcPr>
            <w:tcW w:w="1134" w:type="dxa"/>
            <w:tcBorders>
              <w:bottom w:val="single" w:sz="4" w:space="0" w:color="auto"/>
            </w:tcBorders>
            <w:shd w:val="clear" w:color="auto" w:fill="C6EFCE"/>
            <w:noWrap/>
            <w:vAlign w:val="center"/>
          </w:tcPr>
          <w:p w14:paraId="59C99EE8" w14:textId="77777777" w:rsidR="003F5418" w:rsidRDefault="002A6C25">
            <w:pPr>
              <w:pStyle w:val="P68B1DB1-Normal4"/>
              <w:spacing w:after="120"/>
              <w:jc w:val="center"/>
              <w:rPr>
                <w:noProof/>
              </w:rPr>
            </w:pPr>
            <w:r>
              <w:rPr>
                <w:noProof/>
              </w:rPr>
              <w:t>Szám</w:t>
            </w:r>
          </w:p>
        </w:tc>
        <w:tc>
          <w:tcPr>
            <w:tcW w:w="993" w:type="dxa"/>
            <w:tcBorders>
              <w:bottom w:val="single" w:sz="4" w:space="0" w:color="auto"/>
            </w:tcBorders>
            <w:shd w:val="clear" w:color="auto" w:fill="C6EFCE"/>
            <w:noWrap/>
            <w:vAlign w:val="center"/>
          </w:tcPr>
          <w:p w14:paraId="26E2094B" w14:textId="458F49B1" w:rsidR="003F5418" w:rsidRDefault="002A6C25">
            <w:pPr>
              <w:pStyle w:val="P68B1DB1-Normal4"/>
              <w:spacing w:after="120"/>
              <w:jc w:val="center"/>
              <w:rPr>
                <w:noProof/>
              </w:rPr>
            </w:pPr>
            <w:r>
              <w:rPr>
                <w:noProof/>
              </w:rPr>
              <w:t>280 000</w:t>
            </w:r>
          </w:p>
        </w:tc>
        <w:tc>
          <w:tcPr>
            <w:tcW w:w="992" w:type="dxa"/>
            <w:tcBorders>
              <w:bottom w:val="single" w:sz="4" w:space="0" w:color="auto"/>
            </w:tcBorders>
            <w:shd w:val="clear" w:color="auto" w:fill="C6EFCE"/>
            <w:noWrap/>
            <w:vAlign w:val="center"/>
          </w:tcPr>
          <w:p w14:paraId="488B4203" w14:textId="77777777" w:rsidR="003F5418" w:rsidRDefault="002A6C25">
            <w:pPr>
              <w:pStyle w:val="P68B1DB1-Normal4"/>
              <w:spacing w:after="120"/>
              <w:jc w:val="center"/>
              <w:rPr>
                <w:noProof/>
              </w:rPr>
            </w:pPr>
            <w:r>
              <w:rPr>
                <w:noProof/>
              </w:rPr>
              <w:t>281 750</w:t>
            </w:r>
          </w:p>
        </w:tc>
        <w:tc>
          <w:tcPr>
            <w:tcW w:w="992" w:type="dxa"/>
            <w:tcBorders>
              <w:bottom w:val="single" w:sz="4" w:space="0" w:color="auto"/>
            </w:tcBorders>
            <w:shd w:val="clear" w:color="auto" w:fill="C6EFCE"/>
            <w:noWrap/>
            <w:vAlign w:val="center"/>
          </w:tcPr>
          <w:p w14:paraId="217036AC" w14:textId="77777777" w:rsidR="003F5418" w:rsidRDefault="002A6C25">
            <w:pPr>
              <w:pStyle w:val="P68B1DB1-Normal4"/>
              <w:spacing w:after="120"/>
              <w:jc w:val="center"/>
              <w:rPr>
                <w:noProof/>
              </w:rPr>
            </w:pPr>
            <w:r>
              <w:rPr>
                <w:noProof/>
              </w:rPr>
              <w:t>Q2</w:t>
            </w:r>
          </w:p>
        </w:tc>
        <w:tc>
          <w:tcPr>
            <w:tcW w:w="709" w:type="dxa"/>
            <w:tcBorders>
              <w:bottom w:val="single" w:sz="4" w:space="0" w:color="auto"/>
            </w:tcBorders>
            <w:shd w:val="clear" w:color="auto" w:fill="C6EFCE"/>
            <w:noWrap/>
            <w:vAlign w:val="center"/>
          </w:tcPr>
          <w:p w14:paraId="68EE2632" w14:textId="77777777" w:rsidR="003F5418" w:rsidRDefault="002A6C25">
            <w:pPr>
              <w:pStyle w:val="P68B1DB1-Normal4"/>
              <w:spacing w:after="120"/>
              <w:jc w:val="center"/>
              <w:rPr>
                <w:noProof/>
              </w:rPr>
            </w:pPr>
            <w:r>
              <w:rPr>
                <w:noProof/>
              </w:rPr>
              <w:t>2026</w:t>
            </w:r>
          </w:p>
        </w:tc>
        <w:tc>
          <w:tcPr>
            <w:tcW w:w="3261" w:type="dxa"/>
            <w:tcBorders>
              <w:bottom w:val="single" w:sz="4" w:space="0" w:color="auto"/>
            </w:tcBorders>
            <w:shd w:val="clear" w:color="auto" w:fill="C6EFCE"/>
            <w:noWrap/>
            <w:vAlign w:val="center"/>
          </w:tcPr>
          <w:p w14:paraId="133C3178" w14:textId="77777777" w:rsidR="003F5418" w:rsidRDefault="002A6C25">
            <w:pPr>
              <w:pStyle w:val="P68B1DB1-Normal4"/>
              <w:spacing w:after="120"/>
              <w:rPr>
                <w:noProof/>
              </w:rPr>
            </w:pPr>
            <w:r>
              <w:rPr>
                <w:noProof/>
              </w:rPr>
              <w:t>Más közigazgatási szervek legalább 281750 közalkalmazottja hajtott végre sikeresen képzési kezdeményezéseket (formális tanúsítás vagy hatásvizsgálat).</w:t>
            </w:r>
          </w:p>
          <w:p w14:paraId="07429241" w14:textId="30137016" w:rsidR="003F5418" w:rsidRDefault="002A6C25">
            <w:pPr>
              <w:pStyle w:val="P68B1DB1-Normal4"/>
              <w:spacing w:after="120"/>
              <w:rPr>
                <w:noProof/>
              </w:rPr>
            </w:pPr>
            <w:r>
              <w:rPr>
                <w:noProof/>
              </w:rPr>
              <w:t xml:space="preserve">E </w:t>
            </w:r>
            <w:r>
              <w:rPr>
                <w:noProof/>
              </w:rPr>
              <w:t>közalkalmazottak közül legalább 1750-et a helyi közigazgatásban kell foglalkoztatni, és el kell végezniük a zöld átállással kapcsolatos képzési kezdeményezéseket, az intézkedés leírásában részletezettek szerint.</w:t>
            </w:r>
          </w:p>
        </w:tc>
      </w:tr>
      <w:tr w:rsidR="003F5418" w14:paraId="0278B904" w14:textId="77777777">
        <w:trPr>
          <w:trHeight w:val="309"/>
        </w:trPr>
        <w:tc>
          <w:tcPr>
            <w:tcW w:w="1185" w:type="dxa"/>
            <w:tcBorders>
              <w:top w:val="single" w:sz="4" w:space="0" w:color="auto"/>
            </w:tcBorders>
            <w:shd w:val="clear" w:color="auto" w:fill="C6EFCE"/>
            <w:noWrap/>
            <w:vAlign w:val="center"/>
          </w:tcPr>
          <w:p w14:paraId="0B79B0A5" w14:textId="77777777" w:rsidR="003F5418" w:rsidRDefault="002A6C25">
            <w:pPr>
              <w:pStyle w:val="P68B1DB1-Normal4"/>
              <w:spacing w:after="120"/>
              <w:jc w:val="center"/>
              <w:rPr>
                <w:noProof/>
              </w:rPr>
            </w:pPr>
            <w:r>
              <w:rPr>
                <w:noProof/>
              </w:rPr>
              <w:t>7–30. INTÉZKEDÉS</w:t>
            </w:r>
          </w:p>
        </w:tc>
        <w:tc>
          <w:tcPr>
            <w:tcW w:w="1559" w:type="dxa"/>
            <w:tcBorders>
              <w:top w:val="single" w:sz="4" w:space="0" w:color="auto"/>
            </w:tcBorders>
            <w:shd w:val="clear" w:color="auto" w:fill="C6EFCE"/>
            <w:noWrap/>
            <w:vAlign w:val="center"/>
          </w:tcPr>
          <w:p w14:paraId="567A73F8" w14:textId="77777777" w:rsidR="003F5418" w:rsidRDefault="002A6C25">
            <w:pPr>
              <w:pStyle w:val="P68B1DB1-Normal4"/>
              <w:spacing w:after="120"/>
              <w:jc w:val="center"/>
              <w:rPr>
                <w:noProof/>
              </w:rPr>
            </w:pPr>
            <w:r>
              <w:rPr>
                <w:noProof/>
              </w:rPr>
              <w:t xml:space="preserve">Beruházás: A készségekkel </w:t>
            </w:r>
            <w:r>
              <w:rPr>
                <w:noProof/>
              </w:rPr>
              <w:t>kapcsolatos kísérleti projektek – „Zöld Crescere Green”</w:t>
            </w:r>
          </w:p>
        </w:tc>
        <w:tc>
          <w:tcPr>
            <w:tcW w:w="1134" w:type="dxa"/>
            <w:tcBorders>
              <w:top w:val="single" w:sz="4" w:space="0" w:color="auto"/>
            </w:tcBorders>
            <w:shd w:val="clear" w:color="auto" w:fill="C6EFCE"/>
            <w:noWrap/>
            <w:vAlign w:val="center"/>
          </w:tcPr>
          <w:p w14:paraId="32BFDC9E" w14:textId="77777777" w:rsidR="003F5418" w:rsidRDefault="002A6C25">
            <w:pPr>
              <w:pStyle w:val="P68B1DB1-Normal4"/>
              <w:spacing w:after="120"/>
              <w:jc w:val="center"/>
              <w:rPr>
                <w:noProof/>
              </w:rPr>
            </w:pPr>
            <w:r>
              <w:rPr>
                <w:noProof/>
              </w:rPr>
              <w:t>Cél</w:t>
            </w:r>
          </w:p>
        </w:tc>
        <w:tc>
          <w:tcPr>
            <w:tcW w:w="1418" w:type="dxa"/>
            <w:tcBorders>
              <w:top w:val="single" w:sz="4" w:space="0" w:color="auto"/>
            </w:tcBorders>
            <w:shd w:val="clear" w:color="auto" w:fill="C6EFCE"/>
            <w:noWrap/>
            <w:vAlign w:val="center"/>
          </w:tcPr>
          <w:p w14:paraId="057F65FB" w14:textId="77777777" w:rsidR="003F5418" w:rsidRDefault="002A6C25">
            <w:pPr>
              <w:pStyle w:val="P68B1DB1-Normal4"/>
              <w:spacing w:after="120"/>
              <w:jc w:val="center"/>
              <w:rPr>
                <w:noProof/>
              </w:rPr>
            </w:pPr>
            <w:r>
              <w:rPr>
                <w:noProof/>
              </w:rPr>
              <w:t>Képzés biztosítása 20000 személy számára</w:t>
            </w:r>
          </w:p>
        </w:tc>
        <w:tc>
          <w:tcPr>
            <w:tcW w:w="1984" w:type="dxa"/>
            <w:tcBorders>
              <w:top w:val="single" w:sz="4" w:space="0" w:color="auto"/>
            </w:tcBorders>
            <w:shd w:val="clear" w:color="auto" w:fill="C6EFCE"/>
            <w:noWrap/>
            <w:vAlign w:val="center"/>
          </w:tcPr>
          <w:p w14:paraId="0377F3BA" w14:textId="77777777" w:rsidR="003F5418" w:rsidRDefault="003F5418">
            <w:pPr>
              <w:spacing w:after="120"/>
              <w:jc w:val="center"/>
              <w:rPr>
                <w:rFonts w:ascii="Arial Narrow" w:hAnsi="Arial Narrow"/>
                <w:noProof/>
                <w:color w:val="006100"/>
                <w:sz w:val="20"/>
              </w:rPr>
            </w:pPr>
          </w:p>
        </w:tc>
        <w:tc>
          <w:tcPr>
            <w:tcW w:w="1134" w:type="dxa"/>
            <w:tcBorders>
              <w:top w:val="single" w:sz="4" w:space="0" w:color="auto"/>
            </w:tcBorders>
            <w:shd w:val="clear" w:color="auto" w:fill="C6EFCE"/>
            <w:noWrap/>
            <w:vAlign w:val="center"/>
          </w:tcPr>
          <w:p w14:paraId="2BCDDA1F" w14:textId="77777777" w:rsidR="003F5418" w:rsidRDefault="002A6C25">
            <w:pPr>
              <w:pStyle w:val="P68B1DB1-Normal4"/>
              <w:spacing w:after="120"/>
              <w:jc w:val="center"/>
              <w:rPr>
                <w:noProof/>
              </w:rPr>
            </w:pPr>
            <w:r>
              <w:rPr>
                <w:noProof/>
              </w:rPr>
              <w:t>Szám</w:t>
            </w:r>
          </w:p>
        </w:tc>
        <w:tc>
          <w:tcPr>
            <w:tcW w:w="993" w:type="dxa"/>
            <w:tcBorders>
              <w:top w:val="single" w:sz="4" w:space="0" w:color="auto"/>
            </w:tcBorders>
            <w:shd w:val="clear" w:color="auto" w:fill="C6EFCE"/>
            <w:noWrap/>
            <w:vAlign w:val="center"/>
          </w:tcPr>
          <w:p w14:paraId="1335AFE8" w14:textId="77777777" w:rsidR="003F5418" w:rsidRDefault="002A6C25">
            <w:pPr>
              <w:pStyle w:val="P68B1DB1-Normal4"/>
              <w:spacing w:after="120"/>
              <w:jc w:val="center"/>
              <w:rPr>
                <w:noProof/>
              </w:rPr>
            </w:pPr>
            <w:r>
              <w:rPr>
                <w:noProof/>
              </w:rPr>
              <w:t>0</w:t>
            </w:r>
          </w:p>
        </w:tc>
        <w:tc>
          <w:tcPr>
            <w:tcW w:w="992" w:type="dxa"/>
            <w:tcBorders>
              <w:top w:val="single" w:sz="4" w:space="0" w:color="auto"/>
            </w:tcBorders>
            <w:shd w:val="clear" w:color="auto" w:fill="C6EFCE"/>
            <w:noWrap/>
            <w:vAlign w:val="center"/>
          </w:tcPr>
          <w:p w14:paraId="0DAA0631" w14:textId="77777777" w:rsidR="003F5418" w:rsidRDefault="002A6C25">
            <w:pPr>
              <w:pStyle w:val="P68B1DB1-Normal4"/>
              <w:spacing w:after="120"/>
              <w:jc w:val="center"/>
              <w:rPr>
                <w:noProof/>
              </w:rPr>
            </w:pPr>
            <w:r>
              <w:rPr>
                <w:noProof/>
              </w:rPr>
              <w:t>20 000</w:t>
            </w:r>
          </w:p>
        </w:tc>
        <w:tc>
          <w:tcPr>
            <w:tcW w:w="992" w:type="dxa"/>
            <w:tcBorders>
              <w:top w:val="single" w:sz="4" w:space="0" w:color="auto"/>
            </w:tcBorders>
            <w:shd w:val="clear" w:color="auto" w:fill="C6EFCE"/>
            <w:noWrap/>
            <w:vAlign w:val="center"/>
          </w:tcPr>
          <w:p w14:paraId="4EBC2E09" w14:textId="77777777" w:rsidR="003F5418" w:rsidRDefault="002A6C25">
            <w:pPr>
              <w:pStyle w:val="P68B1DB1-Normal4"/>
              <w:spacing w:after="120"/>
              <w:jc w:val="center"/>
              <w:rPr>
                <w:noProof/>
              </w:rPr>
            </w:pPr>
            <w:r>
              <w:rPr>
                <w:noProof/>
              </w:rPr>
              <w:t>Q2</w:t>
            </w:r>
          </w:p>
        </w:tc>
        <w:tc>
          <w:tcPr>
            <w:tcW w:w="709" w:type="dxa"/>
            <w:tcBorders>
              <w:top w:val="single" w:sz="4" w:space="0" w:color="auto"/>
            </w:tcBorders>
            <w:shd w:val="clear" w:color="auto" w:fill="C6EFCE"/>
            <w:noWrap/>
            <w:vAlign w:val="center"/>
          </w:tcPr>
          <w:p w14:paraId="243EFDDE" w14:textId="77777777" w:rsidR="003F5418" w:rsidRDefault="002A6C25">
            <w:pPr>
              <w:pStyle w:val="P68B1DB1-Normal4"/>
              <w:spacing w:after="120"/>
              <w:jc w:val="center"/>
              <w:rPr>
                <w:noProof/>
              </w:rPr>
            </w:pPr>
            <w:r>
              <w:rPr>
                <w:noProof/>
              </w:rPr>
              <w:t>2025</w:t>
            </w:r>
          </w:p>
        </w:tc>
        <w:tc>
          <w:tcPr>
            <w:tcW w:w="3261" w:type="dxa"/>
            <w:tcBorders>
              <w:top w:val="single" w:sz="4" w:space="0" w:color="auto"/>
            </w:tcBorders>
            <w:shd w:val="clear" w:color="auto" w:fill="C6EFCE"/>
            <w:noWrap/>
            <w:vAlign w:val="center"/>
          </w:tcPr>
          <w:p w14:paraId="1F9DE506" w14:textId="77777777" w:rsidR="003F5418" w:rsidRDefault="002A6C25">
            <w:pPr>
              <w:pStyle w:val="P68B1DB1-Normal4"/>
              <w:spacing w:after="120"/>
              <w:rPr>
                <w:noProof/>
              </w:rPr>
            </w:pPr>
            <w:r>
              <w:rPr>
                <w:noProof/>
              </w:rPr>
              <w:t xml:space="preserve">A kísérleti projektet a magánszektor vállalkozásainak bevonásával, régiókon átívelően szervezik meg. </w:t>
            </w:r>
          </w:p>
          <w:p w14:paraId="0767D393" w14:textId="77777777" w:rsidR="003F5418" w:rsidRDefault="002A6C25">
            <w:pPr>
              <w:pStyle w:val="P68B1DB1-Normal4"/>
              <w:spacing w:after="120"/>
              <w:rPr>
                <w:noProof/>
              </w:rPr>
            </w:pPr>
            <w:r>
              <w:rPr>
                <w:noProof/>
              </w:rPr>
              <w:t xml:space="preserve">A képzést nyújtóknak a </w:t>
            </w:r>
            <w:r>
              <w:rPr>
                <w:noProof/>
              </w:rPr>
              <w:t>regionális jogszabályoknak megfelelően országos</w:t>
            </w:r>
            <w:r>
              <w:rPr>
                <w:i/>
                <w:noProof/>
              </w:rPr>
              <w:t>szintű</w:t>
            </w:r>
            <w:r>
              <w:rPr>
                <w:noProof/>
              </w:rPr>
              <w:t>tanúsítvánnyal (akkreditati) kell rendelkezniük. A képzési moduloknak a zöld átálláshoz szükséges ágazati készségekre kell összpontosítaniuk, összhangban a készségfejlesztési paktumokban meghatározott fo</w:t>
            </w:r>
            <w:r>
              <w:rPr>
                <w:noProof/>
              </w:rPr>
              <w:t xml:space="preserve">glalkozásokkal, és azokat nemzeti szinten kell nyomon követni. </w:t>
            </w:r>
          </w:p>
          <w:p w14:paraId="352C7150" w14:textId="77777777" w:rsidR="003F5418" w:rsidRDefault="002A6C25">
            <w:pPr>
              <w:pStyle w:val="P68B1DB1-Normal4"/>
              <w:spacing w:after="120"/>
              <w:rPr>
                <w:noProof/>
              </w:rPr>
            </w:pPr>
            <w:r>
              <w:rPr>
                <w:noProof/>
              </w:rPr>
              <w:t>A „Munkavállalók garantált foglalkoztathatósága” (GOL) program kedvezményezettjei közül legalább 20000 kedvezményezett teljesítette a képzési modulokat. Az igazgatási kapacitás megerősítésével</w:t>
            </w:r>
            <w:r>
              <w:rPr>
                <w:noProof/>
              </w:rPr>
              <w:t xml:space="preserve"> kapcsolatos tevékenységeket be kell fejezni.</w:t>
            </w:r>
          </w:p>
          <w:p w14:paraId="0503EBC6" w14:textId="77777777" w:rsidR="003F5418" w:rsidRDefault="002A6C25">
            <w:pPr>
              <w:pStyle w:val="P68B1DB1-Normal4"/>
              <w:spacing w:after="120"/>
              <w:rPr>
                <w:noProof/>
              </w:rPr>
            </w:pPr>
            <w:r>
              <w:rPr>
                <w:noProof/>
              </w:rPr>
              <w:t>A források legfeljebb 4%-át a képzés tervezésében és biztosításában részt vevő szereplők adminisztratív kapacitásának megerősítésére kell fordítani.</w:t>
            </w:r>
          </w:p>
        </w:tc>
      </w:tr>
      <w:tr w:rsidR="003F5418" w14:paraId="62CD3753" w14:textId="77777777">
        <w:trPr>
          <w:trHeight w:val="309"/>
        </w:trPr>
        <w:tc>
          <w:tcPr>
            <w:tcW w:w="1185" w:type="dxa"/>
            <w:tcBorders>
              <w:top w:val="single" w:sz="4" w:space="0" w:color="auto"/>
            </w:tcBorders>
            <w:shd w:val="clear" w:color="auto" w:fill="C6EFCE"/>
            <w:noWrap/>
            <w:vAlign w:val="center"/>
          </w:tcPr>
          <w:p w14:paraId="6C5E76C3" w14:textId="77777777" w:rsidR="003F5418" w:rsidRDefault="002A6C25">
            <w:pPr>
              <w:pStyle w:val="P68B1DB1-Normal4"/>
              <w:spacing w:after="120"/>
              <w:jc w:val="center"/>
              <w:rPr>
                <w:noProof/>
              </w:rPr>
            </w:pPr>
            <w:r>
              <w:rPr>
                <w:noProof/>
              </w:rPr>
              <w:t>M7–31</w:t>
            </w:r>
          </w:p>
        </w:tc>
        <w:tc>
          <w:tcPr>
            <w:tcW w:w="1559" w:type="dxa"/>
            <w:tcBorders>
              <w:top w:val="single" w:sz="4" w:space="0" w:color="auto"/>
            </w:tcBorders>
            <w:shd w:val="clear" w:color="auto" w:fill="C6EFCE"/>
            <w:noWrap/>
            <w:vAlign w:val="center"/>
          </w:tcPr>
          <w:p w14:paraId="7EFF0C67" w14:textId="77777777" w:rsidR="003F5418" w:rsidRDefault="002A6C25">
            <w:pPr>
              <w:pStyle w:val="P68B1DB1-Normal4"/>
              <w:spacing w:after="120"/>
              <w:jc w:val="center"/>
              <w:rPr>
                <w:noProof/>
              </w:rPr>
            </w:pPr>
            <w:bookmarkStart w:id="17" w:name="_Hlk160472344"/>
            <w:r>
              <w:rPr>
                <w:noProof/>
              </w:rPr>
              <w:t xml:space="preserve">Beruházás:  A regionális tömegközlekedési vasúti </w:t>
            </w:r>
            <w:r>
              <w:rPr>
                <w:noProof/>
              </w:rPr>
              <w:t>flotta kibocsátásmentes vonatokkal és egyetemes szolgáltatással történő megerősítése</w:t>
            </w:r>
            <w:bookmarkEnd w:id="17"/>
          </w:p>
        </w:tc>
        <w:tc>
          <w:tcPr>
            <w:tcW w:w="1134" w:type="dxa"/>
            <w:tcBorders>
              <w:top w:val="single" w:sz="4" w:space="0" w:color="auto"/>
            </w:tcBorders>
            <w:shd w:val="clear" w:color="auto" w:fill="C6EFCE"/>
            <w:noWrap/>
            <w:vAlign w:val="center"/>
          </w:tcPr>
          <w:p w14:paraId="198BBC0A" w14:textId="77777777" w:rsidR="003F5418" w:rsidRDefault="002A6C25">
            <w:pPr>
              <w:pStyle w:val="P68B1DB1-Normal4"/>
              <w:spacing w:after="120"/>
              <w:jc w:val="center"/>
              <w:rPr>
                <w:noProof/>
              </w:rPr>
            </w:pPr>
            <w:r>
              <w:rPr>
                <w:noProof/>
              </w:rPr>
              <w:t>Cél</w:t>
            </w:r>
          </w:p>
        </w:tc>
        <w:tc>
          <w:tcPr>
            <w:tcW w:w="1418" w:type="dxa"/>
            <w:tcBorders>
              <w:top w:val="single" w:sz="4" w:space="0" w:color="auto"/>
            </w:tcBorders>
            <w:shd w:val="clear" w:color="auto" w:fill="C6EFCE"/>
            <w:noWrap/>
            <w:vAlign w:val="center"/>
          </w:tcPr>
          <w:p w14:paraId="20B97F69" w14:textId="77777777" w:rsidR="003F5418" w:rsidRDefault="002A6C25">
            <w:pPr>
              <w:pStyle w:val="P68B1DB1-Normal4"/>
              <w:spacing w:after="120"/>
              <w:jc w:val="center"/>
              <w:rPr>
                <w:noProof/>
              </w:rPr>
            </w:pPr>
            <w:r>
              <w:rPr>
                <w:noProof/>
              </w:rPr>
              <w:t xml:space="preserve">A kibocsátásmentes vonatok száma és az egyetemes szolgáltatáshoz szükséges szállítások száma </w:t>
            </w:r>
          </w:p>
        </w:tc>
        <w:tc>
          <w:tcPr>
            <w:tcW w:w="1984" w:type="dxa"/>
            <w:tcBorders>
              <w:top w:val="single" w:sz="4" w:space="0" w:color="auto"/>
            </w:tcBorders>
            <w:shd w:val="clear" w:color="auto" w:fill="C6EFCE"/>
            <w:noWrap/>
            <w:vAlign w:val="center"/>
          </w:tcPr>
          <w:p w14:paraId="0759A655" w14:textId="77777777" w:rsidR="003F5418" w:rsidRDefault="002A6C25">
            <w:pPr>
              <w:pStyle w:val="P68B1DB1-Normal4"/>
              <w:spacing w:after="120"/>
              <w:jc w:val="center"/>
              <w:rPr>
                <w:noProof/>
              </w:rPr>
            </w:pPr>
            <w:r>
              <w:rPr>
                <w:noProof/>
              </w:rPr>
              <w:t>NINCS</w:t>
            </w:r>
          </w:p>
        </w:tc>
        <w:tc>
          <w:tcPr>
            <w:tcW w:w="1134" w:type="dxa"/>
            <w:tcBorders>
              <w:top w:val="single" w:sz="4" w:space="0" w:color="auto"/>
            </w:tcBorders>
            <w:shd w:val="clear" w:color="auto" w:fill="C6EFCE"/>
            <w:noWrap/>
            <w:vAlign w:val="center"/>
          </w:tcPr>
          <w:p w14:paraId="154EAD6C" w14:textId="77777777" w:rsidR="003F5418" w:rsidRDefault="002A6C25">
            <w:pPr>
              <w:pStyle w:val="P68B1DB1-Normal4"/>
              <w:spacing w:after="120"/>
              <w:jc w:val="center"/>
              <w:rPr>
                <w:noProof/>
              </w:rPr>
            </w:pPr>
            <w:r>
              <w:rPr>
                <w:noProof/>
              </w:rPr>
              <w:t>Szám</w:t>
            </w:r>
          </w:p>
        </w:tc>
        <w:tc>
          <w:tcPr>
            <w:tcW w:w="993" w:type="dxa"/>
            <w:tcBorders>
              <w:top w:val="single" w:sz="4" w:space="0" w:color="auto"/>
            </w:tcBorders>
            <w:shd w:val="clear" w:color="auto" w:fill="C6EFCE"/>
            <w:noWrap/>
            <w:vAlign w:val="center"/>
          </w:tcPr>
          <w:p w14:paraId="065FD7F6" w14:textId="48B235A1" w:rsidR="003F5418" w:rsidRDefault="002A6C25">
            <w:pPr>
              <w:pStyle w:val="P68B1DB1-Normal4"/>
              <w:spacing w:after="120"/>
              <w:jc w:val="center"/>
              <w:rPr>
                <w:noProof/>
              </w:rPr>
            </w:pPr>
            <w:r>
              <w:rPr>
                <w:noProof/>
              </w:rPr>
              <w:t>0</w:t>
            </w:r>
          </w:p>
        </w:tc>
        <w:tc>
          <w:tcPr>
            <w:tcW w:w="992" w:type="dxa"/>
            <w:tcBorders>
              <w:top w:val="single" w:sz="4" w:space="0" w:color="auto"/>
            </w:tcBorders>
            <w:shd w:val="clear" w:color="auto" w:fill="C6EFCE"/>
            <w:noWrap/>
            <w:vAlign w:val="center"/>
          </w:tcPr>
          <w:p w14:paraId="25ECB609" w14:textId="77C045D0" w:rsidR="003F5418" w:rsidRDefault="002A6C25">
            <w:pPr>
              <w:pStyle w:val="P68B1DB1-Normal4"/>
              <w:spacing w:after="120"/>
              <w:jc w:val="center"/>
              <w:rPr>
                <w:noProof/>
              </w:rPr>
            </w:pPr>
            <w:r>
              <w:rPr>
                <w:noProof/>
              </w:rPr>
              <w:t>69</w:t>
            </w:r>
          </w:p>
        </w:tc>
        <w:tc>
          <w:tcPr>
            <w:tcW w:w="992" w:type="dxa"/>
            <w:tcBorders>
              <w:top w:val="single" w:sz="4" w:space="0" w:color="auto"/>
            </w:tcBorders>
            <w:shd w:val="clear" w:color="auto" w:fill="C6EFCE"/>
            <w:noWrap/>
            <w:vAlign w:val="center"/>
          </w:tcPr>
          <w:p w14:paraId="05103D8E" w14:textId="77777777" w:rsidR="003F5418" w:rsidRDefault="002A6C25">
            <w:pPr>
              <w:pStyle w:val="P68B1DB1-Normal4"/>
              <w:spacing w:after="120"/>
              <w:jc w:val="center"/>
              <w:rPr>
                <w:noProof/>
              </w:rPr>
            </w:pPr>
            <w:r>
              <w:rPr>
                <w:noProof/>
              </w:rPr>
              <w:t>Q2</w:t>
            </w:r>
          </w:p>
        </w:tc>
        <w:tc>
          <w:tcPr>
            <w:tcW w:w="709" w:type="dxa"/>
            <w:tcBorders>
              <w:top w:val="single" w:sz="4" w:space="0" w:color="auto"/>
            </w:tcBorders>
            <w:shd w:val="clear" w:color="auto" w:fill="C6EFCE"/>
            <w:noWrap/>
            <w:vAlign w:val="center"/>
          </w:tcPr>
          <w:p w14:paraId="5B163299" w14:textId="77777777" w:rsidR="003F5418" w:rsidRDefault="002A6C25">
            <w:pPr>
              <w:pStyle w:val="P68B1DB1-Normal4"/>
              <w:spacing w:after="120"/>
              <w:jc w:val="center"/>
              <w:rPr>
                <w:noProof/>
              </w:rPr>
            </w:pPr>
            <w:r>
              <w:rPr>
                <w:noProof/>
              </w:rPr>
              <w:t>2026</w:t>
            </w:r>
          </w:p>
        </w:tc>
        <w:tc>
          <w:tcPr>
            <w:tcW w:w="3261" w:type="dxa"/>
            <w:tcBorders>
              <w:top w:val="single" w:sz="4" w:space="0" w:color="auto"/>
            </w:tcBorders>
            <w:shd w:val="clear" w:color="auto" w:fill="C6EFCE"/>
            <w:noWrap/>
            <w:vAlign w:val="center"/>
          </w:tcPr>
          <w:p w14:paraId="7D9FF264" w14:textId="2B8788E5" w:rsidR="003F5418" w:rsidRDefault="002A6C25">
            <w:pPr>
              <w:pStyle w:val="P68B1DB1-Normal4"/>
              <w:spacing w:after="120"/>
              <w:rPr>
                <w:noProof/>
              </w:rPr>
            </w:pPr>
            <w:r>
              <w:rPr>
                <w:noProof/>
              </w:rPr>
              <w:t>Az 57/2019. sz. törvényerejű rendelet 15. cikke szerinti EK-megfelelőségi nyilatkozat (azaz Dichiarazione di verifica di conformità CE di cui all’art 15 del D.Lgs 57/2019) üzembe helyezése és beszerzése legalább 69 kibocsátásmentes (elektromos vagy hidrogé</w:t>
            </w:r>
            <w:r>
              <w:rPr>
                <w:noProof/>
              </w:rPr>
              <w:t>n üzemanyagcellás) vonat és 30 kocsi egyetemes szolgáltatás céljából, a 2. küldetés 2. komponensének 4.4.2. beruházásában említett járműveken felül</w:t>
            </w:r>
          </w:p>
          <w:p w14:paraId="7C22EC39" w14:textId="77777777" w:rsidR="003F5418" w:rsidRDefault="002A6C25">
            <w:pPr>
              <w:pStyle w:val="P68B1DB1-Normal4"/>
              <w:spacing w:after="120"/>
              <w:rPr>
                <w:noProof/>
              </w:rPr>
            </w:pPr>
            <w:r>
              <w:rPr>
                <w:noProof/>
              </w:rPr>
              <w:t>Az egyetemes szolgáltatás/intercity tekintetében a Helyreállítási és Rezilienciaépítési Eszköz forrásaiból v</w:t>
            </w:r>
            <w:r>
              <w:rPr>
                <w:noProof/>
              </w:rPr>
              <w:t>ásárolt járművek az állam tulajdonában vannak. Ezért az inkumbens szolgáltatók szolgáltatási szerződésének lejártakor ezt a járművet az 1370/2007/EU rendelettel teljes összhangban a szolgáltatási szerződés új nyertes szerve rendelkezésére kell bocsátani.</w:t>
            </w:r>
          </w:p>
        </w:tc>
      </w:tr>
      <w:tr w:rsidR="003F5418" w14:paraId="4AEEBD0A" w14:textId="77777777">
        <w:trPr>
          <w:trHeight w:val="309"/>
        </w:trPr>
        <w:tc>
          <w:tcPr>
            <w:tcW w:w="1185" w:type="dxa"/>
            <w:tcBorders>
              <w:top w:val="single" w:sz="4" w:space="0" w:color="auto"/>
            </w:tcBorders>
            <w:shd w:val="clear" w:color="auto" w:fill="C6EFCE"/>
            <w:noWrap/>
            <w:vAlign w:val="center"/>
          </w:tcPr>
          <w:p w14:paraId="75D0454A" w14:textId="77777777" w:rsidR="003F5418" w:rsidRDefault="002A6C25">
            <w:pPr>
              <w:pStyle w:val="P68B1DB1-Normal4"/>
              <w:spacing w:after="120"/>
              <w:jc w:val="center"/>
              <w:rPr>
                <w:noProof/>
              </w:rPr>
            </w:pPr>
            <w:r>
              <w:rPr>
                <w:noProof/>
              </w:rPr>
              <w:t>7–32. INTÉZKEDÉS</w:t>
            </w:r>
          </w:p>
        </w:tc>
        <w:tc>
          <w:tcPr>
            <w:tcW w:w="1559" w:type="dxa"/>
            <w:tcBorders>
              <w:top w:val="single" w:sz="4" w:space="0" w:color="auto"/>
            </w:tcBorders>
            <w:shd w:val="clear" w:color="auto" w:fill="C6EFCE"/>
            <w:noWrap/>
            <w:vAlign w:val="center"/>
          </w:tcPr>
          <w:p w14:paraId="51FF156D" w14:textId="4706F9D7" w:rsidR="003F5418" w:rsidRDefault="002A6C25">
            <w:pPr>
              <w:pStyle w:val="P68B1DB1-Normal4"/>
              <w:spacing w:after="120"/>
              <w:jc w:val="center"/>
              <w:rPr>
                <w:noProof/>
              </w:rPr>
            </w:pPr>
            <w:r>
              <w:rPr>
                <w:noProof/>
              </w:rPr>
              <w:t>Beruházás: Támogatási program a nemzetközi, ipari és K+F vezető szerep fejlesztésére a kibocsátásmentes buszok terén</w:t>
            </w:r>
          </w:p>
        </w:tc>
        <w:tc>
          <w:tcPr>
            <w:tcW w:w="1134" w:type="dxa"/>
            <w:tcBorders>
              <w:top w:val="single" w:sz="4" w:space="0" w:color="auto"/>
            </w:tcBorders>
            <w:shd w:val="clear" w:color="auto" w:fill="C6EFCE"/>
            <w:noWrap/>
            <w:vAlign w:val="center"/>
          </w:tcPr>
          <w:p w14:paraId="41E5E604" w14:textId="77777777" w:rsidR="003F5418" w:rsidRDefault="002A6C25">
            <w:pPr>
              <w:pStyle w:val="P68B1DB1-Normal4"/>
              <w:spacing w:after="120"/>
              <w:jc w:val="center"/>
              <w:rPr>
                <w:noProof/>
              </w:rPr>
            </w:pPr>
            <w:r>
              <w:rPr>
                <w:noProof/>
              </w:rPr>
              <w:t>Mérföldkő</w:t>
            </w:r>
          </w:p>
        </w:tc>
        <w:tc>
          <w:tcPr>
            <w:tcW w:w="1418" w:type="dxa"/>
            <w:tcBorders>
              <w:top w:val="single" w:sz="4" w:space="0" w:color="auto"/>
            </w:tcBorders>
            <w:shd w:val="clear" w:color="auto" w:fill="C6EFCE"/>
            <w:noWrap/>
            <w:vAlign w:val="center"/>
          </w:tcPr>
          <w:p w14:paraId="2BB6051D" w14:textId="77777777" w:rsidR="003F5418" w:rsidRDefault="002A6C25">
            <w:pPr>
              <w:pStyle w:val="P68B1DB1-Normal4"/>
              <w:spacing w:after="120"/>
              <w:jc w:val="center"/>
              <w:rPr>
                <w:noProof/>
              </w:rPr>
            </w:pPr>
            <w:r>
              <w:rPr>
                <w:noProof/>
              </w:rPr>
              <w:t>Végrehajtási megállapodás</w:t>
            </w:r>
          </w:p>
        </w:tc>
        <w:tc>
          <w:tcPr>
            <w:tcW w:w="1984" w:type="dxa"/>
            <w:tcBorders>
              <w:top w:val="single" w:sz="4" w:space="0" w:color="auto"/>
            </w:tcBorders>
            <w:shd w:val="clear" w:color="auto" w:fill="C6EFCE"/>
            <w:noWrap/>
            <w:vAlign w:val="center"/>
          </w:tcPr>
          <w:p w14:paraId="00EF0554" w14:textId="77777777" w:rsidR="003F5418" w:rsidRDefault="002A6C25">
            <w:pPr>
              <w:pStyle w:val="P68B1DB1-Normal4"/>
              <w:spacing w:after="120"/>
              <w:jc w:val="center"/>
              <w:rPr>
                <w:noProof/>
              </w:rPr>
            </w:pPr>
            <w:r>
              <w:rPr>
                <w:noProof/>
              </w:rPr>
              <w:t>A végrehajtási megállapodás hatálybalépése</w:t>
            </w:r>
          </w:p>
        </w:tc>
        <w:tc>
          <w:tcPr>
            <w:tcW w:w="1134" w:type="dxa"/>
            <w:tcBorders>
              <w:top w:val="single" w:sz="4" w:space="0" w:color="auto"/>
            </w:tcBorders>
            <w:shd w:val="clear" w:color="auto" w:fill="C6EFCE"/>
            <w:noWrap/>
            <w:vAlign w:val="center"/>
          </w:tcPr>
          <w:p w14:paraId="6CAC082F" w14:textId="77777777" w:rsidR="003F5418" w:rsidRDefault="002A6C25">
            <w:pPr>
              <w:pStyle w:val="P68B1DB1-Normal4"/>
              <w:spacing w:after="120"/>
              <w:jc w:val="center"/>
              <w:rPr>
                <w:noProof/>
              </w:rPr>
            </w:pPr>
            <w:r>
              <w:rPr>
                <w:noProof/>
              </w:rPr>
              <w:t xml:space="preserve"> </w:t>
            </w:r>
          </w:p>
        </w:tc>
        <w:tc>
          <w:tcPr>
            <w:tcW w:w="993" w:type="dxa"/>
            <w:tcBorders>
              <w:top w:val="single" w:sz="4" w:space="0" w:color="auto"/>
            </w:tcBorders>
            <w:shd w:val="clear" w:color="auto" w:fill="C6EFCE"/>
            <w:noWrap/>
            <w:vAlign w:val="center"/>
          </w:tcPr>
          <w:p w14:paraId="1EC2D469" w14:textId="77777777" w:rsidR="003F5418" w:rsidRDefault="003F541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335B7D5D" w14:textId="77777777" w:rsidR="003F5418" w:rsidRDefault="002A6C25">
            <w:pPr>
              <w:pStyle w:val="P68B1DB1-Normal4"/>
              <w:spacing w:after="120"/>
              <w:jc w:val="center"/>
              <w:rPr>
                <w:noProof/>
              </w:rPr>
            </w:pPr>
            <w:r>
              <w:rPr>
                <w:noProof/>
              </w:rPr>
              <w:t xml:space="preserve"> </w:t>
            </w:r>
          </w:p>
        </w:tc>
        <w:tc>
          <w:tcPr>
            <w:tcW w:w="992" w:type="dxa"/>
            <w:tcBorders>
              <w:top w:val="single" w:sz="4" w:space="0" w:color="auto"/>
            </w:tcBorders>
            <w:shd w:val="clear" w:color="auto" w:fill="C6EFCE"/>
            <w:noWrap/>
            <w:vAlign w:val="center"/>
          </w:tcPr>
          <w:p w14:paraId="57E51B9F" w14:textId="77777777" w:rsidR="003F5418" w:rsidRDefault="002A6C25">
            <w:pPr>
              <w:pStyle w:val="P68B1DB1-Normal4"/>
              <w:spacing w:after="120"/>
              <w:jc w:val="center"/>
              <w:rPr>
                <w:noProof/>
              </w:rPr>
            </w:pPr>
            <w:r>
              <w:rPr>
                <w:noProof/>
              </w:rPr>
              <w:t>Q1</w:t>
            </w:r>
          </w:p>
        </w:tc>
        <w:tc>
          <w:tcPr>
            <w:tcW w:w="709" w:type="dxa"/>
            <w:tcBorders>
              <w:top w:val="single" w:sz="4" w:space="0" w:color="auto"/>
            </w:tcBorders>
            <w:shd w:val="clear" w:color="auto" w:fill="C6EFCE"/>
            <w:noWrap/>
            <w:vAlign w:val="center"/>
          </w:tcPr>
          <w:p w14:paraId="0B617D81" w14:textId="77777777" w:rsidR="003F5418" w:rsidRDefault="002A6C25">
            <w:pPr>
              <w:pStyle w:val="P68B1DB1-Normal4"/>
              <w:spacing w:after="120"/>
              <w:jc w:val="center"/>
              <w:rPr>
                <w:noProof/>
              </w:rPr>
            </w:pPr>
            <w:r>
              <w:rPr>
                <w:noProof/>
              </w:rPr>
              <w:t>2024</w:t>
            </w:r>
          </w:p>
        </w:tc>
        <w:tc>
          <w:tcPr>
            <w:tcW w:w="3261" w:type="dxa"/>
            <w:tcBorders>
              <w:top w:val="single" w:sz="4" w:space="0" w:color="auto"/>
            </w:tcBorders>
            <w:shd w:val="clear" w:color="auto" w:fill="C6EFCE"/>
            <w:noWrap/>
            <w:vAlign w:val="center"/>
          </w:tcPr>
          <w:p w14:paraId="62900A79" w14:textId="49E34ECA" w:rsidR="003F5418" w:rsidRDefault="002A6C25">
            <w:pPr>
              <w:pStyle w:val="P68B1DB1-Normal4"/>
              <w:jc w:val="both"/>
              <w:rPr>
                <w:noProof/>
              </w:rPr>
            </w:pPr>
            <w:r>
              <w:rPr>
                <w:noProof/>
              </w:rPr>
              <w:t xml:space="preserve">A végrehajtási megállapodás </w:t>
            </w:r>
            <w:r>
              <w:rPr>
                <w:noProof/>
              </w:rPr>
              <w:t>hatálybalépése.</w:t>
            </w:r>
          </w:p>
        </w:tc>
      </w:tr>
      <w:tr w:rsidR="003F5418" w14:paraId="0387266F" w14:textId="77777777">
        <w:trPr>
          <w:trHeight w:val="309"/>
        </w:trPr>
        <w:tc>
          <w:tcPr>
            <w:tcW w:w="1185" w:type="dxa"/>
            <w:tcBorders>
              <w:top w:val="single" w:sz="4" w:space="0" w:color="auto"/>
            </w:tcBorders>
            <w:shd w:val="clear" w:color="auto" w:fill="C6EFCE"/>
            <w:noWrap/>
            <w:vAlign w:val="center"/>
          </w:tcPr>
          <w:p w14:paraId="43D716DA" w14:textId="77777777" w:rsidR="003F5418" w:rsidRDefault="002A6C25">
            <w:pPr>
              <w:pStyle w:val="P68B1DB1-Normal4"/>
              <w:spacing w:after="120"/>
              <w:jc w:val="center"/>
              <w:rPr>
                <w:noProof/>
              </w:rPr>
            </w:pPr>
            <w:r>
              <w:rPr>
                <w:noProof/>
              </w:rPr>
              <w:t>M7–33</w:t>
            </w:r>
          </w:p>
        </w:tc>
        <w:tc>
          <w:tcPr>
            <w:tcW w:w="1559" w:type="dxa"/>
            <w:tcBorders>
              <w:top w:val="single" w:sz="4" w:space="0" w:color="auto"/>
            </w:tcBorders>
            <w:shd w:val="clear" w:color="auto" w:fill="C6EFCE"/>
            <w:noWrap/>
            <w:vAlign w:val="center"/>
          </w:tcPr>
          <w:p w14:paraId="2D948A74" w14:textId="71AB7E7A" w:rsidR="003F5418" w:rsidRDefault="002A6C25">
            <w:pPr>
              <w:pStyle w:val="P68B1DB1-Normal4"/>
              <w:spacing w:after="120"/>
              <w:jc w:val="center"/>
              <w:rPr>
                <w:noProof/>
              </w:rPr>
            </w:pPr>
            <w:r>
              <w:rPr>
                <w:noProof/>
              </w:rPr>
              <w:t>Beruházás: Támogatási program a nemzetközi, ipari és K+F vezető szerep fejlesztésére a kibocsátásmentes buszok terén</w:t>
            </w:r>
          </w:p>
        </w:tc>
        <w:tc>
          <w:tcPr>
            <w:tcW w:w="1134" w:type="dxa"/>
            <w:tcBorders>
              <w:top w:val="single" w:sz="4" w:space="0" w:color="auto"/>
            </w:tcBorders>
            <w:shd w:val="clear" w:color="auto" w:fill="C6EFCE"/>
            <w:noWrap/>
            <w:vAlign w:val="center"/>
          </w:tcPr>
          <w:p w14:paraId="36905524" w14:textId="77777777" w:rsidR="003F5418" w:rsidRDefault="002A6C25">
            <w:pPr>
              <w:pStyle w:val="P68B1DB1-Normal4"/>
              <w:spacing w:after="120"/>
              <w:jc w:val="center"/>
              <w:rPr>
                <w:noProof/>
              </w:rPr>
            </w:pPr>
            <w:r>
              <w:rPr>
                <w:noProof/>
              </w:rPr>
              <w:t>Cél</w:t>
            </w:r>
          </w:p>
        </w:tc>
        <w:tc>
          <w:tcPr>
            <w:tcW w:w="1418" w:type="dxa"/>
            <w:tcBorders>
              <w:top w:val="single" w:sz="4" w:space="0" w:color="auto"/>
            </w:tcBorders>
            <w:shd w:val="clear" w:color="auto" w:fill="C6EFCE"/>
            <w:noWrap/>
            <w:vAlign w:val="center"/>
          </w:tcPr>
          <w:p w14:paraId="5A1F071D" w14:textId="77777777" w:rsidR="003F5418" w:rsidRDefault="002A6C25">
            <w:pPr>
              <w:pStyle w:val="P68B1DB1-Normal4"/>
              <w:spacing w:after="120"/>
              <w:jc w:val="center"/>
              <w:rPr>
                <w:noProof/>
              </w:rPr>
            </w:pPr>
            <w:r>
              <w:rPr>
                <w:noProof/>
              </w:rPr>
              <w:t>A végső kedvezményezettekkel aláírt jogi megállapodások</w:t>
            </w:r>
          </w:p>
        </w:tc>
        <w:tc>
          <w:tcPr>
            <w:tcW w:w="1984" w:type="dxa"/>
            <w:tcBorders>
              <w:top w:val="single" w:sz="4" w:space="0" w:color="auto"/>
            </w:tcBorders>
            <w:shd w:val="clear" w:color="auto" w:fill="C6EFCE"/>
            <w:noWrap/>
            <w:vAlign w:val="center"/>
          </w:tcPr>
          <w:p w14:paraId="7360D6D9" w14:textId="77777777" w:rsidR="003F5418" w:rsidRDefault="002A6C25">
            <w:pPr>
              <w:pStyle w:val="P68B1DB1-Normal4"/>
              <w:spacing w:after="120"/>
              <w:jc w:val="center"/>
              <w:rPr>
                <w:noProof/>
              </w:rPr>
            </w:pPr>
            <w:r>
              <w:rPr>
                <w:noProof/>
              </w:rPr>
              <w:t xml:space="preserve"> </w:t>
            </w:r>
          </w:p>
        </w:tc>
        <w:tc>
          <w:tcPr>
            <w:tcW w:w="1134" w:type="dxa"/>
            <w:tcBorders>
              <w:top w:val="single" w:sz="4" w:space="0" w:color="auto"/>
            </w:tcBorders>
            <w:shd w:val="clear" w:color="auto" w:fill="C6EFCE"/>
            <w:noWrap/>
            <w:vAlign w:val="center"/>
          </w:tcPr>
          <w:p w14:paraId="651F3193" w14:textId="77777777" w:rsidR="003F5418" w:rsidRDefault="002A6C25">
            <w:pPr>
              <w:pStyle w:val="P68B1DB1-Normal4"/>
              <w:spacing w:after="120"/>
              <w:jc w:val="center"/>
              <w:rPr>
                <w:noProof/>
              </w:rPr>
            </w:pPr>
            <w:r>
              <w:rPr>
                <w:noProof/>
              </w:rPr>
              <w:t>Százalék (%)</w:t>
            </w:r>
          </w:p>
        </w:tc>
        <w:tc>
          <w:tcPr>
            <w:tcW w:w="993" w:type="dxa"/>
            <w:tcBorders>
              <w:top w:val="single" w:sz="4" w:space="0" w:color="auto"/>
            </w:tcBorders>
            <w:shd w:val="clear" w:color="auto" w:fill="C6EFCE"/>
            <w:noWrap/>
            <w:vAlign w:val="center"/>
          </w:tcPr>
          <w:p w14:paraId="78BDC039" w14:textId="77777777" w:rsidR="003F5418" w:rsidRDefault="002A6C25">
            <w:pPr>
              <w:pStyle w:val="P68B1DB1-Normal4"/>
              <w:spacing w:after="120"/>
              <w:jc w:val="center"/>
              <w:rPr>
                <w:noProof/>
              </w:rPr>
            </w:pPr>
            <w:r>
              <w:rPr>
                <w:noProof/>
              </w:rPr>
              <w:t>0%</w:t>
            </w:r>
          </w:p>
        </w:tc>
        <w:tc>
          <w:tcPr>
            <w:tcW w:w="992" w:type="dxa"/>
            <w:tcBorders>
              <w:top w:val="single" w:sz="4" w:space="0" w:color="auto"/>
            </w:tcBorders>
            <w:shd w:val="clear" w:color="auto" w:fill="C6EFCE"/>
            <w:noWrap/>
            <w:vAlign w:val="center"/>
          </w:tcPr>
          <w:p w14:paraId="22843329" w14:textId="77777777" w:rsidR="003F5418" w:rsidRDefault="002A6C25">
            <w:pPr>
              <w:pStyle w:val="P68B1DB1-Normal4"/>
              <w:spacing w:after="120"/>
              <w:jc w:val="center"/>
              <w:rPr>
                <w:noProof/>
              </w:rPr>
            </w:pPr>
            <w:r>
              <w:rPr>
                <w:noProof/>
              </w:rPr>
              <w:t>100%-OS</w:t>
            </w:r>
          </w:p>
        </w:tc>
        <w:tc>
          <w:tcPr>
            <w:tcW w:w="992" w:type="dxa"/>
            <w:tcBorders>
              <w:top w:val="single" w:sz="4" w:space="0" w:color="auto"/>
            </w:tcBorders>
            <w:shd w:val="clear" w:color="auto" w:fill="C6EFCE"/>
            <w:noWrap/>
            <w:vAlign w:val="center"/>
          </w:tcPr>
          <w:p w14:paraId="44AB6776" w14:textId="77777777" w:rsidR="003F5418" w:rsidRDefault="002A6C25">
            <w:pPr>
              <w:pStyle w:val="P68B1DB1-Normal4"/>
              <w:spacing w:after="120"/>
              <w:jc w:val="center"/>
              <w:rPr>
                <w:noProof/>
              </w:rPr>
            </w:pPr>
            <w:r>
              <w:rPr>
                <w:noProof/>
              </w:rPr>
              <w:t>Q1</w:t>
            </w:r>
          </w:p>
        </w:tc>
        <w:tc>
          <w:tcPr>
            <w:tcW w:w="709" w:type="dxa"/>
            <w:tcBorders>
              <w:top w:val="single" w:sz="4" w:space="0" w:color="auto"/>
            </w:tcBorders>
            <w:shd w:val="clear" w:color="auto" w:fill="C6EFCE"/>
            <w:noWrap/>
            <w:vAlign w:val="center"/>
          </w:tcPr>
          <w:p w14:paraId="7EAD0336" w14:textId="77777777" w:rsidR="003F5418" w:rsidRDefault="002A6C25">
            <w:pPr>
              <w:pStyle w:val="P68B1DB1-Normal4"/>
              <w:spacing w:after="120"/>
              <w:jc w:val="center"/>
              <w:rPr>
                <w:noProof/>
              </w:rPr>
            </w:pPr>
            <w:r>
              <w:rPr>
                <w:noProof/>
              </w:rPr>
              <w:t>2026</w:t>
            </w:r>
          </w:p>
        </w:tc>
        <w:tc>
          <w:tcPr>
            <w:tcW w:w="3261" w:type="dxa"/>
            <w:tcBorders>
              <w:top w:val="single" w:sz="4" w:space="0" w:color="auto"/>
            </w:tcBorders>
            <w:shd w:val="clear" w:color="auto" w:fill="C6EFCE"/>
            <w:noWrap/>
            <w:vAlign w:val="center"/>
          </w:tcPr>
          <w:p w14:paraId="4E613DA8" w14:textId="77777777" w:rsidR="003F5418" w:rsidRDefault="002A6C25">
            <w:pPr>
              <w:pStyle w:val="P68B1DB1-Normal4"/>
              <w:spacing w:after="120"/>
              <w:rPr>
                <w:noProof/>
              </w:rPr>
            </w:pPr>
            <w:r>
              <w:rPr>
                <w:noProof/>
              </w:rPr>
              <w:t xml:space="preserve">Az Invitalia </w:t>
            </w:r>
            <w:r>
              <w:rPr>
                <w:noProof/>
              </w:rPr>
              <w:t>S.p.A.-nak jogi támogatási megállapodásokat kell kötnie a végső kedvezményezettekkel az RRF-beruházás 100%-ának a rendszerbe történő felhasználásához szükséges összegről (figyelembe véve az irányítási díjakat). Az Invitalia S.p.A. a Helyreállítási és Rezil</w:t>
            </w:r>
            <w:r>
              <w:rPr>
                <w:noProof/>
              </w:rPr>
              <w:t>ienciaépítési Eszközről szóló rendelet VI. mellékletében foglalt módszertan alkalmazásával jelentést készít, amelyben részletezi e finanszírozás azon százalékos arányát, amely hozzájárul az éghajlat-politikai célkitűzésekhez.</w:t>
            </w:r>
          </w:p>
        </w:tc>
      </w:tr>
      <w:tr w:rsidR="003F5418" w14:paraId="58C4006D" w14:textId="77777777">
        <w:trPr>
          <w:trHeight w:val="309"/>
        </w:trPr>
        <w:tc>
          <w:tcPr>
            <w:tcW w:w="1185" w:type="dxa"/>
            <w:tcBorders>
              <w:top w:val="single" w:sz="4" w:space="0" w:color="auto"/>
            </w:tcBorders>
            <w:shd w:val="clear" w:color="auto" w:fill="C6EFCE"/>
            <w:noWrap/>
            <w:vAlign w:val="center"/>
          </w:tcPr>
          <w:p w14:paraId="72DA1FFA" w14:textId="77777777" w:rsidR="003F5418" w:rsidRDefault="002A6C25">
            <w:pPr>
              <w:pStyle w:val="P68B1DB1-Normal4"/>
              <w:spacing w:after="120"/>
              <w:jc w:val="center"/>
              <w:rPr>
                <w:noProof/>
              </w:rPr>
            </w:pPr>
            <w:r>
              <w:rPr>
                <w:noProof/>
              </w:rPr>
              <w:t>M7–34. INTÉZKEDÉS</w:t>
            </w:r>
          </w:p>
        </w:tc>
        <w:tc>
          <w:tcPr>
            <w:tcW w:w="1559" w:type="dxa"/>
            <w:tcBorders>
              <w:top w:val="single" w:sz="4" w:space="0" w:color="auto"/>
            </w:tcBorders>
            <w:shd w:val="clear" w:color="auto" w:fill="C6EFCE"/>
            <w:noWrap/>
            <w:vAlign w:val="center"/>
          </w:tcPr>
          <w:p w14:paraId="3509A7BE" w14:textId="5B1FF233" w:rsidR="003F5418" w:rsidRDefault="002A6C25">
            <w:pPr>
              <w:pStyle w:val="P68B1DB1-Normal4"/>
              <w:spacing w:after="120"/>
              <w:jc w:val="center"/>
              <w:rPr>
                <w:noProof/>
              </w:rPr>
            </w:pPr>
            <w:r>
              <w:rPr>
                <w:noProof/>
              </w:rPr>
              <w:t xml:space="preserve">Beruházás: </w:t>
            </w:r>
            <w:r>
              <w:rPr>
                <w:noProof/>
              </w:rPr>
              <w:t>Támogatási program a nemzetközi, ipari és K+F vezető szerep fejlesztésére a kibocsátásmentes buszok terén</w:t>
            </w:r>
          </w:p>
        </w:tc>
        <w:tc>
          <w:tcPr>
            <w:tcW w:w="1134" w:type="dxa"/>
            <w:tcBorders>
              <w:top w:val="single" w:sz="4" w:space="0" w:color="auto"/>
            </w:tcBorders>
            <w:shd w:val="clear" w:color="auto" w:fill="C6EFCE"/>
            <w:noWrap/>
            <w:vAlign w:val="center"/>
          </w:tcPr>
          <w:p w14:paraId="4E74E97B" w14:textId="77777777" w:rsidR="003F5418" w:rsidRDefault="002A6C25">
            <w:pPr>
              <w:pStyle w:val="P68B1DB1-Normal4"/>
              <w:spacing w:after="120"/>
              <w:jc w:val="center"/>
              <w:rPr>
                <w:noProof/>
              </w:rPr>
            </w:pPr>
            <w:r>
              <w:rPr>
                <w:noProof/>
              </w:rPr>
              <w:t>Mérföldkő</w:t>
            </w:r>
          </w:p>
        </w:tc>
        <w:tc>
          <w:tcPr>
            <w:tcW w:w="1418" w:type="dxa"/>
            <w:tcBorders>
              <w:top w:val="single" w:sz="4" w:space="0" w:color="auto"/>
            </w:tcBorders>
            <w:shd w:val="clear" w:color="auto" w:fill="C6EFCE"/>
            <w:noWrap/>
            <w:vAlign w:val="center"/>
          </w:tcPr>
          <w:p w14:paraId="762DFC21" w14:textId="77777777" w:rsidR="003F5418" w:rsidRDefault="002A6C25">
            <w:pPr>
              <w:pStyle w:val="P68B1DB1-Normal4"/>
              <w:spacing w:after="120"/>
              <w:jc w:val="center"/>
              <w:rPr>
                <w:noProof/>
              </w:rPr>
            </w:pPr>
            <w:r>
              <w:rPr>
                <w:noProof/>
              </w:rPr>
              <w:t>A minisztérium befejezte a beruházást</w:t>
            </w:r>
          </w:p>
        </w:tc>
        <w:tc>
          <w:tcPr>
            <w:tcW w:w="1984" w:type="dxa"/>
            <w:tcBorders>
              <w:top w:val="single" w:sz="4" w:space="0" w:color="auto"/>
            </w:tcBorders>
            <w:shd w:val="clear" w:color="auto" w:fill="C6EFCE"/>
            <w:noWrap/>
            <w:vAlign w:val="center"/>
          </w:tcPr>
          <w:p w14:paraId="5D2E8622" w14:textId="77777777" w:rsidR="003F5418" w:rsidRDefault="002A6C25">
            <w:pPr>
              <w:pStyle w:val="P68B1DB1-Normal4"/>
              <w:spacing w:after="120"/>
              <w:jc w:val="center"/>
              <w:rPr>
                <w:noProof/>
              </w:rPr>
            </w:pPr>
            <w:r>
              <w:rPr>
                <w:noProof/>
              </w:rPr>
              <w:t>Átutalási igazolás</w:t>
            </w:r>
          </w:p>
        </w:tc>
        <w:tc>
          <w:tcPr>
            <w:tcW w:w="1134" w:type="dxa"/>
            <w:tcBorders>
              <w:top w:val="single" w:sz="4" w:space="0" w:color="auto"/>
            </w:tcBorders>
            <w:shd w:val="clear" w:color="auto" w:fill="C6EFCE"/>
            <w:noWrap/>
            <w:vAlign w:val="center"/>
          </w:tcPr>
          <w:p w14:paraId="5CDCA1D6" w14:textId="77777777" w:rsidR="003F5418" w:rsidRDefault="003F5418">
            <w:pPr>
              <w:spacing w:after="120"/>
              <w:jc w:val="center"/>
              <w:rPr>
                <w:rFonts w:ascii="Arial Narrow" w:hAnsi="Arial Narrow"/>
                <w:noProof/>
                <w:color w:val="006100"/>
                <w:sz w:val="20"/>
              </w:rPr>
            </w:pPr>
          </w:p>
        </w:tc>
        <w:tc>
          <w:tcPr>
            <w:tcW w:w="993" w:type="dxa"/>
            <w:tcBorders>
              <w:top w:val="single" w:sz="4" w:space="0" w:color="auto"/>
            </w:tcBorders>
            <w:shd w:val="clear" w:color="auto" w:fill="C6EFCE"/>
            <w:noWrap/>
            <w:vAlign w:val="center"/>
          </w:tcPr>
          <w:p w14:paraId="173986A1" w14:textId="77777777" w:rsidR="003F5418" w:rsidRDefault="003F541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14EE99F2" w14:textId="77777777" w:rsidR="003F5418" w:rsidRDefault="003F5418">
            <w:pPr>
              <w:spacing w:after="120"/>
              <w:jc w:val="center"/>
              <w:rPr>
                <w:rFonts w:ascii="Arial Narrow" w:hAnsi="Arial Narrow"/>
                <w:noProof/>
                <w:color w:val="006100"/>
                <w:sz w:val="20"/>
              </w:rPr>
            </w:pPr>
          </w:p>
        </w:tc>
        <w:tc>
          <w:tcPr>
            <w:tcW w:w="992" w:type="dxa"/>
            <w:tcBorders>
              <w:top w:val="single" w:sz="4" w:space="0" w:color="auto"/>
            </w:tcBorders>
            <w:shd w:val="clear" w:color="auto" w:fill="C6EFCE"/>
            <w:noWrap/>
            <w:vAlign w:val="center"/>
          </w:tcPr>
          <w:p w14:paraId="20948905" w14:textId="1CAC20EC" w:rsidR="003F5418" w:rsidRDefault="002A6C25">
            <w:pPr>
              <w:pStyle w:val="P68B1DB1-Normal4"/>
              <w:spacing w:after="120"/>
              <w:jc w:val="center"/>
              <w:rPr>
                <w:noProof/>
              </w:rPr>
            </w:pPr>
            <w:r>
              <w:rPr>
                <w:noProof/>
              </w:rPr>
              <w:t>Q2</w:t>
            </w:r>
          </w:p>
        </w:tc>
        <w:tc>
          <w:tcPr>
            <w:tcW w:w="709" w:type="dxa"/>
            <w:tcBorders>
              <w:top w:val="single" w:sz="4" w:space="0" w:color="auto"/>
            </w:tcBorders>
            <w:shd w:val="clear" w:color="auto" w:fill="C6EFCE"/>
            <w:noWrap/>
            <w:vAlign w:val="center"/>
          </w:tcPr>
          <w:p w14:paraId="7D594FD1" w14:textId="739B6D4F" w:rsidR="003F5418" w:rsidRDefault="002A6C25">
            <w:pPr>
              <w:pStyle w:val="P68B1DB1-Normal4"/>
              <w:spacing w:after="120"/>
              <w:jc w:val="center"/>
              <w:rPr>
                <w:noProof/>
              </w:rPr>
            </w:pPr>
            <w:r>
              <w:rPr>
                <w:noProof/>
              </w:rPr>
              <w:t>2025</w:t>
            </w:r>
          </w:p>
        </w:tc>
        <w:tc>
          <w:tcPr>
            <w:tcW w:w="3261" w:type="dxa"/>
            <w:tcBorders>
              <w:top w:val="single" w:sz="4" w:space="0" w:color="auto"/>
            </w:tcBorders>
            <w:shd w:val="clear" w:color="auto" w:fill="C6EFCE"/>
            <w:noWrap/>
            <w:vAlign w:val="center"/>
          </w:tcPr>
          <w:p w14:paraId="6657FE4F" w14:textId="4C4D3B28" w:rsidR="003F5418" w:rsidRDefault="002A6C25">
            <w:pPr>
              <w:pStyle w:val="P68B1DB1-Normal4"/>
              <w:spacing w:after="120"/>
              <w:rPr>
                <w:noProof/>
              </w:rPr>
            </w:pPr>
            <w:r>
              <w:rPr>
                <w:noProof/>
              </w:rPr>
              <w:t xml:space="preserve">Olaszország 100 000 000 EUR-t utal át az Invitalia S.p.A. részére a </w:t>
            </w:r>
            <w:r>
              <w:rPr>
                <w:noProof/>
              </w:rPr>
              <w:t>program céljaira.</w:t>
            </w:r>
          </w:p>
        </w:tc>
      </w:tr>
    </w:tbl>
    <w:p w14:paraId="72514CBB" w14:textId="77777777" w:rsidR="003F5418" w:rsidRDefault="003F5418">
      <w:pPr>
        <w:tabs>
          <w:tab w:val="left" w:pos="4252"/>
        </w:tabs>
        <w:spacing w:after="120"/>
        <w:rPr>
          <w:i/>
          <w:noProof/>
        </w:rPr>
        <w:sectPr w:rsidR="003F5418">
          <w:headerReference w:type="even" r:id="rId417"/>
          <w:headerReference w:type="default" r:id="rId418"/>
          <w:footerReference w:type="even" r:id="rId419"/>
          <w:footerReference w:type="default" r:id="rId420"/>
          <w:headerReference w:type="first" r:id="rId421"/>
          <w:footerReference w:type="first" r:id="rId422"/>
          <w:pgSz w:w="16838" w:h="11906" w:orient="landscape" w:code="9"/>
          <w:pgMar w:top="1134" w:right="1134" w:bottom="1134" w:left="1134" w:header="567" w:footer="567" w:gutter="0"/>
          <w:cols w:space="720"/>
          <w:docGrid w:linePitch="360"/>
        </w:sectPr>
      </w:pPr>
    </w:p>
    <w:p w14:paraId="33F99ACB" w14:textId="77777777" w:rsidR="003F5418" w:rsidRDefault="002A6C25">
      <w:pPr>
        <w:pStyle w:val="Heading3"/>
        <w:numPr>
          <w:ilvl w:val="0"/>
          <w:numId w:val="0"/>
        </w:numPr>
        <w:spacing w:before="0"/>
        <w:ind w:left="850" w:hanging="850"/>
        <w:rPr>
          <w:rFonts w:ascii="Segoe UI" w:hAnsi="Segoe UI" w:cs="Segoe UI"/>
          <w:b/>
          <w:i w:val="0"/>
          <w:noProof/>
          <w:sz w:val="18"/>
          <w:u w:val="single"/>
        </w:rPr>
      </w:pPr>
      <w:r>
        <w:rPr>
          <w:rStyle w:val="normaltextrun"/>
          <w:b/>
          <w:noProof/>
          <w:u w:val="single"/>
        </w:rPr>
        <w:t xml:space="preserve">Q.3. </w:t>
      </w:r>
      <w:r>
        <w:rPr>
          <w:noProof/>
        </w:rPr>
        <w:t xml:space="preserve"> </w:t>
      </w:r>
      <w:r>
        <w:rPr>
          <w:rStyle w:val="normaltextrun"/>
          <w:b/>
          <w:noProof/>
          <w:u w:val="single"/>
        </w:rPr>
        <w:t xml:space="preserve">A hitelhez kapcsolódó reformok és beruházások ismertetése </w:t>
      </w:r>
    </w:p>
    <w:p w14:paraId="09B43724" w14:textId="3FDAB305" w:rsidR="003F5418" w:rsidRDefault="00350154">
      <w:pPr>
        <w:pStyle w:val="P68B1DB1-Heading429"/>
        <w:numPr>
          <w:ilvl w:val="3"/>
          <w:numId w:val="0"/>
        </w:numPr>
        <w:spacing w:before="0"/>
        <w:rPr>
          <w:i/>
          <w:noProof/>
        </w:rPr>
      </w:pPr>
      <w:bookmarkStart w:id="18" w:name="_Hlk140650645"/>
      <w:r w:rsidRPr="002F198A">
        <w:rPr>
          <w:noProof/>
        </w:rPr>
        <w:t>1</w:t>
      </w:r>
      <w:r>
        <w:rPr>
          <w:noProof/>
        </w:rPr>
        <w:t>3</w:t>
      </w:r>
      <w:r w:rsidRPr="002F198A">
        <w:rPr>
          <w:noProof/>
        </w:rPr>
        <w:t xml:space="preserve">. </w:t>
      </w:r>
      <w:r>
        <w:rPr>
          <w:noProof/>
        </w:rPr>
        <w:t>Beruházás. Adriai vonal, 1. szakasz (Sulmona kompresszorállomás és Sestino-Minerbio gázvezeték)</w:t>
      </w:r>
    </w:p>
    <w:p w14:paraId="61B407F0" w14:textId="77777777" w:rsidR="003F5418" w:rsidRDefault="002A6C25">
      <w:pPr>
        <w:pStyle w:val="Text1"/>
        <w:spacing w:before="0"/>
        <w:ind w:left="0"/>
        <w:rPr>
          <w:noProof/>
        </w:rPr>
      </w:pPr>
      <w:r>
        <w:rPr>
          <w:noProof/>
        </w:rPr>
        <w:t xml:space="preserve">E beruházás </w:t>
      </w:r>
      <w:r>
        <w:rPr>
          <w:noProof/>
        </w:rPr>
        <w:t>célja az energetikai infrastruktúra és létesítmények javítása a földgáz – többek között a cseppfolyósított földgáz – ellátásbiztonságával kapcsolatos azonnali szükségletek kielégítése érdekében, különösen az ellátás diverzifikálásának lehetővé tétele érdek</w:t>
      </w:r>
      <w:r>
        <w:rPr>
          <w:noProof/>
        </w:rPr>
        <w:t xml:space="preserve">ében, az Unió egészének érdekében. </w:t>
      </w:r>
    </w:p>
    <w:p w14:paraId="52A1744D" w14:textId="77777777" w:rsidR="003F5418" w:rsidRDefault="002A6C25">
      <w:pPr>
        <w:pStyle w:val="Text1"/>
        <w:spacing w:before="0"/>
        <w:ind w:left="0"/>
        <w:rPr>
          <w:noProof/>
        </w:rPr>
      </w:pPr>
      <w:r>
        <w:rPr>
          <w:noProof/>
        </w:rPr>
        <w:t>A beruházás célja egy sulmonai kompresszorállomás, valamint az Adriai-vonal részeként Sestino és Minerbio csomópontjait összekötő gázvezeték megépítésének támogatása. Az újonnan épített infrastruktúra várhatóan 14 millió</w:t>
      </w:r>
      <w:r>
        <w:rPr>
          <w:noProof/>
        </w:rPr>
        <w:t xml:space="preserve"> köbméterrel növeli a gázszállítási kapacitást.</w:t>
      </w:r>
    </w:p>
    <w:p w14:paraId="16F7A051" w14:textId="77777777" w:rsidR="003F5418" w:rsidRDefault="002A6C25">
      <w:pPr>
        <w:pStyle w:val="Text1"/>
        <w:spacing w:before="0"/>
        <w:ind w:left="0"/>
        <w:rPr>
          <w:noProof/>
        </w:rPr>
      </w:pPr>
      <w:r>
        <w:rPr>
          <w:noProof/>
        </w:rPr>
        <w:t>Olaszország meghatározza a területspecifikus természetvédelmi célkitűzések (SSCO-k) státuszát, és szükség esetén az érintett területeken végzett munka megkezdéséig ennek megfelelően felülvizsgálja a környezet</w:t>
      </w:r>
      <w:r>
        <w:rPr>
          <w:noProof/>
        </w:rPr>
        <w:t xml:space="preserve">i hatásvizsgálatokat (Valutazione Incidenza Ambientale). </w:t>
      </w:r>
    </w:p>
    <w:p w14:paraId="34CDFDF2" w14:textId="77777777" w:rsidR="003F5418" w:rsidRDefault="002A6C25">
      <w:pPr>
        <w:pStyle w:val="Text1"/>
        <w:spacing w:before="0"/>
        <w:ind w:left="0"/>
        <w:rPr>
          <w:noProof/>
        </w:rPr>
      </w:pPr>
      <w:r>
        <w:rPr>
          <w:noProof/>
        </w:rPr>
        <w:t>A Sulmona kompresszorállomást és a Sestino-Minerbio gázvezetéket 2026. augusztus 31-ig meg kell építeni.</w:t>
      </w:r>
    </w:p>
    <w:p w14:paraId="5D94016F" w14:textId="495A8DBC" w:rsidR="003F5418" w:rsidRDefault="00350154">
      <w:pPr>
        <w:pStyle w:val="P68B1DB1-Heading429"/>
        <w:numPr>
          <w:ilvl w:val="3"/>
          <w:numId w:val="0"/>
        </w:numPr>
        <w:ind w:left="850" w:hanging="850"/>
        <w:rPr>
          <w:noProof/>
        </w:rPr>
      </w:pPr>
      <w:r w:rsidRPr="002F198A">
        <w:rPr>
          <w:noProof/>
        </w:rPr>
        <w:t>1</w:t>
      </w:r>
      <w:r>
        <w:rPr>
          <w:noProof/>
        </w:rPr>
        <w:t>4</w:t>
      </w:r>
      <w:r w:rsidRPr="002F198A">
        <w:rPr>
          <w:noProof/>
        </w:rPr>
        <w:t xml:space="preserve">. </w:t>
      </w:r>
      <w:r>
        <w:rPr>
          <w:noProof/>
        </w:rPr>
        <w:t>Beruházás. Határokon átnyúló gázkiviteli infrastruktúra</w:t>
      </w:r>
    </w:p>
    <w:p w14:paraId="1207D4F8" w14:textId="77777777" w:rsidR="003F5418" w:rsidRDefault="002A6C25">
      <w:pPr>
        <w:pStyle w:val="Text1"/>
        <w:spacing w:before="0"/>
        <w:ind w:left="0"/>
        <w:rPr>
          <w:noProof/>
        </w:rPr>
      </w:pPr>
      <w:r>
        <w:rPr>
          <w:noProof/>
        </w:rPr>
        <w:t xml:space="preserve">E beruházás célja az energetikai </w:t>
      </w:r>
      <w:r>
        <w:rPr>
          <w:noProof/>
        </w:rPr>
        <w:t>infrastruktúra és létesítmények javítása a földgáz – többek között a cseppfolyósított földgáz – ellátásbiztonságával kapcsolatos azonnali szükségletek kielégítése érdekében, különösen az ellátás diverzifikálásának lehetővé tétele érdekében, az Unió egészén</w:t>
      </w:r>
      <w:r>
        <w:rPr>
          <w:noProof/>
        </w:rPr>
        <w:t xml:space="preserve">ek érdekében. </w:t>
      </w:r>
    </w:p>
    <w:p w14:paraId="5181F92C" w14:textId="77777777" w:rsidR="003F5418" w:rsidRDefault="002A6C25">
      <w:pPr>
        <w:pStyle w:val="Text1"/>
        <w:spacing w:before="0"/>
        <w:ind w:left="0"/>
        <w:rPr>
          <w:noProof/>
        </w:rPr>
      </w:pPr>
      <w:r>
        <w:rPr>
          <w:noProof/>
        </w:rPr>
        <w:t>Ez a beruházás a meglévő gázinfrastruktúra korszerűsítéséből áll, amely lehetővé teszi a földgáznak a Tarvisio kiadási pontján keresztüli kivitelét. A beruházás különösen egy új elektromos kompressziós egység megépítéséből áll a Poggio Renat</w:t>
      </w:r>
      <w:r>
        <w:rPr>
          <w:noProof/>
        </w:rPr>
        <w:t xml:space="preserve">ico kompresszorállomáson. Az újonnan épített infrastruktúra várhatóan évi 8 milliárd m³-rel növeli a Tarvisio kilépési ponton keresztüli gázexport kapacitását. </w:t>
      </w:r>
    </w:p>
    <w:p w14:paraId="0240E6FA" w14:textId="77777777" w:rsidR="003F5418" w:rsidRDefault="002A6C25">
      <w:pPr>
        <w:pStyle w:val="Text1"/>
        <w:spacing w:before="0"/>
        <w:ind w:left="0"/>
        <w:rPr>
          <w:noProof/>
        </w:rPr>
      </w:pPr>
      <w:r>
        <w:rPr>
          <w:noProof/>
        </w:rPr>
        <w:t>A Poggio Renatico kompresszorállomás kompressziós egységét 2026. augusztus 31-ig meg kell építe</w:t>
      </w:r>
      <w:r>
        <w:rPr>
          <w:noProof/>
        </w:rPr>
        <w:t xml:space="preserve">ni. </w:t>
      </w:r>
    </w:p>
    <w:p w14:paraId="0EE9BE12" w14:textId="77B256E0" w:rsidR="003F5418" w:rsidRDefault="00350154">
      <w:pPr>
        <w:pStyle w:val="P68B1DB1-Heading429"/>
        <w:numPr>
          <w:ilvl w:val="3"/>
          <w:numId w:val="0"/>
        </w:numPr>
        <w:ind w:left="850" w:hanging="850"/>
        <w:rPr>
          <w:noProof/>
        </w:rPr>
      </w:pPr>
      <w:r w:rsidRPr="002F198A">
        <w:rPr>
          <w:noProof/>
        </w:rPr>
        <w:t>1</w:t>
      </w:r>
      <w:r>
        <w:rPr>
          <w:noProof/>
        </w:rPr>
        <w:t>5</w:t>
      </w:r>
      <w:r w:rsidRPr="002F198A">
        <w:rPr>
          <w:noProof/>
        </w:rPr>
        <w:t xml:space="preserve">. </w:t>
      </w:r>
      <w:r>
        <w:rPr>
          <w:noProof/>
        </w:rPr>
        <w:t xml:space="preserve">Beruházás. Transzzion 5.0 </w:t>
      </w:r>
    </w:p>
    <w:bookmarkEnd w:id="18"/>
    <w:p w14:paraId="382D6354" w14:textId="77777777" w:rsidR="003F5418" w:rsidRDefault="002A6C25">
      <w:pPr>
        <w:pStyle w:val="NormalWeb"/>
        <w:spacing w:before="0" w:beforeAutospacing="0" w:after="120" w:afterAutospacing="0"/>
        <w:jc w:val="both"/>
        <w:rPr>
          <w:noProof/>
          <w:color w:val="0000FF"/>
          <w:sz w:val="21"/>
        </w:rPr>
      </w:pPr>
      <w:r>
        <w:rPr>
          <w:rStyle w:val="normaltextrun"/>
          <w:noProof/>
        </w:rPr>
        <w:t>Ez az intézkedés a termelési folyamatok energiahatékony, fenntartható és megújuló energiaforrásokon alapuló termelési modellre való energetikai átállását támogatja. Ennek eredményeként az intézkedésnek 0,4 Mtoe energiame</w:t>
      </w:r>
      <w:r>
        <w:rPr>
          <w:rStyle w:val="normaltextrun"/>
          <w:noProof/>
        </w:rPr>
        <w:t>gtakarítást kell eredményeznie a végsőenergia-fogyasztásban a 2024–2026-os időszakban.</w:t>
      </w:r>
      <w:r>
        <w:rPr>
          <w:noProof/>
          <w:color w:val="0000FF"/>
          <w:sz w:val="21"/>
        </w:rPr>
        <w:t xml:space="preserve"> </w:t>
      </w:r>
    </w:p>
    <w:p w14:paraId="40484D21" w14:textId="77777777" w:rsidR="003F5418" w:rsidRDefault="002A6C25">
      <w:pPr>
        <w:pStyle w:val="NormalWeb"/>
        <w:spacing w:before="0" w:beforeAutospacing="0" w:after="120" w:afterAutospacing="0"/>
        <w:jc w:val="both"/>
        <w:rPr>
          <w:rStyle w:val="normaltextrun"/>
          <w:rFonts w:eastAsiaTheme="majorEastAsia"/>
          <w:noProof/>
        </w:rPr>
      </w:pPr>
      <w:r>
        <w:rPr>
          <w:rStyle w:val="normaltextrun"/>
          <w:noProof/>
        </w:rPr>
        <w:t>A vállalatok a 2024. január 1. és 2025. december 31. között felmerült kiadásokkal arányos adójóváírásban részesülnek, amennyiben a következőkbe fektetnek be:</w:t>
      </w:r>
    </w:p>
    <w:p w14:paraId="30C3CCFF" w14:textId="77777777" w:rsidR="003F5418" w:rsidRDefault="002A6C25">
      <w:pPr>
        <w:pStyle w:val="ListParagraph"/>
        <w:keepNext/>
        <w:numPr>
          <w:ilvl w:val="0"/>
          <w:numId w:val="42"/>
        </w:numPr>
        <w:spacing w:before="0"/>
        <w:contextualSpacing w:val="0"/>
        <w:rPr>
          <w:rStyle w:val="normaltextrun"/>
          <w:noProof/>
        </w:rPr>
      </w:pPr>
      <w:r>
        <w:rPr>
          <w:rStyle w:val="normaltextrun"/>
          <w:noProof/>
        </w:rPr>
        <w:t xml:space="preserve">digitális </w:t>
      </w:r>
      <w:r>
        <w:rPr>
          <w:rStyle w:val="normaltextrun"/>
          <w:noProof/>
        </w:rPr>
        <w:t>eszközök (4,0 tárgyi eszköz, 4,0 immateriális beruházási javak</w:t>
      </w:r>
      <w:r>
        <w:rPr>
          <w:rStyle w:val="FootnoteReference"/>
          <w:rFonts w:eastAsiaTheme="majorEastAsia"/>
          <w:noProof/>
        </w:rPr>
        <w:footnoteReference w:id="136"/>
      </w:r>
      <w:r>
        <w:rPr>
          <w:rStyle w:val="normaltextrun"/>
          <w:noProof/>
        </w:rPr>
        <w:t xml:space="preserve">) </w:t>
      </w:r>
    </w:p>
    <w:p w14:paraId="629C1C97" w14:textId="77777777" w:rsidR="003F5418" w:rsidRDefault="002A6C25">
      <w:pPr>
        <w:pStyle w:val="NormalWeb"/>
        <w:numPr>
          <w:ilvl w:val="0"/>
          <w:numId w:val="42"/>
        </w:numPr>
        <w:spacing w:before="0" w:beforeAutospacing="0" w:after="120" w:afterAutospacing="0"/>
        <w:jc w:val="both"/>
        <w:rPr>
          <w:rFonts w:eastAsiaTheme="majorEastAsia"/>
          <w:noProof/>
        </w:rPr>
      </w:pPr>
      <w:r>
        <w:rPr>
          <w:noProof/>
        </w:rPr>
        <w:t>a saját termeléshez és a megújuló energiaforrásokból történő saját fogyasztáshoz szükséges eszközök (a biomassza kivételével)</w:t>
      </w:r>
    </w:p>
    <w:p w14:paraId="1A01B169" w14:textId="77777777" w:rsidR="003F5418" w:rsidRDefault="002A6C25">
      <w:pPr>
        <w:pStyle w:val="NormalWeb"/>
        <w:numPr>
          <w:ilvl w:val="0"/>
          <w:numId w:val="42"/>
        </w:numPr>
        <w:spacing w:before="0" w:beforeAutospacing="0" w:after="120" w:afterAutospacing="0"/>
        <w:jc w:val="both"/>
        <w:rPr>
          <w:rFonts w:eastAsiaTheme="majorEastAsia"/>
          <w:noProof/>
        </w:rPr>
      </w:pPr>
      <w:r>
        <w:rPr>
          <w:rStyle w:val="normaltextrun"/>
          <w:noProof/>
        </w:rPr>
        <w:t xml:space="preserve">a személyzet képzése a zöld átálláshoz szükséges készségek </w:t>
      </w:r>
      <w:r>
        <w:rPr>
          <w:rStyle w:val="normaltextrun"/>
          <w:noProof/>
        </w:rPr>
        <w:t>terén.</w:t>
      </w:r>
    </w:p>
    <w:p w14:paraId="4DFFD9D7" w14:textId="77777777" w:rsidR="003F5418" w:rsidRDefault="002A6C25">
      <w:pPr>
        <w:pStyle w:val="NormalWeb"/>
        <w:spacing w:before="0" w:beforeAutospacing="0" w:after="120" w:afterAutospacing="0"/>
        <w:jc w:val="both"/>
        <w:rPr>
          <w:rFonts w:eastAsiaTheme="majorEastAsia"/>
          <w:noProof/>
        </w:rPr>
      </w:pPr>
      <w:r>
        <w:rPr>
          <w:noProof/>
        </w:rPr>
        <w:t>Az adókedvezménynek legalább három járulékos küszöbérték alapján arányosnak kell lennie az a) pontban említett eszközökbe történő beruházásokhoz kapcsolódó végsőenergia-fogyasztás (legalább 3%-os) csökkentésével vagy a célzott folyamatok során elért</w:t>
      </w:r>
      <w:r>
        <w:rPr>
          <w:noProof/>
        </w:rPr>
        <w:t xml:space="preserve"> (az ilyen folyamatok korábbi fogyasztásához képest legalább 5%-os) energiamegtakarítással</w:t>
      </w:r>
      <w:r>
        <w:rPr>
          <w:rStyle w:val="FootnoteReference"/>
          <w:rFonts w:eastAsiaTheme="majorEastAsia"/>
          <w:noProof/>
        </w:rPr>
        <w:footnoteReference w:id="137"/>
      </w:r>
      <w:r>
        <w:rPr>
          <w:noProof/>
        </w:rPr>
        <w:t>.</w:t>
      </w:r>
    </w:p>
    <w:p w14:paraId="6B54FEFF" w14:textId="77777777" w:rsidR="003F5418" w:rsidRDefault="002A6C25">
      <w:pPr>
        <w:pStyle w:val="NormalWeb"/>
        <w:spacing w:before="0" w:beforeAutospacing="0" w:after="120" w:afterAutospacing="0"/>
        <w:jc w:val="both"/>
        <w:rPr>
          <w:rFonts w:eastAsiaTheme="majorEastAsia"/>
          <w:noProof/>
        </w:rPr>
      </w:pPr>
      <w:r>
        <w:rPr>
          <w:noProof/>
        </w:rPr>
        <w:t>Ezért az adókedvezmény intenzitásának a tanúsított energiahatékonysági fejlesztéseknek és az elért energiamegtakarításnak megfelelően növekednie kell.</w:t>
      </w:r>
    </w:p>
    <w:p w14:paraId="36C75A13" w14:textId="77777777" w:rsidR="003F5418" w:rsidRDefault="002A6C25">
      <w:pPr>
        <w:pStyle w:val="NormalWeb"/>
        <w:spacing w:before="0" w:beforeAutospacing="0" w:after="120" w:afterAutospacing="0"/>
        <w:jc w:val="both"/>
        <w:rPr>
          <w:rStyle w:val="normaltextrun"/>
          <w:rFonts w:eastAsiaTheme="majorEastAsia"/>
          <w:noProof/>
        </w:rPr>
      </w:pPr>
      <w:r>
        <w:rPr>
          <w:noProof/>
        </w:rPr>
        <w:t xml:space="preserve">Ahhoz, hogy </w:t>
      </w:r>
      <w:r>
        <w:rPr>
          <w:noProof/>
        </w:rPr>
        <w:t>a projekt támogatható legyen, független értékelőnek kell igazolnia, hogy az innovációs projekt előzetesen megfelel a teljes energiafogyasztás csökkentésével kapcsolatos támogathatósági kritériumoknak. Ezenkívül utólagos igazolással kell igazolni a beruházá</w:t>
      </w:r>
      <w:r>
        <w:rPr>
          <w:noProof/>
        </w:rPr>
        <w:t>sok tényleges megvalósulását az előzetes igazolás rendelkezéseivel összhangban.</w:t>
      </w:r>
    </w:p>
    <w:p w14:paraId="18D751DD" w14:textId="5FEA86BA" w:rsidR="003F5418" w:rsidRDefault="002A6C25">
      <w:pPr>
        <w:pStyle w:val="NormalWeb"/>
        <w:spacing w:before="0" w:beforeAutospacing="0" w:after="120" w:afterAutospacing="0"/>
        <w:jc w:val="both"/>
        <w:rPr>
          <w:rStyle w:val="normaltextrun"/>
          <w:rFonts w:eastAsiaTheme="majorEastAsia"/>
          <w:noProof/>
        </w:rPr>
      </w:pPr>
      <w:r>
        <w:rPr>
          <w:noProof/>
        </w:rPr>
        <w:t>A beruházásból legalább 4 032 000 000 EUR-nak a Helyreállítási és Rezilienciaépítési Eszközről szóló rendelet VI. mellékletével összhangban hozzá kell járulnia az éghajlatválto</w:t>
      </w:r>
      <w:r>
        <w:rPr>
          <w:noProof/>
        </w:rPr>
        <w:t>zással kapcsolatos célkitűzésekhez.</w:t>
      </w:r>
      <w:r>
        <w:rPr>
          <w:rStyle w:val="FootnoteReference"/>
          <w:noProof/>
        </w:rPr>
        <w:footnoteReference w:id="138"/>
      </w:r>
    </w:p>
    <w:p w14:paraId="176C3F4A" w14:textId="77777777" w:rsidR="003F5418" w:rsidRDefault="002A6C25">
      <w:pPr>
        <w:pStyle w:val="paragraph"/>
        <w:spacing w:before="0" w:beforeAutospacing="0" w:after="120" w:afterAutospacing="0"/>
        <w:jc w:val="both"/>
        <w:textAlignment w:val="baseline"/>
        <w:rPr>
          <w:rStyle w:val="normaltextrun"/>
          <w:rFonts w:eastAsiaTheme="majorEastAsia"/>
          <w:noProof/>
        </w:rPr>
      </w:pPr>
      <w:r>
        <w:rPr>
          <w:rStyle w:val="normaltextrun"/>
          <w:noProof/>
        </w:rPr>
        <w:t>Az intézkedés adójóváírási programból áll, és a 2025. január 1. és 2026. augusztus 31. közötti időszakban igényelendő költségekre terjed ki.</w:t>
      </w:r>
    </w:p>
    <w:p w14:paraId="2EC4AF9C" w14:textId="099B8B77" w:rsidR="003F5418" w:rsidRDefault="002A6C25">
      <w:pPr>
        <w:spacing w:after="120"/>
        <w:jc w:val="both"/>
        <w:rPr>
          <w:noProof/>
        </w:rPr>
      </w:pPr>
      <w:r>
        <w:rPr>
          <w:noProof/>
        </w:rPr>
        <w:t>A cél legfeljebb 1%-át informatikai platform fejlesztésére és kapcsolódó tevék</w:t>
      </w:r>
      <w:r>
        <w:rPr>
          <w:noProof/>
        </w:rPr>
        <w:t xml:space="preserve">enységekre kell fordítani: i. kezeli a kedvezményezettek által benyújtott igazolásokat; az elemzéshez használt adatok értékelésének, cseréjének és kezelésének megkönnyítése; valamint iii. a nyomonkövetési és ellenőrzési tevékenységek. </w:t>
      </w:r>
    </w:p>
    <w:p w14:paraId="4A91B037" w14:textId="77777777" w:rsidR="003F5418" w:rsidRDefault="002A6C25">
      <w:pPr>
        <w:spacing w:after="120"/>
        <w:jc w:val="both"/>
        <w:rPr>
          <w:noProof/>
        </w:rPr>
      </w:pPr>
      <w:r>
        <w:rPr>
          <w:noProof/>
        </w:rPr>
        <w:t>Ezen túlmenően az in</w:t>
      </w:r>
      <w:r>
        <w:rPr>
          <w:noProof/>
        </w:rPr>
        <w:t>tézkedésnek ki kell terjesztenie az M1C2–1. mérföldkőben (Transizione 4.0) létrehozott tudományos bizottság hatáskörét annak érdekében, hogy 2026. augusztus 31-ig jelentés készüljön, amelyben értékeli az olaszországi Vállalkozásügyi és Made Minisztérium (M</w:t>
      </w:r>
      <w:r>
        <w:rPr>
          <w:noProof/>
        </w:rPr>
        <w:t>IMIT) hatáskörébe tartozó nemzeti helyreállítási és rezilienciaépítési tervek beruházásainak hatékonyságát, valamint az egyéb uniós finanszírozási forrásokkal való lehetséges szinergiákat az EU és a nemzeti versenyképesség és autonómia szempontjából straté</w:t>
      </w:r>
      <w:r>
        <w:rPr>
          <w:noProof/>
        </w:rPr>
        <w:t>giai ágazatokban.</w:t>
      </w:r>
    </w:p>
    <w:p w14:paraId="5221FED4" w14:textId="141FE17B" w:rsidR="003F5418" w:rsidRDefault="00350154">
      <w:pPr>
        <w:pStyle w:val="P68B1DB1-Heading429"/>
        <w:numPr>
          <w:ilvl w:val="3"/>
          <w:numId w:val="0"/>
        </w:numPr>
        <w:rPr>
          <w:noProof/>
        </w:rPr>
      </w:pPr>
      <w:r w:rsidRPr="002F198A">
        <w:rPr>
          <w:noProof/>
        </w:rPr>
        <w:t>1</w:t>
      </w:r>
      <w:r>
        <w:rPr>
          <w:noProof/>
        </w:rPr>
        <w:t>6</w:t>
      </w:r>
      <w:r w:rsidRPr="002F198A">
        <w:rPr>
          <w:noProof/>
        </w:rPr>
        <w:t xml:space="preserve">. </w:t>
      </w:r>
      <w:r>
        <w:rPr>
          <w:noProof/>
        </w:rPr>
        <w:t>Beruházás. A kkv-k megújuló energiaforrásokból történő saját termeléséhez nyújtott támogatás</w:t>
      </w:r>
    </w:p>
    <w:p w14:paraId="7D39E47A" w14:textId="77777777" w:rsidR="003F5418" w:rsidRDefault="002A6C25">
      <w:pPr>
        <w:spacing w:after="120"/>
        <w:jc w:val="both"/>
        <w:rPr>
          <w:noProof/>
        </w:rPr>
      </w:pPr>
      <w:r>
        <w:rPr>
          <w:noProof/>
        </w:rPr>
        <w:t xml:space="preserve">Ez az intézkedés </w:t>
      </w:r>
      <w:r>
        <w:rPr>
          <w:i/>
          <w:noProof/>
        </w:rPr>
        <w:t xml:space="preserve">„A kkv-k megújuló energiaforrásokból történő saját termeléséhez nyújtott támogatás” </w:t>
      </w:r>
      <w:r>
        <w:rPr>
          <w:noProof/>
        </w:rPr>
        <w:t>elnevezésű támogatási rendszerbe történő</w:t>
      </w:r>
      <w:r>
        <w:rPr>
          <w:noProof/>
        </w:rPr>
        <w:t xml:space="preserve"> állami beruházásból áll annak érdekében, hogy ösztönözze a magánberuházásokat, és javítsa a finanszírozáshoz való hozzáférést Olaszországban a megújuló energiaforrásokból előállított energia saját termelésében.</w:t>
      </w:r>
    </w:p>
    <w:p w14:paraId="30FF17E1" w14:textId="77777777" w:rsidR="003F5418" w:rsidRDefault="002A6C25">
      <w:pPr>
        <w:spacing w:after="120"/>
        <w:jc w:val="both"/>
        <w:rPr>
          <w:noProof/>
        </w:rPr>
      </w:pPr>
      <w:r>
        <w:rPr>
          <w:noProof/>
        </w:rPr>
        <w:t>A program célja a mikro-, kis- és középválla</w:t>
      </w:r>
      <w:r>
        <w:rPr>
          <w:noProof/>
        </w:rPr>
        <w:t xml:space="preserve">lkozások (kkv-k) támogatása a megújuló energiaforrásokból előállított energia saját termelését célzó beruházási programok végrehajtásában. </w:t>
      </w:r>
    </w:p>
    <w:p w14:paraId="4543DA72" w14:textId="433F713A" w:rsidR="003F5418" w:rsidRDefault="002A6C25">
      <w:pPr>
        <w:spacing w:after="120"/>
        <w:rPr>
          <w:noProof/>
        </w:rPr>
      </w:pPr>
      <w:r>
        <w:rPr>
          <w:noProof/>
        </w:rPr>
        <w:t>A program úgy működik, hogy közvetlenül a magánszektornak nyújt támogatást. A Helyreállítási és Rezilienciaépítési E</w:t>
      </w:r>
      <w:r>
        <w:rPr>
          <w:noProof/>
        </w:rPr>
        <w:t xml:space="preserve">szköz beruházásai alapján a program kezdetben legalább 320 000 000 EUR vissza nem térítendő támogatást </w:t>
      </w:r>
      <w:r>
        <w:rPr>
          <w:rFonts w:ascii="Arial Narrow" w:hAnsi="Arial Narrow"/>
          <w:noProof/>
          <w:color w:val="006100"/>
          <w:sz w:val="20"/>
        </w:rPr>
        <w:t xml:space="preserve"> </w:t>
      </w:r>
      <w:r>
        <w:rPr>
          <w:noProof/>
        </w:rPr>
        <w:t>kíván nyújtani.</w:t>
      </w:r>
    </w:p>
    <w:p w14:paraId="57201ABC" w14:textId="77777777" w:rsidR="003F5418" w:rsidRDefault="002A6C25">
      <w:pPr>
        <w:spacing w:after="120"/>
        <w:jc w:val="both"/>
        <w:rPr>
          <w:noProof/>
        </w:rPr>
      </w:pPr>
      <w:r>
        <w:rPr>
          <w:noProof/>
        </w:rPr>
        <w:t>A programot végrehajtó partnerként az Invitalia SpA irányítja. A rendszer a következő terméksorokat foglalja magában:</w:t>
      </w:r>
    </w:p>
    <w:p w14:paraId="05AE778A" w14:textId="77777777" w:rsidR="003F5418" w:rsidRDefault="002A6C25">
      <w:pPr>
        <w:pStyle w:val="ListParagraph"/>
        <w:numPr>
          <w:ilvl w:val="0"/>
          <w:numId w:val="38"/>
        </w:numPr>
        <w:spacing w:before="0"/>
        <w:contextualSpacing w:val="0"/>
        <w:rPr>
          <w:noProof/>
        </w:rPr>
      </w:pPr>
      <w:r>
        <w:rPr>
          <w:noProof/>
        </w:rPr>
        <w:t xml:space="preserve"> vissza nem téríte</w:t>
      </w:r>
      <w:r>
        <w:rPr>
          <w:noProof/>
        </w:rPr>
        <w:t>ndő hozzájárulások – amelyek átlagosan a teljes beruházás mintegy 50%-ának felelnek meg – olyan rendszerek és kapcsolódó digitális technológiák vásárlásához, amelyek lehetővé teszik a megújuló forrásokból származó energia közvetlen termelését azonnali sajá</w:t>
      </w:r>
      <w:r>
        <w:rPr>
          <w:noProof/>
        </w:rPr>
        <w:t>t fogyasztásra vagy felhalmozási/tárolási rendszereken keresztül.</w:t>
      </w:r>
    </w:p>
    <w:p w14:paraId="112CA96D" w14:textId="77777777" w:rsidR="003F5418" w:rsidRDefault="002A6C25">
      <w:pPr>
        <w:spacing w:after="120"/>
        <w:jc w:val="both"/>
        <w:rPr>
          <w:noProof/>
        </w:rPr>
      </w:pPr>
      <w:r>
        <w:rPr>
          <w:noProof/>
        </w:rPr>
        <w:t>A támogatási programba történő beruházás végrehajtása érdekében Olaszország és az Invitalia SpA végrehajtási megállapodást ír alá, amely a következő tartalommal rendelkezik:</w:t>
      </w:r>
    </w:p>
    <w:p w14:paraId="796C683A" w14:textId="77777777" w:rsidR="003F5418" w:rsidRDefault="002A6C25">
      <w:pPr>
        <w:pStyle w:val="P68B1DB1-LegalNumPar19"/>
        <w:numPr>
          <w:ilvl w:val="0"/>
          <w:numId w:val="39"/>
        </w:numPr>
        <w:spacing w:after="120" w:line="240" w:lineRule="auto"/>
        <w:jc w:val="both"/>
        <w:rPr>
          <w:rFonts w:eastAsia="Times New Roman" w:cs="Times New Roman"/>
          <w:noProof/>
        </w:rPr>
      </w:pPr>
      <w:r>
        <w:rPr>
          <w:noProof/>
        </w:rPr>
        <w:t>A program döntés</w:t>
      </w:r>
      <w:r>
        <w:rPr>
          <w:noProof/>
        </w:rPr>
        <w:t>hozatali folyamatának leírása: A program végleges beruházási döntését beruházási bizottság vagy más, azzal egyenértékű irányító testület hozza meg, és a kormánytól független tagok szavazatainak többségével hagyja jóvá.</w:t>
      </w:r>
    </w:p>
    <w:p w14:paraId="4EE76AA9" w14:textId="77777777" w:rsidR="003F5418" w:rsidRDefault="002A6C25">
      <w:pPr>
        <w:pStyle w:val="P68B1DB1-LegalNumPar19"/>
        <w:numPr>
          <w:ilvl w:val="0"/>
          <w:numId w:val="31"/>
        </w:numPr>
        <w:spacing w:after="120" w:line="240" w:lineRule="auto"/>
        <w:jc w:val="both"/>
        <w:rPr>
          <w:rFonts w:cs="Times New Roman"/>
          <w:noProof/>
        </w:rPr>
      </w:pPr>
      <w:r>
        <w:rPr>
          <w:noProof/>
        </w:rPr>
        <w:t>A kapcsolódó beruházási politika fő k</w:t>
      </w:r>
      <w:r>
        <w:rPr>
          <w:noProof/>
        </w:rPr>
        <w:t>övetelményei,</w:t>
      </w:r>
      <w:r>
        <w:rPr>
          <w:b/>
          <w:noProof/>
        </w:rPr>
        <w:t xml:space="preserve"> </w:t>
      </w:r>
      <w:r>
        <w:rPr>
          <w:noProof/>
        </w:rPr>
        <w:t>amelyek a következőket foglalják magukban:</w:t>
      </w:r>
    </w:p>
    <w:p w14:paraId="1EF3BD53" w14:textId="77777777" w:rsidR="003F5418" w:rsidRDefault="002A6C25">
      <w:pPr>
        <w:pStyle w:val="P68B1DB1-LegalNumPar220"/>
        <w:numPr>
          <w:ilvl w:val="1"/>
          <w:numId w:val="41"/>
        </w:numPr>
        <w:spacing w:after="120" w:line="240" w:lineRule="auto"/>
        <w:ind w:left="1418"/>
        <w:jc w:val="both"/>
        <w:rPr>
          <w:rFonts w:cs="Times New Roman"/>
          <w:noProof/>
        </w:rPr>
      </w:pPr>
      <w:r>
        <w:rPr>
          <w:noProof/>
        </w:rPr>
        <w:t xml:space="preserve">A nyújtott támogatás típusának és a támogatható végső kedvezményezetteknek a leírása. </w:t>
      </w:r>
    </w:p>
    <w:p w14:paraId="07B2CA29" w14:textId="77777777" w:rsidR="003F5418" w:rsidRDefault="002A6C25">
      <w:pPr>
        <w:pStyle w:val="P68B1DB1-LegalNumPar220"/>
        <w:numPr>
          <w:ilvl w:val="1"/>
          <w:numId w:val="41"/>
        </w:numPr>
        <w:spacing w:after="120" w:line="240" w:lineRule="auto"/>
        <w:ind w:left="1418"/>
        <w:jc w:val="both"/>
        <w:rPr>
          <w:rFonts w:cs="Times New Roman"/>
          <w:noProof/>
        </w:rPr>
      </w:pPr>
      <w:r>
        <w:rPr>
          <w:noProof/>
        </w:rPr>
        <w:t>Az a követelmény, hogy minden támogatott beruházás gazdaságilag életképes legyen</w:t>
      </w:r>
      <w:r>
        <w:rPr>
          <w:b/>
          <w:noProof/>
        </w:rPr>
        <w:t>.</w:t>
      </w:r>
    </w:p>
    <w:p w14:paraId="7102326D" w14:textId="77777777" w:rsidR="003F5418" w:rsidRDefault="002A6C25">
      <w:pPr>
        <w:pStyle w:val="P68B1DB1-LegalNumPar220"/>
        <w:numPr>
          <w:ilvl w:val="1"/>
          <w:numId w:val="41"/>
        </w:numPr>
        <w:spacing w:after="120" w:line="240" w:lineRule="auto"/>
        <w:ind w:left="1418"/>
        <w:jc w:val="both"/>
        <w:rPr>
          <w:rFonts w:cs="Times New Roman"/>
          <w:noProof/>
        </w:rPr>
      </w:pPr>
      <w:r>
        <w:rPr>
          <w:noProof/>
        </w:rPr>
        <w:t xml:space="preserve">A jelentős károkozás </w:t>
      </w:r>
      <w:r>
        <w:rPr>
          <w:noProof/>
        </w:rPr>
        <w:t>elkerülését célzó elvnek való megfelelés követelménye a DNSH technikai iránymutatásban (2021/C58/01) meghatározottak szerint. Különösen a vállalatok általános támogatása esetén a befektetési politikának ki kell zárnia azokat a vállalatokat, amelyek jelentő</w:t>
      </w:r>
      <w:r>
        <w:rPr>
          <w:noProof/>
        </w:rPr>
        <w:t>s hangsúlyt</w:t>
      </w:r>
      <w:r>
        <w:rPr>
          <w:noProof/>
        </w:rPr>
        <w:footnoteReference w:id="139"/>
      </w:r>
      <w:r>
        <w:rPr>
          <w:noProof/>
        </w:rPr>
        <w:t xml:space="preserve"> fektetnek a következő ágazatokra: fosszilis tüzelőanyagokon alapuló energiatermelés és kapcsolódó tevékenységek</w:t>
      </w:r>
      <w:r>
        <w:rPr>
          <w:noProof/>
        </w:rPr>
        <w:footnoteReference w:id="140"/>
      </w:r>
      <w:r>
        <w:rPr>
          <w:noProof/>
        </w:rPr>
        <w:t>; ii. energiaigényes és/vagy magas szén-dioxid-kibocsátású iparágak</w:t>
      </w:r>
      <w:r>
        <w:rPr>
          <w:noProof/>
        </w:rPr>
        <w:footnoteReference w:id="141"/>
      </w:r>
      <w:r>
        <w:rPr>
          <w:noProof/>
        </w:rPr>
        <w:t>; szennyező járművek gyártása, bérlése vagy értékesítése</w:t>
      </w:r>
      <w:r>
        <w:rPr>
          <w:noProof/>
        </w:rPr>
        <w:footnoteReference w:id="142"/>
      </w:r>
      <w:r>
        <w:rPr>
          <w:noProof/>
        </w:rPr>
        <w:t xml:space="preserve">; IV. </w:t>
      </w:r>
      <w:r>
        <w:rPr>
          <w:noProof/>
        </w:rPr>
        <w:t>hulladékgyűjtés, hulladékkezelés és -ártalmatlanítás</w:t>
      </w:r>
      <w:r>
        <w:rPr>
          <w:noProof/>
        </w:rPr>
        <w:footnoteReference w:id="143"/>
      </w:r>
      <w:r>
        <w:rPr>
          <w:noProof/>
        </w:rPr>
        <w:t xml:space="preserve">, v. nukleáris üzemanyag feldolgozása, atomenergia előállítása. A beruházási politikának továbbá meg kell követelnie a program végső kedvezményezettjeinek a vonatkozó uniós és nemzeti környezetvédelmi </w:t>
      </w:r>
      <w:r>
        <w:rPr>
          <w:noProof/>
        </w:rPr>
        <w:t>jogszabályoknak való</w:t>
      </w:r>
      <w:r>
        <w:rPr>
          <w:b/>
          <w:noProof/>
        </w:rPr>
        <w:t xml:space="preserve"> </w:t>
      </w:r>
      <w:r>
        <w:rPr>
          <w:noProof/>
        </w:rPr>
        <w:t xml:space="preserve">megfelelését. </w:t>
      </w:r>
    </w:p>
    <w:p w14:paraId="7C556DE4" w14:textId="77777777" w:rsidR="003F5418" w:rsidRDefault="002A6C25">
      <w:pPr>
        <w:pStyle w:val="P68B1DB1-LegalNumPar220"/>
        <w:numPr>
          <w:ilvl w:val="1"/>
          <w:numId w:val="41"/>
        </w:numPr>
        <w:spacing w:after="120" w:line="240" w:lineRule="auto"/>
        <w:ind w:left="1418"/>
        <w:jc w:val="both"/>
        <w:rPr>
          <w:rFonts w:cs="Times New Roman"/>
          <w:noProof/>
        </w:rPr>
      </w:pPr>
      <w:r>
        <w:rPr>
          <w:noProof/>
        </w:rPr>
        <w:t>Az a követelmény, hogy a program végső kedvezményezettjei nem részesülhetnek támogatásban más uniós eszközökből ugyanazon költségek fedezésére.</w:t>
      </w:r>
    </w:p>
    <w:p w14:paraId="7465AC0D" w14:textId="77777777" w:rsidR="003F5418" w:rsidRDefault="002A6C25">
      <w:pPr>
        <w:pStyle w:val="P68B1DB1-LegalNumPar19"/>
        <w:numPr>
          <w:ilvl w:val="0"/>
          <w:numId w:val="31"/>
        </w:numPr>
        <w:spacing w:after="120" w:line="240" w:lineRule="auto"/>
        <w:jc w:val="both"/>
        <w:rPr>
          <w:rFonts w:cs="Times New Roman"/>
          <w:noProof/>
        </w:rPr>
      </w:pPr>
      <w:r>
        <w:rPr>
          <w:noProof/>
        </w:rPr>
        <w:t>A végrehajtási megállapodás hatálya alá tartozó összeg, a végrehajtó partner</w:t>
      </w:r>
      <w:r>
        <w:rPr>
          <w:noProof/>
        </w:rPr>
        <w:t xml:space="preserve"> díjstruktúrája, valamint az a követelmény, hogy a program fel nem használt bevételeit – 2026 után is – ugyanazon szakpolitikai célokból kell befektetni.</w:t>
      </w:r>
    </w:p>
    <w:p w14:paraId="7B866209" w14:textId="77777777" w:rsidR="003F5418" w:rsidRDefault="002A6C25">
      <w:pPr>
        <w:pStyle w:val="P68B1DB1-LegalNumPar19"/>
        <w:numPr>
          <w:ilvl w:val="0"/>
          <w:numId w:val="31"/>
        </w:numPr>
        <w:spacing w:after="120" w:line="240" w:lineRule="auto"/>
        <w:jc w:val="both"/>
        <w:rPr>
          <w:rFonts w:cs="Times New Roman"/>
          <w:noProof/>
        </w:rPr>
      </w:pPr>
      <w:r>
        <w:rPr>
          <w:noProof/>
        </w:rPr>
        <w:t>Nyomonkövetési, ellenőrzési és kontrollkövetelmények, beleértve a következőket:</w:t>
      </w:r>
    </w:p>
    <w:p w14:paraId="6D6BE216" w14:textId="77777777" w:rsidR="003F5418" w:rsidRDefault="002A6C25">
      <w:pPr>
        <w:numPr>
          <w:ilvl w:val="0"/>
          <w:numId w:val="40"/>
        </w:numPr>
        <w:spacing w:after="120"/>
        <w:jc w:val="both"/>
        <w:rPr>
          <w:noProof/>
        </w:rPr>
      </w:pPr>
      <w:r>
        <w:rPr>
          <w:noProof/>
        </w:rPr>
        <w:t>A végrehajtó partner á</w:t>
      </w:r>
      <w:r>
        <w:rPr>
          <w:noProof/>
        </w:rPr>
        <w:t>ltal a mozgósított beruházásról való jelentéstételhez használt monitoringrendszer leírása.</w:t>
      </w:r>
    </w:p>
    <w:p w14:paraId="5ECD58B5" w14:textId="77777777" w:rsidR="003F5418" w:rsidRDefault="002A6C25">
      <w:pPr>
        <w:numPr>
          <w:ilvl w:val="0"/>
          <w:numId w:val="40"/>
        </w:numPr>
        <w:spacing w:after="120"/>
        <w:jc w:val="both"/>
        <w:rPr>
          <w:noProof/>
        </w:rPr>
      </w:pPr>
      <w:r>
        <w:rPr>
          <w:noProof/>
        </w:rPr>
        <w:t xml:space="preserve">A végrehajtó partner azon eljárásainak leírása, amelyek biztosítják a csalás, a korrupció és az összeférhetetlenség megelőzését, felderítését és korrekcióját. </w:t>
      </w:r>
    </w:p>
    <w:p w14:paraId="06D0F531" w14:textId="77777777" w:rsidR="003F5418" w:rsidRDefault="002A6C25">
      <w:pPr>
        <w:numPr>
          <w:ilvl w:val="0"/>
          <w:numId w:val="40"/>
        </w:numPr>
        <w:spacing w:after="120"/>
        <w:jc w:val="both"/>
        <w:rPr>
          <w:noProof/>
        </w:rPr>
      </w:pPr>
      <w:r>
        <w:rPr>
          <w:noProof/>
        </w:rPr>
        <w:t>Az eg</w:t>
      </w:r>
      <w:r>
        <w:rPr>
          <w:noProof/>
        </w:rPr>
        <w:t>yes műveletek támogathatóságának a végrehajtási megállapodásban meghatározott követelményekkel összhangban történő, az egyes műveletek finanszírozására való kötelezettségvállalást megelőző ellenőrzésére vonatkozó kötelezettség.</w:t>
      </w:r>
    </w:p>
    <w:p w14:paraId="195B1FB0" w14:textId="77777777" w:rsidR="003F5418" w:rsidRDefault="002A6C25">
      <w:pPr>
        <w:numPr>
          <w:ilvl w:val="0"/>
          <w:numId w:val="40"/>
        </w:numPr>
        <w:spacing w:after="120"/>
        <w:jc w:val="both"/>
        <w:rPr>
          <w:noProof/>
        </w:rPr>
      </w:pPr>
      <w:r>
        <w:rPr>
          <w:noProof/>
        </w:rPr>
        <w:t>A kockázatalapú utólagos ell</w:t>
      </w:r>
      <w:r>
        <w:rPr>
          <w:noProof/>
        </w:rPr>
        <w:t>enőrzések elvégzésére vonatkozó kötelezettség az Invitalia SpA ellenőrzési tervével összhangban. Ezeknek az ellenőrzéseknek meg kell győződniük i. arról, hogy az ellenőrzési rendszerek hatékonyak-e, beleértve a csalás, a korrupció és az összeférhetetlenség</w:t>
      </w:r>
      <w:r>
        <w:rPr>
          <w:noProof/>
        </w:rPr>
        <w:t xml:space="preserve"> felderítését; a DNSH-elvnek, az állami támogatásokra vonatkozó szabályoknak és az éghajlat-politikai célkitűzésekre vonatkozó követelményeknek való megfelelés; és iii. tiszteletben tartják azt a követelményt, hogy a program végső kedvezményezettjei nem ré</w:t>
      </w:r>
      <w:r>
        <w:rPr>
          <w:noProof/>
        </w:rPr>
        <w:t xml:space="preserve">szesültek támogatásban más uniós eszközökből ugyanazon költségek fedezésére. Az ellenőrzések azt is ellenőrzik, hogy az ügyletek jogszerűek-e, és hogy betartják-e az alkalmazandó végrehajtási megállapodás feltételeit. </w:t>
      </w:r>
    </w:p>
    <w:p w14:paraId="57DB4FF8" w14:textId="708A266E" w:rsidR="003F5418" w:rsidRDefault="002A6C25">
      <w:pPr>
        <w:numPr>
          <w:ilvl w:val="0"/>
          <w:numId w:val="31"/>
        </w:numPr>
        <w:spacing w:after="120"/>
        <w:ind w:left="720" w:hanging="360"/>
        <w:jc w:val="both"/>
        <w:rPr>
          <w:noProof/>
        </w:rPr>
      </w:pPr>
      <w:r>
        <w:rPr>
          <w:noProof/>
        </w:rPr>
        <w:t>A végrehajtó partner által végrehajto</w:t>
      </w:r>
      <w:r>
        <w:rPr>
          <w:noProof/>
        </w:rPr>
        <w:t>tt éghajlat-politikai beruházásokra vonatkozó követelmények: A Helyreállítási és Rezilienciaépítési Eszköz eszközbe történő beruházásából 320 000 000 EUR-nak az RRF-rendelet VI. mellékletével összhangban hozzá kell járulnia az éghajlatváltozással kapcsolat</w:t>
      </w:r>
      <w:r>
        <w:rPr>
          <w:noProof/>
        </w:rPr>
        <w:t>os célkitűzésekhez.</w:t>
      </w:r>
      <w:r>
        <w:rPr>
          <w:rStyle w:val="FootnoteReference"/>
          <w:noProof/>
        </w:rPr>
        <w:footnoteReference w:id="144"/>
      </w:r>
    </w:p>
    <w:p w14:paraId="1397BD4E" w14:textId="77777777" w:rsidR="003F5418" w:rsidRDefault="002A6C25">
      <w:pPr>
        <w:spacing w:after="120"/>
        <w:jc w:val="both"/>
        <w:rPr>
          <w:noProof/>
        </w:rPr>
      </w:pPr>
      <w:r>
        <w:rPr>
          <w:noProof/>
        </w:rPr>
        <w:t>Az intézkedés végrehajtását 2026. augusztus 31-ig be kell fejezni.</w:t>
      </w:r>
    </w:p>
    <w:p w14:paraId="3F461581" w14:textId="164CFFB4" w:rsidR="003F5418" w:rsidRDefault="00350154">
      <w:pPr>
        <w:pStyle w:val="P68B1DB1-Heading429"/>
        <w:numPr>
          <w:ilvl w:val="3"/>
          <w:numId w:val="0"/>
        </w:numPr>
        <w:spacing w:before="0"/>
        <w:rPr>
          <w:noProof/>
        </w:rPr>
      </w:pPr>
      <w:r w:rsidRPr="002F198A">
        <w:rPr>
          <w:noProof/>
        </w:rPr>
        <w:t>1</w:t>
      </w:r>
      <w:r>
        <w:rPr>
          <w:noProof/>
        </w:rPr>
        <w:t>7</w:t>
      </w:r>
      <w:r w:rsidRPr="002F198A">
        <w:rPr>
          <w:noProof/>
        </w:rPr>
        <w:t xml:space="preserve">. </w:t>
      </w:r>
      <w:r>
        <w:rPr>
          <w:noProof/>
        </w:rPr>
        <w:t>Beruházás. Az állami és szociális lakások, valamint az alacsony jövedelmű és kiszolgáltatott helyzetben lévő háztartások energetikai felújítására szolgáló pénzügyi eszköz</w:t>
      </w:r>
    </w:p>
    <w:p w14:paraId="7EB3CA3B" w14:textId="77777777" w:rsidR="003F5418" w:rsidRDefault="002A6C25">
      <w:pPr>
        <w:spacing w:after="120"/>
        <w:jc w:val="both"/>
        <w:rPr>
          <w:rFonts w:eastAsia="@MS Mincho"/>
          <w:noProof/>
        </w:rPr>
      </w:pPr>
      <w:r>
        <w:rPr>
          <w:noProof/>
        </w:rPr>
        <w:t xml:space="preserve">Az intézkedés célja az alacsony jövedelmű és kiszolgáltatott helyzetben lévő háztartások felújításának támogatása és az energiaszegénység enyhítése. Ez az intézkedés az eszközbe, az „energiaszegénység enyhítésére szolgáló pénzügyi eszközbe” történő </w:t>
      </w:r>
      <w:r>
        <w:rPr>
          <w:noProof/>
        </w:rPr>
        <w:t xml:space="preserve">állami beruházásból áll, amelynek célja a magánberuházások ösztönzése és a szociális és állami lakások energetikai felújításához való hozzáférés javítása, legalább 30%-os energiahatékonyság-javítás elérése érdekében. </w:t>
      </w:r>
    </w:p>
    <w:p w14:paraId="52622781" w14:textId="77777777" w:rsidR="003F5418" w:rsidRDefault="002A6C25">
      <w:pPr>
        <w:keepNext/>
        <w:spacing w:after="120"/>
        <w:jc w:val="both"/>
        <w:rPr>
          <w:noProof/>
        </w:rPr>
      </w:pPr>
      <w:r>
        <w:rPr>
          <w:noProof/>
        </w:rPr>
        <w:t>A Békekeretet a végrehajtó partner kez</w:t>
      </w:r>
      <w:r>
        <w:rPr>
          <w:noProof/>
        </w:rPr>
        <w:t>eli. Ez lehet a Cassa Depositi e Prestiti vagy az Európai Beruházási Bank. A Cassa Depositi e Prestiti és az Európai Beruházási Bank is együttműködhet a végrehajtó partnerekkel. A végrehajtó partnert az operatív megállapodások további előírásaiban pontosít</w:t>
      </w:r>
      <w:r>
        <w:rPr>
          <w:noProof/>
        </w:rPr>
        <w:t>ani kell. Az eszköz úgy működik, hogy vissza nem térítendő támogatásokat és/vagy támogatott kölcsönöket nyújt az energetikai szolgáltató vállalatoknak a lakóegységek energiahatékonysági felújításához.</w:t>
      </w:r>
    </w:p>
    <w:p w14:paraId="1A925343" w14:textId="608E13DB" w:rsidR="003F5418" w:rsidRDefault="002A6C25">
      <w:pPr>
        <w:keepNext/>
        <w:spacing w:after="120"/>
        <w:jc w:val="both"/>
        <w:rPr>
          <w:noProof/>
        </w:rPr>
      </w:pPr>
      <w:r>
        <w:rPr>
          <w:noProof/>
        </w:rPr>
        <w:t>A Helyreállítási és Rezilienciaépítési Eszköz beruházás</w:t>
      </w:r>
      <w:r>
        <w:rPr>
          <w:noProof/>
        </w:rPr>
        <w:t>ai alapján az eszköz kezdetben legalább 1 381 000 000 EUR összegű pénzügyi támogatást kíván nyújtani.</w:t>
      </w:r>
    </w:p>
    <w:p w14:paraId="7A90EB2E" w14:textId="77777777" w:rsidR="003F5418" w:rsidRDefault="002A6C25">
      <w:pPr>
        <w:spacing w:after="120"/>
        <w:jc w:val="both"/>
        <w:rPr>
          <w:noProof/>
        </w:rPr>
      </w:pPr>
      <w:r>
        <w:rPr>
          <w:noProof/>
        </w:rPr>
        <w:t>A beruházási keret a következő terméksorokat foglalja magában:</w:t>
      </w:r>
    </w:p>
    <w:p w14:paraId="249B4C9B" w14:textId="77777777" w:rsidR="003F5418" w:rsidRDefault="002A6C25">
      <w:pPr>
        <w:pStyle w:val="P68B1DB1-Normal30"/>
        <w:numPr>
          <w:ilvl w:val="0"/>
          <w:numId w:val="24"/>
        </w:numPr>
        <w:shd w:val="clear" w:color="auto" w:fill="FFFFFF"/>
        <w:spacing w:after="120"/>
        <w:jc w:val="both"/>
        <w:rPr>
          <w:noProof/>
        </w:rPr>
      </w:pPr>
      <w:r>
        <w:rPr>
          <w:noProof/>
        </w:rPr>
        <w:t>Köztulajdonban lévő lakások:</w:t>
      </w:r>
    </w:p>
    <w:p w14:paraId="74D6AAC0" w14:textId="77777777" w:rsidR="003F5418" w:rsidRDefault="002A6C25">
      <w:pPr>
        <w:shd w:val="clear" w:color="auto" w:fill="FFFFFF"/>
        <w:spacing w:after="120"/>
        <w:jc w:val="both"/>
        <w:rPr>
          <w:noProof/>
        </w:rPr>
      </w:pPr>
      <w:r>
        <w:rPr>
          <w:noProof/>
        </w:rPr>
        <w:t>Ez a terméksor vissza nem térítendő támogatások, kamattámogatások, támogatott hitelek, valamint az energiaszolgáltató vállalatoknak (ESCO-k) a köztulajdonban lévő lakások energetikai felújításához nyújtott piaci hitelek formájában nyújt pénzügyi támogatást</w:t>
      </w:r>
      <w:r>
        <w:rPr>
          <w:noProof/>
        </w:rPr>
        <w:t>.</w:t>
      </w:r>
    </w:p>
    <w:p w14:paraId="6A617CC9" w14:textId="77777777" w:rsidR="003F5418" w:rsidRDefault="002A6C25">
      <w:pPr>
        <w:pStyle w:val="P68B1DB1-ListParagraph31"/>
        <w:numPr>
          <w:ilvl w:val="0"/>
          <w:numId w:val="26"/>
        </w:numPr>
        <w:shd w:val="clear" w:color="auto" w:fill="FFFFFF"/>
        <w:spacing w:before="0"/>
        <w:contextualSpacing w:val="0"/>
        <w:rPr>
          <w:noProof/>
        </w:rPr>
      </w:pPr>
      <w:r>
        <w:rPr>
          <w:noProof/>
        </w:rPr>
        <w:t>Szociális lakhatás:</w:t>
      </w:r>
    </w:p>
    <w:p w14:paraId="38FD20BC" w14:textId="77777777" w:rsidR="003F5418" w:rsidRDefault="002A6C25">
      <w:pPr>
        <w:shd w:val="clear" w:color="auto" w:fill="FFFFFF" w:themeFill="background1"/>
        <w:spacing w:after="120"/>
        <w:jc w:val="both"/>
        <w:rPr>
          <w:b/>
          <w:noProof/>
          <w:color w:val="000000" w:themeColor="text1"/>
        </w:rPr>
      </w:pPr>
      <w:r>
        <w:rPr>
          <w:noProof/>
        </w:rPr>
        <w:t>Ez a terméksor a szociális lakások energetikai felújításához vissza nem térítendő támogatások, kamattámogatások, támogatott hitelek, valamint az energiaszolgáltató vállalatoknak (ESCO-k) nyújtott piaci hitelek formájában nyújt pénzügy</w:t>
      </w:r>
      <w:r>
        <w:rPr>
          <w:noProof/>
        </w:rPr>
        <w:t>i támogatást.</w:t>
      </w:r>
    </w:p>
    <w:p w14:paraId="61DD8D7C" w14:textId="77777777" w:rsidR="003F5418" w:rsidRDefault="002A6C25">
      <w:pPr>
        <w:pStyle w:val="P68B1DB1-ListParagraph31"/>
        <w:numPr>
          <w:ilvl w:val="0"/>
          <w:numId w:val="32"/>
        </w:numPr>
        <w:shd w:val="clear" w:color="auto" w:fill="FFFFFF" w:themeFill="background1"/>
        <w:spacing w:before="0"/>
        <w:contextualSpacing w:val="0"/>
        <w:rPr>
          <w:noProof/>
        </w:rPr>
      </w:pPr>
      <w:r>
        <w:rPr>
          <w:noProof/>
        </w:rPr>
        <w:t>Energetikai felújítások az alacsony jövedelmű háztartásokban többlakásos épületekben:</w:t>
      </w:r>
    </w:p>
    <w:p w14:paraId="0B89A8F0" w14:textId="77777777" w:rsidR="003F5418" w:rsidRDefault="002A6C25">
      <w:pPr>
        <w:shd w:val="clear" w:color="auto" w:fill="FFFFFF" w:themeFill="background1"/>
        <w:spacing w:after="120"/>
        <w:jc w:val="both"/>
        <w:rPr>
          <w:noProof/>
        </w:rPr>
      </w:pPr>
      <w:r>
        <w:rPr>
          <w:noProof/>
        </w:rPr>
        <w:t>Ez a terméksor pénzügyi támogatást nyújt vissza nem térítendő támogatások, kamattámogatások, támogatott hitelek, energetikai szolgáltató vállalatoknak nyújt</w:t>
      </w:r>
      <w:r>
        <w:rPr>
          <w:noProof/>
        </w:rPr>
        <w:t>ott piaci hitelek formájában az alacsony jövedelmű és kiszolgáltatott helyzetben lévő háztartások energetikai felújításához a többlakásos épületekben.</w:t>
      </w:r>
    </w:p>
    <w:p w14:paraId="3B22BF54" w14:textId="77777777" w:rsidR="003F5418" w:rsidRDefault="002A6C25">
      <w:pPr>
        <w:shd w:val="clear" w:color="auto" w:fill="FFFFFF" w:themeFill="background1"/>
        <w:spacing w:after="120"/>
        <w:jc w:val="both"/>
        <w:rPr>
          <w:noProof/>
        </w:rPr>
      </w:pPr>
      <w:r>
        <w:rPr>
          <w:noProof/>
        </w:rPr>
        <w:t>Az eszköz kétharmadát a közlakások és a szociális lakások energetikai felújítására kell fordítani; egyhar</w:t>
      </w:r>
      <w:r>
        <w:rPr>
          <w:noProof/>
        </w:rPr>
        <w:t>madát a többlakásos épületek alacsony jövedelmű háztartásaiban végzett energetikai felújításokra kell fordítani.</w:t>
      </w:r>
    </w:p>
    <w:p w14:paraId="3F12BF93" w14:textId="77777777" w:rsidR="003F5418" w:rsidRDefault="002A6C25">
      <w:pPr>
        <w:spacing w:after="120"/>
        <w:jc w:val="both"/>
        <w:rPr>
          <w:noProof/>
        </w:rPr>
      </w:pPr>
      <w:r>
        <w:rPr>
          <w:noProof/>
        </w:rPr>
        <w:t>Az eszközbe történő beruházás végrehajtása érdekében Olaszország és a végrehajtó partner végrehajtási megállapodást ír alá, amely a következő t</w:t>
      </w:r>
      <w:r>
        <w:rPr>
          <w:noProof/>
        </w:rPr>
        <w:t>artalmat tartalmazza:</w:t>
      </w:r>
    </w:p>
    <w:p w14:paraId="4D4C3DDF" w14:textId="77777777" w:rsidR="003F5418" w:rsidRDefault="002A6C25">
      <w:pPr>
        <w:pStyle w:val="ListParagraph"/>
        <w:numPr>
          <w:ilvl w:val="0"/>
          <w:numId w:val="33"/>
        </w:numPr>
        <w:spacing w:before="0"/>
        <w:ind w:left="709" w:hanging="425"/>
        <w:contextualSpacing w:val="0"/>
        <w:rPr>
          <w:noProof/>
        </w:rPr>
      </w:pPr>
      <w:r>
        <w:rPr>
          <w:noProof/>
        </w:rPr>
        <w:t>Az eszköz döntéshozatali folyamatának leírása: Az eszköz végleges beruházási döntését beruházási bizottság vagy más, azzal egyenértékű irányító testület hozza meg, és a kormánytól független tagok szavazatainak többségével hagyja jóvá.</w:t>
      </w:r>
    </w:p>
    <w:p w14:paraId="00EE7B31" w14:textId="77777777" w:rsidR="003F5418" w:rsidRDefault="002A6C25">
      <w:pPr>
        <w:pStyle w:val="ListParagraph"/>
        <w:numPr>
          <w:ilvl w:val="0"/>
          <w:numId w:val="33"/>
        </w:numPr>
        <w:spacing w:before="0"/>
        <w:ind w:left="709" w:hanging="425"/>
        <w:contextualSpacing w:val="0"/>
        <w:rPr>
          <w:noProof/>
        </w:rPr>
      </w:pPr>
      <w:r>
        <w:rPr>
          <w:noProof/>
        </w:rPr>
        <w:t>A kapcsolódó beruházási politika fő követelményei,</w:t>
      </w:r>
      <w:r>
        <w:rPr>
          <w:b/>
          <w:noProof/>
        </w:rPr>
        <w:t xml:space="preserve"> </w:t>
      </w:r>
      <w:r>
        <w:rPr>
          <w:noProof/>
        </w:rPr>
        <w:t>amelyek a következőket foglalják magukban:</w:t>
      </w:r>
    </w:p>
    <w:p w14:paraId="57F8BED9" w14:textId="77777777" w:rsidR="003F5418" w:rsidRDefault="002A6C25">
      <w:pPr>
        <w:pStyle w:val="ListParagraph"/>
        <w:numPr>
          <w:ilvl w:val="1"/>
          <w:numId w:val="33"/>
        </w:numPr>
        <w:spacing w:before="0"/>
        <w:ind w:left="1418"/>
        <w:contextualSpacing w:val="0"/>
        <w:rPr>
          <w:noProof/>
        </w:rPr>
      </w:pPr>
      <w:r>
        <w:rPr>
          <w:noProof/>
        </w:rPr>
        <w:t>A pénzügyi termék(ek) és a támogatható végső kedvezményezettek leírása</w:t>
      </w:r>
      <w:r>
        <w:rPr>
          <w:rStyle w:val="FootnoteReference"/>
          <w:noProof/>
        </w:rPr>
        <w:footnoteReference w:id="145"/>
      </w:r>
      <w:r>
        <w:rPr>
          <w:noProof/>
        </w:rPr>
        <w:t>.</w:t>
      </w:r>
    </w:p>
    <w:p w14:paraId="7CBE5F93" w14:textId="77777777" w:rsidR="003F5418" w:rsidRDefault="002A6C25">
      <w:pPr>
        <w:pStyle w:val="ListParagraph"/>
        <w:numPr>
          <w:ilvl w:val="1"/>
          <w:numId w:val="33"/>
        </w:numPr>
        <w:spacing w:before="0"/>
        <w:ind w:left="1418"/>
        <w:contextualSpacing w:val="0"/>
        <w:rPr>
          <w:noProof/>
        </w:rPr>
      </w:pPr>
      <w:r>
        <w:rPr>
          <w:noProof/>
        </w:rPr>
        <w:t>Az a követelmény, hogy minden támogatott beruházás gazdaságilag életképes legyen</w:t>
      </w:r>
      <w:r>
        <w:rPr>
          <w:b/>
          <w:noProof/>
        </w:rPr>
        <w:t>.</w:t>
      </w:r>
    </w:p>
    <w:p w14:paraId="2E65806A" w14:textId="77777777" w:rsidR="003F5418" w:rsidRDefault="002A6C25">
      <w:pPr>
        <w:pStyle w:val="ListParagraph"/>
        <w:numPr>
          <w:ilvl w:val="1"/>
          <w:numId w:val="33"/>
        </w:numPr>
        <w:spacing w:before="0"/>
        <w:ind w:left="1418"/>
        <w:contextualSpacing w:val="0"/>
        <w:rPr>
          <w:noProof/>
        </w:rPr>
      </w:pPr>
      <w:r>
        <w:rPr>
          <w:noProof/>
        </w:rPr>
        <w:t>A jele</w:t>
      </w:r>
      <w:r>
        <w:rPr>
          <w:noProof/>
        </w:rPr>
        <w:t>ntős károkozás elkerülését célzó elvnek való megfelelés követelménye a DNSH technikai iránymutatásban (2021/C58/01) meghatározottak szerint. A beruházási politikának különösen a tevékenységek és eszközök alábbi listáját kell kizárnia a támogathatóság köréb</w:t>
      </w:r>
      <w:r>
        <w:rPr>
          <w:noProof/>
        </w:rPr>
        <w:t>ől: i. a fosszilis tüzelőanyagokhoz kapcsolódó tevékenységek és eszközök, beleértve a downstream felhasználást is, ii. az uniós kibocsátáskereskedelmi rendszer</w:t>
      </w:r>
      <w:r>
        <w:rPr>
          <w:rStyle w:val="FootnoteReference"/>
          <w:noProof/>
        </w:rPr>
        <w:footnoteReference w:id="146"/>
      </w:r>
      <w:r>
        <w:rPr>
          <w:noProof/>
        </w:rPr>
        <w:t>(ETS) keretébe tartozó tevékenységek és eszközök, amelyek elérik a vonatkozó referenciaértékeket</w:t>
      </w:r>
      <w:r>
        <w:rPr>
          <w:noProof/>
        </w:rPr>
        <w:t xml:space="preserve"> meg nem haladó, előre jelzett üvegházhatásúgáz-kibocsátást, iii. a hulladéklerakókhoz, égetőművekhez és mechanikai-biológiai hulladékkezelő létesítményekhez kapcsolódó</w:t>
      </w:r>
      <w:r>
        <w:rPr>
          <w:noProof/>
        </w:rPr>
        <w:footnoteReference w:id="147"/>
      </w:r>
      <w:r>
        <w:rPr>
          <w:noProof/>
        </w:rPr>
        <w:t>tevékenységek</w:t>
      </w:r>
      <w:r>
        <w:rPr>
          <w:rStyle w:val="FootnoteReference"/>
          <w:noProof/>
        </w:rPr>
        <w:footnoteReference w:id="148"/>
      </w:r>
      <w:r>
        <w:rPr>
          <w:noProof/>
        </w:rPr>
        <w:t xml:space="preserve"> és eszközök</w:t>
      </w:r>
      <w:r>
        <w:rPr>
          <w:rStyle w:val="FootnoteReference"/>
          <w:noProof/>
        </w:rPr>
        <w:footnoteReference w:id="149"/>
      </w:r>
      <w:r>
        <w:rPr>
          <w:noProof/>
        </w:rPr>
        <w:t xml:space="preserve">. </w:t>
      </w:r>
    </w:p>
    <w:p w14:paraId="06FC3FA6" w14:textId="77777777" w:rsidR="003F5418" w:rsidRDefault="002A6C25">
      <w:pPr>
        <w:pStyle w:val="ListParagraph"/>
        <w:numPr>
          <w:ilvl w:val="1"/>
          <w:numId w:val="33"/>
        </w:numPr>
        <w:spacing w:before="0"/>
        <w:ind w:left="1418"/>
        <w:contextualSpacing w:val="0"/>
        <w:rPr>
          <w:noProof/>
        </w:rPr>
      </w:pPr>
      <w:r>
        <w:rPr>
          <w:noProof/>
        </w:rPr>
        <w:t>Az a követelmény, hogy az eszköz végső kedvezményezettjei</w:t>
      </w:r>
      <w:r>
        <w:rPr>
          <w:noProof/>
        </w:rPr>
        <w:t xml:space="preserve"> nem részesülhetnek támogatásban más uniós eszközökből ugyanazon költségek fedezésére.</w:t>
      </w:r>
    </w:p>
    <w:p w14:paraId="16226E51" w14:textId="77777777" w:rsidR="003F5418" w:rsidRDefault="002A6C25">
      <w:pPr>
        <w:pStyle w:val="ListParagraph"/>
        <w:numPr>
          <w:ilvl w:val="0"/>
          <w:numId w:val="33"/>
        </w:numPr>
        <w:spacing w:before="0"/>
        <w:ind w:left="709"/>
        <w:contextualSpacing w:val="0"/>
        <w:rPr>
          <w:noProof/>
        </w:rPr>
      </w:pPr>
      <w:r>
        <w:rPr>
          <w:noProof/>
        </w:rPr>
        <w:t>A végrehajtási megállapodás hatálya alá tartozó összeg, a végrehajtó partner díjstruktúrája, valamint az eszköz beruházási politikájának megfelelően a visszafolyó bevéte</w:t>
      </w:r>
      <w:r>
        <w:rPr>
          <w:noProof/>
        </w:rPr>
        <w:t>lek újbóli befektetésére vonatkozó követelmény, kivéve, ha azokat a Helyreállítási és Rezilienciaépítési Eszköz hiteltörlesztéseinek fedezésére használják fel.</w:t>
      </w:r>
    </w:p>
    <w:p w14:paraId="41EED6F1" w14:textId="77777777" w:rsidR="003F5418" w:rsidRDefault="002A6C25">
      <w:pPr>
        <w:pStyle w:val="ListParagraph"/>
        <w:numPr>
          <w:ilvl w:val="0"/>
          <w:numId w:val="33"/>
        </w:numPr>
        <w:spacing w:before="0"/>
        <w:ind w:left="709"/>
        <w:contextualSpacing w:val="0"/>
        <w:rPr>
          <w:noProof/>
        </w:rPr>
      </w:pPr>
      <w:r>
        <w:rPr>
          <w:noProof/>
        </w:rPr>
        <w:t>Nyomonkövetési, ellenőrzési és kontrollkövetelmények, beleértve a következőket:</w:t>
      </w:r>
    </w:p>
    <w:p w14:paraId="02B8BA44" w14:textId="77777777" w:rsidR="003F5418" w:rsidRDefault="002A6C25">
      <w:pPr>
        <w:pStyle w:val="ListParagraph"/>
        <w:numPr>
          <w:ilvl w:val="1"/>
          <w:numId w:val="33"/>
        </w:numPr>
        <w:spacing w:before="0"/>
        <w:contextualSpacing w:val="0"/>
        <w:rPr>
          <w:noProof/>
        </w:rPr>
      </w:pPr>
      <w:r>
        <w:rPr>
          <w:noProof/>
        </w:rPr>
        <w:t xml:space="preserve">A végrehajtó </w:t>
      </w:r>
      <w:r>
        <w:rPr>
          <w:noProof/>
        </w:rPr>
        <w:t>partner által a mozgósított beruházásról való jelentéstételhez használt monitoringrendszer leírása.</w:t>
      </w:r>
    </w:p>
    <w:p w14:paraId="03CE6699" w14:textId="77777777" w:rsidR="003F5418" w:rsidRDefault="002A6C25">
      <w:pPr>
        <w:pStyle w:val="ListParagraph"/>
        <w:numPr>
          <w:ilvl w:val="1"/>
          <w:numId w:val="33"/>
        </w:numPr>
        <w:spacing w:before="0"/>
        <w:contextualSpacing w:val="0"/>
        <w:rPr>
          <w:noProof/>
        </w:rPr>
      </w:pPr>
      <w:r>
        <w:rPr>
          <w:noProof/>
        </w:rPr>
        <w:t>A végrehajtó partner azon eljárásainak leírása, amelyek biztosítják a csalás, a korrupció és az összeférhetetlenség megelőzését, felderítését és korrekciójá</w:t>
      </w:r>
      <w:r>
        <w:rPr>
          <w:noProof/>
        </w:rPr>
        <w:t xml:space="preserve">t. </w:t>
      </w:r>
    </w:p>
    <w:p w14:paraId="2042AF4A" w14:textId="77777777" w:rsidR="003F5418" w:rsidRDefault="002A6C25">
      <w:pPr>
        <w:pStyle w:val="ListParagraph"/>
        <w:numPr>
          <w:ilvl w:val="1"/>
          <w:numId w:val="33"/>
        </w:numPr>
        <w:spacing w:before="0"/>
        <w:contextualSpacing w:val="0"/>
        <w:rPr>
          <w:noProof/>
        </w:rPr>
      </w:pPr>
      <w:r>
        <w:rPr>
          <w:noProof/>
        </w:rPr>
        <w:t>Az egyes műveletek támogathatóságának a végrehajtási megállapodásban meghatározott követelményekkel összhangban történő, az egyes műveletek finanszírozására való kötelezettségvállalást megelőző ellenőrzésére vonatkozó kötelezettség.</w:t>
      </w:r>
    </w:p>
    <w:p w14:paraId="394B5ABA" w14:textId="2F4218A4" w:rsidR="003F5418" w:rsidRDefault="002A6C25">
      <w:pPr>
        <w:pStyle w:val="ListParagraph"/>
        <w:numPr>
          <w:ilvl w:val="1"/>
          <w:numId w:val="33"/>
        </w:numPr>
        <w:spacing w:before="0"/>
        <w:rPr>
          <w:noProof/>
        </w:rPr>
      </w:pPr>
      <w:r>
        <w:rPr>
          <w:noProof/>
        </w:rPr>
        <w:t>A kockázatalapú utó</w:t>
      </w:r>
      <w:r>
        <w:rPr>
          <w:noProof/>
        </w:rPr>
        <w:t xml:space="preserve">lagos ellenőrzések elvégzésének kötelezettsége a Cassa Depositi e Prestiti és/vagy az Európai Beruházási Bank ellenőrzési tervével összhangban. Ezeknek az ellenőrzéseknek meg kell győződniük i. arról, hogy az ellenőrzési rendszerek hatékonyak-e, beleértve </w:t>
      </w:r>
      <w:r>
        <w:rPr>
          <w:noProof/>
        </w:rPr>
        <w:t>a csalás, a korrupció és az összeférhetetlenség felderítését; a DNSH-elvnek, az állami támogatásokra vonatkozó szabályoknak és az éghajlat-politikai célkitűzésekre vonatkozó követelményeknek való megfelelés; és iii. azt a követelményt, hogy az eszköz végső</w:t>
      </w:r>
      <w:r>
        <w:rPr>
          <w:noProof/>
        </w:rPr>
        <w:t xml:space="preserve"> kedvezményezettjei nem részesültek támogatásban más uniós eszközökből ugyanazon költségek fedezésére. Az ellenőrzések azt is ellenőrzik, hogy az ügyletek jogszerűek-e, és hogy betartják-e az alkalmazandó végrehajtási megállapodás feltételeit. </w:t>
      </w:r>
    </w:p>
    <w:p w14:paraId="1AE46CA6" w14:textId="77777777" w:rsidR="003F5418" w:rsidRDefault="002A6C25">
      <w:pPr>
        <w:spacing w:after="120"/>
        <w:jc w:val="both"/>
        <w:rPr>
          <w:noProof/>
        </w:rPr>
        <w:sectPr w:rsidR="003F5418">
          <w:headerReference w:type="even" r:id="rId423"/>
          <w:headerReference w:type="default" r:id="rId424"/>
          <w:footerReference w:type="even" r:id="rId425"/>
          <w:footerReference w:type="default" r:id="rId426"/>
          <w:headerReference w:type="first" r:id="rId427"/>
          <w:footerReference w:type="first" r:id="rId428"/>
          <w:pgSz w:w="11906" w:h="16838" w:code="12"/>
          <w:pgMar w:top="1440" w:right="1440" w:bottom="1440" w:left="1440" w:header="567" w:footer="567" w:gutter="0"/>
          <w:cols w:space="720"/>
          <w:docGrid w:linePitch="360"/>
        </w:sectPr>
      </w:pPr>
      <w:r>
        <w:rPr>
          <w:noProof/>
        </w:rPr>
        <w:t>A végrehajtó partner által végrehajtott éghajlat-politikai beruházásokra vonatkozó követelmények: A Helyreállítási és Rezilienciaépítési Eszköz eszközbe történő beruházásából 1 381 000 000 EUR-nak az RRF-rendelet VI. m</w:t>
      </w:r>
      <w:r>
        <w:rPr>
          <w:noProof/>
        </w:rPr>
        <w:t>ellékletével összhangban hozzá kell járulnia az éghajlatváltozással kapcsolatos célkitűzésekhez.</w:t>
      </w:r>
      <w:r>
        <w:rPr>
          <w:rStyle w:val="FootnoteReference"/>
          <w:noProof/>
        </w:rPr>
        <w:footnoteReference w:id="150"/>
      </w:r>
    </w:p>
    <w:p w14:paraId="4828DAA5" w14:textId="77777777" w:rsidR="003F5418" w:rsidRDefault="002A6C25">
      <w:pPr>
        <w:spacing w:after="160" w:line="259" w:lineRule="auto"/>
        <w:rPr>
          <w:rStyle w:val="eop"/>
          <w:noProof/>
          <w:u w:val="single"/>
        </w:rPr>
      </w:pPr>
      <w:r>
        <w:rPr>
          <w:rStyle w:val="normaltextrun"/>
          <w:b/>
          <w:noProof/>
          <w:u w:val="single"/>
        </w:rPr>
        <w:t xml:space="preserve">Q.4. </w:t>
      </w:r>
      <w:r>
        <w:rPr>
          <w:noProof/>
        </w:rPr>
        <w:t xml:space="preserve"> </w:t>
      </w:r>
      <w:r>
        <w:rPr>
          <w:rStyle w:val="normaltextrun"/>
          <w:b/>
          <w:noProof/>
          <w:u w:val="single"/>
        </w:rPr>
        <w:t xml:space="preserve">Hitel – a végrehajtáshoz és a nyomon követéshez kapcsolódó mérföldkövek, célok, mutatók és ütemterv </w:t>
      </w:r>
      <w:r>
        <w:rPr>
          <w:rStyle w:val="eop"/>
          <w:noProof/>
          <w:u w:val="single"/>
        </w:rPr>
        <w:t xml:space="preserve"> </w:t>
      </w:r>
    </w:p>
    <w:tbl>
      <w:tblPr>
        <w:tblW w:w="5507" w:type="pct"/>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87"/>
        <w:gridCol w:w="1559"/>
        <w:gridCol w:w="1134"/>
        <w:gridCol w:w="1417"/>
        <w:gridCol w:w="1701"/>
        <w:gridCol w:w="1276"/>
        <w:gridCol w:w="992"/>
        <w:gridCol w:w="1276"/>
        <w:gridCol w:w="851"/>
        <w:gridCol w:w="708"/>
        <w:gridCol w:w="3261"/>
      </w:tblGrid>
      <w:tr w:rsidR="003F5418" w14:paraId="3D70C5C3" w14:textId="77777777">
        <w:trPr>
          <w:trHeight w:val="765"/>
          <w:tblHeader/>
        </w:trPr>
        <w:tc>
          <w:tcPr>
            <w:tcW w:w="1187" w:type="dxa"/>
            <w:vMerge w:val="restart"/>
            <w:shd w:val="clear" w:color="auto" w:fill="BDD7EE"/>
            <w:vAlign w:val="center"/>
            <w:hideMark/>
          </w:tcPr>
          <w:p w14:paraId="6258CA93" w14:textId="77777777" w:rsidR="003F5418" w:rsidRDefault="002A6C25">
            <w:pPr>
              <w:pStyle w:val="P68B1DB1-Normal3"/>
              <w:spacing w:after="120"/>
              <w:jc w:val="center"/>
              <w:rPr>
                <w:noProof/>
              </w:rPr>
            </w:pPr>
            <w:r>
              <w:rPr>
                <w:noProof/>
              </w:rPr>
              <w:t>Sorszám</w:t>
            </w:r>
          </w:p>
        </w:tc>
        <w:tc>
          <w:tcPr>
            <w:tcW w:w="1559" w:type="dxa"/>
            <w:vMerge w:val="restart"/>
            <w:shd w:val="clear" w:color="auto" w:fill="BDD7EE"/>
            <w:vAlign w:val="center"/>
            <w:hideMark/>
          </w:tcPr>
          <w:p w14:paraId="0360530E" w14:textId="77777777" w:rsidR="003F5418" w:rsidRDefault="002A6C25">
            <w:pPr>
              <w:pStyle w:val="P68B1DB1-Normal3"/>
              <w:spacing w:after="120"/>
              <w:jc w:val="center"/>
              <w:rPr>
                <w:noProof/>
              </w:rPr>
            </w:pPr>
            <w:r>
              <w:rPr>
                <w:noProof/>
              </w:rPr>
              <w:t>Kapcsolódó intézkedés (reform vagy beruház</w:t>
            </w:r>
            <w:r>
              <w:rPr>
                <w:noProof/>
              </w:rPr>
              <w:t>ás)</w:t>
            </w:r>
          </w:p>
        </w:tc>
        <w:tc>
          <w:tcPr>
            <w:tcW w:w="1134" w:type="dxa"/>
            <w:vMerge w:val="restart"/>
            <w:shd w:val="clear" w:color="auto" w:fill="BDD7EE"/>
            <w:vAlign w:val="center"/>
            <w:hideMark/>
          </w:tcPr>
          <w:p w14:paraId="215EF7E9" w14:textId="77777777" w:rsidR="003F5418" w:rsidRDefault="002A6C25">
            <w:pPr>
              <w:pStyle w:val="P68B1DB1-Normal3"/>
              <w:spacing w:after="120"/>
              <w:jc w:val="center"/>
              <w:rPr>
                <w:noProof/>
              </w:rPr>
            </w:pPr>
            <w:r>
              <w:rPr>
                <w:noProof/>
              </w:rPr>
              <w:t>Mérföldkő</w:t>
            </w:r>
          </w:p>
          <w:p w14:paraId="5359657C" w14:textId="77777777" w:rsidR="003F5418" w:rsidRDefault="002A6C25">
            <w:pPr>
              <w:pStyle w:val="P68B1DB1-Normal3"/>
              <w:spacing w:after="120"/>
              <w:jc w:val="center"/>
              <w:rPr>
                <w:noProof/>
              </w:rPr>
            </w:pPr>
            <w:r>
              <w:rPr>
                <w:noProof/>
              </w:rPr>
              <w:t>/Cél</w:t>
            </w:r>
          </w:p>
        </w:tc>
        <w:tc>
          <w:tcPr>
            <w:tcW w:w="1417" w:type="dxa"/>
            <w:vMerge w:val="restart"/>
            <w:shd w:val="clear" w:color="auto" w:fill="BDD7EE"/>
            <w:vAlign w:val="center"/>
            <w:hideMark/>
          </w:tcPr>
          <w:p w14:paraId="27971699" w14:textId="77777777" w:rsidR="003F5418" w:rsidRDefault="002A6C25">
            <w:pPr>
              <w:pStyle w:val="P68B1DB1-Normal3"/>
              <w:spacing w:after="120"/>
              <w:jc w:val="center"/>
              <w:rPr>
                <w:noProof/>
              </w:rPr>
            </w:pPr>
            <w:r>
              <w:rPr>
                <w:noProof/>
              </w:rPr>
              <w:t>Név</w:t>
            </w:r>
          </w:p>
        </w:tc>
        <w:tc>
          <w:tcPr>
            <w:tcW w:w="1701" w:type="dxa"/>
            <w:vMerge w:val="restart"/>
            <w:shd w:val="clear" w:color="auto" w:fill="BDD7EE"/>
            <w:vAlign w:val="center"/>
            <w:hideMark/>
          </w:tcPr>
          <w:p w14:paraId="6A4AA92C" w14:textId="77777777" w:rsidR="003F5418" w:rsidRDefault="002A6C25">
            <w:pPr>
              <w:spacing w:after="120"/>
              <w:jc w:val="center"/>
              <w:rPr>
                <w:rFonts w:ascii="Arial Narrow" w:hAnsi="Arial Narrow"/>
                <w:b/>
                <w:noProof/>
                <w:sz w:val="20"/>
              </w:rPr>
            </w:pPr>
            <w:r>
              <w:rPr>
                <w:rFonts w:ascii="Arial Narrow" w:hAnsi="Arial Narrow"/>
                <w:b/>
                <w:noProof/>
                <w:sz w:val="20"/>
              </w:rPr>
              <w:t xml:space="preserve">Minőségi mutatók </w:t>
            </w:r>
            <w:r>
              <w:rPr>
                <w:rFonts w:ascii="Arial Narrow" w:hAnsi="Arial Narrow"/>
                <w:noProof/>
              </w:rPr>
              <w:t xml:space="preserve"> </w:t>
            </w:r>
            <w:r>
              <w:rPr>
                <w:noProof/>
              </w:rPr>
              <w:t xml:space="preserve"> </w:t>
            </w:r>
            <w:r>
              <w:rPr>
                <w:noProof/>
              </w:rPr>
              <w:br/>
            </w:r>
            <w:r>
              <w:rPr>
                <w:rFonts w:ascii="Arial Narrow" w:hAnsi="Arial Narrow"/>
                <w:b/>
                <w:noProof/>
                <w:sz w:val="20"/>
              </w:rPr>
              <w:t>(a részcélokra vonatkozóan)</w:t>
            </w:r>
          </w:p>
        </w:tc>
        <w:tc>
          <w:tcPr>
            <w:tcW w:w="3544" w:type="dxa"/>
            <w:gridSpan w:val="3"/>
            <w:shd w:val="clear" w:color="auto" w:fill="BDD7EE"/>
            <w:vAlign w:val="center"/>
            <w:hideMark/>
          </w:tcPr>
          <w:p w14:paraId="4D48E2A9" w14:textId="77777777" w:rsidR="003F5418" w:rsidRDefault="002A6C25">
            <w:pPr>
              <w:spacing w:after="120"/>
              <w:jc w:val="center"/>
              <w:rPr>
                <w:rFonts w:ascii="Arial Narrow" w:hAnsi="Arial Narrow"/>
                <w:b/>
                <w:noProof/>
                <w:sz w:val="20"/>
              </w:rPr>
            </w:pPr>
            <w:r>
              <w:rPr>
                <w:rFonts w:ascii="Arial Narrow" w:hAnsi="Arial Narrow"/>
                <w:b/>
                <w:noProof/>
                <w:sz w:val="20"/>
              </w:rPr>
              <w:t xml:space="preserve">Mennyiségi mutatók </w:t>
            </w:r>
            <w:r>
              <w:rPr>
                <w:rFonts w:ascii="Arial Narrow" w:hAnsi="Arial Narrow"/>
                <w:noProof/>
              </w:rPr>
              <w:t xml:space="preserve"> </w:t>
            </w:r>
            <w:r>
              <w:rPr>
                <w:noProof/>
              </w:rPr>
              <w:t xml:space="preserve"> </w:t>
            </w:r>
            <w:r>
              <w:rPr>
                <w:noProof/>
              </w:rPr>
              <w:br/>
            </w:r>
            <w:r>
              <w:rPr>
                <w:rFonts w:ascii="Arial Narrow" w:hAnsi="Arial Narrow"/>
                <w:b/>
                <w:noProof/>
                <w:sz w:val="20"/>
              </w:rPr>
              <w:t>(célok esetében)</w:t>
            </w:r>
          </w:p>
        </w:tc>
        <w:tc>
          <w:tcPr>
            <w:tcW w:w="1559" w:type="dxa"/>
            <w:gridSpan w:val="2"/>
            <w:shd w:val="clear" w:color="auto" w:fill="BDD7EE"/>
            <w:vAlign w:val="center"/>
            <w:hideMark/>
          </w:tcPr>
          <w:p w14:paraId="002C59E5" w14:textId="77777777" w:rsidR="003F5418" w:rsidRDefault="002A6C25">
            <w:pPr>
              <w:pStyle w:val="P68B1DB1-Normal3"/>
              <w:spacing w:after="120"/>
              <w:jc w:val="center"/>
              <w:rPr>
                <w:noProof/>
              </w:rPr>
            </w:pPr>
            <w:r>
              <w:rPr>
                <w:noProof/>
              </w:rPr>
              <w:t>A végrehajtás indikatív ütemterve</w:t>
            </w:r>
          </w:p>
        </w:tc>
        <w:tc>
          <w:tcPr>
            <w:tcW w:w="3261" w:type="dxa"/>
            <w:vMerge w:val="restart"/>
            <w:shd w:val="clear" w:color="auto" w:fill="BDD7EE"/>
            <w:vAlign w:val="center"/>
            <w:hideMark/>
          </w:tcPr>
          <w:p w14:paraId="40815A44" w14:textId="77777777" w:rsidR="003F5418" w:rsidRDefault="002A6C25">
            <w:pPr>
              <w:pStyle w:val="P68B1DB1-Normal3"/>
              <w:spacing w:after="120"/>
              <w:jc w:val="center"/>
              <w:rPr>
                <w:noProof/>
              </w:rPr>
            </w:pPr>
            <w:r>
              <w:rPr>
                <w:noProof/>
              </w:rPr>
              <w:t>Az egyes mérföldkövek és célértékek leírása</w:t>
            </w:r>
          </w:p>
        </w:tc>
      </w:tr>
      <w:tr w:rsidR="003F5418" w14:paraId="43FF2E48" w14:textId="77777777">
        <w:trPr>
          <w:trHeight w:val="691"/>
          <w:tblHeader/>
        </w:trPr>
        <w:tc>
          <w:tcPr>
            <w:tcW w:w="1187" w:type="dxa"/>
            <w:vMerge/>
            <w:vAlign w:val="center"/>
            <w:hideMark/>
          </w:tcPr>
          <w:p w14:paraId="2A5F90A6" w14:textId="77777777" w:rsidR="003F5418" w:rsidRDefault="003F5418">
            <w:pPr>
              <w:spacing w:after="120"/>
              <w:jc w:val="center"/>
              <w:rPr>
                <w:rFonts w:ascii="Arial Narrow" w:hAnsi="Arial Narrow"/>
                <w:b/>
                <w:noProof/>
                <w:sz w:val="20"/>
              </w:rPr>
            </w:pPr>
          </w:p>
        </w:tc>
        <w:tc>
          <w:tcPr>
            <w:tcW w:w="1559" w:type="dxa"/>
            <w:vMerge/>
            <w:vAlign w:val="center"/>
            <w:hideMark/>
          </w:tcPr>
          <w:p w14:paraId="2F3CFCBC" w14:textId="77777777" w:rsidR="003F5418" w:rsidRDefault="003F5418">
            <w:pPr>
              <w:spacing w:after="120"/>
              <w:jc w:val="center"/>
              <w:rPr>
                <w:rFonts w:ascii="Arial Narrow" w:hAnsi="Arial Narrow"/>
                <w:b/>
                <w:noProof/>
                <w:sz w:val="20"/>
              </w:rPr>
            </w:pPr>
          </w:p>
        </w:tc>
        <w:tc>
          <w:tcPr>
            <w:tcW w:w="1134" w:type="dxa"/>
            <w:vMerge/>
            <w:vAlign w:val="center"/>
            <w:hideMark/>
          </w:tcPr>
          <w:p w14:paraId="51B87643" w14:textId="77777777" w:rsidR="003F5418" w:rsidRDefault="003F5418">
            <w:pPr>
              <w:spacing w:after="120"/>
              <w:jc w:val="center"/>
              <w:rPr>
                <w:rFonts w:ascii="Arial Narrow" w:hAnsi="Arial Narrow"/>
                <w:b/>
                <w:noProof/>
                <w:sz w:val="20"/>
              </w:rPr>
            </w:pPr>
          </w:p>
        </w:tc>
        <w:tc>
          <w:tcPr>
            <w:tcW w:w="1417" w:type="dxa"/>
            <w:vMerge/>
            <w:vAlign w:val="center"/>
            <w:hideMark/>
          </w:tcPr>
          <w:p w14:paraId="2C9DCA7F" w14:textId="77777777" w:rsidR="003F5418" w:rsidRDefault="003F5418">
            <w:pPr>
              <w:spacing w:after="120"/>
              <w:jc w:val="center"/>
              <w:rPr>
                <w:rFonts w:ascii="Arial Narrow" w:hAnsi="Arial Narrow"/>
                <w:b/>
                <w:noProof/>
                <w:sz w:val="20"/>
              </w:rPr>
            </w:pPr>
          </w:p>
        </w:tc>
        <w:tc>
          <w:tcPr>
            <w:tcW w:w="1701" w:type="dxa"/>
            <w:vMerge/>
            <w:vAlign w:val="center"/>
            <w:hideMark/>
          </w:tcPr>
          <w:p w14:paraId="3C6E4207" w14:textId="77777777" w:rsidR="003F5418" w:rsidRDefault="003F5418">
            <w:pPr>
              <w:spacing w:after="120"/>
              <w:jc w:val="center"/>
              <w:rPr>
                <w:rFonts w:ascii="Arial Narrow" w:hAnsi="Arial Narrow"/>
                <w:b/>
                <w:noProof/>
                <w:sz w:val="20"/>
              </w:rPr>
            </w:pPr>
          </w:p>
        </w:tc>
        <w:tc>
          <w:tcPr>
            <w:tcW w:w="1276" w:type="dxa"/>
            <w:shd w:val="clear" w:color="auto" w:fill="BDD7EE"/>
            <w:vAlign w:val="center"/>
            <w:hideMark/>
          </w:tcPr>
          <w:p w14:paraId="6CE7E2DA" w14:textId="77777777" w:rsidR="003F5418" w:rsidRDefault="002A6C25">
            <w:pPr>
              <w:pStyle w:val="P68B1DB1-Normal3"/>
              <w:spacing w:after="120"/>
              <w:jc w:val="center"/>
              <w:rPr>
                <w:noProof/>
              </w:rPr>
            </w:pPr>
            <w:r>
              <w:rPr>
                <w:noProof/>
              </w:rPr>
              <w:t>Mértékegység</w:t>
            </w:r>
          </w:p>
        </w:tc>
        <w:tc>
          <w:tcPr>
            <w:tcW w:w="992" w:type="dxa"/>
            <w:shd w:val="clear" w:color="auto" w:fill="BDD7EE"/>
            <w:vAlign w:val="center"/>
            <w:hideMark/>
          </w:tcPr>
          <w:p w14:paraId="16F6BD02" w14:textId="77777777" w:rsidR="003F5418" w:rsidRDefault="002A6C25">
            <w:pPr>
              <w:pStyle w:val="P68B1DB1-Normal3"/>
              <w:spacing w:after="120"/>
              <w:jc w:val="center"/>
              <w:rPr>
                <w:noProof/>
              </w:rPr>
            </w:pPr>
            <w:r>
              <w:rPr>
                <w:noProof/>
              </w:rPr>
              <w:t>Kiindulási</w:t>
            </w:r>
          </w:p>
        </w:tc>
        <w:tc>
          <w:tcPr>
            <w:tcW w:w="1276" w:type="dxa"/>
            <w:shd w:val="clear" w:color="auto" w:fill="BDD7EE"/>
            <w:vAlign w:val="center"/>
            <w:hideMark/>
          </w:tcPr>
          <w:p w14:paraId="12BDBA4A" w14:textId="77777777" w:rsidR="003F5418" w:rsidRDefault="002A6C25">
            <w:pPr>
              <w:pStyle w:val="P68B1DB1-Normal3"/>
              <w:spacing w:after="120"/>
              <w:jc w:val="center"/>
              <w:rPr>
                <w:noProof/>
              </w:rPr>
            </w:pPr>
            <w:r>
              <w:rPr>
                <w:noProof/>
              </w:rPr>
              <w:t>Cél</w:t>
            </w:r>
          </w:p>
        </w:tc>
        <w:tc>
          <w:tcPr>
            <w:tcW w:w="851" w:type="dxa"/>
            <w:shd w:val="clear" w:color="auto" w:fill="BDD7EE"/>
            <w:vAlign w:val="center"/>
            <w:hideMark/>
          </w:tcPr>
          <w:p w14:paraId="13A06414" w14:textId="77777777" w:rsidR="003F5418" w:rsidRDefault="002A6C25">
            <w:pPr>
              <w:pStyle w:val="P68B1DB1-Normal3"/>
              <w:spacing w:after="120"/>
              <w:jc w:val="center"/>
              <w:rPr>
                <w:noProof/>
              </w:rPr>
            </w:pPr>
            <w:r>
              <w:rPr>
                <w:noProof/>
              </w:rPr>
              <w:t>Negyedév</w:t>
            </w:r>
          </w:p>
        </w:tc>
        <w:tc>
          <w:tcPr>
            <w:tcW w:w="708" w:type="dxa"/>
            <w:shd w:val="clear" w:color="auto" w:fill="BDD7EE"/>
            <w:vAlign w:val="center"/>
            <w:hideMark/>
          </w:tcPr>
          <w:p w14:paraId="0B2C19C7" w14:textId="77777777" w:rsidR="003F5418" w:rsidRDefault="002A6C25">
            <w:pPr>
              <w:pStyle w:val="P68B1DB1-Normal3"/>
              <w:spacing w:after="120"/>
              <w:jc w:val="center"/>
              <w:rPr>
                <w:noProof/>
              </w:rPr>
            </w:pPr>
            <w:r>
              <w:rPr>
                <w:noProof/>
              </w:rPr>
              <w:t>Éve</w:t>
            </w:r>
          </w:p>
        </w:tc>
        <w:tc>
          <w:tcPr>
            <w:tcW w:w="3261" w:type="dxa"/>
            <w:vMerge/>
            <w:vAlign w:val="center"/>
            <w:hideMark/>
          </w:tcPr>
          <w:p w14:paraId="35E597D9" w14:textId="77777777" w:rsidR="003F5418" w:rsidRDefault="003F5418">
            <w:pPr>
              <w:spacing w:after="120"/>
              <w:jc w:val="center"/>
              <w:rPr>
                <w:rFonts w:ascii="Arial Narrow" w:hAnsi="Arial Narrow"/>
                <w:b/>
                <w:noProof/>
                <w:sz w:val="20"/>
              </w:rPr>
            </w:pPr>
          </w:p>
        </w:tc>
      </w:tr>
      <w:tr w:rsidR="003F5418" w14:paraId="5034020D" w14:textId="77777777">
        <w:trPr>
          <w:trHeight w:val="309"/>
        </w:trPr>
        <w:tc>
          <w:tcPr>
            <w:tcW w:w="1187" w:type="dxa"/>
            <w:shd w:val="clear" w:color="auto" w:fill="C6EFCE"/>
            <w:noWrap/>
            <w:vAlign w:val="center"/>
          </w:tcPr>
          <w:p w14:paraId="2F9F60D1" w14:textId="77777777" w:rsidR="003F5418" w:rsidRDefault="002A6C25">
            <w:pPr>
              <w:pStyle w:val="P68B1DB1-Normal4"/>
              <w:spacing w:after="120"/>
              <w:jc w:val="center"/>
              <w:rPr>
                <w:noProof/>
              </w:rPr>
            </w:pPr>
            <w:r>
              <w:rPr>
                <w:noProof/>
              </w:rPr>
              <w:t>M7–35</w:t>
            </w:r>
          </w:p>
        </w:tc>
        <w:tc>
          <w:tcPr>
            <w:tcW w:w="1559" w:type="dxa"/>
            <w:shd w:val="clear" w:color="auto" w:fill="C6EFCE"/>
            <w:noWrap/>
            <w:vAlign w:val="center"/>
          </w:tcPr>
          <w:p w14:paraId="1051F18B" w14:textId="77777777" w:rsidR="003F5418" w:rsidRDefault="002A6C25">
            <w:pPr>
              <w:pStyle w:val="P68B1DB1-Normal4"/>
              <w:spacing w:after="120"/>
              <w:jc w:val="center"/>
              <w:rPr>
                <w:noProof/>
              </w:rPr>
            </w:pPr>
            <w:r>
              <w:rPr>
                <w:noProof/>
              </w:rPr>
              <w:t xml:space="preserve">Beruházás: </w:t>
            </w:r>
            <w:r>
              <w:rPr>
                <w:noProof/>
              </w:rPr>
              <w:t>Adriai vonal, 1. szakasz (Sulmona kompresszorállomás és Sestino-Minerbio gázvezeték)</w:t>
            </w:r>
          </w:p>
        </w:tc>
        <w:tc>
          <w:tcPr>
            <w:tcW w:w="1134" w:type="dxa"/>
            <w:shd w:val="clear" w:color="auto" w:fill="C6EFCE"/>
            <w:noWrap/>
            <w:vAlign w:val="center"/>
          </w:tcPr>
          <w:p w14:paraId="32AC1D24" w14:textId="77777777" w:rsidR="003F5418" w:rsidRDefault="002A6C25">
            <w:pPr>
              <w:pStyle w:val="P68B1DB1-Normal4"/>
              <w:spacing w:after="120"/>
              <w:jc w:val="center"/>
              <w:rPr>
                <w:noProof/>
              </w:rPr>
            </w:pPr>
            <w:r>
              <w:rPr>
                <w:noProof/>
              </w:rPr>
              <w:t>Mérföldkő</w:t>
            </w:r>
          </w:p>
        </w:tc>
        <w:tc>
          <w:tcPr>
            <w:tcW w:w="1417" w:type="dxa"/>
            <w:shd w:val="clear" w:color="auto" w:fill="C6EFCE"/>
            <w:noWrap/>
            <w:vAlign w:val="center"/>
          </w:tcPr>
          <w:p w14:paraId="0FE6B809" w14:textId="77777777" w:rsidR="003F5418" w:rsidRDefault="002A6C25">
            <w:pPr>
              <w:pStyle w:val="P68B1DB1-Normal4"/>
              <w:spacing w:after="120"/>
              <w:jc w:val="center"/>
              <w:rPr>
                <w:noProof/>
              </w:rPr>
            </w:pPr>
            <w:r>
              <w:rPr>
                <w:noProof/>
              </w:rPr>
              <w:t>A vonatkozó környezeti hatásvizsgálatok elfogadása és aktualizálása (VIncA)</w:t>
            </w:r>
          </w:p>
        </w:tc>
        <w:tc>
          <w:tcPr>
            <w:tcW w:w="1701" w:type="dxa"/>
            <w:shd w:val="clear" w:color="auto" w:fill="C6EFCE"/>
            <w:noWrap/>
            <w:vAlign w:val="center"/>
          </w:tcPr>
          <w:p w14:paraId="212EEF76" w14:textId="77777777" w:rsidR="003F5418" w:rsidRDefault="002A6C25">
            <w:pPr>
              <w:pStyle w:val="P68B1DB1-Normal4"/>
              <w:spacing w:after="120"/>
              <w:jc w:val="center"/>
              <w:rPr>
                <w:noProof/>
              </w:rPr>
            </w:pPr>
            <w:r>
              <w:rPr>
                <w:noProof/>
              </w:rPr>
              <w:t xml:space="preserve">Az azonosított egyszerűsített költségelszámolási módszerek, valamint a VincA ennek </w:t>
            </w:r>
            <w:r>
              <w:rPr>
                <w:noProof/>
              </w:rPr>
              <w:t>megfelelően felülvizsgált és elfogadott</w:t>
            </w:r>
          </w:p>
        </w:tc>
        <w:tc>
          <w:tcPr>
            <w:tcW w:w="1276" w:type="dxa"/>
            <w:shd w:val="clear" w:color="auto" w:fill="C6EFCE"/>
            <w:noWrap/>
            <w:vAlign w:val="center"/>
          </w:tcPr>
          <w:p w14:paraId="20A55291"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015D5035" w14:textId="77777777" w:rsidR="003F5418" w:rsidRDefault="003F5418">
            <w:pPr>
              <w:spacing w:after="120"/>
              <w:jc w:val="center"/>
              <w:rPr>
                <w:rFonts w:ascii="Arial Narrow" w:hAnsi="Arial Narrow"/>
                <w:noProof/>
                <w:color w:val="006100"/>
                <w:sz w:val="20"/>
              </w:rPr>
            </w:pPr>
          </w:p>
        </w:tc>
        <w:tc>
          <w:tcPr>
            <w:tcW w:w="1276" w:type="dxa"/>
            <w:shd w:val="clear" w:color="auto" w:fill="C6EFCE"/>
            <w:noWrap/>
            <w:vAlign w:val="center"/>
          </w:tcPr>
          <w:p w14:paraId="73DAB853" w14:textId="77777777" w:rsidR="003F5418" w:rsidRDefault="003F5418">
            <w:pPr>
              <w:spacing w:after="120"/>
              <w:jc w:val="center"/>
              <w:rPr>
                <w:rFonts w:ascii="Arial Narrow" w:hAnsi="Arial Narrow"/>
                <w:noProof/>
                <w:color w:val="006100"/>
                <w:sz w:val="20"/>
              </w:rPr>
            </w:pPr>
          </w:p>
        </w:tc>
        <w:tc>
          <w:tcPr>
            <w:tcW w:w="851" w:type="dxa"/>
            <w:shd w:val="clear" w:color="auto" w:fill="C6EFCE"/>
            <w:noWrap/>
            <w:vAlign w:val="center"/>
          </w:tcPr>
          <w:p w14:paraId="28DE3567" w14:textId="77777777" w:rsidR="003F5418" w:rsidRDefault="002A6C25">
            <w:pPr>
              <w:pStyle w:val="P68B1DB1-Normal4"/>
              <w:spacing w:after="120"/>
              <w:jc w:val="center"/>
              <w:rPr>
                <w:noProof/>
              </w:rPr>
            </w:pPr>
            <w:r>
              <w:rPr>
                <w:noProof/>
              </w:rPr>
              <w:t>Q1</w:t>
            </w:r>
          </w:p>
        </w:tc>
        <w:tc>
          <w:tcPr>
            <w:tcW w:w="708" w:type="dxa"/>
            <w:shd w:val="clear" w:color="auto" w:fill="C6EFCE"/>
            <w:noWrap/>
            <w:vAlign w:val="center"/>
          </w:tcPr>
          <w:p w14:paraId="6FB368FC"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50CF9112" w14:textId="77777777" w:rsidR="003F5418" w:rsidRDefault="002A6C25">
            <w:pPr>
              <w:pStyle w:val="P68B1DB1-Normal4"/>
              <w:spacing w:after="120"/>
              <w:rPr>
                <w:noProof/>
              </w:rPr>
            </w:pPr>
            <w:bookmarkStart w:id="19" w:name="_Hlk147330404"/>
            <w:r>
              <w:rPr>
                <w:noProof/>
              </w:rPr>
              <w:t>Az olasz hatóságok:</w:t>
            </w:r>
          </w:p>
          <w:p w14:paraId="45FD2D64" w14:textId="77777777" w:rsidR="003F5418" w:rsidRDefault="002A6C25">
            <w:pPr>
              <w:pStyle w:val="P68B1DB1-ListParagraph5"/>
              <w:numPr>
                <w:ilvl w:val="0"/>
                <w:numId w:val="22"/>
              </w:numPr>
              <w:spacing w:before="0"/>
              <w:contextualSpacing w:val="0"/>
              <w:jc w:val="left"/>
              <w:rPr>
                <w:noProof/>
              </w:rPr>
            </w:pPr>
            <w:r>
              <w:rPr>
                <w:noProof/>
              </w:rPr>
              <w:t>A Környezetvédelmi és Energiabiztonsági Minisztérium által 2022-ben és 2023-ban elfogadott módszertannak megfelelően határozza meg a projekt által érintett Natura 2000 területekre vonat</w:t>
            </w:r>
            <w:r>
              <w:rPr>
                <w:noProof/>
              </w:rPr>
              <w:t>kozó területspecifikus természetvédelmi célkitűzéseket.</w:t>
            </w:r>
          </w:p>
          <w:p w14:paraId="1CC3249B" w14:textId="77777777" w:rsidR="003F5418" w:rsidRDefault="002A6C25">
            <w:pPr>
              <w:pStyle w:val="P68B1DB1-ListParagraph5"/>
              <w:numPr>
                <w:ilvl w:val="0"/>
                <w:numId w:val="22"/>
              </w:numPr>
              <w:spacing w:before="0"/>
              <w:contextualSpacing w:val="0"/>
              <w:jc w:val="left"/>
              <w:rPr>
                <w:noProof/>
              </w:rPr>
            </w:pPr>
            <w:r>
              <w:rPr>
                <w:noProof/>
              </w:rPr>
              <w:t>Ellenőrizze az élőhelyvédelmi irányelv alapján már elvégzett megfelelő vizsgálatokat az újonnan létrehozott egyszerűsített költségelszámolási módszerek fényében.</w:t>
            </w:r>
            <w:bookmarkEnd w:id="19"/>
          </w:p>
          <w:p w14:paraId="05600888" w14:textId="77777777" w:rsidR="003F5418" w:rsidRDefault="002A6C25">
            <w:pPr>
              <w:pStyle w:val="P68B1DB1-ListParagraph5"/>
              <w:numPr>
                <w:ilvl w:val="0"/>
                <w:numId w:val="22"/>
              </w:numPr>
              <w:spacing w:before="0"/>
              <w:contextualSpacing w:val="0"/>
              <w:jc w:val="left"/>
              <w:rPr>
                <w:noProof/>
              </w:rPr>
            </w:pPr>
            <w:r>
              <w:rPr>
                <w:noProof/>
              </w:rPr>
              <w:t>Az élőhelyvédelmi irányelv alapján már</w:t>
            </w:r>
            <w:r>
              <w:rPr>
                <w:noProof/>
              </w:rPr>
              <w:t xml:space="preserve"> elvégzett megfelelő vizsgálatok aktualizálása (szükség esetén) a 2019. december 28-i nemzeti iránymutatásokkal összhangban, és annak biztosítása, hogy azok beépüljenek az átfogó környezeti hatásvizsgálati eljárásba.</w:t>
            </w:r>
          </w:p>
        </w:tc>
      </w:tr>
      <w:tr w:rsidR="003F5418" w14:paraId="7F3EBFAD" w14:textId="77777777">
        <w:trPr>
          <w:trHeight w:val="309"/>
        </w:trPr>
        <w:tc>
          <w:tcPr>
            <w:tcW w:w="1187" w:type="dxa"/>
            <w:shd w:val="clear" w:color="auto" w:fill="C6EFCE"/>
            <w:noWrap/>
            <w:vAlign w:val="center"/>
          </w:tcPr>
          <w:p w14:paraId="763F92D9" w14:textId="77777777" w:rsidR="003F5418" w:rsidRDefault="002A6C25">
            <w:pPr>
              <w:pStyle w:val="P68B1DB1-Normal4"/>
              <w:spacing w:after="120"/>
              <w:jc w:val="center"/>
              <w:rPr>
                <w:noProof/>
              </w:rPr>
            </w:pPr>
            <w:r>
              <w:rPr>
                <w:noProof/>
              </w:rPr>
              <w:t>M7–36. INTÉZKEDÉS</w:t>
            </w:r>
          </w:p>
        </w:tc>
        <w:tc>
          <w:tcPr>
            <w:tcW w:w="1559" w:type="dxa"/>
            <w:shd w:val="clear" w:color="auto" w:fill="C6EFCE"/>
            <w:noWrap/>
            <w:vAlign w:val="center"/>
          </w:tcPr>
          <w:p w14:paraId="7FF17EC5" w14:textId="77777777" w:rsidR="003F5418" w:rsidRDefault="002A6C25">
            <w:pPr>
              <w:pStyle w:val="P68B1DB1-Normal4"/>
              <w:spacing w:after="120"/>
              <w:jc w:val="center"/>
              <w:rPr>
                <w:noProof/>
              </w:rPr>
            </w:pPr>
            <w:r>
              <w:rPr>
                <w:noProof/>
              </w:rPr>
              <w:t xml:space="preserve">Beruházás: Adriai </w:t>
            </w:r>
            <w:r>
              <w:rPr>
                <w:noProof/>
              </w:rPr>
              <w:t>vonal, 1. szakasz (Sulmona kompresszorállomás és Sestino-Minerbio gázvezeték)</w:t>
            </w:r>
          </w:p>
        </w:tc>
        <w:tc>
          <w:tcPr>
            <w:tcW w:w="1134" w:type="dxa"/>
            <w:shd w:val="clear" w:color="auto" w:fill="C6EFCE"/>
            <w:noWrap/>
            <w:vAlign w:val="center"/>
          </w:tcPr>
          <w:p w14:paraId="6E995A27" w14:textId="77777777" w:rsidR="003F5418" w:rsidRDefault="002A6C25">
            <w:pPr>
              <w:pStyle w:val="P68B1DB1-Normal4"/>
              <w:spacing w:after="120"/>
              <w:jc w:val="center"/>
              <w:rPr>
                <w:noProof/>
              </w:rPr>
            </w:pPr>
            <w:r>
              <w:rPr>
                <w:noProof/>
              </w:rPr>
              <w:t>Mérföldkő</w:t>
            </w:r>
          </w:p>
        </w:tc>
        <w:tc>
          <w:tcPr>
            <w:tcW w:w="1417" w:type="dxa"/>
            <w:shd w:val="clear" w:color="auto" w:fill="C6EFCE"/>
            <w:noWrap/>
            <w:vAlign w:val="center"/>
          </w:tcPr>
          <w:p w14:paraId="0C247D7C" w14:textId="77777777" w:rsidR="003F5418" w:rsidRDefault="002A6C25">
            <w:pPr>
              <w:pStyle w:val="P68B1DB1-Normal4"/>
              <w:spacing w:after="120"/>
              <w:jc w:val="center"/>
              <w:rPr>
                <w:noProof/>
              </w:rPr>
            </w:pPr>
            <w:r>
              <w:rPr>
                <w:noProof/>
              </w:rPr>
              <w:t>Szerződések odaítélése</w:t>
            </w:r>
          </w:p>
        </w:tc>
        <w:tc>
          <w:tcPr>
            <w:tcW w:w="1701" w:type="dxa"/>
            <w:shd w:val="clear" w:color="auto" w:fill="C6EFCE"/>
            <w:noWrap/>
            <w:vAlign w:val="center"/>
          </w:tcPr>
          <w:p w14:paraId="6EEEC680" w14:textId="77777777" w:rsidR="003F5418" w:rsidRDefault="002A6C25">
            <w:pPr>
              <w:pStyle w:val="P68B1DB1-Normal4"/>
              <w:spacing w:after="120"/>
              <w:jc w:val="center"/>
              <w:rPr>
                <w:noProof/>
              </w:rPr>
            </w:pPr>
            <w:r>
              <w:rPr>
                <w:noProof/>
              </w:rPr>
              <w:t>Értesítés a szerződések odaítéléséről</w:t>
            </w:r>
          </w:p>
        </w:tc>
        <w:tc>
          <w:tcPr>
            <w:tcW w:w="1276" w:type="dxa"/>
            <w:shd w:val="clear" w:color="auto" w:fill="C6EFCE"/>
            <w:noWrap/>
            <w:vAlign w:val="center"/>
          </w:tcPr>
          <w:p w14:paraId="59420F24"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564BAE9F" w14:textId="77777777" w:rsidR="003F5418" w:rsidRDefault="003F5418">
            <w:pPr>
              <w:spacing w:after="120"/>
              <w:jc w:val="center"/>
              <w:rPr>
                <w:rFonts w:ascii="Arial Narrow" w:hAnsi="Arial Narrow"/>
                <w:noProof/>
                <w:color w:val="006100"/>
                <w:sz w:val="20"/>
              </w:rPr>
            </w:pPr>
          </w:p>
        </w:tc>
        <w:tc>
          <w:tcPr>
            <w:tcW w:w="1276" w:type="dxa"/>
            <w:shd w:val="clear" w:color="auto" w:fill="C6EFCE"/>
            <w:noWrap/>
            <w:vAlign w:val="center"/>
          </w:tcPr>
          <w:p w14:paraId="3076DBBC" w14:textId="77777777" w:rsidR="003F5418" w:rsidRDefault="003F5418">
            <w:pPr>
              <w:spacing w:after="120"/>
              <w:jc w:val="center"/>
              <w:rPr>
                <w:rFonts w:ascii="Arial Narrow" w:hAnsi="Arial Narrow"/>
                <w:noProof/>
                <w:color w:val="006100"/>
                <w:sz w:val="20"/>
              </w:rPr>
            </w:pPr>
          </w:p>
        </w:tc>
        <w:tc>
          <w:tcPr>
            <w:tcW w:w="851" w:type="dxa"/>
            <w:shd w:val="clear" w:color="auto" w:fill="C6EFCE"/>
            <w:noWrap/>
            <w:vAlign w:val="center"/>
          </w:tcPr>
          <w:p w14:paraId="5AD88A32" w14:textId="77777777" w:rsidR="003F5418" w:rsidRDefault="002A6C25">
            <w:pPr>
              <w:pStyle w:val="P68B1DB1-Normal4"/>
              <w:spacing w:after="120"/>
              <w:jc w:val="center"/>
              <w:rPr>
                <w:noProof/>
              </w:rPr>
            </w:pPr>
            <w:r>
              <w:rPr>
                <w:noProof/>
              </w:rPr>
              <w:t>Q2</w:t>
            </w:r>
          </w:p>
        </w:tc>
        <w:tc>
          <w:tcPr>
            <w:tcW w:w="708" w:type="dxa"/>
            <w:shd w:val="clear" w:color="auto" w:fill="C6EFCE"/>
            <w:noWrap/>
            <w:vAlign w:val="center"/>
          </w:tcPr>
          <w:p w14:paraId="403A8445"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1FF11852" w14:textId="77777777" w:rsidR="003F5418" w:rsidRDefault="002A6C25">
            <w:pPr>
              <w:pStyle w:val="P68B1DB1-ListParagraph5"/>
              <w:spacing w:before="0"/>
              <w:ind w:left="0"/>
              <w:contextualSpacing w:val="0"/>
              <w:jc w:val="left"/>
              <w:rPr>
                <w:noProof/>
              </w:rPr>
            </w:pPr>
            <w:r>
              <w:rPr>
                <w:noProof/>
              </w:rPr>
              <w:t xml:space="preserve">Értesítés a Sulmona kompresszorállomás és a Sestino-Minerbio gázvezeték befejezéséhez szükséges </w:t>
            </w:r>
            <w:r>
              <w:rPr>
                <w:noProof/>
              </w:rPr>
              <w:t>munkálatokra vonatkozó valamennyi szerződés odaítéléséről.</w:t>
            </w:r>
          </w:p>
        </w:tc>
      </w:tr>
      <w:tr w:rsidR="003F5418" w14:paraId="374FE39D" w14:textId="77777777">
        <w:trPr>
          <w:trHeight w:val="309"/>
        </w:trPr>
        <w:tc>
          <w:tcPr>
            <w:tcW w:w="1187" w:type="dxa"/>
            <w:shd w:val="clear" w:color="auto" w:fill="C6EFCE"/>
            <w:noWrap/>
            <w:vAlign w:val="center"/>
          </w:tcPr>
          <w:p w14:paraId="254C5167" w14:textId="77777777" w:rsidR="003F5418" w:rsidRDefault="002A6C25">
            <w:pPr>
              <w:pStyle w:val="P68B1DB1-Normal4"/>
              <w:jc w:val="center"/>
              <w:rPr>
                <w:noProof/>
              </w:rPr>
            </w:pPr>
            <w:r>
              <w:rPr>
                <w:noProof/>
              </w:rPr>
              <w:t>M7–07–37. INTÉZKEDÉS</w:t>
            </w:r>
          </w:p>
        </w:tc>
        <w:tc>
          <w:tcPr>
            <w:tcW w:w="1559" w:type="dxa"/>
            <w:shd w:val="clear" w:color="auto" w:fill="C6EFCE"/>
            <w:noWrap/>
            <w:vAlign w:val="center"/>
          </w:tcPr>
          <w:p w14:paraId="7BDB9223" w14:textId="77777777" w:rsidR="003F5418" w:rsidRDefault="002A6C25">
            <w:pPr>
              <w:pStyle w:val="P68B1DB1-Normal4"/>
              <w:jc w:val="center"/>
              <w:rPr>
                <w:noProof/>
              </w:rPr>
            </w:pPr>
            <w:r>
              <w:rPr>
                <w:noProof/>
              </w:rPr>
              <w:t>Beruházás: Adriai vonal, 1. szakasz (Sulmona kompresszorállomás és Sestino-Minerbio gázvezeték)</w:t>
            </w:r>
          </w:p>
        </w:tc>
        <w:tc>
          <w:tcPr>
            <w:tcW w:w="1134" w:type="dxa"/>
            <w:shd w:val="clear" w:color="auto" w:fill="C6EFCE"/>
            <w:noWrap/>
            <w:vAlign w:val="center"/>
          </w:tcPr>
          <w:p w14:paraId="318251FC" w14:textId="77777777" w:rsidR="003F5418" w:rsidRDefault="002A6C25">
            <w:pPr>
              <w:pStyle w:val="P68B1DB1-Normal4"/>
              <w:jc w:val="center"/>
              <w:rPr>
                <w:noProof/>
              </w:rPr>
            </w:pPr>
            <w:r>
              <w:rPr>
                <w:noProof/>
              </w:rPr>
              <w:t>Mérföldkő</w:t>
            </w:r>
          </w:p>
        </w:tc>
        <w:tc>
          <w:tcPr>
            <w:tcW w:w="1417" w:type="dxa"/>
            <w:shd w:val="clear" w:color="auto" w:fill="C6EFCE"/>
            <w:noWrap/>
            <w:vAlign w:val="center"/>
          </w:tcPr>
          <w:p w14:paraId="6F900164" w14:textId="77777777" w:rsidR="003F5418" w:rsidRDefault="002A6C25">
            <w:pPr>
              <w:pStyle w:val="P68B1DB1-Normal4"/>
              <w:jc w:val="center"/>
              <w:rPr>
                <w:rFonts w:eastAsia="Calibri" w:cstheme="minorHAnsi"/>
                <w:noProof/>
              </w:rPr>
            </w:pPr>
            <w:r>
              <w:rPr>
                <w:noProof/>
              </w:rPr>
              <w:t>A munkálatok befejezése</w:t>
            </w:r>
          </w:p>
        </w:tc>
        <w:tc>
          <w:tcPr>
            <w:tcW w:w="1701" w:type="dxa"/>
            <w:shd w:val="clear" w:color="auto" w:fill="C6EFCE"/>
            <w:noWrap/>
            <w:vAlign w:val="center"/>
          </w:tcPr>
          <w:p w14:paraId="02925929" w14:textId="77777777" w:rsidR="003F5418" w:rsidRDefault="002A6C25">
            <w:pPr>
              <w:pStyle w:val="P68B1DB1-Normal4"/>
              <w:jc w:val="center"/>
              <w:rPr>
                <w:noProof/>
              </w:rPr>
            </w:pPr>
            <w:r>
              <w:rPr>
                <w:noProof/>
              </w:rPr>
              <w:t>Értesítés a munkálatok befejezéséről</w:t>
            </w:r>
          </w:p>
        </w:tc>
        <w:tc>
          <w:tcPr>
            <w:tcW w:w="1276" w:type="dxa"/>
            <w:shd w:val="clear" w:color="auto" w:fill="C6EFCE"/>
            <w:noWrap/>
            <w:vAlign w:val="center"/>
          </w:tcPr>
          <w:p w14:paraId="437328E0" w14:textId="77777777" w:rsidR="003F5418" w:rsidRDefault="003F5418">
            <w:pPr>
              <w:jc w:val="center"/>
              <w:rPr>
                <w:rFonts w:ascii="Arial Narrow" w:hAnsi="Arial Narrow"/>
                <w:noProof/>
                <w:color w:val="006100"/>
                <w:sz w:val="20"/>
              </w:rPr>
            </w:pPr>
          </w:p>
        </w:tc>
        <w:tc>
          <w:tcPr>
            <w:tcW w:w="992" w:type="dxa"/>
            <w:shd w:val="clear" w:color="auto" w:fill="C6EFCE"/>
            <w:noWrap/>
            <w:vAlign w:val="center"/>
          </w:tcPr>
          <w:p w14:paraId="33F3EEF2" w14:textId="77777777" w:rsidR="003F5418" w:rsidRDefault="003F5418">
            <w:pPr>
              <w:jc w:val="center"/>
              <w:rPr>
                <w:rFonts w:ascii="Arial Narrow" w:hAnsi="Arial Narrow"/>
                <w:noProof/>
                <w:color w:val="006100"/>
                <w:sz w:val="20"/>
              </w:rPr>
            </w:pPr>
          </w:p>
        </w:tc>
        <w:tc>
          <w:tcPr>
            <w:tcW w:w="1276" w:type="dxa"/>
            <w:shd w:val="clear" w:color="auto" w:fill="C6EFCE"/>
            <w:noWrap/>
            <w:vAlign w:val="center"/>
          </w:tcPr>
          <w:p w14:paraId="30229507" w14:textId="77777777" w:rsidR="003F5418" w:rsidRDefault="003F5418">
            <w:pPr>
              <w:jc w:val="center"/>
              <w:rPr>
                <w:rFonts w:ascii="Arial Narrow" w:hAnsi="Arial Narrow"/>
                <w:noProof/>
                <w:color w:val="006100"/>
                <w:sz w:val="20"/>
              </w:rPr>
            </w:pPr>
          </w:p>
        </w:tc>
        <w:tc>
          <w:tcPr>
            <w:tcW w:w="851" w:type="dxa"/>
            <w:shd w:val="clear" w:color="auto" w:fill="C6EFCE"/>
            <w:noWrap/>
            <w:vAlign w:val="center"/>
          </w:tcPr>
          <w:p w14:paraId="39BC0296"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7CBC148C" w14:textId="77777777" w:rsidR="003F5418" w:rsidRDefault="002A6C25">
            <w:pPr>
              <w:pStyle w:val="P68B1DB1-Normal4"/>
              <w:jc w:val="center"/>
              <w:rPr>
                <w:noProof/>
              </w:rPr>
            </w:pPr>
            <w:r>
              <w:rPr>
                <w:noProof/>
              </w:rPr>
              <w:t>2026</w:t>
            </w:r>
          </w:p>
        </w:tc>
        <w:tc>
          <w:tcPr>
            <w:tcW w:w="3261" w:type="dxa"/>
            <w:shd w:val="clear" w:color="auto" w:fill="C6EFCE"/>
            <w:noWrap/>
            <w:vAlign w:val="center"/>
          </w:tcPr>
          <w:p w14:paraId="566D39D1" w14:textId="77777777" w:rsidR="003F5418" w:rsidRDefault="002A6C25">
            <w:pPr>
              <w:pStyle w:val="P68B1DB1-Normal4"/>
              <w:rPr>
                <w:noProof/>
              </w:rPr>
            </w:pPr>
            <w:r>
              <w:rPr>
                <w:noProof/>
              </w:rPr>
              <w:t>Be kell fejezni a Sulmona kompresszorállomást és a Sestino-Minerbio gázvezetéket.</w:t>
            </w:r>
          </w:p>
        </w:tc>
      </w:tr>
      <w:tr w:rsidR="003F5418" w14:paraId="6837B57B" w14:textId="77777777">
        <w:trPr>
          <w:trHeight w:val="309"/>
        </w:trPr>
        <w:tc>
          <w:tcPr>
            <w:tcW w:w="1187" w:type="dxa"/>
            <w:shd w:val="clear" w:color="auto" w:fill="C6EFCE"/>
            <w:noWrap/>
            <w:vAlign w:val="center"/>
          </w:tcPr>
          <w:p w14:paraId="0EDBCBF7" w14:textId="77777777" w:rsidR="003F5418" w:rsidRDefault="002A6C25">
            <w:pPr>
              <w:pStyle w:val="P68B1DB1-Normal4"/>
              <w:jc w:val="center"/>
              <w:rPr>
                <w:noProof/>
              </w:rPr>
            </w:pPr>
            <w:r>
              <w:rPr>
                <w:noProof/>
              </w:rPr>
              <w:t>7–38. INTÉZKEDÉS</w:t>
            </w:r>
          </w:p>
        </w:tc>
        <w:tc>
          <w:tcPr>
            <w:tcW w:w="1559" w:type="dxa"/>
            <w:shd w:val="clear" w:color="auto" w:fill="C6EFCE"/>
            <w:noWrap/>
            <w:vAlign w:val="center"/>
          </w:tcPr>
          <w:p w14:paraId="212C729D" w14:textId="77777777" w:rsidR="003F5418" w:rsidRDefault="002A6C25">
            <w:pPr>
              <w:pStyle w:val="P68B1DB1-Normal4"/>
              <w:jc w:val="center"/>
              <w:rPr>
                <w:noProof/>
              </w:rPr>
            </w:pPr>
            <w:r>
              <w:rPr>
                <w:noProof/>
              </w:rPr>
              <w:t>Beruházás: Határokon átnyúló gázkiviteli infrastruktúra</w:t>
            </w:r>
          </w:p>
        </w:tc>
        <w:tc>
          <w:tcPr>
            <w:tcW w:w="1134" w:type="dxa"/>
            <w:shd w:val="clear" w:color="auto" w:fill="C6EFCE"/>
            <w:noWrap/>
            <w:vAlign w:val="center"/>
          </w:tcPr>
          <w:p w14:paraId="4135A722" w14:textId="77777777" w:rsidR="003F5418" w:rsidRDefault="002A6C25">
            <w:pPr>
              <w:pStyle w:val="P68B1DB1-Normal4"/>
              <w:jc w:val="center"/>
              <w:rPr>
                <w:noProof/>
              </w:rPr>
            </w:pPr>
            <w:r>
              <w:rPr>
                <w:noProof/>
              </w:rPr>
              <w:t>Mérföldkő</w:t>
            </w:r>
          </w:p>
        </w:tc>
        <w:tc>
          <w:tcPr>
            <w:tcW w:w="1417" w:type="dxa"/>
            <w:shd w:val="clear" w:color="auto" w:fill="C6EFCE"/>
            <w:noWrap/>
            <w:vAlign w:val="center"/>
          </w:tcPr>
          <w:p w14:paraId="4259A2BC" w14:textId="77777777" w:rsidR="003F5418" w:rsidRDefault="002A6C25">
            <w:pPr>
              <w:pStyle w:val="P68B1DB1-Normal4"/>
              <w:jc w:val="center"/>
              <w:rPr>
                <w:noProof/>
              </w:rPr>
            </w:pPr>
            <w:r>
              <w:rPr>
                <w:noProof/>
              </w:rPr>
              <w:t>Szerződések odaítélése</w:t>
            </w:r>
          </w:p>
        </w:tc>
        <w:tc>
          <w:tcPr>
            <w:tcW w:w="1701" w:type="dxa"/>
            <w:shd w:val="clear" w:color="auto" w:fill="C6EFCE"/>
            <w:noWrap/>
            <w:vAlign w:val="center"/>
          </w:tcPr>
          <w:p w14:paraId="03C4E8E8" w14:textId="77777777" w:rsidR="003F5418" w:rsidRDefault="002A6C25">
            <w:pPr>
              <w:pStyle w:val="P68B1DB1-Normal4"/>
              <w:jc w:val="center"/>
              <w:rPr>
                <w:noProof/>
              </w:rPr>
            </w:pPr>
            <w:r>
              <w:rPr>
                <w:noProof/>
              </w:rPr>
              <w:t>Értesítés a szerződések odaítéléséről</w:t>
            </w:r>
          </w:p>
        </w:tc>
        <w:tc>
          <w:tcPr>
            <w:tcW w:w="1276" w:type="dxa"/>
            <w:shd w:val="clear" w:color="auto" w:fill="C6EFCE"/>
            <w:noWrap/>
            <w:vAlign w:val="center"/>
          </w:tcPr>
          <w:p w14:paraId="3427C142" w14:textId="77777777" w:rsidR="003F5418" w:rsidRDefault="003F5418">
            <w:pPr>
              <w:jc w:val="center"/>
              <w:rPr>
                <w:rFonts w:ascii="Arial Narrow" w:hAnsi="Arial Narrow"/>
                <w:noProof/>
                <w:color w:val="FF0000"/>
                <w:sz w:val="20"/>
              </w:rPr>
            </w:pPr>
          </w:p>
        </w:tc>
        <w:tc>
          <w:tcPr>
            <w:tcW w:w="992" w:type="dxa"/>
            <w:shd w:val="clear" w:color="auto" w:fill="C6EFCE"/>
            <w:noWrap/>
            <w:vAlign w:val="center"/>
          </w:tcPr>
          <w:p w14:paraId="742DC48F" w14:textId="77777777" w:rsidR="003F5418" w:rsidRDefault="003F5418">
            <w:pPr>
              <w:jc w:val="center"/>
              <w:rPr>
                <w:rFonts w:ascii="Arial Narrow" w:hAnsi="Arial Narrow"/>
                <w:noProof/>
                <w:color w:val="006100"/>
                <w:sz w:val="20"/>
              </w:rPr>
            </w:pPr>
          </w:p>
        </w:tc>
        <w:tc>
          <w:tcPr>
            <w:tcW w:w="1276" w:type="dxa"/>
            <w:shd w:val="clear" w:color="auto" w:fill="C6EFCE"/>
            <w:noWrap/>
            <w:vAlign w:val="center"/>
          </w:tcPr>
          <w:p w14:paraId="1ADA9C03" w14:textId="77777777" w:rsidR="003F5418" w:rsidRDefault="003F5418">
            <w:pPr>
              <w:jc w:val="center"/>
              <w:rPr>
                <w:rFonts w:ascii="Arial Narrow" w:hAnsi="Arial Narrow"/>
                <w:noProof/>
                <w:color w:val="006100"/>
                <w:sz w:val="20"/>
              </w:rPr>
            </w:pPr>
          </w:p>
        </w:tc>
        <w:tc>
          <w:tcPr>
            <w:tcW w:w="851" w:type="dxa"/>
            <w:shd w:val="clear" w:color="auto" w:fill="C6EFCE"/>
            <w:noWrap/>
            <w:vAlign w:val="center"/>
          </w:tcPr>
          <w:p w14:paraId="4F9FCE85"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40C29D55" w14:textId="77777777" w:rsidR="003F5418" w:rsidRDefault="002A6C25">
            <w:pPr>
              <w:pStyle w:val="P68B1DB1-Normal4"/>
              <w:jc w:val="center"/>
              <w:rPr>
                <w:noProof/>
              </w:rPr>
            </w:pPr>
            <w:r>
              <w:rPr>
                <w:noProof/>
              </w:rPr>
              <w:t>2024</w:t>
            </w:r>
          </w:p>
        </w:tc>
        <w:tc>
          <w:tcPr>
            <w:tcW w:w="3261" w:type="dxa"/>
            <w:shd w:val="clear" w:color="auto" w:fill="C6EFCE"/>
            <w:noWrap/>
            <w:vAlign w:val="center"/>
          </w:tcPr>
          <w:p w14:paraId="051A97A1" w14:textId="77777777" w:rsidR="003F5418" w:rsidRDefault="002A6C25">
            <w:pPr>
              <w:pStyle w:val="P68B1DB1-Normal4"/>
              <w:rPr>
                <w:noProof/>
              </w:rPr>
            </w:pPr>
            <w:r>
              <w:rPr>
                <w:noProof/>
              </w:rPr>
              <w:t xml:space="preserve">Értesítés a </w:t>
            </w:r>
            <w:r>
              <w:rPr>
                <w:noProof/>
              </w:rPr>
              <w:t>Poggio Renatico kompresszorállomás befejezéséhez szükséges munkálatokra vonatkozó valamennyi szerződés odaítéléséről</w:t>
            </w:r>
          </w:p>
        </w:tc>
      </w:tr>
      <w:tr w:rsidR="003F5418" w14:paraId="60CE9D6C" w14:textId="77777777">
        <w:trPr>
          <w:trHeight w:val="309"/>
        </w:trPr>
        <w:tc>
          <w:tcPr>
            <w:tcW w:w="1187" w:type="dxa"/>
            <w:shd w:val="clear" w:color="auto" w:fill="C6EFCE"/>
            <w:noWrap/>
            <w:vAlign w:val="center"/>
          </w:tcPr>
          <w:p w14:paraId="3C3A2027" w14:textId="77777777" w:rsidR="003F5418" w:rsidRDefault="002A6C25">
            <w:pPr>
              <w:pStyle w:val="P68B1DB1-Normal4"/>
              <w:jc w:val="center"/>
              <w:rPr>
                <w:noProof/>
              </w:rPr>
            </w:pPr>
            <w:r>
              <w:rPr>
                <w:noProof/>
              </w:rPr>
              <w:t>M7–39. INTÉZKEDÉS</w:t>
            </w:r>
          </w:p>
        </w:tc>
        <w:tc>
          <w:tcPr>
            <w:tcW w:w="1559" w:type="dxa"/>
            <w:shd w:val="clear" w:color="auto" w:fill="C6EFCE"/>
            <w:noWrap/>
            <w:vAlign w:val="center"/>
          </w:tcPr>
          <w:p w14:paraId="1CF0444C" w14:textId="77777777" w:rsidR="003F5418" w:rsidRDefault="002A6C25">
            <w:pPr>
              <w:pStyle w:val="P68B1DB1-Normal4"/>
              <w:jc w:val="center"/>
              <w:rPr>
                <w:noProof/>
              </w:rPr>
            </w:pPr>
            <w:r>
              <w:rPr>
                <w:noProof/>
              </w:rPr>
              <w:t>Beruházás: Határokon átnyúló gázkiviteli infrastruktúra</w:t>
            </w:r>
          </w:p>
        </w:tc>
        <w:tc>
          <w:tcPr>
            <w:tcW w:w="1134" w:type="dxa"/>
            <w:shd w:val="clear" w:color="auto" w:fill="C6EFCE"/>
            <w:noWrap/>
            <w:vAlign w:val="center"/>
          </w:tcPr>
          <w:p w14:paraId="4878E011" w14:textId="77777777" w:rsidR="003F5418" w:rsidRDefault="002A6C25">
            <w:pPr>
              <w:pStyle w:val="P68B1DB1-Normal4"/>
              <w:jc w:val="center"/>
              <w:rPr>
                <w:noProof/>
              </w:rPr>
            </w:pPr>
            <w:r>
              <w:rPr>
                <w:noProof/>
              </w:rPr>
              <w:t>Mérföldkő</w:t>
            </w:r>
          </w:p>
        </w:tc>
        <w:tc>
          <w:tcPr>
            <w:tcW w:w="1417" w:type="dxa"/>
            <w:shd w:val="clear" w:color="auto" w:fill="C6EFCE"/>
            <w:noWrap/>
            <w:vAlign w:val="center"/>
          </w:tcPr>
          <w:p w14:paraId="6038B873" w14:textId="77777777" w:rsidR="003F5418" w:rsidRDefault="002A6C25">
            <w:pPr>
              <w:pStyle w:val="P68B1DB1-Normal4"/>
              <w:jc w:val="center"/>
              <w:rPr>
                <w:noProof/>
              </w:rPr>
            </w:pPr>
            <w:r>
              <w:rPr>
                <w:noProof/>
              </w:rPr>
              <w:t>A munkálatok befejezése</w:t>
            </w:r>
          </w:p>
        </w:tc>
        <w:tc>
          <w:tcPr>
            <w:tcW w:w="1701" w:type="dxa"/>
            <w:shd w:val="clear" w:color="auto" w:fill="C6EFCE"/>
            <w:noWrap/>
            <w:vAlign w:val="center"/>
          </w:tcPr>
          <w:p w14:paraId="7B091088" w14:textId="77777777" w:rsidR="003F5418" w:rsidRDefault="002A6C25">
            <w:pPr>
              <w:pStyle w:val="P68B1DB1-Normal4"/>
              <w:jc w:val="center"/>
              <w:rPr>
                <w:noProof/>
              </w:rPr>
            </w:pPr>
            <w:r>
              <w:rPr>
                <w:noProof/>
              </w:rPr>
              <w:t xml:space="preserve">Értesítés a munkálatok </w:t>
            </w:r>
            <w:r>
              <w:rPr>
                <w:noProof/>
              </w:rPr>
              <w:t>befejezéséről</w:t>
            </w:r>
          </w:p>
        </w:tc>
        <w:tc>
          <w:tcPr>
            <w:tcW w:w="1276" w:type="dxa"/>
            <w:shd w:val="clear" w:color="auto" w:fill="C6EFCE"/>
            <w:noWrap/>
            <w:vAlign w:val="center"/>
          </w:tcPr>
          <w:p w14:paraId="25CC1BCE" w14:textId="77777777" w:rsidR="003F5418" w:rsidRDefault="003F5418">
            <w:pPr>
              <w:jc w:val="center"/>
              <w:rPr>
                <w:rFonts w:ascii="Arial Narrow" w:hAnsi="Arial Narrow"/>
                <w:noProof/>
                <w:color w:val="006100"/>
                <w:sz w:val="20"/>
              </w:rPr>
            </w:pPr>
          </w:p>
        </w:tc>
        <w:tc>
          <w:tcPr>
            <w:tcW w:w="992" w:type="dxa"/>
            <w:shd w:val="clear" w:color="auto" w:fill="C6EFCE"/>
            <w:noWrap/>
            <w:vAlign w:val="center"/>
          </w:tcPr>
          <w:p w14:paraId="225384FB" w14:textId="77777777" w:rsidR="003F5418" w:rsidRDefault="003F5418">
            <w:pPr>
              <w:jc w:val="center"/>
              <w:rPr>
                <w:rFonts w:ascii="Arial Narrow" w:hAnsi="Arial Narrow"/>
                <w:noProof/>
                <w:color w:val="006100"/>
                <w:sz w:val="20"/>
              </w:rPr>
            </w:pPr>
          </w:p>
        </w:tc>
        <w:tc>
          <w:tcPr>
            <w:tcW w:w="1276" w:type="dxa"/>
            <w:shd w:val="clear" w:color="auto" w:fill="C6EFCE"/>
            <w:noWrap/>
            <w:vAlign w:val="center"/>
          </w:tcPr>
          <w:p w14:paraId="79214E2C" w14:textId="77777777" w:rsidR="003F5418" w:rsidRDefault="003F5418">
            <w:pPr>
              <w:jc w:val="center"/>
              <w:rPr>
                <w:rFonts w:ascii="Arial Narrow" w:hAnsi="Arial Narrow"/>
                <w:noProof/>
                <w:color w:val="006100"/>
                <w:sz w:val="20"/>
              </w:rPr>
            </w:pPr>
          </w:p>
        </w:tc>
        <w:tc>
          <w:tcPr>
            <w:tcW w:w="851" w:type="dxa"/>
            <w:shd w:val="clear" w:color="auto" w:fill="C6EFCE"/>
            <w:noWrap/>
            <w:vAlign w:val="center"/>
          </w:tcPr>
          <w:p w14:paraId="0DC0E8A5"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3CA9C2C1" w14:textId="77777777" w:rsidR="003F5418" w:rsidRDefault="002A6C25">
            <w:pPr>
              <w:pStyle w:val="P68B1DB1-Normal4"/>
              <w:jc w:val="center"/>
              <w:rPr>
                <w:noProof/>
              </w:rPr>
            </w:pPr>
            <w:r>
              <w:rPr>
                <w:noProof/>
              </w:rPr>
              <w:t>2026</w:t>
            </w:r>
          </w:p>
        </w:tc>
        <w:tc>
          <w:tcPr>
            <w:tcW w:w="3261" w:type="dxa"/>
            <w:shd w:val="clear" w:color="auto" w:fill="C6EFCE"/>
            <w:noWrap/>
            <w:vAlign w:val="center"/>
          </w:tcPr>
          <w:p w14:paraId="57A14486" w14:textId="77777777" w:rsidR="003F5418" w:rsidRDefault="002A6C25">
            <w:pPr>
              <w:pStyle w:val="P68B1DB1-Normal4"/>
              <w:rPr>
                <w:noProof/>
              </w:rPr>
            </w:pPr>
            <w:r>
              <w:rPr>
                <w:noProof/>
              </w:rPr>
              <w:t>A Poggio Renatico kompresszorállomás kompressziós egységét be kell fejezni.</w:t>
            </w:r>
          </w:p>
        </w:tc>
      </w:tr>
      <w:tr w:rsidR="003F5418" w14:paraId="6AEC15E2" w14:textId="77777777">
        <w:trPr>
          <w:trHeight w:val="309"/>
        </w:trPr>
        <w:tc>
          <w:tcPr>
            <w:tcW w:w="1187" w:type="dxa"/>
            <w:shd w:val="clear" w:color="auto" w:fill="C6EFCE"/>
            <w:noWrap/>
            <w:vAlign w:val="center"/>
          </w:tcPr>
          <w:p w14:paraId="717A22C8" w14:textId="77777777" w:rsidR="003F5418" w:rsidRDefault="002A6C25">
            <w:pPr>
              <w:pStyle w:val="P68B1DB1-Normal4"/>
              <w:jc w:val="center"/>
              <w:rPr>
                <w:noProof/>
              </w:rPr>
            </w:pPr>
            <w:r>
              <w:rPr>
                <w:noProof/>
              </w:rPr>
              <w:t>7–40. INTÉZKEDÉS</w:t>
            </w:r>
          </w:p>
        </w:tc>
        <w:tc>
          <w:tcPr>
            <w:tcW w:w="1559" w:type="dxa"/>
            <w:shd w:val="clear" w:color="auto" w:fill="C6EFCE"/>
            <w:noWrap/>
            <w:vAlign w:val="center"/>
          </w:tcPr>
          <w:p w14:paraId="759537BB" w14:textId="77777777" w:rsidR="003F5418" w:rsidRDefault="002A6C25">
            <w:pPr>
              <w:pStyle w:val="P68B1DB1-Normal4"/>
              <w:jc w:val="center"/>
              <w:rPr>
                <w:noProof/>
              </w:rPr>
            </w:pPr>
            <w:r>
              <w:rPr>
                <w:noProof/>
              </w:rPr>
              <w:t>Beruházás: Transzione 5.0 Zöld</w:t>
            </w:r>
          </w:p>
        </w:tc>
        <w:tc>
          <w:tcPr>
            <w:tcW w:w="1134" w:type="dxa"/>
            <w:shd w:val="clear" w:color="auto" w:fill="C6EFCE"/>
            <w:noWrap/>
            <w:vAlign w:val="center"/>
          </w:tcPr>
          <w:p w14:paraId="7888027B" w14:textId="77777777" w:rsidR="003F5418" w:rsidRDefault="002A6C25">
            <w:pPr>
              <w:pStyle w:val="P68B1DB1-Normal4"/>
              <w:jc w:val="center"/>
              <w:rPr>
                <w:noProof/>
              </w:rPr>
            </w:pPr>
            <w:r>
              <w:rPr>
                <w:noProof/>
              </w:rPr>
              <w:t>Mérföldkő</w:t>
            </w:r>
          </w:p>
        </w:tc>
        <w:tc>
          <w:tcPr>
            <w:tcW w:w="1417" w:type="dxa"/>
            <w:shd w:val="clear" w:color="auto" w:fill="C6EFCE"/>
            <w:noWrap/>
            <w:vAlign w:val="center"/>
          </w:tcPr>
          <w:p w14:paraId="14D42B23" w14:textId="77777777" w:rsidR="003F5418" w:rsidRDefault="002A6C25">
            <w:pPr>
              <w:pStyle w:val="P68B1DB1-Normal4"/>
              <w:jc w:val="center"/>
              <w:rPr>
                <w:noProof/>
              </w:rPr>
            </w:pPr>
            <w:r>
              <w:rPr>
                <w:noProof/>
              </w:rPr>
              <w:t>A támogatható beavatkozások kritériumait megállapító jogi aktus hatálybalépése</w:t>
            </w:r>
          </w:p>
        </w:tc>
        <w:tc>
          <w:tcPr>
            <w:tcW w:w="1701" w:type="dxa"/>
            <w:shd w:val="clear" w:color="auto" w:fill="C6EFCE"/>
            <w:noWrap/>
            <w:vAlign w:val="center"/>
          </w:tcPr>
          <w:p w14:paraId="2A879A55" w14:textId="77777777" w:rsidR="003F5418" w:rsidRDefault="002A6C25">
            <w:pPr>
              <w:pStyle w:val="P68B1DB1-Normal4"/>
              <w:jc w:val="center"/>
              <w:rPr>
                <w:noProof/>
              </w:rPr>
            </w:pPr>
            <w:r>
              <w:rPr>
                <w:noProof/>
              </w:rPr>
              <w:t xml:space="preserve">Rendelkezés a </w:t>
            </w:r>
            <w:r>
              <w:rPr>
                <w:noProof/>
              </w:rPr>
              <w:t>következőkben:</w:t>
            </w:r>
          </w:p>
          <w:p w14:paraId="2F3886B2" w14:textId="77777777" w:rsidR="003F5418" w:rsidRDefault="002A6C25">
            <w:pPr>
              <w:pStyle w:val="P68B1DB1-Normal4"/>
              <w:jc w:val="center"/>
              <w:rPr>
                <w:noProof/>
              </w:rPr>
            </w:pPr>
            <w:r>
              <w:rPr>
                <w:noProof/>
              </w:rPr>
              <w:t>jogszabály, amely feltünteti</w:t>
            </w:r>
          </w:p>
          <w:p w14:paraId="26943002" w14:textId="77777777" w:rsidR="003F5418" w:rsidRDefault="002A6C25">
            <w:pPr>
              <w:pStyle w:val="P68B1DB1-Normal4"/>
              <w:jc w:val="center"/>
              <w:rPr>
                <w:noProof/>
              </w:rPr>
            </w:pPr>
            <w:r>
              <w:rPr>
                <w:noProof/>
              </w:rPr>
              <w:t>belépés</w:t>
            </w:r>
          </w:p>
          <w:p w14:paraId="1E02924C" w14:textId="77777777" w:rsidR="003F5418" w:rsidRDefault="002A6C25">
            <w:pPr>
              <w:pStyle w:val="P68B1DB1-Normal4"/>
              <w:jc w:val="center"/>
              <w:rPr>
                <w:noProof/>
                <w:color w:val="FF0000"/>
              </w:rPr>
            </w:pPr>
            <w:r>
              <w:rPr>
                <w:noProof/>
              </w:rPr>
              <w:t>a törvény hatálya</w:t>
            </w:r>
          </w:p>
        </w:tc>
        <w:tc>
          <w:tcPr>
            <w:tcW w:w="1276" w:type="dxa"/>
            <w:shd w:val="clear" w:color="auto" w:fill="C6EFCE"/>
            <w:noWrap/>
            <w:vAlign w:val="center"/>
          </w:tcPr>
          <w:p w14:paraId="63B331B8" w14:textId="77777777" w:rsidR="003F5418" w:rsidRDefault="003F5418">
            <w:pPr>
              <w:jc w:val="center"/>
              <w:rPr>
                <w:rFonts w:ascii="Arial Narrow" w:hAnsi="Arial Narrow"/>
                <w:noProof/>
                <w:color w:val="006100"/>
                <w:sz w:val="20"/>
              </w:rPr>
            </w:pPr>
          </w:p>
        </w:tc>
        <w:tc>
          <w:tcPr>
            <w:tcW w:w="992" w:type="dxa"/>
            <w:shd w:val="clear" w:color="auto" w:fill="C6EFCE"/>
            <w:noWrap/>
            <w:vAlign w:val="center"/>
          </w:tcPr>
          <w:p w14:paraId="6C873DF4" w14:textId="77777777" w:rsidR="003F5418" w:rsidRDefault="003F5418">
            <w:pPr>
              <w:jc w:val="center"/>
              <w:rPr>
                <w:rFonts w:ascii="Arial Narrow" w:hAnsi="Arial Narrow"/>
                <w:noProof/>
                <w:color w:val="006100"/>
                <w:sz w:val="20"/>
              </w:rPr>
            </w:pPr>
          </w:p>
        </w:tc>
        <w:tc>
          <w:tcPr>
            <w:tcW w:w="1276" w:type="dxa"/>
            <w:shd w:val="clear" w:color="auto" w:fill="C6EFCE"/>
            <w:noWrap/>
            <w:vAlign w:val="center"/>
          </w:tcPr>
          <w:p w14:paraId="1B6098E1" w14:textId="77777777" w:rsidR="003F5418" w:rsidRDefault="003F5418">
            <w:pPr>
              <w:jc w:val="center"/>
              <w:rPr>
                <w:rFonts w:ascii="Arial Narrow" w:hAnsi="Arial Narrow"/>
                <w:noProof/>
                <w:color w:val="006100"/>
                <w:sz w:val="20"/>
              </w:rPr>
            </w:pPr>
          </w:p>
        </w:tc>
        <w:tc>
          <w:tcPr>
            <w:tcW w:w="851" w:type="dxa"/>
            <w:shd w:val="clear" w:color="auto" w:fill="C6EFCE"/>
            <w:noWrap/>
            <w:vAlign w:val="center"/>
          </w:tcPr>
          <w:p w14:paraId="63D59E1E" w14:textId="77777777" w:rsidR="003F5418" w:rsidRDefault="002A6C25">
            <w:pPr>
              <w:pStyle w:val="P68B1DB1-Normal4"/>
              <w:jc w:val="center"/>
              <w:rPr>
                <w:noProof/>
              </w:rPr>
            </w:pPr>
            <w:r>
              <w:rPr>
                <w:noProof/>
              </w:rPr>
              <w:t>Q1</w:t>
            </w:r>
          </w:p>
        </w:tc>
        <w:tc>
          <w:tcPr>
            <w:tcW w:w="708" w:type="dxa"/>
            <w:shd w:val="clear" w:color="auto" w:fill="C6EFCE"/>
            <w:noWrap/>
            <w:vAlign w:val="center"/>
          </w:tcPr>
          <w:p w14:paraId="151FCF73" w14:textId="77777777" w:rsidR="003F5418" w:rsidRDefault="002A6C25">
            <w:pPr>
              <w:pStyle w:val="P68B1DB1-Normal4"/>
              <w:jc w:val="center"/>
              <w:rPr>
                <w:noProof/>
              </w:rPr>
            </w:pPr>
            <w:r>
              <w:rPr>
                <w:noProof/>
              </w:rPr>
              <w:t>2024</w:t>
            </w:r>
          </w:p>
        </w:tc>
        <w:tc>
          <w:tcPr>
            <w:tcW w:w="3261" w:type="dxa"/>
            <w:shd w:val="clear" w:color="auto" w:fill="C6EFCE"/>
            <w:noWrap/>
            <w:vAlign w:val="center"/>
          </w:tcPr>
          <w:p w14:paraId="00662D7F" w14:textId="77777777" w:rsidR="003F5418" w:rsidRDefault="002A6C25">
            <w:pPr>
              <w:pStyle w:val="P68B1DB1-Normal4"/>
              <w:rPr>
                <w:noProof/>
              </w:rPr>
            </w:pPr>
            <w:r>
              <w:rPr>
                <w:noProof/>
              </w:rPr>
              <w:t>A jogi aktusnak a potenciális kedvezményezettek rendelkezésére kell bocsátania az 5.0 átmenetre vonatkozó adójóváírásokat, meghatározva a támogathatósági kritériumokat, többek</w:t>
            </w:r>
            <w:r>
              <w:rPr>
                <w:noProof/>
              </w:rPr>
              <w:t xml:space="preserve"> között a minimális energiamegtakarítás és az intézkedés maximális kiadási korlátja tekintetében is.</w:t>
            </w:r>
          </w:p>
        </w:tc>
      </w:tr>
      <w:tr w:rsidR="003F5418" w14:paraId="2DC73626" w14:textId="77777777">
        <w:trPr>
          <w:trHeight w:val="64"/>
        </w:trPr>
        <w:tc>
          <w:tcPr>
            <w:tcW w:w="1187" w:type="dxa"/>
            <w:shd w:val="clear" w:color="auto" w:fill="C6EFCE"/>
            <w:noWrap/>
            <w:vAlign w:val="center"/>
          </w:tcPr>
          <w:p w14:paraId="7E107A82" w14:textId="77777777" w:rsidR="003F5418" w:rsidRDefault="002A6C25">
            <w:pPr>
              <w:pStyle w:val="P68B1DB1-Normal4"/>
              <w:jc w:val="center"/>
              <w:rPr>
                <w:noProof/>
              </w:rPr>
            </w:pPr>
            <w:r>
              <w:rPr>
                <w:noProof/>
              </w:rPr>
              <w:t>7–41. INTÉZKEDÉS</w:t>
            </w:r>
          </w:p>
        </w:tc>
        <w:tc>
          <w:tcPr>
            <w:tcW w:w="1559" w:type="dxa"/>
            <w:shd w:val="clear" w:color="auto" w:fill="C6EFCE"/>
            <w:noWrap/>
            <w:vAlign w:val="center"/>
          </w:tcPr>
          <w:p w14:paraId="5938BBBF" w14:textId="77777777" w:rsidR="003F5418" w:rsidRDefault="002A6C25">
            <w:pPr>
              <w:pStyle w:val="P68B1DB1-Normal4"/>
              <w:jc w:val="center"/>
              <w:rPr>
                <w:noProof/>
              </w:rPr>
            </w:pPr>
            <w:r>
              <w:rPr>
                <w:noProof/>
              </w:rPr>
              <w:t>Beruházás: Transzione 5.0 Zöld</w:t>
            </w:r>
          </w:p>
        </w:tc>
        <w:tc>
          <w:tcPr>
            <w:tcW w:w="1134" w:type="dxa"/>
            <w:shd w:val="clear" w:color="auto" w:fill="C6EFCE"/>
            <w:noWrap/>
            <w:vAlign w:val="center"/>
          </w:tcPr>
          <w:p w14:paraId="7087653A" w14:textId="77777777" w:rsidR="003F5418" w:rsidRDefault="002A6C25">
            <w:pPr>
              <w:pStyle w:val="P68B1DB1-Normal4"/>
              <w:jc w:val="center"/>
              <w:rPr>
                <w:noProof/>
              </w:rPr>
            </w:pPr>
            <w:r>
              <w:rPr>
                <w:noProof/>
              </w:rPr>
              <w:t>Cél</w:t>
            </w:r>
          </w:p>
        </w:tc>
        <w:tc>
          <w:tcPr>
            <w:tcW w:w="1417" w:type="dxa"/>
            <w:shd w:val="clear" w:color="auto" w:fill="C6EFCE"/>
            <w:noWrap/>
            <w:vAlign w:val="center"/>
          </w:tcPr>
          <w:p w14:paraId="15434FEB" w14:textId="77777777" w:rsidR="003F5418" w:rsidRDefault="002A6C25">
            <w:pPr>
              <w:pStyle w:val="P68B1DB1-Normal4"/>
              <w:jc w:val="center"/>
              <w:rPr>
                <w:noProof/>
              </w:rPr>
            </w:pPr>
            <w:r>
              <w:rPr>
                <w:noProof/>
              </w:rPr>
              <w:t>A Helyreállítási és Rezilienciaépítési Eszköz forrásainak biztosítása</w:t>
            </w:r>
          </w:p>
        </w:tc>
        <w:tc>
          <w:tcPr>
            <w:tcW w:w="1701" w:type="dxa"/>
            <w:shd w:val="clear" w:color="auto" w:fill="C6EFCE"/>
            <w:noWrap/>
            <w:vAlign w:val="center"/>
          </w:tcPr>
          <w:p w14:paraId="525DA8EF" w14:textId="77777777" w:rsidR="003F5418" w:rsidRDefault="003F5418">
            <w:pPr>
              <w:jc w:val="center"/>
              <w:rPr>
                <w:rFonts w:ascii="Arial Narrow" w:hAnsi="Arial Narrow"/>
                <w:noProof/>
                <w:color w:val="006100"/>
                <w:sz w:val="20"/>
              </w:rPr>
            </w:pPr>
          </w:p>
        </w:tc>
        <w:tc>
          <w:tcPr>
            <w:tcW w:w="1276" w:type="dxa"/>
            <w:shd w:val="clear" w:color="auto" w:fill="C6EFCE"/>
            <w:noWrap/>
            <w:vAlign w:val="center"/>
          </w:tcPr>
          <w:p w14:paraId="6E26CC5C" w14:textId="77777777" w:rsidR="003F5418" w:rsidRDefault="002A6C25">
            <w:pPr>
              <w:pStyle w:val="P68B1DB1-Normal4"/>
              <w:jc w:val="center"/>
              <w:rPr>
                <w:noProof/>
              </w:rPr>
            </w:pPr>
            <w:r>
              <w:rPr>
                <w:noProof/>
              </w:rPr>
              <w:t xml:space="preserve">A nyújtott források összege </w:t>
            </w:r>
            <w:r>
              <w:rPr>
                <w:noProof/>
              </w:rPr>
              <w:t>(EUR)</w:t>
            </w:r>
          </w:p>
        </w:tc>
        <w:tc>
          <w:tcPr>
            <w:tcW w:w="992" w:type="dxa"/>
            <w:shd w:val="clear" w:color="auto" w:fill="C6EFCE"/>
            <w:noWrap/>
            <w:vAlign w:val="center"/>
          </w:tcPr>
          <w:p w14:paraId="617AE912" w14:textId="77777777" w:rsidR="003F5418" w:rsidRDefault="002A6C25">
            <w:pPr>
              <w:pStyle w:val="P68B1DB1-Normal4"/>
              <w:jc w:val="center"/>
              <w:rPr>
                <w:noProof/>
              </w:rPr>
            </w:pPr>
            <w:r>
              <w:rPr>
                <w:noProof/>
              </w:rPr>
              <w:t>0</w:t>
            </w:r>
          </w:p>
        </w:tc>
        <w:tc>
          <w:tcPr>
            <w:tcW w:w="1276" w:type="dxa"/>
            <w:shd w:val="clear" w:color="auto" w:fill="C6EFCE"/>
            <w:noWrap/>
            <w:vAlign w:val="center"/>
          </w:tcPr>
          <w:p w14:paraId="434C36EC" w14:textId="77777777" w:rsidR="003F5418" w:rsidRDefault="002A6C25">
            <w:pPr>
              <w:pStyle w:val="P68B1DB1-Normal4"/>
              <w:jc w:val="center"/>
              <w:rPr>
                <w:noProof/>
              </w:rPr>
            </w:pPr>
            <w:r>
              <w:rPr>
                <w:noProof/>
              </w:rPr>
              <w:t>6 300 000 000</w:t>
            </w:r>
          </w:p>
        </w:tc>
        <w:tc>
          <w:tcPr>
            <w:tcW w:w="851" w:type="dxa"/>
            <w:shd w:val="clear" w:color="auto" w:fill="C6EFCE"/>
            <w:noWrap/>
            <w:vAlign w:val="center"/>
          </w:tcPr>
          <w:p w14:paraId="5DE3DE57" w14:textId="77777777" w:rsidR="003F5418" w:rsidRDefault="002A6C25">
            <w:pPr>
              <w:pStyle w:val="P68B1DB1-Normal4"/>
              <w:jc w:val="center"/>
              <w:rPr>
                <w:noProof/>
              </w:rPr>
            </w:pPr>
            <w:r>
              <w:rPr>
                <w:noProof/>
              </w:rPr>
              <w:t>Q2</w:t>
            </w:r>
          </w:p>
        </w:tc>
        <w:tc>
          <w:tcPr>
            <w:tcW w:w="708" w:type="dxa"/>
            <w:shd w:val="clear" w:color="auto" w:fill="C6EFCE"/>
            <w:noWrap/>
            <w:vAlign w:val="center"/>
          </w:tcPr>
          <w:p w14:paraId="09D58AF2" w14:textId="77777777" w:rsidR="003F5418" w:rsidRDefault="002A6C25">
            <w:pPr>
              <w:pStyle w:val="P68B1DB1-Normal4"/>
              <w:jc w:val="center"/>
              <w:rPr>
                <w:noProof/>
              </w:rPr>
            </w:pPr>
            <w:r>
              <w:rPr>
                <w:noProof/>
              </w:rPr>
              <w:t>2026</w:t>
            </w:r>
          </w:p>
        </w:tc>
        <w:tc>
          <w:tcPr>
            <w:tcW w:w="3261" w:type="dxa"/>
            <w:shd w:val="clear" w:color="auto" w:fill="C6EFCE"/>
            <w:noWrap/>
            <w:vAlign w:val="center"/>
          </w:tcPr>
          <w:p w14:paraId="6040297F" w14:textId="77777777" w:rsidR="003F5418" w:rsidRDefault="002A6C25">
            <w:pPr>
              <w:pStyle w:val="P68B1DB1-Normal4"/>
              <w:rPr>
                <w:noProof/>
              </w:rPr>
            </w:pPr>
            <w:r>
              <w:rPr>
                <w:noProof/>
              </w:rPr>
              <w:t xml:space="preserve">Értesítés a Helyreállítási és Rezilienciaépítési Eszköz e beruházásra elkülönített összes forrásának odaítéléséről. </w:t>
            </w:r>
          </w:p>
          <w:p w14:paraId="1884E733" w14:textId="77777777" w:rsidR="003F5418" w:rsidRDefault="003F5418">
            <w:pPr>
              <w:rPr>
                <w:rFonts w:ascii="Arial Narrow" w:hAnsi="Arial Narrow"/>
                <w:noProof/>
                <w:color w:val="006100"/>
                <w:sz w:val="20"/>
              </w:rPr>
            </w:pPr>
          </w:p>
          <w:p w14:paraId="3DA63EE2" w14:textId="77777777" w:rsidR="003F5418" w:rsidRDefault="002A6C25">
            <w:pPr>
              <w:pStyle w:val="P68B1DB1-Normal4"/>
              <w:rPr>
                <w:noProof/>
              </w:rPr>
            </w:pPr>
            <w:r>
              <w:rPr>
                <w:noProof/>
              </w:rPr>
              <w:t>A célérték kielégítő teljesítése az olaszországi Vállalkozásügyi Minisztérium és Made hatáskörébe tartozó He</w:t>
            </w:r>
            <w:r>
              <w:rPr>
                <w:noProof/>
              </w:rPr>
              <w:t>lyreállítási és Rezilienciaépítési Eszköz beruházásait értékelő jelentés közzétételétől is függ.</w:t>
            </w:r>
          </w:p>
        </w:tc>
      </w:tr>
      <w:tr w:rsidR="003F5418" w14:paraId="772DB407" w14:textId="77777777">
        <w:trPr>
          <w:trHeight w:val="309"/>
        </w:trPr>
        <w:tc>
          <w:tcPr>
            <w:tcW w:w="1187" w:type="dxa"/>
            <w:shd w:val="clear" w:color="auto" w:fill="C6EFCE"/>
            <w:noWrap/>
            <w:vAlign w:val="center"/>
          </w:tcPr>
          <w:p w14:paraId="4E7525AC" w14:textId="77777777" w:rsidR="003F5418" w:rsidRDefault="002A6C25">
            <w:pPr>
              <w:pStyle w:val="P68B1DB1-Normal4"/>
              <w:spacing w:after="120"/>
              <w:jc w:val="center"/>
              <w:rPr>
                <w:noProof/>
              </w:rPr>
            </w:pPr>
            <w:r>
              <w:rPr>
                <w:noProof/>
              </w:rPr>
              <w:t>M7–42. INTÉZKEDÉS</w:t>
            </w:r>
          </w:p>
        </w:tc>
        <w:tc>
          <w:tcPr>
            <w:tcW w:w="1559" w:type="dxa"/>
            <w:shd w:val="clear" w:color="auto" w:fill="C6EFCE"/>
            <w:noWrap/>
            <w:vAlign w:val="center"/>
          </w:tcPr>
          <w:p w14:paraId="7F331777" w14:textId="77777777" w:rsidR="003F5418" w:rsidRDefault="002A6C25">
            <w:pPr>
              <w:pStyle w:val="P68B1DB1-Normal4"/>
              <w:spacing w:after="120"/>
              <w:jc w:val="center"/>
              <w:rPr>
                <w:noProof/>
              </w:rPr>
            </w:pPr>
            <w:r>
              <w:rPr>
                <w:noProof/>
              </w:rPr>
              <w:t>Beruházás: Transzione 5.0 Zöld</w:t>
            </w:r>
          </w:p>
        </w:tc>
        <w:tc>
          <w:tcPr>
            <w:tcW w:w="1134" w:type="dxa"/>
            <w:shd w:val="clear" w:color="auto" w:fill="C6EFCE"/>
            <w:noWrap/>
            <w:vAlign w:val="center"/>
          </w:tcPr>
          <w:p w14:paraId="66182438" w14:textId="77777777" w:rsidR="003F5418" w:rsidRDefault="002A6C25">
            <w:pPr>
              <w:pStyle w:val="P68B1DB1-Normal4"/>
              <w:spacing w:after="120"/>
              <w:jc w:val="center"/>
              <w:rPr>
                <w:noProof/>
              </w:rPr>
            </w:pPr>
            <w:r>
              <w:rPr>
                <w:noProof/>
              </w:rPr>
              <w:t>Cél</w:t>
            </w:r>
          </w:p>
        </w:tc>
        <w:tc>
          <w:tcPr>
            <w:tcW w:w="1417" w:type="dxa"/>
            <w:shd w:val="clear" w:color="auto" w:fill="C6EFCE"/>
            <w:noWrap/>
            <w:vAlign w:val="center"/>
          </w:tcPr>
          <w:p w14:paraId="47325913" w14:textId="77777777" w:rsidR="003F5418" w:rsidRDefault="002A6C25">
            <w:pPr>
              <w:pStyle w:val="P68B1DB1-Normal4"/>
              <w:spacing w:after="120"/>
              <w:jc w:val="center"/>
              <w:rPr>
                <w:noProof/>
              </w:rPr>
            </w:pPr>
            <w:r>
              <w:rPr>
                <w:noProof/>
              </w:rPr>
              <w:t>0,4 Mtoe végsőenergia-megtakarítás a 2024–2026-os időszakban</w:t>
            </w:r>
          </w:p>
        </w:tc>
        <w:tc>
          <w:tcPr>
            <w:tcW w:w="1701" w:type="dxa"/>
            <w:shd w:val="clear" w:color="auto" w:fill="C6EFCE"/>
            <w:noWrap/>
            <w:vAlign w:val="center"/>
          </w:tcPr>
          <w:p w14:paraId="71901AD8" w14:textId="77777777" w:rsidR="003F5418" w:rsidRDefault="003F5418">
            <w:pPr>
              <w:spacing w:after="120"/>
              <w:jc w:val="center"/>
              <w:rPr>
                <w:rFonts w:ascii="Arial Narrow" w:hAnsi="Arial Narrow"/>
                <w:noProof/>
                <w:color w:val="006100"/>
                <w:sz w:val="20"/>
              </w:rPr>
            </w:pPr>
          </w:p>
        </w:tc>
        <w:tc>
          <w:tcPr>
            <w:tcW w:w="1276" w:type="dxa"/>
            <w:shd w:val="clear" w:color="auto" w:fill="C6EFCE"/>
            <w:noWrap/>
            <w:vAlign w:val="center"/>
          </w:tcPr>
          <w:p w14:paraId="4062D4B8" w14:textId="77777777" w:rsidR="003F5418" w:rsidRDefault="002A6C25">
            <w:pPr>
              <w:pStyle w:val="P68B1DB1-Normal4"/>
              <w:spacing w:after="120"/>
              <w:jc w:val="center"/>
              <w:rPr>
                <w:noProof/>
              </w:rPr>
            </w:pPr>
            <w:r>
              <w:rPr>
                <w:noProof/>
              </w:rPr>
              <w:t>Mtoe</w:t>
            </w:r>
          </w:p>
        </w:tc>
        <w:tc>
          <w:tcPr>
            <w:tcW w:w="992" w:type="dxa"/>
            <w:shd w:val="clear" w:color="auto" w:fill="C6EFCE"/>
            <w:noWrap/>
            <w:vAlign w:val="center"/>
          </w:tcPr>
          <w:p w14:paraId="2A876140" w14:textId="77777777" w:rsidR="003F5418" w:rsidRDefault="002A6C25">
            <w:pPr>
              <w:pStyle w:val="P68B1DB1-Normal4"/>
              <w:spacing w:after="120"/>
              <w:jc w:val="center"/>
              <w:rPr>
                <w:noProof/>
              </w:rPr>
            </w:pPr>
            <w:r>
              <w:rPr>
                <w:noProof/>
              </w:rPr>
              <w:t>0</w:t>
            </w:r>
          </w:p>
        </w:tc>
        <w:tc>
          <w:tcPr>
            <w:tcW w:w="1276" w:type="dxa"/>
            <w:shd w:val="clear" w:color="auto" w:fill="C6EFCE"/>
            <w:noWrap/>
            <w:vAlign w:val="center"/>
          </w:tcPr>
          <w:p w14:paraId="26AA95E4" w14:textId="77777777" w:rsidR="003F5418" w:rsidRDefault="002A6C25">
            <w:pPr>
              <w:pStyle w:val="P68B1DB1-Normal4"/>
              <w:spacing w:after="120"/>
              <w:jc w:val="center"/>
              <w:rPr>
                <w:noProof/>
              </w:rPr>
            </w:pPr>
            <w:r>
              <w:rPr>
                <w:noProof/>
              </w:rPr>
              <w:t>0.4</w:t>
            </w:r>
          </w:p>
        </w:tc>
        <w:tc>
          <w:tcPr>
            <w:tcW w:w="851" w:type="dxa"/>
            <w:shd w:val="clear" w:color="auto" w:fill="C6EFCE"/>
            <w:noWrap/>
            <w:vAlign w:val="center"/>
          </w:tcPr>
          <w:p w14:paraId="794503CC" w14:textId="77777777" w:rsidR="003F5418" w:rsidRDefault="002A6C25">
            <w:pPr>
              <w:pStyle w:val="P68B1DB1-Normal4"/>
              <w:spacing w:after="120"/>
              <w:jc w:val="center"/>
              <w:rPr>
                <w:noProof/>
              </w:rPr>
            </w:pPr>
            <w:r>
              <w:rPr>
                <w:noProof/>
              </w:rPr>
              <w:t>Q2</w:t>
            </w:r>
          </w:p>
        </w:tc>
        <w:tc>
          <w:tcPr>
            <w:tcW w:w="708" w:type="dxa"/>
            <w:shd w:val="clear" w:color="auto" w:fill="C6EFCE"/>
            <w:noWrap/>
            <w:vAlign w:val="center"/>
          </w:tcPr>
          <w:p w14:paraId="67AF9D3F"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573068B4" w14:textId="77777777" w:rsidR="003F5418" w:rsidRDefault="002A6C25">
            <w:pPr>
              <w:pStyle w:val="P68B1DB1-Normal4"/>
              <w:spacing w:after="120"/>
              <w:rPr>
                <w:noProof/>
              </w:rPr>
            </w:pPr>
            <w:r>
              <w:rPr>
                <w:noProof/>
              </w:rPr>
              <w:t xml:space="preserve">A beruházásnak 0,4 MTOE </w:t>
            </w:r>
            <w:r>
              <w:rPr>
                <w:noProof/>
              </w:rPr>
              <w:t>energiamegtakarítást kell eredményeznie a végsőenergia-fogyasztás terén a 2024–2026-os időszakban.</w:t>
            </w:r>
          </w:p>
        </w:tc>
      </w:tr>
      <w:tr w:rsidR="003F5418" w14:paraId="4C7B6C26" w14:textId="77777777">
        <w:trPr>
          <w:trHeight w:val="309"/>
        </w:trPr>
        <w:tc>
          <w:tcPr>
            <w:tcW w:w="1187" w:type="dxa"/>
            <w:shd w:val="clear" w:color="auto" w:fill="C6EFCE"/>
            <w:noWrap/>
            <w:vAlign w:val="center"/>
          </w:tcPr>
          <w:p w14:paraId="2F606D4D" w14:textId="77777777" w:rsidR="003F5418" w:rsidRDefault="002A6C25">
            <w:pPr>
              <w:pStyle w:val="P68B1DB1-Normal4"/>
              <w:spacing w:after="120"/>
              <w:jc w:val="center"/>
              <w:rPr>
                <w:noProof/>
              </w:rPr>
            </w:pPr>
            <w:r>
              <w:rPr>
                <w:noProof/>
              </w:rPr>
              <w:t>7–43. INTÉZKEDÉS</w:t>
            </w:r>
          </w:p>
        </w:tc>
        <w:tc>
          <w:tcPr>
            <w:tcW w:w="1559" w:type="dxa"/>
            <w:shd w:val="clear" w:color="auto" w:fill="C6EFCE"/>
            <w:noWrap/>
            <w:vAlign w:val="center"/>
          </w:tcPr>
          <w:p w14:paraId="214DE716" w14:textId="77777777" w:rsidR="003F5418" w:rsidRDefault="002A6C25">
            <w:pPr>
              <w:pStyle w:val="P68B1DB1-Normal4"/>
              <w:spacing w:after="120"/>
              <w:jc w:val="center"/>
              <w:rPr>
                <w:noProof/>
              </w:rPr>
            </w:pPr>
            <w:r>
              <w:rPr>
                <w:noProof/>
              </w:rPr>
              <w:t>Beruházás: A kkv-k megújuló energiaforrásokból történő saját termeléséhez nyújtott támogatás</w:t>
            </w:r>
          </w:p>
        </w:tc>
        <w:tc>
          <w:tcPr>
            <w:tcW w:w="1134" w:type="dxa"/>
            <w:shd w:val="clear" w:color="auto" w:fill="C6EFCE"/>
            <w:noWrap/>
            <w:vAlign w:val="center"/>
          </w:tcPr>
          <w:p w14:paraId="44A6EEBD" w14:textId="77777777" w:rsidR="003F5418" w:rsidRDefault="002A6C25">
            <w:pPr>
              <w:pStyle w:val="P68B1DB1-Normal4"/>
              <w:spacing w:after="120"/>
              <w:jc w:val="center"/>
              <w:rPr>
                <w:noProof/>
              </w:rPr>
            </w:pPr>
            <w:r>
              <w:rPr>
                <w:noProof/>
              </w:rPr>
              <w:t>Mérföldkő</w:t>
            </w:r>
          </w:p>
        </w:tc>
        <w:tc>
          <w:tcPr>
            <w:tcW w:w="1417" w:type="dxa"/>
            <w:shd w:val="clear" w:color="auto" w:fill="C6EFCE"/>
            <w:noWrap/>
            <w:vAlign w:val="center"/>
          </w:tcPr>
          <w:p w14:paraId="5321A7E5" w14:textId="77777777" w:rsidR="003F5418" w:rsidRDefault="002A6C25">
            <w:pPr>
              <w:pStyle w:val="P68B1DB1-Normal4"/>
              <w:spacing w:after="120"/>
              <w:jc w:val="center"/>
              <w:rPr>
                <w:noProof/>
              </w:rPr>
            </w:pPr>
            <w:r>
              <w:rPr>
                <w:noProof/>
              </w:rPr>
              <w:t>Végrehajtási megállapodás</w:t>
            </w:r>
          </w:p>
        </w:tc>
        <w:tc>
          <w:tcPr>
            <w:tcW w:w="1701" w:type="dxa"/>
            <w:shd w:val="clear" w:color="auto" w:fill="C6EFCE"/>
            <w:noWrap/>
            <w:vAlign w:val="center"/>
          </w:tcPr>
          <w:p w14:paraId="4D32D0DC" w14:textId="77777777" w:rsidR="003F5418" w:rsidRDefault="002A6C25">
            <w:pPr>
              <w:pStyle w:val="P68B1DB1-Normal4"/>
              <w:spacing w:after="120"/>
              <w:jc w:val="center"/>
              <w:rPr>
                <w:noProof/>
              </w:rPr>
            </w:pPr>
            <w:r>
              <w:rPr>
                <w:noProof/>
              </w:rPr>
              <w:t xml:space="preserve">A </w:t>
            </w:r>
            <w:r>
              <w:rPr>
                <w:noProof/>
              </w:rPr>
              <w:t>végrehajtási megállapodás hatálybalépése</w:t>
            </w:r>
          </w:p>
        </w:tc>
        <w:tc>
          <w:tcPr>
            <w:tcW w:w="1276" w:type="dxa"/>
            <w:shd w:val="clear" w:color="auto" w:fill="C6EFCE"/>
            <w:noWrap/>
            <w:vAlign w:val="center"/>
          </w:tcPr>
          <w:p w14:paraId="31836B81"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19BFF6B4" w14:textId="77777777" w:rsidR="003F5418" w:rsidRDefault="003F5418">
            <w:pPr>
              <w:spacing w:after="120"/>
              <w:jc w:val="center"/>
              <w:rPr>
                <w:rFonts w:ascii="Arial Narrow" w:hAnsi="Arial Narrow"/>
                <w:noProof/>
                <w:color w:val="006100"/>
                <w:sz w:val="20"/>
              </w:rPr>
            </w:pPr>
          </w:p>
        </w:tc>
        <w:tc>
          <w:tcPr>
            <w:tcW w:w="1276" w:type="dxa"/>
            <w:shd w:val="clear" w:color="auto" w:fill="C6EFCE"/>
            <w:noWrap/>
            <w:vAlign w:val="center"/>
          </w:tcPr>
          <w:p w14:paraId="74680BC3" w14:textId="77777777" w:rsidR="003F5418" w:rsidRDefault="003F5418">
            <w:pPr>
              <w:spacing w:after="120"/>
              <w:jc w:val="center"/>
              <w:rPr>
                <w:rFonts w:ascii="Arial Narrow" w:hAnsi="Arial Narrow"/>
                <w:noProof/>
                <w:color w:val="006100"/>
                <w:sz w:val="20"/>
              </w:rPr>
            </w:pPr>
          </w:p>
        </w:tc>
        <w:tc>
          <w:tcPr>
            <w:tcW w:w="851" w:type="dxa"/>
            <w:shd w:val="clear" w:color="auto" w:fill="C6EFCE"/>
            <w:noWrap/>
            <w:vAlign w:val="center"/>
          </w:tcPr>
          <w:p w14:paraId="569836C4" w14:textId="77777777" w:rsidR="003F5418" w:rsidRDefault="002A6C25">
            <w:pPr>
              <w:pStyle w:val="P68B1DB1-Normal4"/>
              <w:spacing w:after="120"/>
              <w:jc w:val="center"/>
              <w:rPr>
                <w:noProof/>
              </w:rPr>
            </w:pPr>
            <w:r>
              <w:rPr>
                <w:noProof/>
              </w:rPr>
              <w:t>Q4</w:t>
            </w:r>
          </w:p>
        </w:tc>
        <w:tc>
          <w:tcPr>
            <w:tcW w:w="708" w:type="dxa"/>
            <w:shd w:val="clear" w:color="auto" w:fill="C6EFCE"/>
            <w:noWrap/>
            <w:vAlign w:val="center"/>
          </w:tcPr>
          <w:p w14:paraId="2879F205"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6946641C" w14:textId="77777777" w:rsidR="003F5418" w:rsidRDefault="002A6C25">
            <w:pPr>
              <w:pStyle w:val="P68B1DB1-Normal4"/>
              <w:spacing w:after="120"/>
              <w:rPr>
                <w:noProof/>
              </w:rPr>
            </w:pPr>
            <w:r>
              <w:rPr>
                <w:noProof/>
              </w:rPr>
              <w:t>A végrehajtási megállapodás hatálybalépése.</w:t>
            </w:r>
          </w:p>
        </w:tc>
      </w:tr>
      <w:tr w:rsidR="003F5418" w14:paraId="67694860" w14:textId="77777777">
        <w:trPr>
          <w:trHeight w:val="309"/>
        </w:trPr>
        <w:tc>
          <w:tcPr>
            <w:tcW w:w="1187" w:type="dxa"/>
            <w:shd w:val="clear" w:color="auto" w:fill="C6EFCE"/>
            <w:noWrap/>
            <w:vAlign w:val="center"/>
          </w:tcPr>
          <w:p w14:paraId="35F0CFD0" w14:textId="77777777" w:rsidR="003F5418" w:rsidRDefault="002A6C25">
            <w:pPr>
              <w:pStyle w:val="P68B1DB1-Normal4"/>
              <w:spacing w:after="120"/>
              <w:jc w:val="center"/>
              <w:rPr>
                <w:noProof/>
                <w:color w:val="000000" w:themeColor="text1"/>
              </w:rPr>
            </w:pPr>
            <w:r>
              <w:rPr>
                <w:noProof/>
              </w:rPr>
              <w:t>7–44. INTÉZKEDÉS</w:t>
            </w:r>
          </w:p>
        </w:tc>
        <w:tc>
          <w:tcPr>
            <w:tcW w:w="1559" w:type="dxa"/>
            <w:shd w:val="clear" w:color="auto" w:fill="C6EFCE"/>
            <w:noWrap/>
            <w:vAlign w:val="center"/>
          </w:tcPr>
          <w:p w14:paraId="72612884" w14:textId="77777777" w:rsidR="003F5418" w:rsidRDefault="002A6C25">
            <w:pPr>
              <w:pStyle w:val="P68B1DB1-Normal4"/>
              <w:spacing w:after="120"/>
              <w:jc w:val="center"/>
              <w:rPr>
                <w:noProof/>
              </w:rPr>
            </w:pPr>
            <w:r>
              <w:rPr>
                <w:noProof/>
              </w:rPr>
              <w:t>Beruházás: A kkv-k megújuló energiaforrásokból történő saját termeléséhez nyújtott támogatás</w:t>
            </w:r>
          </w:p>
        </w:tc>
        <w:tc>
          <w:tcPr>
            <w:tcW w:w="1134" w:type="dxa"/>
            <w:shd w:val="clear" w:color="auto" w:fill="C6EFCE"/>
            <w:noWrap/>
            <w:vAlign w:val="center"/>
          </w:tcPr>
          <w:p w14:paraId="145C3483" w14:textId="77777777" w:rsidR="003F5418" w:rsidRDefault="002A6C25">
            <w:pPr>
              <w:pStyle w:val="P68B1DB1-Normal4"/>
              <w:spacing w:after="120"/>
              <w:jc w:val="center"/>
              <w:rPr>
                <w:noProof/>
              </w:rPr>
            </w:pPr>
            <w:r>
              <w:rPr>
                <w:noProof/>
              </w:rPr>
              <w:t>Mérföldkő</w:t>
            </w:r>
          </w:p>
        </w:tc>
        <w:tc>
          <w:tcPr>
            <w:tcW w:w="1417" w:type="dxa"/>
            <w:shd w:val="clear" w:color="auto" w:fill="C6EFCE"/>
            <w:noWrap/>
            <w:vAlign w:val="center"/>
          </w:tcPr>
          <w:p w14:paraId="30573013" w14:textId="77777777" w:rsidR="003F5418" w:rsidRDefault="002A6C25">
            <w:pPr>
              <w:pStyle w:val="P68B1DB1-Normal4"/>
              <w:spacing w:after="120"/>
              <w:jc w:val="center"/>
              <w:rPr>
                <w:noProof/>
              </w:rPr>
            </w:pPr>
            <w:r>
              <w:rPr>
                <w:noProof/>
              </w:rPr>
              <w:t xml:space="preserve">Az olaszországi Vállalkozásügyi </w:t>
            </w:r>
            <w:r>
              <w:rPr>
                <w:noProof/>
              </w:rPr>
              <w:t>Minisztérium és Made befejezte a pénzeszközöknek az Invitalia részére történő átutalását.</w:t>
            </w:r>
          </w:p>
        </w:tc>
        <w:tc>
          <w:tcPr>
            <w:tcW w:w="1701" w:type="dxa"/>
            <w:shd w:val="clear" w:color="auto" w:fill="C6EFCE"/>
            <w:noWrap/>
            <w:vAlign w:val="center"/>
          </w:tcPr>
          <w:p w14:paraId="1BDC225F" w14:textId="77777777" w:rsidR="003F5418" w:rsidRDefault="002A6C25">
            <w:pPr>
              <w:pStyle w:val="P68B1DB1-Normal4"/>
              <w:spacing w:after="120"/>
              <w:jc w:val="center"/>
              <w:rPr>
                <w:noProof/>
              </w:rPr>
            </w:pPr>
            <w:r>
              <w:rPr>
                <w:noProof/>
              </w:rPr>
              <w:t>Átutalási igazolás</w:t>
            </w:r>
          </w:p>
        </w:tc>
        <w:tc>
          <w:tcPr>
            <w:tcW w:w="1276" w:type="dxa"/>
            <w:shd w:val="clear" w:color="auto" w:fill="C6EFCE"/>
            <w:noWrap/>
            <w:vAlign w:val="center"/>
          </w:tcPr>
          <w:p w14:paraId="671F4557" w14:textId="77777777" w:rsidR="003F5418" w:rsidRDefault="003F5418">
            <w:pPr>
              <w:spacing w:after="120"/>
              <w:jc w:val="center"/>
              <w:rPr>
                <w:rFonts w:ascii="Arial Narrow" w:hAnsi="Arial Narrow"/>
                <w:noProof/>
                <w:color w:val="006100"/>
                <w:sz w:val="20"/>
              </w:rPr>
            </w:pPr>
          </w:p>
        </w:tc>
        <w:tc>
          <w:tcPr>
            <w:tcW w:w="992" w:type="dxa"/>
            <w:shd w:val="clear" w:color="auto" w:fill="C6EFCE"/>
            <w:noWrap/>
            <w:vAlign w:val="center"/>
          </w:tcPr>
          <w:p w14:paraId="35B4089A" w14:textId="77777777" w:rsidR="003F5418" w:rsidRDefault="003F5418">
            <w:pPr>
              <w:spacing w:after="120"/>
              <w:jc w:val="center"/>
              <w:rPr>
                <w:rFonts w:ascii="Arial Narrow" w:hAnsi="Arial Narrow"/>
                <w:noProof/>
                <w:color w:val="006100"/>
                <w:sz w:val="20"/>
              </w:rPr>
            </w:pPr>
          </w:p>
        </w:tc>
        <w:tc>
          <w:tcPr>
            <w:tcW w:w="1276" w:type="dxa"/>
            <w:shd w:val="clear" w:color="auto" w:fill="C6EFCE"/>
            <w:noWrap/>
            <w:vAlign w:val="center"/>
          </w:tcPr>
          <w:p w14:paraId="56BAC84C" w14:textId="77777777" w:rsidR="003F5418" w:rsidRDefault="003F5418">
            <w:pPr>
              <w:spacing w:after="120"/>
              <w:jc w:val="center"/>
              <w:rPr>
                <w:rFonts w:ascii="Arial Narrow" w:hAnsi="Arial Narrow"/>
                <w:noProof/>
                <w:color w:val="006100"/>
                <w:sz w:val="20"/>
              </w:rPr>
            </w:pPr>
          </w:p>
        </w:tc>
        <w:tc>
          <w:tcPr>
            <w:tcW w:w="851" w:type="dxa"/>
            <w:shd w:val="clear" w:color="auto" w:fill="C6EFCE"/>
            <w:noWrap/>
            <w:vAlign w:val="center"/>
          </w:tcPr>
          <w:p w14:paraId="56A2E8F8" w14:textId="77777777" w:rsidR="003F5418" w:rsidRDefault="002A6C25">
            <w:pPr>
              <w:pStyle w:val="P68B1DB1-Normal4"/>
              <w:spacing w:after="120"/>
              <w:jc w:val="center"/>
              <w:rPr>
                <w:noProof/>
              </w:rPr>
            </w:pPr>
            <w:r>
              <w:rPr>
                <w:noProof/>
              </w:rPr>
              <w:t>Q4</w:t>
            </w:r>
          </w:p>
        </w:tc>
        <w:tc>
          <w:tcPr>
            <w:tcW w:w="708" w:type="dxa"/>
            <w:shd w:val="clear" w:color="auto" w:fill="C6EFCE"/>
            <w:noWrap/>
            <w:vAlign w:val="center"/>
          </w:tcPr>
          <w:p w14:paraId="42D0585F" w14:textId="77777777" w:rsidR="003F5418" w:rsidRDefault="002A6C25">
            <w:pPr>
              <w:pStyle w:val="P68B1DB1-Normal4"/>
              <w:spacing w:after="120"/>
              <w:jc w:val="center"/>
              <w:rPr>
                <w:noProof/>
              </w:rPr>
            </w:pPr>
            <w:r>
              <w:rPr>
                <w:noProof/>
              </w:rPr>
              <w:t>2024</w:t>
            </w:r>
          </w:p>
        </w:tc>
        <w:tc>
          <w:tcPr>
            <w:tcW w:w="3261" w:type="dxa"/>
            <w:shd w:val="clear" w:color="auto" w:fill="C6EFCE"/>
            <w:noWrap/>
            <w:vAlign w:val="center"/>
          </w:tcPr>
          <w:p w14:paraId="4DDB0C07" w14:textId="03928D4F" w:rsidR="003F5418" w:rsidRDefault="002A6C25">
            <w:pPr>
              <w:pStyle w:val="P68B1DB1-Normal4"/>
              <w:spacing w:after="120"/>
              <w:rPr>
                <w:noProof/>
              </w:rPr>
            </w:pPr>
            <w:r>
              <w:rPr>
                <w:noProof/>
              </w:rPr>
              <w:t>Olaszország 320 000 000 EUR-t utal át az Invitalia részére az eszköz céljára.</w:t>
            </w:r>
          </w:p>
        </w:tc>
      </w:tr>
      <w:tr w:rsidR="003F5418" w14:paraId="77A2B25E" w14:textId="77777777">
        <w:trPr>
          <w:trHeight w:val="309"/>
        </w:trPr>
        <w:tc>
          <w:tcPr>
            <w:tcW w:w="1187" w:type="dxa"/>
            <w:shd w:val="clear" w:color="auto" w:fill="C6EFCE"/>
            <w:noWrap/>
            <w:vAlign w:val="center"/>
          </w:tcPr>
          <w:p w14:paraId="4D0A70ED" w14:textId="77777777" w:rsidR="003F5418" w:rsidRDefault="002A6C25">
            <w:pPr>
              <w:pStyle w:val="P68B1DB1-Normal4"/>
              <w:spacing w:after="120"/>
              <w:jc w:val="center"/>
              <w:rPr>
                <w:noProof/>
              </w:rPr>
            </w:pPr>
            <w:r>
              <w:rPr>
                <w:noProof/>
              </w:rPr>
              <w:t>M7–45. INTÉZKEDÉS</w:t>
            </w:r>
          </w:p>
        </w:tc>
        <w:tc>
          <w:tcPr>
            <w:tcW w:w="1559" w:type="dxa"/>
            <w:shd w:val="clear" w:color="auto" w:fill="C6EFCE"/>
            <w:noWrap/>
            <w:vAlign w:val="center"/>
          </w:tcPr>
          <w:p w14:paraId="249B1D13" w14:textId="77777777" w:rsidR="003F5418" w:rsidRDefault="002A6C25">
            <w:pPr>
              <w:pStyle w:val="P68B1DB1-Normal4"/>
              <w:spacing w:after="120"/>
              <w:jc w:val="center"/>
              <w:rPr>
                <w:noProof/>
              </w:rPr>
            </w:pPr>
            <w:r>
              <w:rPr>
                <w:noProof/>
              </w:rPr>
              <w:t xml:space="preserve">Beruházás: A kkv-k megújuló </w:t>
            </w:r>
            <w:r>
              <w:rPr>
                <w:noProof/>
              </w:rPr>
              <w:t>energiaforrásokból történő saját termeléséhez nyújtott támogatás</w:t>
            </w:r>
          </w:p>
        </w:tc>
        <w:tc>
          <w:tcPr>
            <w:tcW w:w="1134" w:type="dxa"/>
            <w:shd w:val="clear" w:color="auto" w:fill="C6EFCE"/>
            <w:noWrap/>
            <w:vAlign w:val="center"/>
          </w:tcPr>
          <w:p w14:paraId="6DB727BC" w14:textId="77777777" w:rsidR="003F5418" w:rsidRDefault="002A6C25">
            <w:pPr>
              <w:pStyle w:val="P68B1DB1-Normal4"/>
              <w:spacing w:after="120"/>
              <w:jc w:val="center"/>
              <w:rPr>
                <w:noProof/>
              </w:rPr>
            </w:pPr>
            <w:r>
              <w:rPr>
                <w:noProof/>
              </w:rPr>
              <w:t>Cél</w:t>
            </w:r>
          </w:p>
        </w:tc>
        <w:tc>
          <w:tcPr>
            <w:tcW w:w="1417" w:type="dxa"/>
            <w:shd w:val="clear" w:color="auto" w:fill="C6EFCE"/>
            <w:noWrap/>
            <w:vAlign w:val="center"/>
          </w:tcPr>
          <w:p w14:paraId="267C3C3A" w14:textId="5391B647" w:rsidR="003F5418" w:rsidRDefault="002A6C25">
            <w:pPr>
              <w:pStyle w:val="P68B1DB1-Normal4"/>
              <w:spacing w:after="120"/>
              <w:jc w:val="center"/>
              <w:rPr>
                <w:noProof/>
              </w:rPr>
            </w:pPr>
            <w:r>
              <w:rPr>
                <w:noProof/>
              </w:rPr>
              <w:t>Jogi megállapodások a végső kedvezményezettekkel</w:t>
            </w:r>
          </w:p>
        </w:tc>
        <w:tc>
          <w:tcPr>
            <w:tcW w:w="1701" w:type="dxa"/>
            <w:shd w:val="clear" w:color="auto" w:fill="C6EFCE"/>
            <w:noWrap/>
            <w:vAlign w:val="center"/>
          </w:tcPr>
          <w:p w14:paraId="071F4A53" w14:textId="180A97F7" w:rsidR="003F5418" w:rsidRDefault="002A6C25">
            <w:pPr>
              <w:pStyle w:val="P68B1DB1-Normal4"/>
              <w:spacing w:after="120"/>
              <w:jc w:val="center"/>
              <w:rPr>
                <w:noProof/>
              </w:rPr>
            </w:pPr>
            <w:r>
              <w:rPr>
                <w:noProof/>
              </w:rPr>
              <w:t>NINCS</w:t>
            </w:r>
          </w:p>
        </w:tc>
        <w:tc>
          <w:tcPr>
            <w:tcW w:w="1276" w:type="dxa"/>
            <w:shd w:val="clear" w:color="auto" w:fill="C6EFCE"/>
            <w:noWrap/>
            <w:vAlign w:val="center"/>
          </w:tcPr>
          <w:p w14:paraId="173B5130" w14:textId="69748DDC" w:rsidR="003F5418" w:rsidRDefault="002A6C25">
            <w:pPr>
              <w:pStyle w:val="P68B1DB1-Normal4"/>
              <w:jc w:val="center"/>
              <w:rPr>
                <w:noProof/>
              </w:rPr>
            </w:pPr>
            <w:r>
              <w:rPr>
                <w:noProof/>
              </w:rPr>
              <w:t>Százalék(%)</w:t>
            </w:r>
          </w:p>
        </w:tc>
        <w:tc>
          <w:tcPr>
            <w:tcW w:w="992" w:type="dxa"/>
            <w:shd w:val="clear" w:color="auto" w:fill="C6EFCE"/>
            <w:noWrap/>
            <w:vAlign w:val="center"/>
          </w:tcPr>
          <w:p w14:paraId="59A65416" w14:textId="77777777" w:rsidR="003F5418" w:rsidRDefault="002A6C25">
            <w:pPr>
              <w:pStyle w:val="P68B1DB1-Normal4"/>
              <w:spacing w:after="120"/>
              <w:jc w:val="center"/>
              <w:rPr>
                <w:noProof/>
              </w:rPr>
            </w:pPr>
            <w:r>
              <w:rPr>
                <w:noProof/>
              </w:rPr>
              <w:t>0</w:t>
            </w:r>
          </w:p>
        </w:tc>
        <w:tc>
          <w:tcPr>
            <w:tcW w:w="1276" w:type="dxa"/>
            <w:shd w:val="clear" w:color="auto" w:fill="C6EFCE"/>
            <w:noWrap/>
            <w:vAlign w:val="center"/>
          </w:tcPr>
          <w:p w14:paraId="5CF4ABEE" w14:textId="77777777" w:rsidR="003F5418" w:rsidRDefault="002A6C25">
            <w:pPr>
              <w:pStyle w:val="P68B1DB1-Normal4"/>
              <w:spacing w:after="120"/>
              <w:jc w:val="center"/>
              <w:rPr>
                <w:noProof/>
              </w:rPr>
            </w:pPr>
            <w:r>
              <w:rPr>
                <w:noProof/>
              </w:rPr>
              <w:t>100%-OS</w:t>
            </w:r>
          </w:p>
        </w:tc>
        <w:tc>
          <w:tcPr>
            <w:tcW w:w="851" w:type="dxa"/>
            <w:shd w:val="clear" w:color="auto" w:fill="C6EFCE"/>
            <w:noWrap/>
            <w:vAlign w:val="center"/>
          </w:tcPr>
          <w:p w14:paraId="31749E6E" w14:textId="77777777" w:rsidR="003F5418" w:rsidRDefault="002A6C25">
            <w:pPr>
              <w:pStyle w:val="P68B1DB1-Normal4"/>
              <w:spacing w:after="120"/>
              <w:jc w:val="center"/>
              <w:rPr>
                <w:noProof/>
              </w:rPr>
            </w:pPr>
            <w:r>
              <w:rPr>
                <w:noProof/>
              </w:rPr>
              <w:t>Q2</w:t>
            </w:r>
          </w:p>
        </w:tc>
        <w:tc>
          <w:tcPr>
            <w:tcW w:w="708" w:type="dxa"/>
            <w:shd w:val="clear" w:color="auto" w:fill="C6EFCE"/>
            <w:noWrap/>
            <w:vAlign w:val="center"/>
          </w:tcPr>
          <w:p w14:paraId="61EEBB0D" w14:textId="77777777" w:rsidR="003F5418" w:rsidRDefault="002A6C25">
            <w:pPr>
              <w:pStyle w:val="P68B1DB1-Normal4"/>
              <w:spacing w:after="120"/>
              <w:jc w:val="center"/>
              <w:rPr>
                <w:noProof/>
              </w:rPr>
            </w:pPr>
            <w:r>
              <w:rPr>
                <w:noProof/>
              </w:rPr>
              <w:t>2026</w:t>
            </w:r>
          </w:p>
        </w:tc>
        <w:tc>
          <w:tcPr>
            <w:tcW w:w="3261" w:type="dxa"/>
            <w:shd w:val="clear" w:color="auto" w:fill="C6EFCE"/>
            <w:noWrap/>
            <w:vAlign w:val="center"/>
          </w:tcPr>
          <w:p w14:paraId="1E8ABA71" w14:textId="3773146D" w:rsidR="003F5418" w:rsidRDefault="002A6C25">
            <w:pPr>
              <w:pStyle w:val="P68B1DB1-Normal4"/>
              <w:spacing w:after="120"/>
              <w:rPr>
                <w:noProof/>
              </w:rPr>
            </w:pPr>
            <w:r>
              <w:rPr>
                <w:noProof/>
              </w:rPr>
              <w:t>Az Invitalia S.p.A. jogi megállapodásokat köt a végső kedvezményezettekkel</w:t>
            </w:r>
            <w:r>
              <w:rPr>
                <w:noProof/>
              </w:rPr>
              <w:t xml:space="preserve"> az RRF-beruházás 100%-ának a rendszerbe történő felhasználásához szükséges összegről (figyelembe véve az irányítási díjakat). </w:t>
            </w:r>
          </w:p>
          <w:p w14:paraId="078AEC95" w14:textId="77777777" w:rsidR="003F5418" w:rsidRDefault="002A6C25">
            <w:pPr>
              <w:pStyle w:val="P68B1DB1-Normal4"/>
              <w:spacing w:after="120"/>
              <w:rPr>
                <w:noProof/>
              </w:rPr>
            </w:pPr>
            <w:r>
              <w:rPr>
                <w:noProof/>
              </w:rPr>
              <w:t>Az Invitalia S.p.A. a Helyreállítási és Rezilienciaépítési Eszközről szóló rendelet VI. mellékletében foglalt módszertan alkalma</w:t>
            </w:r>
            <w:r>
              <w:rPr>
                <w:noProof/>
              </w:rPr>
              <w:t>zásával jelentést készít, amelyben részletezi e finanszírozás azon százalékos arányát, amely hozzájárul az éghajlat-politikai célkitűzésekhez.</w:t>
            </w:r>
          </w:p>
        </w:tc>
      </w:tr>
      <w:tr w:rsidR="003F5418" w14:paraId="7A6D0D08"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A1C0BA" w14:textId="77777777" w:rsidR="003F5418" w:rsidRDefault="002A6C25">
            <w:pPr>
              <w:pStyle w:val="P68B1DB1-Normal4"/>
              <w:spacing w:after="120"/>
              <w:jc w:val="center"/>
              <w:rPr>
                <w:noProof/>
              </w:rPr>
            </w:pPr>
            <w:r>
              <w:rPr>
                <w:noProof/>
              </w:rPr>
              <w:t>M7–46. INTÉZKEDÉS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6B6DB8" w14:textId="77777777" w:rsidR="003F5418" w:rsidRDefault="002A6C25">
            <w:pPr>
              <w:pStyle w:val="P68B1DB1-Normal4"/>
              <w:spacing w:after="120"/>
              <w:jc w:val="center"/>
              <w:rPr>
                <w:noProof/>
              </w:rPr>
            </w:pPr>
            <w:r>
              <w:rPr>
                <w:noProof/>
              </w:rPr>
              <w:t>Beruházás: Az állami és szociális lakások energetikai felújítására szolgáló pénzügyi eszköz</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5D16FD" w14:textId="77777777" w:rsidR="003F5418" w:rsidRDefault="002A6C25">
            <w:pPr>
              <w:pStyle w:val="P68B1DB1-Normal4"/>
              <w:spacing w:after="120"/>
              <w:jc w:val="center"/>
              <w:rPr>
                <w:noProof/>
              </w:rPr>
            </w:pPr>
            <w:r>
              <w:rPr>
                <w:noProof/>
              </w:rPr>
              <w:t>Mérföldkő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47DE60" w14:textId="77777777" w:rsidR="003F5418" w:rsidRDefault="002A6C25">
            <w:pPr>
              <w:pStyle w:val="P68B1DB1-Normal4"/>
              <w:spacing w:after="120"/>
              <w:jc w:val="center"/>
              <w:rPr>
                <w:noProof/>
              </w:rPr>
            </w:pPr>
            <w:r>
              <w:rPr>
                <w:noProof/>
              </w:rPr>
              <w:t>A feladatmeghatározás céljának meghatározása</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2AC304" w14:textId="77777777" w:rsidR="003F5418" w:rsidRDefault="002A6C25">
            <w:pPr>
              <w:pStyle w:val="P68B1DB1-Normal4"/>
              <w:spacing w:after="120"/>
              <w:jc w:val="center"/>
              <w:rPr>
                <w:noProof/>
              </w:rPr>
            </w:pPr>
            <w:r>
              <w:rPr>
                <w:noProof/>
              </w:rPr>
              <w:t>A pénzügyi eszköz feladatmeghatározásának meghatározásával rendelkező jogi aktus hatálybalépése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886EDC" w14:textId="77777777" w:rsidR="003F5418" w:rsidRDefault="003F5418">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511B1CF" w14:textId="77777777" w:rsidR="003F5418" w:rsidRDefault="003F541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DF1B67" w14:textId="77777777" w:rsidR="003F5418" w:rsidRDefault="003F5418">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2B2A04" w14:textId="77777777" w:rsidR="003F5418" w:rsidRDefault="002A6C25">
            <w:pPr>
              <w:pStyle w:val="P68B1DB1-Normal4"/>
              <w:spacing w:after="120"/>
              <w:jc w:val="center"/>
              <w:rPr>
                <w:noProof/>
              </w:rPr>
            </w:pPr>
            <w:r>
              <w:rPr>
                <w:noProof/>
              </w:rPr>
              <w:t>Q3</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F7AF00" w14:textId="77777777" w:rsidR="003F5418" w:rsidRDefault="002A6C25">
            <w:pPr>
              <w:pStyle w:val="P68B1DB1-Normal4"/>
              <w:spacing w:after="120"/>
              <w:jc w:val="center"/>
              <w:rPr>
                <w:noProof/>
              </w:rPr>
            </w:pPr>
            <w:r>
              <w:rPr>
                <w:noProof/>
              </w:rPr>
              <w:t>2024</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07015AC9" w14:textId="77777777" w:rsidR="003F5418" w:rsidRDefault="002A6C25">
            <w:pPr>
              <w:pStyle w:val="P68B1DB1-Normal4"/>
              <w:spacing w:after="120"/>
              <w:rPr>
                <w:noProof/>
              </w:rPr>
            </w:pPr>
            <w:r>
              <w:rPr>
                <w:noProof/>
              </w:rPr>
              <w:t xml:space="preserve">A pénzügyi eszköz feladatmeghatározásának meghatározása, amely a többlakásos épületekben az alacsony jövedelmű és kiszolgáltatott helyzetben lévő háztartásokban található állami és szociális lakásokra, valamint energetikai felújításokra irányul. </w:t>
            </w:r>
          </w:p>
          <w:p w14:paraId="5A0484F2" w14:textId="77777777" w:rsidR="003F5418" w:rsidRDefault="003F5418">
            <w:pPr>
              <w:spacing w:after="120"/>
              <w:rPr>
                <w:rFonts w:ascii="Arial Narrow" w:hAnsi="Arial Narrow"/>
                <w:noProof/>
                <w:color w:val="006100"/>
                <w:sz w:val="20"/>
              </w:rPr>
            </w:pPr>
          </w:p>
        </w:tc>
      </w:tr>
      <w:tr w:rsidR="003F5418" w14:paraId="284615D3"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499D2EF" w14:textId="77777777" w:rsidR="003F5418" w:rsidRDefault="002A6C25">
            <w:pPr>
              <w:pStyle w:val="P68B1DB1-Normal4"/>
              <w:spacing w:after="120"/>
              <w:jc w:val="center"/>
              <w:rPr>
                <w:noProof/>
              </w:rPr>
            </w:pPr>
            <w:r>
              <w:rPr>
                <w:noProof/>
              </w:rPr>
              <w:t xml:space="preserve">M7–47. </w:t>
            </w:r>
            <w:r>
              <w:rPr>
                <w:noProof/>
              </w:rPr>
              <w:t>INTÉZKEDÉS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3DEB5F" w14:textId="77777777" w:rsidR="003F5418" w:rsidRDefault="002A6C25">
            <w:pPr>
              <w:pStyle w:val="P68B1DB1-Normal4"/>
              <w:spacing w:after="120"/>
              <w:jc w:val="center"/>
              <w:rPr>
                <w:noProof/>
              </w:rPr>
            </w:pPr>
            <w:r>
              <w:rPr>
                <w:noProof/>
              </w:rPr>
              <w:t>Beruházás: Az állami és szociális lakások energetikai felújítására szolgáló pénzügyi eszköz</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7B7F77" w14:textId="77777777" w:rsidR="003F5418" w:rsidRDefault="002A6C25">
            <w:pPr>
              <w:pStyle w:val="P68B1DB1-Normal4"/>
              <w:spacing w:after="120"/>
              <w:jc w:val="center"/>
              <w:rPr>
                <w:noProof/>
              </w:rPr>
            </w:pPr>
            <w:r>
              <w:rPr>
                <w:noProof/>
              </w:rPr>
              <w:t>Mérföldkő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2D5DDE8" w14:textId="77777777" w:rsidR="003F5418" w:rsidRDefault="002A6C25">
            <w:pPr>
              <w:pStyle w:val="P68B1DB1-Normal4"/>
              <w:spacing w:after="120"/>
              <w:jc w:val="center"/>
              <w:rPr>
                <w:noProof/>
              </w:rPr>
            </w:pPr>
            <w:r>
              <w:rPr>
                <w:noProof/>
              </w:rPr>
              <w:t>Végrehajtási megállapodás</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AEF9C8" w14:textId="77777777" w:rsidR="003F5418" w:rsidRDefault="002A6C25">
            <w:pPr>
              <w:pStyle w:val="P68B1DB1-Normal4"/>
              <w:spacing w:after="120"/>
              <w:jc w:val="center"/>
              <w:rPr>
                <w:noProof/>
              </w:rPr>
            </w:pPr>
            <w:r>
              <w:rPr>
                <w:noProof/>
              </w:rPr>
              <w:t>A végrehajtási megállapodás hatálybalépése</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B121BC" w14:textId="77777777" w:rsidR="003F5418" w:rsidRDefault="003F5418">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667E5FE" w14:textId="77777777" w:rsidR="003F5418" w:rsidRDefault="003F541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EEF9B1" w14:textId="77777777" w:rsidR="003F5418" w:rsidRDefault="003F5418">
            <w:pPr>
              <w:spacing w:after="120"/>
              <w:jc w:val="center"/>
              <w:rPr>
                <w:rFonts w:ascii="Arial Narrow" w:hAnsi="Arial Narrow"/>
                <w:noProof/>
                <w:color w:val="006100"/>
                <w:sz w:val="20"/>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EDFE63" w14:textId="07811380" w:rsidR="003F5418" w:rsidRDefault="002A6C25">
            <w:pPr>
              <w:pStyle w:val="P68B1DB1-Normal4"/>
              <w:spacing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50099" w14:textId="474C3C18" w:rsidR="003F5418" w:rsidRDefault="002A6C25">
            <w:pPr>
              <w:pStyle w:val="P68B1DB1-Normal4"/>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F349EE3" w14:textId="77777777" w:rsidR="003F5418" w:rsidRDefault="002A6C25">
            <w:pPr>
              <w:pStyle w:val="P68B1DB1-Normal4"/>
              <w:spacing w:after="120"/>
              <w:jc w:val="both"/>
              <w:rPr>
                <w:noProof/>
              </w:rPr>
            </w:pPr>
            <w:r>
              <w:rPr>
                <w:noProof/>
              </w:rPr>
              <w:t xml:space="preserve">A végrehajtási megállapodás hatálybalépése az intézkedés </w:t>
            </w:r>
            <w:r>
              <w:rPr>
                <w:noProof/>
              </w:rPr>
              <w:t>leírásában meghatározott követelményeknek megfelelően.</w:t>
            </w:r>
          </w:p>
          <w:p w14:paraId="40C031DF" w14:textId="77777777" w:rsidR="003F5418" w:rsidRDefault="002A6C25">
            <w:pPr>
              <w:pStyle w:val="P68B1DB1-Normal4"/>
              <w:spacing w:after="120"/>
              <w:jc w:val="both"/>
              <w:rPr>
                <w:noProof/>
              </w:rPr>
            </w:pPr>
            <w:r>
              <w:rPr>
                <w:noProof/>
              </w:rPr>
              <w:t>A végrehajtási megállapodásnak tartalmaznia kell különösen az eszköz által elérendő minimális energiahatékonyság-javulásra (a primerenergia-igény legalább 30%-os csökkentésére) és a jogosult háztartáso</w:t>
            </w:r>
            <w:r>
              <w:rPr>
                <w:noProof/>
              </w:rPr>
              <w:t>kra (ahol a támogathatóság meghatározása a kiszolgáltatottságuk alapján történik).</w:t>
            </w:r>
          </w:p>
        </w:tc>
      </w:tr>
      <w:tr w:rsidR="003F5418" w14:paraId="7904DFA1"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C00304" w14:textId="77777777" w:rsidR="003F5418" w:rsidRDefault="002A6C25">
            <w:pPr>
              <w:pStyle w:val="P68B1DB1-Normal4"/>
              <w:spacing w:after="120"/>
              <w:jc w:val="center"/>
              <w:rPr>
                <w:noProof/>
              </w:rPr>
            </w:pPr>
            <w:r>
              <w:rPr>
                <w:noProof/>
              </w:rPr>
              <w:t>M7–48. INTÉZKEDÉS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8406F3F" w14:textId="77777777" w:rsidR="003F5418" w:rsidRDefault="002A6C25">
            <w:pPr>
              <w:pStyle w:val="P68B1DB1-Normal4"/>
              <w:spacing w:after="120"/>
              <w:jc w:val="center"/>
              <w:rPr>
                <w:noProof/>
              </w:rPr>
            </w:pPr>
            <w:r>
              <w:rPr>
                <w:noProof/>
              </w:rPr>
              <w:t>Beruházás: Az állami és szociális lakások energetikai felújítására szolgáló pénzügyi eszköz</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F87F9A" w14:textId="77777777" w:rsidR="003F5418" w:rsidRDefault="002A6C25">
            <w:pPr>
              <w:pStyle w:val="P68B1DB1-Normal4"/>
              <w:spacing w:after="120"/>
              <w:jc w:val="center"/>
              <w:rPr>
                <w:noProof/>
              </w:rPr>
            </w:pPr>
            <w:r>
              <w:rPr>
                <w:noProof/>
              </w:rPr>
              <w:t>Mérföldkő</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442E3C" w14:textId="77777777" w:rsidR="003F5418" w:rsidRDefault="002A6C25">
            <w:pPr>
              <w:pStyle w:val="P68B1DB1-Normal4"/>
              <w:spacing w:after="120"/>
              <w:jc w:val="center"/>
              <w:rPr>
                <w:noProof/>
              </w:rPr>
            </w:pPr>
            <w:r>
              <w:rPr>
                <w:noProof/>
              </w:rPr>
              <w:t>A minisztérium befejezte a beruházást</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4AE6DDF" w14:textId="77777777" w:rsidR="003F5418" w:rsidRDefault="002A6C25">
            <w:pPr>
              <w:pStyle w:val="P68B1DB1-Normal4"/>
              <w:spacing w:after="120"/>
              <w:jc w:val="center"/>
              <w:rPr>
                <w:noProof/>
              </w:rPr>
            </w:pPr>
            <w:r>
              <w:rPr>
                <w:noProof/>
              </w:rPr>
              <w:t xml:space="preserve">Átutalási </w:t>
            </w:r>
            <w:r>
              <w:rPr>
                <w:noProof/>
              </w:rPr>
              <w:t>igazolás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B9AEBA" w14:textId="2CBD6749" w:rsidR="003F5418" w:rsidRDefault="003F5418">
            <w:pPr>
              <w:spacing w:after="120"/>
              <w:jc w:val="center"/>
              <w:rPr>
                <w:rFonts w:ascii="Arial Narrow" w:hAnsi="Arial Narrow"/>
                <w:noProof/>
                <w:color w:val="006100"/>
                <w:sz w:val="20"/>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70B737" w14:textId="79303176" w:rsidR="003F5418" w:rsidRDefault="002A6C25">
            <w:pPr>
              <w:pStyle w:val="P68B1DB1-Normal4"/>
              <w:spacing w:after="120"/>
              <w:jc w:val="center"/>
              <w:rPr>
                <w:rFonts w:eastAsia="Arial Narrow" w:cs="Arial Narrow"/>
                <w:noProof/>
              </w:rPr>
            </w:pPr>
            <w:r>
              <w:rPr>
                <w:noProof/>
              </w:rPr>
              <w:t>NINCS</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3181D1" w14:textId="48E662D2" w:rsidR="003F5418" w:rsidRDefault="002A6C25">
            <w:pPr>
              <w:pStyle w:val="P68B1DB1-Normal4"/>
              <w:spacing w:after="120"/>
              <w:jc w:val="center"/>
              <w:rPr>
                <w:rFonts w:eastAsia="Arial Narrow" w:cs="Arial Narrow"/>
                <w:noProof/>
              </w:rPr>
            </w:pPr>
            <w:r>
              <w:rPr>
                <w:noProof/>
              </w:rPr>
              <w:t xml:space="preserve"> NINCS</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4DE853" w14:textId="7DD5D676" w:rsidR="003F5418" w:rsidRDefault="002A6C25">
            <w:pPr>
              <w:pStyle w:val="P68B1DB1-Normal4"/>
              <w:spacing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670DF" w14:textId="0F915937" w:rsidR="003F5418" w:rsidRDefault="002A6C25">
            <w:pPr>
              <w:pStyle w:val="P68B1DB1-Normal4"/>
              <w:spacing w:after="120"/>
              <w:jc w:val="center"/>
              <w:rPr>
                <w:noProof/>
              </w:rPr>
            </w:pPr>
            <w:r>
              <w:rPr>
                <w:noProof/>
              </w:rPr>
              <w:t>2025</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61B5081B" w14:textId="77777777" w:rsidR="003F5418" w:rsidRDefault="002A6C25">
            <w:pPr>
              <w:pStyle w:val="P68B1DB1-Normal4"/>
              <w:spacing w:after="120"/>
              <w:jc w:val="both"/>
              <w:rPr>
                <w:noProof/>
              </w:rPr>
            </w:pPr>
            <w:r>
              <w:rPr>
                <w:noProof/>
              </w:rPr>
              <w:t>Olaszország 1 381 000 000 EUR-t utal át az eszköz végrehajtó partnerének.</w:t>
            </w:r>
          </w:p>
        </w:tc>
      </w:tr>
      <w:tr w:rsidR="003F5418" w14:paraId="5A05B88E" w14:textId="77777777">
        <w:trPr>
          <w:trHeight w:val="309"/>
        </w:trPr>
        <w:tc>
          <w:tcPr>
            <w:tcW w:w="118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B040BF0" w14:textId="77777777" w:rsidR="003F5418" w:rsidRDefault="002A6C25">
            <w:pPr>
              <w:pStyle w:val="P68B1DB1-Normal4"/>
              <w:spacing w:after="120"/>
              <w:jc w:val="center"/>
              <w:rPr>
                <w:noProof/>
              </w:rPr>
            </w:pPr>
            <w:r>
              <w:rPr>
                <w:noProof/>
              </w:rPr>
              <w:t>M7–49. INTÉZKEDÉS</w:t>
            </w:r>
          </w:p>
        </w:tc>
        <w:tc>
          <w:tcPr>
            <w:tcW w:w="155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4AD81E" w14:textId="77777777" w:rsidR="003F5418" w:rsidRDefault="002A6C25">
            <w:pPr>
              <w:pStyle w:val="P68B1DB1-Normal4"/>
              <w:spacing w:after="120"/>
              <w:jc w:val="center"/>
              <w:rPr>
                <w:noProof/>
              </w:rPr>
            </w:pPr>
            <w:r>
              <w:rPr>
                <w:noProof/>
              </w:rPr>
              <w:t>Beruházás: Az állami és szociális lakások energetikai felújítására szolgáló pénzügyi eszköz</w:t>
            </w:r>
          </w:p>
        </w:tc>
        <w:tc>
          <w:tcPr>
            <w:tcW w:w="1134"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351E03F" w14:textId="77777777" w:rsidR="003F5418" w:rsidRDefault="002A6C25">
            <w:pPr>
              <w:pStyle w:val="P68B1DB1-Normal4"/>
              <w:spacing w:after="120"/>
              <w:jc w:val="center"/>
              <w:rPr>
                <w:noProof/>
              </w:rPr>
            </w:pPr>
            <w:r>
              <w:rPr>
                <w:noProof/>
              </w:rPr>
              <w:t>Cél</w:t>
            </w:r>
          </w:p>
        </w:tc>
        <w:tc>
          <w:tcPr>
            <w:tcW w:w="141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14B9B7" w14:textId="77777777" w:rsidR="003F5418" w:rsidRDefault="002A6C25">
            <w:pPr>
              <w:pStyle w:val="P68B1DB1-Normal4"/>
              <w:spacing w:after="120"/>
              <w:jc w:val="center"/>
              <w:rPr>
                <w:noProof/>
              </w:rPr>
            </w:pPr>
            <w:r>
              <w:rPr>
                <w:noProof/>
              </w:rPr>
              <w:t xml:space="preserve">A végső kedvezményezettekkel aláírt </w:t>
            </w:r>
            <w:r>
              <w:rPr>
                <w:noProof/>
              </w:rPr>
              <w:t>jogi megállapodások</w:t>
            </w:r>
          </w:p>
        </w:tc>
        <w:tc>
          <w:tcPr>
            <w:tcW w:w="170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255961" w14:textId="77777777" w:rsidR="003F5418" w:rsidRDefault="003F5418">
            <w:pPr>
              <w:spacing w:after="120"/>
              <w:jc w:val="center"/>
              <w:rPr>
                <w:rFonts w:ascii="Arial Narrow" w:hAnsi="Arial Narrow"/>
                <w:noProof/>
                <w:color w:val="006100"/>
                <w:sz w:val="20"/>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0E2A50B" w14:textId="77777777" w:rsidR="003F5418" w:rsidRDefault="002A6C25">
            <w:pPr>
              <w:pStyle w:val="P68B1DB1-Normal4"/>
              <w:spacing w:after="120"/>
              <w:jc w:val="center"/>
              <w:rPr>
                <w:noProof/>
              </w:rPr>
            </w:pPr>
            <w:r>
              <w:rPr>
                <w:noProof/>
              </w:rPr>
              <w:t>Százalék (%)</w:t>
            </w:r>
          </w:p>
        </w:tc>
        <w:tc>
          <w:tcPr>
            <w:tcW w:w="992"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E289CA" w14:textId="77777777" w:rsidR="003F5418" w:rsidRDefault="002A6C25">
            <w:pPr>
              <w:pStyle w:val="P68B1DB1-Normal4"/>
              <w:spacing w:after="120"/>
              <w:jc w:val="center"/>
              <w:rPr>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CCC85A" w14:textId="77777777" w:rsidR="003F5418" w:rsidRDefault="002A6C25">
            <w:pPr>
              <w:pStyle w:val="P68B1DB1-Normal4"/>
              <w:spacing w:after="120"/>
              <w:jc w:val="center"/>
              <w:rPr>
                <w:noProof/>
              </w:rPr>
            </w:pPr>
            <w:r>
              <w:rPr>
                <w:noProof/>
              </w:rPr>
              <w:t>100%-OS</w:t>
            </w:r>
          </w:p>
        </w:tc>
        <w:tc>
          <w:tcPr>
            <w:tcW w:w="851"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D2EE07C" w14:textId="77777777" w:rsidR="003F5418" w:rsidRDefault="002A6C25">
            <w:pPr>
              <w:pStyle w:val="P68B1DB1-Normal4"/>
              <w:spacing w:after="120"/>
              <w:jc w:val="center"/>
              <w:rPr>
                <w:noProof/>
              </w:rPr>
            </w:pPr>
            <w:r>
              <w:rPr>
                <w:noProof/>
              </w:rPr>
              <w:t>Q2</w:t>
            </w:r>
          </w:p>
        </w:tc>
        <w:tc>
          <w:tcPr>
            <w:tcW w:w="70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66F34D" w14:textId="77777777" w:rsidR="003F5418" w:rsidRDefault="002A6C25">
            <w:pPr>
              <w:pStyle w:val="P68B1DB1-Normal4"/>
              <w:spacing w:after="120"/>
              <w:jc w:val="center"/>
              <w:rPr>
                <w:noProof/>
              </w:rPr>
            </w:pPr>
            <w:r>
              <w:rPr>
                <w:noProof/>
              </w:rPr>
              <w:t>2026</w:t>
            </w:r>
          </w:p>
        </w:tc>
        <w:tc>
          <w:tcPr>
            <w:tcW w:w="3261" w:type="dxa"/>
            <w:tcBorders>
              <w:top w:val="single" w:sz="4" w:space="0" w:color="auto"/>
              <w:left w:val="single" w:sz="4" w:space="0" w:color="auto"/>
              <w:bottom w:val="single" w:sz="4" w:space="0" w:color="auto"/>
              <w:right w:val="single" w:sz="4" w:space="0" w:color="auto"/>
            </w:tcBorders>
            <w:shd w:val="clear" w:color="auto" w:fill="C6EFCE"/>
            <w:noWrap/>
          </w:tcPr>
          <w:p w14:paraId="1A90AD5D" w14:textId="77777777" w:rsidR="003F5418" w:rsidRDefault="002A6C25">
            <w:pPr>
              <w:pStyle w:val="P68B1DB1-Normal4"/>
              <w:spacing w:after="120"/>
              <w:jc w:val="both"/>
              <w:rPr>
                <w:noProof/>
              </w:rPr>
            </w:pPr>
            <w:r>
              <w:rPr>
                <w:noProof/>
              </w:rPr>
              <w:t>A végrehajtó partnernek jogi finanszírozási megállapodásokat kell kötnie az energiaszolgáltató vállalatokkal (ESCO-k) az RRF-beruházás 100%-ának az eszközbe történő felhasználásához szükséges összegről (</w:t>
            </w:r>
            <w:r>
              <w:rPr>
                <w:noProof/>
              </w:rPr>
              <w:t>figyelembe véve az irányítási díjakat).</w:t>
            </w:r>
          </w:p>
          <w:p w14:paraId="3B577AD6" w14:textId="77777777" w:rsidR="003F5418" w:rsidRDefault="002A6C25">
            <w:pPr>
              <w:pStyle w:val="P68B1DB1-Normal4"/>
              <w:spacing w:after="120"/>
              <w:jc w:val="both"/>
              <w:rPr>
                <w:noProof/>
              </w:rPr>
            </w:pPr>
            <w:r>
              <w:rPr>
                <w:noProof/>
              </w:rPr>
              <w:t>Az energiaszolgáltató vállalatokkal kötött finanszírozási megállapodásban meg kell határozni az energiahatékonysági felújítás tárgyát képező eszközt.</w:t>
            </w:r>
          </w:p>
          <w:p w14:paraId="26104A79" w14:textId="77777777" w:rsidR="003F5418" w:rsidRDefault="002A6C25">
            <w:pPr>
              <w:pStyle w:val="P68B1DB1-Normal4"/>
              <w:spacing w:after="120"/>
              <w:jc w:val="both"/>
              <w:rPr>
                <w:noProof/>
              </w:rPr>
            </w:pPr>
            <w:r>
              <w:rPr>
                <w:noProof/>
              </w:rPr>
              <w:t>E finanszírozás 100%-ának a Helyreállítási és Rezilienciaépítési E</w:t>
            </w:r>
            <w:r>
              <w:rPr>
                <w:noProof/>
              </w:rPr>
              <w:t>szközről szóló rendelet VI. mellékletében foglalt módszertan alkalmazásával az éghajlat-politikai célkitűzésekhez kell hozzájárulnia.</w:t>
            </w:r>
          </w:p>
        </w:tc>
      </w:tr>
    </w:tbl>
    <w:p w14:paraId="28860D0F" w14:textId="77777777" w:rsidR="003F5418" w:rsidRDefault="003F5418">
      <w:pPr>
        <w:spacing w:after="120"/>
        <w:jc w:val="both"/>
        <w:rPr>
          <w:rFonts w:ascii="Calibri" w:eastAsia="Calibri" w:hAnsi="Calibri" w:cs="Calibri"/>
          <w:noProof/>
          <w:color w:val="000000" w:themeColor="text1"/>
        </w:rPr>
        <w:sectPr w:rsidR="003F5418">
          <w:headerReference w:type="even" r:id="rId429"/>
          <w:headerReference w:type="default" r:id="rId430"/>
          <w:footerReference w:type="even" r:id="rId431"/>
          <w:footerReference w:type="default" r:id="rId432"/>
          <w:headerReference w:type="first" r:id="rId433"/>
          <w:footerReference w:type="first" r:id="rId434"/>
          <w:pgSz w:w="16838" w:h="11906" w:orient="landscape" w:code="12"/>
          <w:pgMar w:top="1440" w:right="1440" w:bottom="1440" w:left="1440" w:header="567" w:footer="567" w:gutter="0"/>
          <w:cols w:space="720"/>
          <w:docGrid w:linePitch="360"/>
        </w:sectPr>
      </w:pPr>
    </w:p>
    <w:p w14:paraId="76963F96" w14:textId="77777777" w:rsidR="003F5418" w:rsidRDefault="002A6C25">
      <w:pPr>
        <w:pStyle w:val="Heading1"/>
        <w:rPr>
          <w:noProof/>
        </w:rPr>
      </w:pPr>
      <w:r>
        <w:rPr>
          <w:noProof/>
        </w:rPr>
        <w:t xml:space="preserve">A helyreállítási és rezilienciaépítési terv becsült összköltsége </w:t>
      </w:r>
    </w:p>
    <w:p w14:paraId="7D124BA2" w14:textId="492A076C" w:rsidR="003F5418" w:rsidRDefault="002A6C25">
      <w:pPr>
        <w:pStyle w:val="P68B1DB1-Normal32"/>
        <w:spacing w:before="120" w:after="120"/>
        <w:jc w:val="both"/>
        <w:rPr>
          <w:noProof/>
        </w:rPr>
      </w:pPr>
      <w:r>
        <w:rPr>
          <w:noProof/>
        </w:rPr>
        <w:t>Olaszország helyreállítási és rezilienciaépítési tervének becsült összköltsége 194 415 951 466 EUR.</w:t>
      </w:r>
    </w:p>
    <w:p w14:paraId="603406DD" w14:textId="77777777" w:rsidR="003F5418" w:rsidRDefault="003F5418">
      <w:pPr>
        <w:spacing w:before="120" w:after="120"/>
        <w:jc w:val="both"/>
        <w:rPr>
          <w:noProof/>
          <w:sz w:val="23"/>
        </w:rPr>
      </w:pPr>
    </w:p>
    <w:p w14:paraId="41EC86A7" w14:textId="77777777" w:rsidR="003F5418" w:rsidRDefault="002A6C25">
      <w:pPr>
        <w:pStyle w:val="P68B1DB1-Normal33"/>
        <w:spacing w:before="120" w:after="120"/>
        <w:jc w:val="both"/>
        <w:rPr>
          <w:noProof/>
        </w:rPr>
      </w:pPr>
      <w:r>
        <w:rPr>
          <w:noProof/>
        </w:rPr>
        <w:t>2. SZAKASZ: PÉNZÜGYI TÁMOGATÁS</w:t>
      </w:r>
    </w:p>
    <w:p w14:paraId="29F697CD" w14:textId="77777777" w:rsidR="003F5418" w:rsidRDefault="002A6C25">
      <w:pPr>
        <w:pStyle w:val="P68B1DB1-NumPar134"/>
        <w:numPr>
          <w:ilvl w:val="0"/>
          <w:numId w:val="143"/>
        </w:numPr>
        <w:rPr>
          <w:noProof/>
        </w:rPr>
      </w:pPr>
      <w:r>
        <w:rPr>
          <w:noProof/>
        </w:rPr>
        <w:t>Pénzügyi hozzájárulás</w:t>
      </w:r>
    </w:p>
    <w:p w14:paraId="742A52DC" w14:textId="77777777" w:rsidR="003F5418" w:rsidRDefault="002A6C25">
      <w:pPr>
        <w:pStyle w:val="P68B1DB1-Normal35"/>
        <w:spacing w:before="120" w:after="120"/>
        <w:ind w:left="850"/>
        <w:jc w:val="both"/>
        <w:rPr>
          <w:noProof/>
        </w:rPr>
      </w:pPr>
      <w:r>
        <w:rPr>
          <w:noProof/>
        </w:rPr>
        <w:t>A 2. cikk (2) bekezdésében említett részösszegek szerkezete a következő:</w:t>
      </w:r>
    </w:p>
    <w:p w14:paraId="3CE91C9C" w14:textId="77777777" w:rsidR="003F5418" w:rsidRDefault="003F5418">
      <w:pPr>
        <w:spacing w:before="120" w:after="120"/>
        <w:ind w:left="850"/>
        <w:jc w:val="both"/>
        <w:rPr>
          <w:rFonts w:eastAsia="Calibri"/>
          <w:noProof/>
        </w:rPr>
      </w:pPr>
    </w:p>
    <w:p w14:paraId="16B9B564" w14:textId="77777777" w:rsidR="003F5418" w:rsidRDefault="002A6C25">
      <w:pPr>
        <w:pStyle w:val="P68B1DB1-Normal35"/>
        <w:numPr>
          <w:ilvl w:val="1"/>
          <w:numId w:val="6"/>
        </w:numPr>
        <w:spacing w:before="120" w:after="120"/>
        <w:jc w:val="both"/>
        <w:rPr>
          <w:noProof/>
        </w:rPr>
      </w:pPr>
      <w:r>
        <w:rPr>
          <w:noProof/>
        </w:rPr>
        <w:t xml:space="preserve">Első részösszeg (vissza nem </w:t>
      </w:r>
      <w:r>
        <w:rPr>
          <w:noProof/>
        </w:rPr>
        <w:t>térítendő támogatás):</w:t>
      </w:r>
    </w:p>
    <w:tbl>
      <w:tblPr>
        <w:tblW w:w="9663" w:type="dxa"/>
        <w:tblInd w:w="113" w:type="dxa"/>
        <w:tblLook w:val="04A0" w:firstRow="1" w:lastRow="0" w:firstColumn="1" w:lastColumn="0" w:noHBand="0" w:noVBand="1"/>
      </w:tblPr>
      <w:tblGrid>
        <w:gridCol w:w="1413"/>
        <w:gridCol w:w="3118"/>
        <w:gridCol w:w="1418"/>
        <w:gridCol w:w="3714"/>
      </w:tblGrid>
      <w:tr w:rsidR="003F5418" w14:paraId="565C95E7"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706D5B"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02676"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5702DA6" w14:textId="77777777" w:rsidR="003F5418" w:rsidRDefault="002A6C25">
            <w:pPr>
              <w:pStyle w:val="P68B1DB1-Normal36"/>
              <w:jc w:val="center"/>
              <w:rPr>
                <w:noProof/>
              </w:rPr>
            </w:pPr>
            <w:r>
              <w:rPr>
                <w:noProof/>
              </w:rPr>
              <w:t>Mérföldkő/cél</w:t>
            </w:r>
          </w:p>
        </w:tc>
        <w:tc>
          <w:tcPr>
            <w:tcW w:w="371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93F64C" w14:textId="77777777" w:rsidR="003F5418" w:rsidRDefault="002A6C25">
            <w:pPr>
              <w:pStyle w:val="P68B1DB1-Normal36"/>
              <w:jc w:val="center"/>
              <w:rPr>
                <w:noProof/>
              </w:rPr>
            </w:pPr>
            <w:r>
              <w:rPr>
                <w:noProof/>
              </w:rPr>
              <w:t>Név</w:t>
            </w:r>
          </w:p>
        </w:tc>
      </w:tr>
      <w:tr w:rsidR="003F5418" w14:paraId="40DAFB78"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8EFA605"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CC0E542"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F27EDD7" w14:textId="77777777" w:rsidR="003F5418" w:rsidRDefault="003F5418">
            <w:pPr>
              <w:rPr>
                <w:b/>
                <w:noProof/>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69DC3B47" w14:textId="77777777" w:rsidR="003F5418" w:rsidRDefault="003F5418">
            <w:pPr>
              <w:rPr>
                <w:b/>
                <w:noProof/>
              </w:rPr>
            </w:pPr>
          </w:p>
        </w:tc>
      </w:tr>
      <w:tr w:rsidR="003F5418" w14:paraId="2503BE75"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BEDFAEB" w14:textId="77777777" w:rsidR="003F5418" w:rsidRDefault="002A6C25">
            <w:pPr>
              <w:pStyle w:val="P68B1DB1-Normal9"/>
              <w:jc w:val="center"/>
              <w:rPr>
                <w:noProof/>
              </w:rPr>
            </w:pPr>
            <w:r>
              <w:rPr>
                <w:noProof/>
              </w:rPr>
              <w:t>M1C1–51</w:t>
            </w:r>
          </w:p>
        </w:tc>
        <w:tc>
          <w:tcPr>
            <w:tcW w:w="3118" w:type="dxa"/>
            <w:tcBorders>
              <w:top w:val="single" w:sz="4" w:space="0" w:color="auto"/>
              <w:left w:val="nil"/>
              <w:bottom w:val="single" w:sz="4" w:space="0" w:color="auto"/>
              <w:right w:val="single" w:sz="4" w:space="0" w:color="auto"/>
            </w:tcBorders>
            <w:shd w:val="clear" w:color="auto" w:fill="C6EFCE"/>
            <w:noWrap/>
            <w:vAlign w:val="center"/>
            <w:hideMark/>
          </w:tcPr>
          <w:p w14:paraId="63BFD86B" w14:textId="77777777" w:rsidR="003F5418" w:rsidRDefault="002A6C25">
            <w:pPr>
              <w:pStyle w:val="P68B1DB1-Normal9"/>
              <w:rPr>
                <w:noProof/>
              </w:rPr>
            </w:pPr>
            <w:r>
              <w:rPr>
                <w:noProof/>
              </w:rPr>
              <w:t>Reform: A közigazgatás reformja</w:t>
            </w:r>
          </w:p>
        </w:tc>
        <w:tc>
          <w:tcPr>
            <w:tcW w:w="1418" w:type="dxa"/>
            <w:tcBorders>
              <w:top w:val="single" w:sz="4" w:space="0" w:color="auto"/>
              <w:left w:val="nil"/>
              <w:bottom w:val="single" w:sz="4" w:space="0" w:color="auto"/>
              <w:right w:val="single" w:sz="4" w:space="0" w:color="auto"/>
            </w:tcBorders>
            <w:shd w:val="clear" w:color="auto" w:fill="C6EFCE"/>
            <w:noWrap/>
            <w:vAlign w:val="center"/>
            <w:hideMark/>
          </w:tcPr>
          <w:p w14:paraId="51DE72E9" w14:textId="77777777" w:rsidR="003F5418" w:rsidRDefault="002A6C25">
            <w:pPr>
              <w:pStyle w:val="P68B1DB1-Normal9"/>
              <w:rPr>
                <w:noProof/>
              </w:rPr>
            </w:pPr>
            <w:r>
              <w:rPr>
                <w:noProof/>
              </w:rPr>
              <w:t>Mérföldkő</w:t>
            </w:r>
          </w:p>
        </w:tc>
        <w:tc>
          <w:tcPr>
            <w:tcW w:w="3714" w:type="dxa"/>
            <w:tcBorders>
              <w:top w:val="single" w:sz="4" w:space="0" w:color="auto"/>
              <w:left w:val="nil"/>
              <w:bottom w:val="single" w:sz="4" w:space="0" w:color="auto"/>
              <w:right w:val="single" w:sz="4" w:space="0" w:color="auto"/>
            </w:tcBorders>
            <w:shd w:val="clear" w:color="auto" w:fill="C6EFCE"/>
            <w:noWrap/>
            <w:vAlign w:val="center"/>
            <w:hideMark/>
          </w:tcPr>
          <w:p w14:paraId="5DEB4004" w14:textId="77777777" w:rsidR="003F5418" w:rsidRDefault="002A6C25">
            <w:pPr>
              <w:pStyle w:val="P68B1DB1-Normal9"/>
              <w:rPr>
                <w:noProof/>
              </w:rPr>
            </w:pPr>
            <w:r>
              <w:rPr>
                <w:noProof/>
              </w:rPr>
              <w:t>Az olasz helyreállítási és rezilienciaépítési</w:t>
            </w:r>
            <w:r>
              <w:rPr>
                <w:noProof/>
              </w:rPr>
              <w:t xml:space="preserve"> terv irányítására vonatkozó elsődleges jogszabályok hatálybalépése</w:t>
            </w:r>
          </w:p>
        </w:tc>
      </w:tr>
      <w:tr w:rsidR="003F5418" w14:paraId="64F2F67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1BAE62A7" w14:textId="77777777" w:rsidR="003F5418" w:rsidRDefault="002A6C25">
            <w:pPr>
              <w:pStyle w:val="P68B1DB1-Normal9"/>
              <w:jc w:val="center"/>
              <w:rPr>
                <w:noProof/>
              </w:rPr>
            </w:pPr>
            <w:r>
              <w:rPr>
                <w:noProof/>
              </w:rPr>
              <w:t>M1C1–52</w:t>
            </w:r>
          </w:p>
        </w:tc>
        <w:tc>
          <w:tcPr>
            <w:tcW w:w="3118" w:type="dxa"/>
            <w:tcBorders>
              <w:top w:val="nil"/>
              <w:left w:val="nil"/>
              <w:bottom w:val="single" w:sz="4" w:space="0" w:color="auto"/>
              <w:right w:val="single" w:sz="4" w:space="0" w:color="auto"/>
            </w:tcBorders>
            <w:shd w:val="clear" w:color="auto" w:fill="C6EFCE"/>
            <w:noWrap/>
            <w:vAlign w:val="center"/>
            <w:hideMark/>
          </w:tcPr>
          <w:p w14:paraId="0C0B5379"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hideMark/>
          </w:tcPr>
          <w:p w14:paraId="298E0247"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hideMark/>
          </w:tcPr>
          <w:p w14:paraId="47FA35E9" w14:textId="77777777" w:rsidR="003F5418" w:rsidRDefault="002A6C25">
            <w:pPr>
              <w:pStyle w:val="P68B1DB1-Normal9"/>
              <w:rPr>
                <w:noProof/>
              </w:rPr>
            </w:pPr>
            <w:r>
              <w:rPr>
                <w:noProof/>
              </w:rPr>
              <w:t>Az olasz helyreállítási és rezilienciaépítési terv végrehajtására vonatkozó adminisztratív eljárások egyszerűsítéséről szóló elsődleges j</w:t>
            </w:r>
            <w:r>
              <w:rPr>
                <w:noProof/>
              </w:rPr>
              <w:t>ogszabályok hatálybalépése.</w:t>
            </w:r>
          </w:p>
        </w:tc>
      </w:tr>
      <w:tr w:rsidR="003F5418" w14:paraId="70C2D3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hideMark/>
          </w:tcPr>
          <w:p w14:paraId="57E75195" w14:textId="77777777" w:rsidR="003F5418" w:rsidRDefault="002A6C25">
            <w:pPr>
              <w:pStyle w:val="P68B1DB1-Normal9"/>
              <w:jc w:val="center"/>
              <w:rPr>
                <w:noProof/>
              </w:rPr>
            </w:pPr>
            <w:r>
              <w:rPr>
                <w:noProof/>
              </w:rPr>
              <w:t>M1C1–53</w:t>
            </w:r>
          </w:p>
        </w:tc>
        <w:tc>
          <w:tcPr>
            <w:tcW w:w="3118" w:type="dxa"/>
            <w:tcBorders>
              <w:top w:val="nil"/>
              <w:left w:val="nil"/>
              <w:bottom w:val="single" w:sz="4" w:space="0" w:color="auto"/>
              <w:right w:val="single" w:sz="4" w:space="0" w:color="auto"/>
            </w:tcBorders>
            <w:shd w:val="clear" w:color="auto" w:fill="C6EFCE"/>
            <w:noWrap/>
            <w:vAlign w:val="center"/>
            <w:hideMark/>
          </w:tcPr>
          <w:p w14:paraId="6031AD19" w14:textId="77777777" w:rsidR="003F5418" w:rsidRDefault="002A6C25">
            <w:pPr>
              <w:pStyle w:val="P68B1DB1-Normal9"/>
              <w:rPr>
                <w:noProof/>
              </w:rPr>
            </w:pPr>
            <w:r>
              <w:rPr>
                <w:noProof/>
              </w:rPr>
              <w:t>Beruházás: Technikai segítségnyújtás és kapacitásépítés megerősítése az olasz helyreállítási és rezilienciaépítési terv végrehajtásához</w:t>
            </w:r>
          </w:p>
        </w:tc>
        <w:tc>
          <w:tcPr>
            <w:tcW w:w="1418" w:type="dxa"/>
            <w:tcBorders>
              <w:top w:val="nil"/>
              <w:left w:val="nil"/>
              <w:bottom w:val="single" w:sz="4" w:space="0" w:color="auto"/>
              <w:right w:val="single" w:sz="4" w:space="0" w:color="auto"/>
            </w:tcBorders>
            <w:shd w:val="clear" w:color="auto" w:fill="C6EFCE"/>
            <w:noWrap/>
            <w:vAlign w:val="center"/>
            <w:hideMark/>
          </w:tcPr>
          <w:p w14:paraId="6CCA8E77"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hideMark/>
          </w:tcPr>
          <w:p w14:paraId="31C86B22" w14:textId="77777777" w:rsidR="003F5418" w:rsidRDefault="002A6C25">
            <w:pPr>
              <w:pStyle w:val="P68B1DB1-Normal9"/>
              <w:rPr>
                <w:noProof/>
              </w:rPr>
            </w:pPr>
            <w:r>
              <w:rPr>
                <w:noProof/>
              </w:rPr>
              <w:t xml:space="preserve">Az elsődleges jogszabályok hatálybalépése az olasz helyreállítási és </w:t>
            </w:r>
            <w:r>
              <w:rPr>
                <w:noProof/>
              </w:rPr>
              <w:t>rezilienciaépítési terv végrehajtásához szükséges technikai segítségnyújtás és kapacitásépítés megerősítése érdekében</w:t>
            </w:r>
          </w:p>
        </w:tc>
      </w:tr>
      <w:tr w:rsidR="003F5418" w14:paraId="754D02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3C1255" w14:textId="77777777" w:rsidR="003F5418" w:rsidRDefault="002A6C25">
            <w:pPr>
              <w:pStyle w:val="P68B1DB1-Normal9"/>
              <w:jc w:val="center"/>
              <w:rPr>
                <w:noProof/>
              </w:rPr>
            </w:pPr>
            <w:r>
              <w:rPr>
                <w:noProof/>
              </w:rPr>
              <w:t>M1C1–69</w:t>
            </w:r>
          </w:p>
        </w:tc>
        <w:tc>
          <w:tcPr>
            <w:tcW w:w="3118" w:type="dxa"/>
            <w:tcBorders>
              <w:top w:val="nil"/>
              <w:left w:val="nil"/>
              <w:bottom w:val="single" w:sz="4" w:space="0" w:color="auto"/>
              <w:right w:val="single" w:sz="4" w:space="0" w:color="auto"/>
            </w:tcBorders>
            <w:shd w:val="clear" w:color="auto" w:fill="C6EFCE"/>
            <w:noWrap/>
            <w:vAlign w:val="center"/>
          </w:tcPr>
          <w:p w14:paraId="04983600"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5E5C5FDC"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18D66E2A" w14:textId="77777777" w:rsidR="003F5418" w:rsidRDefault="002A6C25">
            <w:pPr>
              <w:pStyle w:val="P68B1DB1-Normal9"/>
              <w:rPr>
                <w:noProof/>
              </w:rPr>
            </w:pPr>
            <w:r>
              <w:rPr>
                <w:noProof/>
              </w:rPr>
              <w:t>A közbeszerzési rendszer egyszerűsítéséről szóló rendelet hatálybalépése</w:t>
            </w:r>
          </w:p>
        </w:tc>
      </w:tr>
      <w:tr w:rsidR="003F5418" w14:paraId="276933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6C49EA" w14:textId="77777777" w:rsidR="003F5418" w:rsidRDefault="002A6C25">
            <w:pPr>
              <w:pStyle w:val="P68B1DB1-Normal9"/>
              <w:jc w:val="center"/>
              <w:rPr>
                <w:noProof/>
              </w:rPr>
            </w:pPr>
            <w:r>
              <w:rPr>
                <w:noProof/>
              </w:rPr>
              <w:t>M1C1–1</w:t>
            </w:r>
          </w:p>
        </w:tc>
        <w:tc>
          <w:tcPr>
            <w:tcW w:w="3118" w:type="dxa"/>
            <w:tcBorders>
              <w:top w:val="nil"/>
              <w:left w:val="nil"/>
              <w:bottom w:val="single" w:sz="4" w:space="0" w:color="auto"/>
              <w:right w:val="single" w:sz="4" w:space="0" w:color="auto"/>
            </w:tcBorders>
            <w:shd w:val="clear" w:color="auto" w:fill="C6EFCE"/>
            <w:noWrap/>
            <w:vAlign w:val="center"/>
          </w:tcPr>
          <w:p w14:paraId="235C7026" w14:textId="77777777" w:rsidR="003F5418" w:rsidRDefault="002A6C25">
            <w:pPr>
              <w:pStyle w:val="P68B1DB1-Normal9"/>
              <w:rPr>
                <w:noProof/>
              </w:rPr>
            </w:pPr>
            <w:r>
              <w:rPr>
                <w:noProof/>
              </w:rPr>
              <w:t>Reform: IKT-beszerzés</w:t>
            </w:r>
          </w:p>
        </w:tc>
        <w:tc>
          <w:tcPr>
            <w:tcW w:w="1418" w:type="dxa"/>
            <w:tcBorders>
              <w:top w:val="nil"/>
              <w:left w:val="nil"/>
              <w:bottom w:val="single" w:sz="4" w:space="0" w:color="auto"/>
              <w:right w:val="single" w:sz="4" w:space="0" w:color="auto"/>
            </w:tcBorders>
            <w:shd w:val="clear" w:color="auto" w:fill="C6EFCE"/>
            <w:noWrap/>
            <w:vAlign w:val="center"/>
          </w:tcPr>
          <w:p w14:paraId="2C4728FD"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40FC3AD1" w14:textId="77777777" w:rsidR="003F5418" w:rsidRDefault="002A6C25">
            <w:pPr>
              <w:pStyle w:val="P68B1DB1-Normal9"/>
              <w:rPr>
                <w:noProof/>
              </w:rPr>
            </w:pPr>
            <w:r>
              <w:rPr>
                <w:noProof/>
              </w:rPr>
              <w:t>Az „IKT-közbeszerzés” elnevezésű 1.1. reformról szóló törvényerejű rendeletek hatálybalépése</w:t>
            </w:r>
          </w:p>
        </w:tc>
      </w:tr>
      <w:tr w:rsidR="003F5418" w14:paraId="3470CB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EF4B56" w14:textId="77777777" w:rsidR="003F5418" w:rsidRDefault="002A6C25">
            <w:pPr>
              <w:pStyle w:val="P68B1DB1-Normal9"/>
              <w:jc w:val="center"/>
              <w:rPr>
                <w:noProof/>
              </w:rPr>
            </w:pPr>
            <w:r>
              <w:rPr>
                <w:noProof/>
              </w:rPr>
              <w:t>M1C1–2</w:t>
            </w:r>
          </w:p>
        </w:tc>
        <w:tc>
          <w:tcPr>
            <w:tcW w:w="3118" w:type="dxa"/>
            <w:tcBorders>
              <w:top w:val="nil"/>
              <w:left w:val="nil"/>
              <w:bottom w:val="single" w:sz="4" w:space="0" w:color="auto"/>
              <w:right w:val="single" w:sz="4" w:space="0" w:color="auto"/>
            </w:tcBorders>
            <w:shd w:val="clear" w:color="auto" w:fill="C6EFCE"/>
            <w:noWrap/>
            <w:vAlign w:val="center"/>
          </w:tcPr>
          <w:p w14:paraId="3C29E887" w14:textId="77777777" w:rsidR="003F5418" w:rsidRDefault="002A6C25">
            <w:pPr>
              <w:pStyle w:val="P68B1DB1-Normal9"/>
              <w:rPr>
                <w:noProof/>
              </w:rPr>
            </w:pPr>
            <w:r>
              <w:rPr>
                <w:noProof/>
              </w:rPr>
              <w:t>Reform: Az első felhő és az interoperabilitás</w:t>
            </w:r>
          </w:p>
        </w:tc>
        <w:tc>
          <w:tcPr>
            <w:tcW w:w="1418" w:type="dxa"/>
            <w:tcBorders>
              <w:top w:val="nil"/>
              <w:left w:val="nil"/>
              <w:bottom w:val="single" w:sz="4" w:space="0" w:color="auto"/>
              <w:right w:val="single" w:sz="4" w:space="0" w:color="auto"/>
            </w:tcBorders>
            <w:shd w:val="clear" w:color="auto" w:fill="C6EFCE"/>
            <w:noWrap/>
            <w:vAlign w:val="center"/>
          </w:tcPr>
          <w:p w14:paraId="2ECA450E"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20C804E7" w14:textId="77777777" w:rsidR="003F5418" w:rsidRDefault="002A6C25">
            <w:pPr>
              <w:pStyle w:val="P68B1DB1-Normal9"/>
              <w:rPr>
                <w:noProof/>
              </w:rPr>
            </w:pPr>
            <w:r>
              <w:rPr>
                <w:noProof/>
              </w:rPr>
              <w:t xml:space="preserve">Az 1.3. reformra (Cloud First és interoperabilitás) </w:t>
            </w:r>
            <w:r>
              <w:rPr>
                <w:noProof/>
              </w:rPr>
              <w:t>vonatkozó törvényerejű rendeletek hatálybalépése</w:t>
            </w:r>
          </w:p>
        </w:tc>
      </w:tr>
      <w:tr w:rsidR="003F5418" w14:paraId="08BABC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BFB88" w14:textId="77777777" w:rsidR="003F5418" w:rsidRDefault="002A6C25">
            <w:pPr>
              <w:pStyle w:val="P68B1DB1-Normal9"/>
              <w:jc w:val="center"/>
              <w:rPr>
                <w:noProof/>
              </w:rPr>
            </w:pPr>
            <w:r>
              <w:rPr>
                <w:noProof/>
              </w:rPr>
              <w:t>M1C1–29</w:t>
            </w:r>
          </w:p>
        </w:tc>
        <w:tc>
          <w:tcPr>
            <w:tcW w:w="3118" w:type="dxa"/>
            <w:tcBorders>
              <w:top w:val="nil"/>
              <w:left w:val="nil"/>
              <w:bottom w:val="single" w:sz="4" w:space="0" w:color="auto"/>
              <w:right w:val="single" w:sz="4" w:space="0" w:color="auto"/>
            </w:tcBorders>
            <w:shd w:val="clear" w:color="auto" w:fill="C6EFCE"/>
            <w:noWrap/>
            <w:vAlign w:val="center"/>
          </w:tcPr>
          <w:p w14:paraId="405D89DE" w14:textId="77777777" w:rsidR="003F5418" w:rsidRDefault="002A6C25">
            <w:pPr>
              <w:pStyle w:val="P68B1DB1-Normal9"/>
              <w:rPr>
                <w:noProof/>
              </w:rPr>
            </w:pPr>
            <w:r>
              <w:rPr>
                <w:noProof/>
              </w:rPr>
              <w:t>Reform: A polgári 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5F7ECDFB"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1EB10933" w14:textId="77777777" w:rsidR="003F5418" w:rsidRDefault="002A6C25">
            <w:pPr>
              <w:pStyle w:val="P68B1DB1-Normal9"/>
              <w:rPr>
                <w:noProof/>
              </w:rPr>
            </w:pPr>
            <w:r>
              <w:rPr>
                <w:noProof/>
              </w:rPr>
              <w:t>A polgári igazságszolgáltatási reformot lehetővé tevő jogszabályok hatálybalépése</w:t>
            </w:r>
          </w:p>
        </w:tc>
      </w:tr>
      <w:tr w:rsidR="003F5418" w14:paraId="74798C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DA6AD8" w14:textId="77777777" w:rsidR="003F5418" w:rsidRDefault="002A6C25">
            <w:pPr>
              <w:pStyle w:val="P68B1DB1-Normal9"/>
              <w:jc w:val="center"/>
              <w:rPr>
                <w:noProof/>
              </w:rPr>
            </w:pPr>
            <w:r>
              <w:rPr>
                <w:noProof/>
              </w:rPr>
              <w:t>M1C1–30</w:t>
            </w:r>
          </w:p>
        </w:tc>
        <w:tc>
          <w:tcPr>
            <w:tcW w:w="3118" w:type="dxa"/>
            <w:tcBorders>
              <w:top w:val="nil"/>
              <w:left w:val="nil"/>
              <w:bottom w:val="single" w:sz="4" w:space="0" w:color="auto"/>
              <w:right w:val="single" w:sz="4" w:space="0" w:color="auto"/>
            </w:tcBorders>
            <w:shd w:val="clear" w:color="auto" w:fill="C6EFCE"/>
            <w:noWrap/>
            <w:vAlign w:val="center"/>
          </w:tcPr>
          <w:p w14:paraId="1C41DFD9" w14:textId="77777777" w:rsidR="003F5418" w:rsidRDefault="002A6C25">
            <w:pPr>
              <w:pStyle w:val="P68B1DB1-Normal9"/>
              <w:rPr>
                <w:noProof/>
              </w:rPr>
            </w:pPr>
            <w:r>
              <w:rPr>
                <w:noProof/>
              </w:rPr>
              <w:t>Reform: A büntető 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26355995"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67BA631F" w14:textId="77777777" w:rsidR="003F5418" w:rsidRDefault="002A6C25">
            <w:pPr>
              <w:pStyle w:val="P68B1DB1-Normal9"/>
              <w:rPr>
                <w:noProof/>
              </w:rPr>
            </w:pPr>
            <w:r>
              <w:rPr>
                <w:noProof/>
              </w:rPr>
              <w:t>A büntető igazságszolgáltatás reformját lehetővé tevő jogszabályok hatálybalépése</w:t>
            </w:r>
          </w:p>
        </w:tc>
      </w:tr>
      <w:tr w:rsidR="003F5418" w14:paraId="1B1EBAD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18AE0F" w14:textId="77777777" w:rsidR="003F5418" w:rsidRDefault="002A6C25">
            <w:pPr>
              <w:pStyle w:val="P68B1DB1-Normal9"/>
              <w:jc w:val="center"/>
              <w:rPr>
                <w:noProof/>
              </w:rPr>
            </w:pPr>
            <w:r>
              <w:rPr>
                <w:noProof/>
              </w:rPr>
              <w:t>M1C1–31</w:t>
            </w:r>
          </w:p>
        </w:tc>
        <w:tc>
          <w:tcPr>
            <w:tcW w:w="3118" w:type="dxa"/>
            <w:tcBorders>
              <w:top w:val="nil"/>
              <w:left w:val="nil"/>
              <w:bottom w:val="single" w:sz="4" w:space="0" w:color="auto"/>
              <w:right w:val="single" w:sz="4" w:space="0" w:color="auto"/>
            </w:tcBorders>
            <w:shd w:val="clear" w:color="auto" w:fill="C6EFCE"/>
            <w:noWrap/>
            <w:vAlign w:val="center"/>
          </w:tcPr>
          <w:p w14:paraId="2BDA6445" w14:textId="77777777" w:rsidR="003F5418" w:rsidRDefault="002A6C25">
            <w:pPr>
              <w:pStyle w:val="P68B1DB1-Normal9"/>
              <w:rPr>
                <w:noProof/>
              </w:rPr>
            </w:pPr>
            <w:r>
              <w:rPr>
                <w:noProof/>
              </w:rPr>
              <w:t>Reform: A fizetésképtelenségi keret reformja</w:t>
            </w:r>
          </w:p>
        </w:tc>
        <w:tc>
          <w:tcPr>
            <w:tcW w:w="1418" w:type="dxa"/>
            <w:tcBorders>
              <w:top w:val="nil"/>
              <w:left w:val="nil"/>
              <w:bottom w:val="single" w:sz="4" w:space="0" w:color="auto"/>
              <w:right w:val="single" w:sz="4" w:space="0" w:color="auto"/>
            </w:tcBorders>
            <w:shd w:val="clear" w:color="auto" w:fill="C6EFCE"/>
            <w:noWrap/>
            <w:vAlign w:val="center"/>
          </w:tcPr>
          <w:p w14:paraId="7445776A"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2803213C" w14:textId="77777777" w:rsidR="003F5418" w:rsidRDefault="002A6C25">
            <w:pPr>
              <w:pStyle w:val="P68B1DB1-Normal9"/>
              <w:rPr>
                <w:noProof/>
              </w:rPr>
            </w:pPr>
            <w:r>
              <w:rPr>
                <w:noProof/>
              </w:rPr>
              <w:t>A fizetésképtelenségi reform keretrendszerét lehetővé tevő jogszabályok hatálybalépése</w:t>
            </w:r>
          </w:p>
        </w:tc>
      </w:tr>
      <w:tr w:rsidR="003F5418" w14:paraId="3D6E9C2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F36F61" w14:textId="77777777" w:rsidR="003F5418" w:rsidRDefault="002A6C25">
            <w:pPr>
              <w:pStyle w:val="P68B1DB1-Normal9"/>
              <w:jc w:val="center"/>
              <w:rPr>
                <w:noProof/>
              </w:rPr>
            </w:pPr>
            <w:r>
              <w:rPr>
                <w:noProof/>
              </w:rPr>
              <w:t>M1C1–32</w:t>
            </w:r>
          </w:p>
        </w:tc>
        <w:tc>
          <w:tcPr>
            <w:tcW w:w="3118" w:type="dxa"/>
            <w:tcBorders>
              <w:top w:val="nil"/>
              <w:left w:val="nil"/>
              <w:bottom w:val="single" w:sz="4" w:space="0" w:color="auto"/>
              <w:right w:val="single" w:sz="4" w:space="0" w:color="auto"/>
            </w:tcBorders>
            <w:shd w:val="clear" w:color="auto" w:fill="C6EFCE"/>
            <w:noWrap/>
            <w:vAlign w:val="center"/>
          </w:tcPr>
          <w:p w14:paraId="0A048D78" w14:textId="77777777" w:rsidR="003F5418" w:rsidRDefault="002A6C25">
            <w:pPr>
              <w:pStyle w:val="P68B1DB1-Normal9"/>
              <w:rPr>
                <w:noProof/>
              </w:rPr>
            </w:pPr>
            <w:r>
              <w:rPr>
                <w:noProof/>
              </w:rPr>
              <w:t>Beruházás: A polgári, büntető és közigazgatási bíróságok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6BB3F508"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71CC15D6" w14:textId="77777777" w:rsidR="003F5418" w:rsidRDefault="002A6C25">
            <w:pPr>
              <w:pStyle w:val="P68B1DB1-Normal9"/>
              <w:rPr>
                <w:noProof/>
              </w:rPr>
            </w:pPr>
            <w:r>
              <w:rPr>
                <w:noProof/>
              </w:rPr>
              <w:t>A nemzeti helyreállítási és rezilienciaépítési terv munkaerő-felvételét szabályozó külön jogszabályok hatálybalépése</w:t>
            </w:r>
          </w:p>
        </w:tc>
      </w:tr>
      <w:tr w:rsidR="003F5418" w14:paraId="27EEBA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69E6FA" w14:textId="77777777" w:rsidR="003F5418" w:rsidRDefault="002A6C25">
            <w:pPr>
              <w:pStyle w:val="P68B1DB1-Normal9"/>
              <w:jc w:val="center"/>
              <w:rPr>
                <w:noProof/>
              </w:rPr>
            </w:pPr>
            <w:r>
              <w:rPr>
                <w:noProof/>
              </w:rPr>
              <w:t>M1C1–54</w:t>
            </w:r>
          </w:p>
        </w:tc>
        <w:tc>
          <w:tcPr>
            <w:tcW w:w="3118" w:type="dxa"/>
            <w:tcBorders>
              <w:top w:val="nil"/>
              <w:left w:val="nil"/>
              <w:bottom w:val="single" w:sz="4" w:space="0" w:color="auto"/>
              <w:right w:val="single" w:sz="4" w:space="0" w:color="auto"/>
            </w:tcBorders>
            <w:shd w:val="clear" w:color="auto" w:fill="C6EFCE"/>
            <w:noWrap/>
            <w:vAlign w:val="center"/>
          </w:tcPr>
          <w:p w14:paraId="14CED7FE" w14:textId="77777777" w:rsidR="003F5418" w:rsidRDefault="002A6C25">
            <w:pPr>
              <w:pStyle w:val="P68B1DB1-Normal9"/>
              <w:rPr>
                <w:noProof/>
              </w:rPr>
            </w:pPr>
            <w:r>
              <w:rPr>
                <w:noProof/>
              </w:rPr>
              <w:t>Beruházás: Technikai segítségnyújtás és kap</w:t>
            </w:r>
            <w:r>
              <w:rPr>
                <w:noProof/>
              </w:rPr>
              <w:t>acitásépítés megerősítése az olasz helyreállítási és rezilienciaépítési terv végrehajtásához</w:t>
            </w:r>
          </w:p>
        </w:tc>
        <w:tc>
          <w:tcPr>
            <w:tcW w:w="1418" w:type="dxa"/>
            <w:tcBorders>
              <w:top w:val="nil"/>
              <w:left w:val="nil"/>
              <w:bottom w:val="single" w:sz="4" w:space="0" w:color="auto"/>
              <w:right w:val="single" w:sz="4" w:space="0" w:color="auto"/>
            </w:tcBorders>
            <w:shd w:val="clear" w:color="auto" w:fill="C6EFCE"/>
            <w:noWrap/>
            <w:vAlign w:val="center"/>
          </w:tcPr>
          <w:p w14:paraId="5E40F693" w14:textId="77777777" w:rsidR="003F5418" w:rsidRDefault="002A6C25">
            <w:pPr>
              <w:pStyle w:val="P68B1DB1-Normal9"/>
              <w:rPr>
                <w:noProof/>
              </w:rPr>
            </w:pPr>
            <w:r>
              <w:rPr>
                <w:noProof/>
              </w:rPr>
              <w:t>Cél</w:t>
            </w:r>
          </w:p>
        </w:tc>
        <w:tc>
          <w:tcPr>
            <w:tcW w:w="3714" w:type="dxa"/>
            <w:tcBorders>
              <w:top w:val="nil"/>
              <w:left w:val="nil"/>
              <w:bottom w:val="single" w:sz="4" w:space="0" w:color="auto"/>
              <w:right w:val="single" w:sz="4" w:space="0" w:color="auto"/>
            </w:tcBorders>
            <w:shd w:val="clear" w:color="auto" w:fill="C6EFCE"/>
            <w:noWrap/>
            <w:vAlign w:val="center"/>
          </w:tcPr>
          <w:p w14:paraId="7D40544B" w14:textId="77777777" w:rsidR="003F5418" w:rsidRDefault="002A6C25">
            <w:pPr>
              <w:pStyle w:val="P68B1DB1-Normal9"/>
              <w:rPr>
                <w:noProof/>
              </w:rPr>
            </w:pPr>
            <w:r>
              <w:rPr>
                <w:noProof/>
              </w:rPr>
              <w:t>Szakértők felvétele az olasz helyreállítási és rezilienciaépítési terv végrehajtásához</w:t>
            </w:r>
          </w:p>
        </w:tc>
      </w:tr>
      <w:tr w:rsidR="003F5418" w14:paraId="7E1958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8335E9" w14:textId="77777777" w:rsidR="003F5418" w:rsidRDefault="002A6C25">
            <w:pPr>
              <w:pStyle w:val="P68B1DB1-Normal9"/>
              <w:jc w:val="center"/>
              <w:rPr>
                <w:noProof/>
              </w:rPr>
            </w:pPr>
            <w:r>
              <w:rPr>
                <w:noProof/>
              </w:rPr>
              <w:t>M1C1–55</w:t>
            </w:r>
          </w:p>
        </w:tc>
        <w:tc>
          <w:tcPr>
            <w:tcW w:w="3118" w:type="dxa"/>
            <w:tcBorders>
              <w:top w:val="nil"/>
              <w:left w:val="nil"/>
              <w:bottom w:val="single" w:sz="4" w:space="0" w:color="auto"/>
              <w:right w:val="single" w:sz="4" w:space="0" w:color="auto"/>
            </w:tcBorders>
            <w:shd w:val="clear" w:color="auto" w:fill="C6EFCE"/>
            <w:noWrap/>
            <w:vAlign w:val="center"/>
          </w:tcPr>
          <w:p w14:paraId="20B7D0A9"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46CCB2E5"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35F7CA51" w14:textId="77777777" w:rsidR="003F5418" w:rsidRDefault="002A6C25">
            <w:pPr>
              <w:pStyle w:val="P68B1DB1-Normal9"/>
              <w:rPr>
                <w:noProof/>
              </w:rPr>
            </w:pPr>
            <w:r>
              <w:rPr>
                <w:noProof/>
              </w:rPr>
              <w:t xml:space="preserve">Az olasz </w:t>
            </w:r>
            <w:r>
              <w:rPr>
                <w:noProof/>
              </w:rPr>
              <w:t>helyreállítási és rezilienciaépítési tervre alkalmazott módszertan kiterjesztése a nemzeti költségvetésre a beruházások felhasználásának növelése érdekében</w:t>
            </w:r>
          </w:p>
        </w:tc>
      </w:tr>
      <w:tr w:rsidR="003F5418" w14:paraId="2146A0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491CB" w14:textId="77777777" w:rsidR="003F5418" w:rsidRDefault="002A6C25">
            <w:pPr>
              <w:pStyle w:val="P68B1DB1-Normal9"/>
              <w:jc w:val="center"/>
              <w:rPr>
                <w:noProof/>
              </w:rPr>
            </w:pPr>
            <w:r>
              <w:rPr>
                <w:noProof/>
              </w:rPr>
              <w:t>M1C1–68</w:t>
            </w:r>
          </w:p>
        </w:tc>
        <w:tc>
          <w:tcPr>
            <w:tcW w:w="3118" w:type="dxa"/>
            <w:tcBorders>
              <w:top w:val="nil"/>
              <w:left w:val="nil"/>
              <w:bottom w:val="single" w:sz="4" w:space="0" w:color="auto"/>
              <w:right w:val="single" w:sz="4" w:space="0" w:color="auto"/>
            </w:tcBorders>
            <w:shd w:val="clear" w:color="auto" w:fill="C6EFCE"/>
            <w:noWrap/>
            <w:vAlign w:val="center"/>
          </w:tcPr>
          <w:p w14:paraId="2069D7EA"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178CE435"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131B8193" w14:textId="77777777" w:rsidR="003F5418" w:rsidRDefault="002A6C25">
            <w:pPr>
              <w:pStyle w:val="P68B1DB1-Normal9"/>
              <w:rPr>
                <w:noProof/>
              </w:rPr>
            </w:pPr>
            <w:r>
              <w:rPr>
                <w:noProof/>
              </w:rPr>
              <w:t>Ellenőrzési és ellenőrzési adattári rendszer: inf</w:t>
            </w:r>
            <w:r>
              <w:rPr>
                <w:noProof/>
              </w:rPr>
              <w:t>ormációk a Helyreállítási és Rezilienciaépítési Eszköz végrehajtásának nyomon követéséhez</w:t>
            </w:r>
          </w:p>
        </w:tc>
      </w:tr>
      <w:tr w:rsidR="003F5418" w14:paraId="545434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8235CC" w14:textId="77777777" w:rsidR="003F5418" w:rsidRDefault="002A6C25">
            <w:pPr>
              <w:pStyle w:val="P68B1DB1-Normal9"/>
              <w:jc w:val="center"/>
              <w:rPr>
                <w:noProof/>
              </w:rPr>
            </w:pPr>
            <w:r>
              <w:rPr>
                <w:noProof/>
              </w:rPr>
              <w:t>M1C1–71</w:t>
            </w:r>
          </w:p>
        </w:tc>
        <w:tc>
          <w:tcPr>
            <w:tcW w:w="3118" w:type="dxa"/>
            <w:tcBorders>
              <w:top w:val="nil"/>
              <w:left w:val="nil"/>
              <w:bottom w:val="single" w:sz="4" w:space="0" w:color="auto"/>
              <w:right w:val="single" w:sz="4" w:space="0" w:color="auto"/>
            </w:tcBorders>
            <w:shd w:val="clear" w:color="auto" w:fill="C6EFCE"/>
            <w:noWrap/>
            <w:vAlign w:val="center"/>
          </w:tcPr>
          <w:p w14:paraId="7756A72D"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525861E8"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23B0E52A" w14:textId="77777777" w:rsidR="003F5418" w:rsidRDefault="002A6C25">
            <w:pPr>
              <w:pStyle w:val="P68B1DB1-Normal9"/>
              <w:rPr>
                <w:noProof/>
              </w:rPr>
            </w:pPr>
            <w:r>
              <w:rPr>
                <w:noProof/>
              </w:rPr>
              <w:t>A közbeszerzési rendszerhez szükséges valamennyi jogszabály, rendelet és végrehajtási jogi aktus (beleé</w:t>
            </w:r>
            <w:r>
              <w:rPr>
                <w:noProof/>
              </w:rPr>
              <w:t>rtve a másodlagos jogszabályokat is) hatálybalépése</w:t>
            </w:r>
          </w:p>
        </w:tc>
      </w:tr>
      <w:tr w:rsidR="003F5418" w14:paraId="521C12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72E890" w14:textId="77777777" w:rsidR="003F5418" w:rsidRDefault="002A6C25">
            <w:pPr>
              <w:pStyle w:val="P68B1DB1-Normal9"/>
              <w:jc w:val="center"/>
              <w:rPr>
                <w:noProof/>
              </w:rPr>
            </w:pPr>
            <w:r>
              <w:rPr>
                <w:noProof/>
              </w:rPr>
              <w:t>M1C1–100</w:t>
            </w:r>
          </w:p>
        </w:tc>
        <w:tc>
          <w:tcPr>
            <w:tcW w:w="3118" w:type="dxa"/>
            <w:tcBorders>
              <w:top w:val="nil"/>
              <w:left w:val="nil"/>
              <w:bottom w:val="single" w:sz="4" w:space="0" w:color="auto"/>
              <w:right w:val="single" w:sz="4" w:space="0" w:color="auto"/>
            </w:tcBorders>
            <w:shd w:val="clear" w:color="auto" w:fill="C6EFCE"/>
            <w:noWrap/>
            <w:vAlign w:val="center"/>
          </w:tcPr>
          <w:p w14:paraId="7C50B65F" w14:textId="77777777" w:rsidR="003F5418" w:rsidRDefault="002A6C25">
            <w:pPr>
              <w:pStyle w:val="P68B1DB1-Normal9"/>
              <w:rPr>
                <w:noProof/>
              </w:rPr>
            </w:pPr>
            <w:r>
              <w:rPr>
                <w:noProof/>
              </w:rPr>
              <w:t>Reform: A kiadások felülvizsgálatára vonatkozó keret reformja</w:t>
            </w:r>
          </w:p>
        </w:tc>
        <w:tc>
          <w:tcPr>
            <w:tcW w:w="1418" w:type="dxa"/>
            <w:tcBorders>
              <w:top w:val="nil"/>
              <w:left w:val="nil"/>
              <w:bottom w:val="single" w:sz="4" w:space="0" w:color="auto"/>
              <w:right w:val="single" w:sz="4" w:space="0" w:color="auto"/>
            </w:tcBorders>
            <w:shd w:val="clear" w:color="auto" w:fill="C6EFCE"/>
            <w:noWrap/>
            <w:vAlign w:val="center"/>
          </w:tcPr>
          <w:p w14:paraId="3F716774"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7C9A9A3D" w14:textId="77777777" w:rsidR="003F5418" w:rsidRDefault="002A6C25">
            <w:pPr>
              <w:pStyle w:val="P68B1DB1-Normal9"/>
              <w:rPr>
                <w:noProof/>
              </w:rPr>
            </w:pPr>
            <w:r>
              <w:rPr>
                <w:noProof/>
              </w:rPr>
              <w:t xml:space="preserve">A kiadások felülvizsgálatának hatékonyságát javító jogszabályi rendelkezések hatálybalépése – A Pénzügyminisztérium </w:t>
            </w:r>
            <w:r>
              <w:rPr>
                <w:noProof/>
              </w:rPr>
              <w:t>megerősítése</w:t>
            </w:r>
          </w:p>
        </w:tc>
      </w:tr>
      <w:tr w:rsidR="003F5418" w14:paraId="0738AC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0BA58A" w14:textId="77777777" w:rsidR="003F5418" w:rsidRDefault="002A6C25">
            <w:pPr>
              <w:pStyle w:val="P68B1DB1-Normal9"/>
              <w:jc w:val="center"/>
              <w:rPr>
                <w:noProof/>
              </w:rPr>
            </w:pPr>
            <w:r>
              <w:rPr>
                <w:noProof/>
              </w:rPr>
              <w:t>M1C1–101.</w:t>
            </w:r>
          </w:p>
        </w:tc>
        <w:tc>
          <w:tcPr>
            <w:tcW w:w="3118" w:type="dxa"/>
            <w:tcBorders>
              <w:top w:val="nil"/>
              <w:left w:val="nil"/>
              <w:bottom w:val="single" w:sz="4" w:space="0" w:color="auto"/>
              <w:right w:val="single" w:sz="4" w:space="0" w:color="auto"/>
            </w:tcBorders>
            <w:shd w:val="clear" w:color="auto" w:fill="C6EFCE"/>
            <w:noWrap/>
            <w:vAlign w:val="center"/>
          </w:tcPr>
          <w:p w14:paraId="4BDA5408" w14:textId="77777777" w:rsidR="003F5418" w:rsidRDefault="002A6C25">
            <w:pPr>
              <w:pStyle w:val="P68B1DB1-Normal9"/>
              <w:rPr>
                <w:noProof/>
              </w:rPr>
            </w:pPr>
            <w:r>
              <w:rPr>
                <w:noProof/>
              </w:rPr>
              <w:t xml:space="preserve">Reform: Az adóhatóság reformja </w:t>
            </w:r>
          </w:p>
        </w:tc>
        <w:tc>
          <w:tcPr>
            <w:tcW w:w="1418" w:type="dxa"/>
            <w:tcBorders>
              <w:top w:val="nil"/>
              <w:left w:val="nil"/>
              <w:bottom w:val="single" w:sz="4" w:space="0" w:color="auto"/>
              <w:right w:val="single" w:sz="4" w:space="0" w:color="auto"/>
            </w:tcBorders>
            <w:shd w:val="clear" w:color="auto" w:fill="C6EFCE"/>
            <w:noWrap/>
            <w:vAlign w:val="center"/>
          </w:tcPr>
          <w:p w14:paraId="11D699E4"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70DA7147" w14:textId="77777777" w:rsidR="003F5418" w:rsidRDefault="002A6C25">
            <w:pPr>
              <w:pStyle w:val="P68B1DB1-Normal9"/>
              <w:rPr>
                <w:noProof/>
              </w:rPr>
            </w:pPr>
            <w:r>
              <w:rPr>
                <w:noProof/>
              </w:rPr>
              <w:t>Az adócsalás csökkentését célzó lehetséges intézkedések felülvizsgálatának elfogadása</w:t>
            </w:r>
          </w:p>
        </w:tc>
      </w:tr>
      <w:tr w:rsidR="003F5418" w14:paraId="49CE3E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43E8025" w14:textId="77777777" w:rsidR="003F5418" w:rsidRDefault="002A6C25">
            <w:pPr>
              <w:pStyle w:val="P68B1DB1-Normal9"/>
              <w:jc w:val="center"/>
              <w:rPr>
                <w:noProof/>
              </w:rPr>
            </w:pPr>
            <w:r>
              <w:rPr>
                <w:noProof/>
              </w:rPr>
              <w:t>M1C2–1</w:t>
            </w:r>
          </w:p>
        </w:tc>
        <w:tc>
          <w:tcPr>
            <w:tcW w:w="3118" w:type="dxa"/>
            <w:tcBorders>
              <w:top w:val="nil"/>
              <w:left w:val="nil"/>
              <w:bottom w:val="single" w:sz="4" w:space="0" w:color="auto"/>
              <w:right w:val="single" w:sz="4" w:space="0" w:color="auto"/>
            </w:tcBorders>
            <w:shd w:val="clear" w:color="auto" w:fill="C6EFCE"/>
            <w:noWrap/>
            <w:vAlign w:val="center"/>
          </w:tcPr>
          <w:p w14:paraId="0CC6D686" w14:textId="77777777" w:rsidR="003F5418" w:rsidRDefault="002A6C25">
            <w:pPr>
              <w:pStyle w:val="P68B1DB1-Normal9"/>
              <w:rPr>
                <w:noProof/>
              </w:rPr>
            </w:pPr>
            <w:r>
              <w:rPr>
                <w:noProof/>
              </w:rPr>
              <w:t>Az 1. beruházást Átállás 4.0</w:t>
            </w:r>
          </w:p>
        </w:tc>
        <w:tc>
          <w:tcPr>
            <w:tcW w:w="1418" w:type="dxa"/>
            <w:tcBorders>
              <w:top w:val="nil"/>
              <w:left w:val="nil"/>
              <w:bottom w:val="single" w:sz="4" w:space="0" w:color="auto"/>
              <w:right w:val="single" w:sz="4" w:space="0" w:color="auto"/>
            </w:tcBorders>
            <w:shd w:val="clear" w:color="auto" w:fill="C6EFCE"/>
            <w:noWrap/>
            <w:vAlign w:val="center"/>
          </w:tcPr>
          <w:p w14:paraId="4320864E"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51CD3DF2" w14:textId="77777777" w:rsidR="003F5418" w:rsidRDefault="002A6C25">
            <w:pPr>
              <w:pStyle w:val="P68B1DB1-Normal9"/>
              <w:rPr>
                <w:noProof/>
              </w:rPr>
            </w:pPr>
            <w:r>
              <w:rPr>
                <w:noProof/>
              </w:rPr>
              <w:t xml:space="preserve">Az átmeneti 4.0 adójóváírások potenciális </w:t>
            </w:r>
            <w:r>
              <w:rPr>
                <w:noProof/>
              </w:rPr>
              <w:t>kedvezményezettek számára történő elérhetővé tételére irányuló jogi aktusok hatálybalépése és a tudományos bizottság létrehozása</w:t>
            </w:r>
          </w:p>
        </w:tc>
      </w:tr>
      <w:tr w:rsidR="003F5418" w14:paraId="7720E0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2FBACA" w14:textId="77777777" w:rsidR="003F5418" w:rsidRDefault="002A6C25">
            <w:pPr>
              <w:pStyle w:val="P68B1DB1-Normal9"/>
              <w:jc w:val="center"/>
              <w:rPr>
                <w:noProof/>
              </w:rPr>
            </w:pPr>
            <w:r>
              <w:rPr>
                <w:noProof/>
              </w:rPr>
              <w:t>M1C3–8</w:t>
            </w:r>
          </w:p>
        </w:tc>
        <w:tc>
          <w:tcPr>
            <w:tcW w:w="3118" w:type="dxa"/>
            <w:tcBorders>
              <w:top w:val="nil"/>
              <w:left w:val="nil"/>
              <w:bottom w:val="single" w:sz="4" w:space="0" w:color="auto"/>
              <w:right w:val="single" w:sz="4" w:space="0" w:color="auto"/>
            </w:tcBorders>
            <w:shd w:val="clear" w:color="auto" w:fill="C6EFCE"/>
            <w:noWrap/>
            <w:vAlign w:val="center"/>
          </w:tcPr>
          <w:p w14:paraId="2A1D9C18" w14:textId="77777777" w:rsidR="003F5418" w:rsidRDefault="002A6C25">
            <w:pPr>
              <w:pStyle w:val="P68B1DB1-Normal9"/>
              <w:rPr>
                <w:noProof/>
              </w:rPr>
            </w:pPr>
            <w:r>
              <w:rPr>
                <w:noProof/>
              </w:rPr>
              <w:t>Beruházás – 4.1 Digitális turisztikai központ</w:t>
            </w:r>
          </w:p>
        </w:tc>
        <w:tc>
          <w:tcPr>
            <w:tcW w:w="1418" w:type="dxa"/>
            <w:tcBorders>
              <w:top w:val="nil"/>
              <w:left w:val="nil"/>
              <w:bottom w:val="single" w:sz="4" w:space="0" w:color="auto"/>
              <w:right w:val="single" w:sz="4" w:space="0" w:color="auto"/>
            </w:tcBorders>
            <w:shd w:val="clear" w:color="auto" w:fill="C6EFCE"/>
            <w:noWrap/>
            <w:vAlign w:val="center"/>
          </w:tcPr>
          <w:p w14:paraId="4CFA0DD9"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2FF22276" w14:textId="77777777" w:rsidR="003F5418" w:rsidRDefault="002A6C25">
            <w:pPr>
              <w:pStyle w:val="P68B1DB1-Normal9"/>
              <w:rPr>
                <w:noProof/>
              </w:rPr>
            </w:pPr>
            <w:r>
              <w:rPr>
                <w:noProof/>
              </w:rPr>
              <w:t xml:space="preserve">A Digitális Turisztikai Portál fejlesztésére vonatkozó </w:t>
            </w:r>
            <w:r>
              <w:rPr>
                <w:noProof/>
              </w:rPr>
              <w:t>szerződések odaítélése</w:t>
            </w:r>
          </w:p>
        </w:tc>
      </w:tr>
      <w:tr w:rsidR="003F5418" w14:paraId="29077E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52AF2D" w14:textId="77777777" w:rsidR="003F5418" w:rsidRDefault="002A6C25">
            <w:pPr>
              <w:pStyle w:val="P68B1DB1-Normal9"/>
              <w:jc w:val="center"/>
              <w:rPr>
                <w:noProof/>
              </w:rPr>
            </w:pPr>
            <w:r>
              <w:rPr>
                <w:noProof/>
              </w:rPr>
              <w:t>M2C2–7</w:t>
            </w:r>
          </w:p>
        </w:tc>
        <w:tc>
          <w:tcPr>
            <w:tcW w:w="3118" w:type="dxa"/>
            <w:tcBorders>
              <w:top w:val="nil"/>
              <w:left w:val="nil"/>
              <w:bottom w:val="single" w:sz="4" w:space="0" w:color="auto"/>
              <w:right w:val="single" w:sz="4" w:space="0" w:color="auto"/>
            </w:tcBorders>
            <w:shd w:val="clear" w:color="auto" w:fill="C6EFCE"/>
            <w:noWrap/>
            <w:vAlign w:val="center"/>
          </w:tcPr>
          <w:p w14:paraId="56172F3B" w14:textId="77777777" w:rsidR="003F5418" w:rsidRDefault="002A6C25">
            <w:pPr>
              <w:pStyle w:val="P68B1DB1-Normal9"/>
              <w:rPr>
                <w:noProof/>
              </w:rPr>
            </w:pPr>
            <w:r>
              <w:rPr>
                <w:noProof/>
              </w:rPr>
              <w:t>Reform: A megújuló gáztermelés és -fogyasztás előmozdítását célzó új jogszabályok</w:t>
            </w:r>
          </w:p>
        </w:tc>
        <w:tc>
          <w:tcPr>
            <w:tcW w:w="1418" w:type="dxa"/>
            <w:tcBorders>
              <w:top w:val="nil"/>
              <w:left w:val="nil"/>
              <w:bottom w:val="single" w:sz="4" w:space="0" w:color="auto"/>
              <w:right w:val="single" w:sz="4" w:space="0" w:color="auto"/>
            </w:tcBorders>
            <w:shd w:val="clear" w:color="auto" w:fill="C6EFCE"/>
            <w:noWrap/>
            <w:vAlign w:val="center"/>
          </w:tcPr>
          <w:p w14:paraId="527BDB20"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74923BA7" w14:textId="77777777" w:rsidR="003F5418" w:rsidRDefault="002A6C25">
            <w:pPr>
              <w:pStyle w:val="P68B1DB1-Normal9"/>
              <w:rPr>
                <w:noProof/>
              </w:rPr>
            </w:pPr>
            <w:r>
              <w:rPr>
                <w:noProof/>
              </w:rPr>
              <w:t>A megújuló gáznak a közlekedési, ipari és lakossági ágazatban a biometán felhasználásához való felhasználásának előmozdításáról szóló</w:t>
            </w:r>
            <w:r>
              <w:rPr>
                <w:noProof/>
              </w:rPr>
              <w:t xml:space="preserve"> törvényerejű rendelet, valamint az annak használatára vonatkozó feltételeket és kritériumokat meghatározó végrehajtási rendelet, valamint az új ösztönző rendszer hatálybalépése.</w:t>
            </w:r>
          </w:p>
        </w:tc>
      </w:tr>
      <w:tr w:rsidR="003F5418" w14:paraId="239795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C4EF7" w14:textId="77777777" w:rsidR="003F5418" w:rsidRDefault="002A6C25">
            <w:pPr>
              <w:pStyle w:val="P68B1DB1-Normal9"/>
              <w:jc w:val="center"/>
              <w:rPr>
                <w:noProof/>
              </w:rPr>
            </w:pPr>
            <w:r>
              <w:rPr>
                <w:noProof/>
              </w:rPr>
              <w:t>M2C2–37</w:t>
            </w:r>
          </w:p>
        </w:tc>
        <w:tc>
          <w:tcPr>
            <w:tcW w:w="3118" w:type="dxa"/>
            <w:tcBorders>
              <w:top w:val="nil"/>
              <w:left w:val="nil"/>
              <w:bottom w:val="single" w:sz="4" w:space="0" w:color="auto"/>
              <w:right w:val="single" w:sz="4" w:space="0" w:color="auto"/>
            </w:tcBorders>
            <w:shd w:val="clear" w:color="auto" w:fill="C6EFCE"/>
            <w:noWrap/>
            <w:vAlign w:val="center"/>
          </w:tcPr>
          <w:p w14:paraId="64BE0D21" w14:textId="77777777" w:rsidR="003F5418" w:rsidRDefault="002A6C25">
            <w:pPr>
              <w:pStyle w:val="P68B1DB1-Normal9"/>
              <w:rPr>
                <w:noProof/>
              </w:rPr>
            </w:pPr>
            <w:r>
              <w:rPr>
                <w:noProof/>
              </w:rPr>
              <w:t xml:space="preserve">Reform: Intelligensebb projektértékelési eljárások a helyhez kötött </w:t>
            </w:r>
            <w:r>
              <w:rPr>
                <w:noProof/>
              </w:rPr>
              <w:t>berendezésekkel rendelkező helyi tömegközlekedési rendszerek ágazatában és a gyors személyszállítási ágazatban</w:t>
            </w:r>
          </w:p>
        </w:tc>
        <w:tc>
          <w:tcPr>
            <w:tcW w:w="1418" w:type="dxa"/>
            <w:tcBorders>
              <w:top w:val="nil"/>
              <w:left w:val="nil"/>
              <w:bottom w:val="single" w:sz="4" w:space="0" w:color="auto"/>
              <w:right w:val="single" w:sz="4" w:space="0" w:color="auto"/>
            </w:tcBorders>
            <w:shd w:val="clear" w:color="auto" w:fill="C6EFCE"/>
            <w:noWrap/>
            <w:vAlign w:val="center"/>
          </w:tcPr>
          <w:p w14:paraId="6A0A9C0E"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3411A299" w14:textId="77777777" w:rsidR="003F5418" w:rsidRDefault="002A6C25">
            <w:pPr>
              <w:pStyle w:val="P68B1DB1-Normal9"/>
              <w:rPr>
                <w:noProof/>
              </w:rPr>
            </w:pPr>
            <w:r>
              <w:rPr>
                <w:noProof/>
              </w:rPr>
              <w:t>Törvényerejű rendelet hatálybalépése</w:t>
            </w:r>
          </w:p>
        </w:tc>
      </w:tr>
      <w:tr w:rsidR="003F5418" w14:paraId="0EC5E4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4C929A" w14:textId="77777777" w:rsidR="003F5418" w:rsidRDefault="002A6C25">
            <w:pPr>
              <w:pStyle w:val="P68B1DB1-Normal9"/>
              <w:jc w:val="center"/>
              <w:rPr>
                <w:noProof/>
              </w:rPr>
            </w:pPr>
            <w:r>
              <w:rPr>
                <w:noProof/>
              </w:rPr>
              <w:t>M2C2–41</w:t>
            </w:r>
          </w:p>
        </w:tc>
        <w:tc>
          <w:tcPr>
            <w:tcW w:w="3118" w:type="dxa"/>
            <w:tcBorders>
              <w:top w:val="nil"/>
              <w:left w:val="nil"/>
              <w:bottom w:val="single" w:sz="4" w:space="0" w:color="auto"/>
              <w:right w:val="single" w:sz="4" w:space="0" w:color="auto"/>
            </w:tcBorders>
            <w:shd w:val="clear" w:color="auto" w:fill="C6EFCE"/>
            <w:noWrap/>
            <w:vAlign w:val="center"/>
          </w:tcPr>
          <w:p w14:paraId="59A0D82A" w14:textId="77777777" w:rsidR="003F5418" w:rsidRDefault="002A6C25">
            <w:pPr>
              <w:pStyle w:val="P68B1DB1-Normal9"/>
              <w:rPr>
                <w:noProof/>
              </w:rPr>
            </w:pPr>
            <w:r>
              <w:rPr>
                <w:noProof/>
              </w:rPr>
              <w:t>Beruházás: Elektromos buszok</w:t>
            </w:r>
          </w:p>
        </w:tc>
        <w:tc>
          <w:tcPr>
            <w:tcW w:w="1418" w:type="dxa"/>
            <w:tcBorders>
              <w:top w:val="nil"/>
              <w:left w:val="nil"/>
              <w:bottom w:val="single" w:sz="4" w:space="0" w:color="auto"/>
              <w:right w:val="single" w:sz="4" w:space="0" w:color="auto"/>
            </w:tcBorders>
            <w:shd w:val="clear" w:color="auto" w:fill="C6EFCE"/>
            <w:noWrap/>
            <w:vAlign w:val="center"/>
          </w:tcPr>
          <w:p w14:paraId="0A91A245"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100AF0D5" w14:textId="77777777" w:rsidR="003F5418" w:rsidRDefault="002A6C25">
            <w:pPr>
              <w:pStyle w:val="P68B1DB1-Normal9"/>
              <w:rPr>
                <w:noProof/>
              </w:rPr>
            </w:pPr>
            <w:r>
              <w:rPr>
                <w:noProof/>
              </w:rPr>
              <w:t>Miniszteri rendelet hatálybalépése, amely meghatározza a beavatkozás céljának eléréséhez rendelkezésre álló források mennyiségét (buszok ellátási lánca)</w:t>
            </w:r>
          </w:p>
        </w:tc>
      </w:tr>
      <w:tr w:rsidR="003F5418" w14:paraId="701663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ED7314" w14:textId="77777777" w:rsidR="003F5418" w:rsidRDefault="002A6C25">
            <w:pPr>
              <w:pStyle w:val="P68B1DB1-Normal9"/>
              <w:jc w:val="center"/>
              <w:rPr>
                <w:noProof/>
              </w:rPr>
            </w:pPr>
            <w:r>
              <w:rPr>
                <w:noProof/>
              </w:rPr>
              <w:t>M2C3–1</w:t>
            </w:r>
          </w:p>
        </w:tc>
        <w:tc>
          <w:tcPr>
            <w:tcW w:w="3118" w:type="dxa"/>
            <w:tcBorders>
              <w:top w:val="nil"/>
              <w:left w:val="nil"/>
              <w:bottom w:val="single" w:sz="4" w:space="0" w:color="auto"/>
              <w:right w:val="single" w:sz="4" w:space="0" w:color="auto"/>
            </w:tcBorders>
            <w:shd w:val="clear" w:color="auto" w:fill="C6EFCE"/>
            <w:noWrap/>
            <w:vAlign w:val="center"/>
          </w:tcPr>
          <w:p w14:paraId="2864AB92" w14:textId="77777777" w:rsidR="003F5418" w:rsidRDefault="002A6C25">
            <w:pPr>
              <w:pStyle w:val="P68B1DB1-Normal9"/>
              <w:rPr>
                <w:noProof/>
              </w:rPr>
            </w:pPr>
            <w:r>
              <w:rPr>
                <w:noProof/>
              </w:rPr>
              <w:t xml:space="preserve">Beruházás – Az Ecobonus megerősítése az energiahatékonyság érdekében </w:t>
            </w:r>
          </w:p>
        </w:tc>
        <w:tc>
          <w:tcPr>
            <w:tcW w:w="1418" w:type="dxa"/>
            <w:tcBorders>
              <w:top w:val="nil"/>
              <w:left w:val="nil"/>
              <w:bottom w:val="single" w:sz="4" w:space="0" w:color="auto"/>
              <w:right w:val="single" w:sz="4" w:space="0" w:color="auto"/>
            </w:tcBorders>
            <w:shd w:val="clear" w:color="auto" w:fill="C6EFCE"/>
            <w:noWrap/>
            <w:vAlign w:val="center"/>
          </w:tcPr>
          <w:p w14:paraId="3916C9B2" w14:textId="77777777" w:rsidR="003F5418" w:rsidRDefault="002A6C25">
            <w:pPr>
              <w:pStyle w:val="P68B1DB1-Normal9"/>
              <w:rPr>
                <w:noProof/>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3A447A58" w14:textId="77777777" w:rsidR="003F5418" w:rsidRDefault="002A6C25">
            <w:pPr>
              <w:pStyle w:val="P68B1DB1-Normal9"/>
              <w:rPr>
                <w:noProof/>
              </w:rPr>
            </w:pPr>
            <w:r>
              <w:rPr>
                <w:noProof/>
              </w:rPr>
              <w:t>A Superbonus me</w:t>
            </w:r>
            <w:r>
              <w:rPr>
                <w:noProof/>
              </w:rPr>
              <w:t xml:space="preserve">ghosszabbításának hatálybalépése  </w:t>
            </w:r>
          </w:p>
        </w:tc>
      </w:tr>
      <w:tr w:rsidR="003F5418" w14:paraId="3A5294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E69933" w14:textId="77777777" w:rsidR="003F5418" w:rsidRDefault="002A6C25">
            <w:pPr>
              <w:pStyle w:val="P68B1DB1-Normal9"/>
              <w:jc w:val="center"/>
              <w:rPr>
                <w:noProof/>
              </w:rPr>
            </w:pPr>
            <w:r>
              <w:rPr>
                <w:noProof/>
              </w:rPr>
              <w:t>M2C4–3</w:t>
            </w:r>
          </w:p>
        </w:tc>
        <w:tc>
          <w:tcPr>
            <w:tcW w:w="3118" w:type="dxa"/>
            <w:tcBorders>
              <w:top w:val="nil"/>
              <w:left w:val="nil"/>
              <w:bottom w:val="single" w:sz="4" w:space="0" w:color="auto"/>
              <w:right w:val="single" w:sz="4" w:space="0" w:color="auto"/>
            </w:tcBorders>
            <w:shd w:val="clear" w:color="auto" w:fill="C6EFCE"/>
            <w:noWrap/>
            <w:vAlign w:val="center"/>
          </w:tcPr>
          <w:p w14:paraId="1A8FFEB0" w14:textId="77777777" w:rsidR="003F5418" w:rsidRDefault="002A6C25">
            <w:pPr>
              <w:pStyle w:val="P68B1DB1-Normal9"/>
              <w:rPr>
                <w:noProof/>
              </w:rPr>
            </w:pPr>
            <w:r>
              <w:rPr>
                <w:noProof/>
              </w:rPr>
              <w:t>Reform: „Az integrált vízszolgáltatások teljes irányítási kapacitásának biztosítását célzó intézkedések”</w:t>
            </w:r>
          </w:p>
        </w:tc>
        <w:tc>
          <w:tcPr>
            <w:tcW w:w="1418" w:type="dxa"/>
            <w:tcBorders>
              <w:top w:val="nil"/>
              <w:left w:val="nil"/>
              <w:bottom w:val="single" w:sz="4" w:space="0" w:color="auto"/>
              <w:right w:val="single" w:sz="4" w:space="0" w:color="auto"/>
            </w:tcBorders>
            <w:shd w:val="clear" w:color="auto" w:fill="C6EFCE"/>
            <w:noWrap/>
            <w:vAlign w:val="center"/>
          </w:tcPr>
          <w:p w14:paraId="212A7284" w14:textId="77777777" w:rsidR="003F5418" w:rsidRDefault="002A6C25">
            <w:pPr>
              <w:pStyle w:val="P68B1DB1-Normal9"/>
              <w:rPr>
                <w:noProof/>
                <w:color w:val="006600"/>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7477FDDA" w14:textId="77777777" w:rsidR="003F5418" w:rsidRDefault="002A6C25">
            <w:pPr>
              <w:pStyle w:val="P68B1DB1-Normal9"/>
              <w:rPr>
                <w:noProof/>
                <w:color w:val="006600"/>
              </w:rPr>
            </w:pPr>
            <w:r>
              <w:rPr>
                <w:noProof/>
              </w:rPr>
              <w:t>A jobb vízgazdálkodást és a fenntartható vízhasználatot célzó jogi keret reformja</w:t>
            </w:r>
          </w:p>
        </w:tc>
      </w:tr>
      <w:tr w:rsidR="003F5418" w14:paraId="0C8482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BE9A" w14:textId="77777777" w:rsidR="003F5418" w:rsidRDefault="002A6C25">
            <w:pPr>
              <w:pStyle w:val="P68B1DB1-Normal9"/>
              <w:jc w:val="center"/>
              <w:rPr>
                <w:noProof/>
              </w:rPr>
            </w:pPr>
            <w:r>
              <w:rPr>
                <w:noProof/>
              </w:rPr>
              <w:t xml:space="preserve">M3C2–3 </w:t>
            </w:r>
          </w:p>
        </w:tc>
        <w:tc>
          <w:tcPr>
            <w:tcW w:w="3118" w:type="dxa"/>
            <w:tcBorders>
              <w:top w:val="nil"/>
              <w:left w:val="nil"/>
              <w:bottom w:val="single" w:sz="4" w:space="0" w:color="auto"/>
              <w:right w:val="single" w:sz="4" w:space="0" w:color="auto"/>
            </w:tcBorders>
            <w:shd w:val="clear" w:color="auto" w:fill="C6EFCE"/>
            <w:noWrap/>
            <w:vAlign w:val="center"/>
          </w:tcPr>
          <w:p w14:paraId="3C9AC8DA" w14:textId="77777777" w:rsidR="003F5418" w:rsidRDefault="002A6C25">
            <w:pPr>
              <w:pStyle w:val="P68B1DB1-Normal9"/>
              <w:rPr>
                <w:noProof/>
              </w:rPr>
            </w:pPr>
            <w:r>
              <w:rPr>
                <w:noProof/>
              </w:rPr>
              <w:t xml:space="preserve">Reform </w:t>
            </w:r>
            <w:r>
              <w:rPr>
                <w:noProof/>
              </w:rPr>
              <w:t>– Az egyablakos vámügyintézés („Sportello Unico Doganale”) megvalósítása </w:t>
            </w:r>
          </w:p>
        </w:tc>
        <w:tc>
          <w:tcPr>
            <w:tcW w:w="1418" w:type="dxa"/>
            <w:tcBorders>
              <w:top w:val="nil"/>
              <w:left w:val="nil"/>
              <w:bottom w:val="single" w:sz="4" w:space="0" w:color="auto"/>
              <w:right w:val="single" w:sz="4" w:space="0" w:color="auto"/>
            </w:tcBorders>
            <w:shd w:val="clear" w:color="auto" w:fill="C6EFCE"/>
            <w:noWrap/>
            <w:vAlign w:val="center"/>
          </w:tcPr>
          <w:p w14:paraId="191821CC" w14:textId="77777777" w:rsidR="003F5418" w:rsidRDefault="002A6C25">
            <w:pPr>
              <w:pStyle w:val="P68B1DB1-Normal9"/>
              <w:rPr>
                <w:noProof/>
                <w:color w:val="006600"/>
              </w:rPr>
            </w:pPr>
            <w:r>
              <w:rPr>
                <w:noProof/>
              </w:rPr>
              <w:t>Mérföldkő </w:t>
            </w:r>
          </w:p>
        </w:tc>
        <w:tc>
          <w:tcPr>
            <w:tcW w:w="3714" w:type="dxa"/>
            <w:tcBorders>
              <w:top w:val="nil"/>
              <w:left w:val="nil"/>
              <w:bottom w:val="single" w:sz="4" w:space="0" w:color="auto"/>
              <w:right w:val="single" w:sz="4" w:space="0" w:color="auto"/>
            </w:tcBorders>
            <w:shd w:val="clear" w:color="auto" w:fill="C6EFCE"/>
            <w:noWrap/>
            <w:vAlign w:val="center"/>
          </w:tcPr>
          <w:p w14:paraId="4DD55757" w14:textId="77777777" w:rsidR="003F5418" w:rsidRDefault="002A6C25">
            <w:pPr>
              <w:pStyle w:val="P68B1DB1-Normal9"/>
              <w:rPr>
                <w:noProof/>
                <w:color w:val="006600"/>
              </w:rPr>
            </w:pPr>
            <w:r>
              <w:rPr>
                <w:noProof/>
              </w:rPr>
              <w:t>Az egységes vámügynökről szóló rendelet (Sportello Unico Doganale) hatálybalépése </w:t>
            </w:r>
          </w:p>
        </w:tc>
      </w:tr>
      <w:tr w:rsidR="003F5418" w14:paraId="592253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89265C" w14:textId="77777777" w:rsidR="003F5418" w:rsidRDefault="002A6C25">
            <w:pPr>
              <w:pStyle w:val="P68B1DB1-Normal9"/>
              <w:jc w:val="center"/>
              <w:rPr>
                <w:noProof/>
              </w:rPr>
            </w:pPr>
            <w:r>
              <w:rPr>
                <w:noProof/>
              </w:rPr>
              <w:t>M4C1–1</w:t>
            </w:r>
          </w:p>
        </w:tc>
        <w:tc>
          <w:tcPr>
            <w:tcW w:w="3118" w:type="dxa"/>
            <w:tcBorders>
              <w:top w:val="nil"/>
              <w:left w:val="nil"/>
              <w:bottom w:val="single" w:sz="4" w:space="0" w:color="auto"/>
              <w:right w:val="single" w:sz="4" w:space="0" w:color="auto"/>
            </w:tcBorders>
            <w:shd w:val="clear" w:color="auto" w:fill="C6EFCE"/>
            <w:noWrap/>
            <w:vAlign w:val="center"/>
          </w:tcPr>
          <w:p w14:paraId="729180B2" w14:textId="77777777" w:rsidR="003F5418" w:rsidRDefault="002A6C25">
            <w:pPr>
              <w:pStyle w:val="P68B1DB1-Normal9"/>
              <w:rPr>
                <w:noProof/>
              </w:rPr>
            </w:pPr>
            <w:r>
              <w:rPr>
                <w:noProof/>
              </w:rPr>
              <w:t>Reform: Egyetemi diplomacsoportok reformja; Reform: Az egyetemi diplomák reformj</w:t>
            </w:r>
            <w:r>
              <w:rPr>
                <w:noProof/>
              </w:rPr>
              <w:t>ának lehetővé tétele; Reform: PhD-programok reformja</w:t>
            </w:r>
          </w:p>
        </w:tc>
        <w:tc>
          <w:tcPr>
            <w:tcW w:w="1418" w:type="dxa"/>
            <w:tcBorders>
              <w:top w:val="nil"/>
              <w:left w:val="nil"/>
              <w:bottom w:val="single" w:sz="4" w:space="0" w:color="auto"/>
              <w:right w:val="single" w:sz="4" w:space="0" w:color="auto"/>
            </w:tcBorders>
            <w:shd w:val="clear" w:color="auto" w:fill="C6EFCE"/>
            <w:noWrap/>
            <w:vAlign w:val="center"/>
          </w:tcPr>
          <w:p w14:paraId="53030E5F" w14:textId="77777777" w:rsidR="003F5418" w:rsidRDefault="002A6C25">
            <w:pPr>
              <w:pStyle w:val="P68B1DB1-Normal9"/>
              <w:rPr>
                <w:noProof/>
                <w:color w:val="006600"/>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374B26F5" w14:textId="77777777" w:rsidR="003F5418" w:rsidRDefault="002A6C25">
            <w:pPr>
              <w:pStyle w:val="P68B1DB1-Normal9"/>
              <w:rPr>
                <w:noProof/>
                <w:color w:val="006600"/>
              </w:rPr>
            </w:pPr>
            <w:r>
              <w:rPr>
                <w:noProof/>
              </w:rPr>
              <w:t xml:space="preserve">A felsőoktatási rendszer oktatási eredmények javítását célzó reformjainak (elsődleges jogszabályok) hatálybalépése az alábbiak tekintetében: egyetemi diplomák lehetővé tétele; egyetemi </w:t>
            </w:r>
            <w:r>
              <w:rPr>
                <w:noProof/>
              </w:rPr>
              <w:t>diplomacsoportok; a PhD-programok reformja</w:t>
            </w:r>
          </w:p>
        </w:tc>
      </w:tr>
      <w:tr w:rsidR="003F5418" w14:paraId="4B2251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F1096A" w14:textId="77777777" w:rsidR="003F5418" w:rsidRDefault="002A6C25">
            <w:pPr>
              <w:pStyle w:val="P68B1DB1-Normal9"/>
              <w:jc w:val="center"/>
              <w:rPr>
                <w:noProof/>
              </w:rPr>
            </w:pPr>
            <w:r>
              <w:rPr>
                <w:noProof/>
              </w:rPr>
              <w:t>M4C1–2</w:t>
            </w:r>
          </w:p>
        </w:tc>
        <w:tc>
          <w:tcPr>
            <w:tcW w:w="3118" w:type="dxa"/>
            <w:tcBorders>
              <w:top w:val="nil"/>
              <w:left w:val="nil"/>
              <w:bottom w:val="single" w:sz="4" w:space="0" w:color="auto"/>
              <w:right w:val="single" w:sz="4" w:space="0" w:color="auto"/>
            </w:tcBorders>
            <w:shd w:val="clear" w:color="auto" w:fill="C6EFCE"/>
            <w:noWrap/>
            <w:vAlign w:val="center"/>
          </w:tcPr>
          <w:p w14:paraId="7E02DAC1" w14:textId="77777777" w:rsidR="003F5418" w:rsidRDefault="002A6C25">
            <w:pPr>
              <w:pStyle w:val="P68B1DB1-Normal9"/>
              <w:rPr>
                <w:noProof/>
              </w:rPr>
            </w:pPr>
            <w:r>
              <w:rPr>
                <w:noProof/>
              </w:rPr>
              <w:t>Beruházás: Egyetemi ösztöndíjak</w:t>
            </w:r>
          </w:p>
        </w:tc>
        <w:tc>
          <w:tcPr>
            <w:tcW w:w="1418" w:type="dxa"/>
            <w:tcBorders>
              <w:top w:val="nil"/>
              <w:left w:val="nil"/>
              <w:bottom w:val="single" w:sz="4" w:space="0" w:color="auto"/>
              <w:right w:val="single" w:sz="4" w:space="0" w:color="auto"/>
            </w:tcBorders>
            <w:shd w:val="clear" w:color="auto" w:fill="C6EFCE"/>
            <w:noWrap/>
            <w:vAlign w:val="center"/>
          </w:tcPr>
          <w:p w14:paraId="4E8F279B" w14:textId="77777777" w:rsidR="003F5418" w:rsidRDefault="002A6C25">
            <w:pPr>
              <w:pStyle w:val="P68B1DB1-Normal9"/>
              <w:rPr>
                <w:noProof/>
                <w:color w:val="006600"/>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64EF4B22" w14:textId="77777777" w:rsidR="003F5418" w:rsidRDefault="002A6C25">
            <w:pPr>
              <w:pStyle w:val="P68B1DB1-Normal9"/>
              <w:rPr>
                <w:noProof/>
                <w:color w:val="006600"/>
              </w:rPr>
            </w:pPr>
            <w:r>
              <w:rPr>
                <w:noProof/>
              </w:rPr>
              <w:t>A felsőoktatáshoz való hozzáférés javítását célzó ösztöndíjak reformjáról szóló miniszteri rendeletek hatálybalépése</w:t>
            </w:r>
          </w:p>
        </w:tc>
      </w:tr>
      <w:tr w:rsidR="003F5418" w14:paraId="6E352B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85E36" w14:textId="77777777" w:rsidR="003F5418" w:rsidRDefault="002A6C25">
            <w:pPr>
              <w:pStyle w:val="P68B1DB1-Normal9"/>
              <w:jc w:val="center"/>
              <w:rPr>
                <w:noProof/>
              </w:rPr>
            </w:pPr>
            <w:r>
              <w:rPr>
                <w:noProof/>
              </w:rPr>
              <w:t xml:space="preserve">M5C1–1 </w:t>
            </w:r>
          </w:p>
        </w:tc>
        <w:tc>
          <w:tcPr>
            <w:tcW w:w="3118" w:type="dxa"/>
            <w:tcBorders>
              <w:top w:val="nil"/>
              <w:left w:val="nil"/>
              <w:bottom w:val="single" w:sz="4" w:space="0" w:color="auto"/>
              <w:right w:val="single" w:sz="4" w:space="0" w:color="auto"/>
            </w:tcBorders>
            <w:shd w:val="clear" w:color="auto" w:fill="C6EFCE"/>
            <w:noWrap/>
            <w:vAlign w:val="center"/>
          </w:tcPr>
          <w:p w14:paraId="1C3347CA" w14:textId="77777777" w:rsidR="003F5418" w:rsidRDefault="002A6C25">
            <w:pPr>
              <w:pStyle w:val="P68B1DB1-Normal9"/>
              <w:rPr>
                <w:noProof/>
              </w:rPr>
            </w:pPr>
            <w:r>
              <w:rPr>
                <w:noProof/>
              </w:rPr>
              <w:t xml:space="preserve">Reform – aktív munkaerőpiaci </w:t>
            </w:r>
            <w:r>
              <w:rPr>
                <w:noProof/>
              </w:rPr>
              <w:t>intézkedések és szakképzés</w:t>
            </w:r>
          </w:p>
        </w:tc>
        <w:tc>
          <w:tcPr>
            <w:tcW w:w="1418" w:type="dxa"/>
            <w:tcBorders>
              <w:top w:val="nil"/>
              <w:left w:val="nil"/>
              <w:bottom w:val="single" w:sz="4" w:space="0" w:color="auto"/>
              <w:right w:val="single" w:sz="4" w:space="0" w:color="auto"/>
            </w:tcBorders>
            <w:shd w:val="clear" w:color="auto" w:fill="C6EFCE"/>
            <w:noWrap/>
            <w:vAlign w:val="center"/>
          </w:tcPr>
          <w:p w14:paraId="7655C1C2" w14:textId="77777777" w:rsidR="003F5418" w:rsidRDefault="002A6C25">
            <w:pPr>
              <w:pStyle w:val="P68B1DB1-Normal9"/>
              <w:rPr>
                <w:noProof/>
                <w:color w:val="006600"/>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52F72437" w14:textId="77777777" w:rsidR="003F5418" w:rsidRDefault="002A6C25">
            <w:pPr>
              <w:pStyle w:val="P68B1DB1-Normal9"/>
              <w:rPr>
                <w:noProof/>
                <w:color w:val="006600"/>
              </w:rPr>
            </w:pPr>
            <w:r>
              <w:rPr>
                <w:noProof/>
              </w:rPr>
              <w:t>A munkavállalók garantált foglalkoztathatóságára vonatkozó nemzeti program (GOL) létrehozásáról szóló tárcaközi rendelet és az új készségekre vonatkozó nemzeti tervet létrehozó tárcaközi rendelet hatálybalépése</w:t>
            </w:r>
          </w:p>
        </w:tc>
      </w:tr>
      <w:tr w:rsidR="003F5418" w14:paraId="12185E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DEE8F7" w14:textId="77777777" w:rsidR="003F5418" w:rsidRDefault="002A6C25">
            <w:pPr>
              <w:pStyle w:val="P68B1DB1-Normal9"/>
              <w:jc w:val="center"/>
              <w:rPr>
                <w:noProof/>
              </w:rPr>
            </w:pPr>
            <w:r>
              <w:rPr>
                <w:noProof/>
              </w:rPr>
              <w:t>M5C2–1</w:t>
            </w:r>
          </w:p>
        </w:tc>
        <w:tc>
          <w:tcPr>
            <w:tcW w:w="3118" w:type="dxa"/>
            <w:tcBorders>
              <w:top w:val="nil"/>
              <w:left w:val="nil"/>
              <w:bottom w:val="single" w:sz="4" w:space="0" w:color="auto"/>
              <w:right w:val="single" w:sz="4" w:space="0" w:color="auto"/>
            </w:tcBorders>
            <w:shd w:val="clear" w:color="auto" w:fill="C6EFCE"/>
            <w:noWrap/>
            <w:vAlign w:val="center"/>
          </w:tcPr>
          <w:p w14:paraId="6A9BFEE7" w14:textId="77777777" w:rsidR="003F5418" w:rsidRDefault="002A6C25">
            <w:pPr>
              <w:pStyle w:val="P68B1DB1-Normal9"/>
              <w:rPr>
                <w:noProof/>
              </w:rPr>
            </w:pPr>
            <w:r>
              <w:rPr>
                <w:noProof/>
              </w:rPr>
              <w:t>Reform – A fogyatékosságról szóló keretjogszabály</w:t>
            </w:r>
          </w:p>
        </w:tc>
        <w:tc>
          <w:tcPr>
            <w:tcW w:w="1418" w:type="dxa"/>
            <w:tcBorders>
              <w:top w:val="nil"/>
              <w:left w:val="nil"/>
              <w:bottom w:val="single" w:sz="4" w:space="0" w:color="auto"/>
              <w:right w:val="single" w:sz="4" w:space="0" w:color="auto"/>
            </w:tcBorders>
            <w:shd w:val="clear" w:color="auto" w:fill="C6EFCE"/>
            <w:noWrap/>
            <w:vAlign w:val="center"/>
          </w:tcPr>
          <w:p w14:paraId="7D8EE671" w14:textId="77777777" w:rsidR="003F5418" w:rsidRDefault="002A6C25">
            <w:pPr>
              <w:pStyle w:val="P68B1DB1-Normal9"/>
              <w:rPr>
                <w:noProof/>
                <w:color w:val="006600"/>
              </w:rPr>
            </w:pPr>
            <w:r>
              <w:rPr>
                <w:noProof/>
              </w:rPr>
              <w:t>Mérföldkő</w:t>
            </w:r>
          </w:p>
        </w:tc>
        <w:tc>
          <w:tcPr>
            <w:tcW w:w="3714" w:type="dxa"/>
            <w:tcBorders>
              <w:top w:val="nil"/>
              <w:left w:val="nil"/>
              <w:bottom w:val="single" w:sz="4" w:space="0" w:color="auto"/>
              <w:right w:val="single" w:sz="4" w:space="0" w:color="auto"/>
            </w:tcBorders>
            <w:shd w:val="clear" w:color="auto" w:fill="C6EFCE"/>
            <w:noWrap/>
            <w:vAlign w:val="center"/>
          </w:tcPr>
          <w:p w14:paraId="6E2B66EC" w14:textId="77777777" w:rsidR="003F5418" w:rsidRDefault="002A6C25">
            <w:pPr>
              <w:pStyle w:val="P68B1DB1-Normal9"/>
              <w:rPr>
                <w:noProof/>
                <w:color w:val="006600"/>
              </w:rPr>
            </w:pPr>
            <w:r>
              <w:rPr>
                <w:noProof/>
              </w:rPr>
              <w:t>A fogyatékossággal élő személyek autonómiájának megerősítését célzó kerettörvény hatálybalépése.</w:t>
            </w:r>
          </w:p>
        </w:tc>
      </w:tr>
      <w:tr w:rsidR="003F5418" w14:paraId="2B7B7F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FD7E70" w14:textId="77777777" w:rsidR="003F5418" w:rsidRDefault="002A6C25">
            <w:pPr>
              <w:pStyle w:val="P68B1DB1-Normal9"/>
              <w:jc w:val="center"/>
              <w:rPr>
                <w:noProof/>
              </w:rPr>
            </w:pPr>
            <w:r>
              <w:rPr>
                <w:noProof/>
              </w:rPr>
              <w:t>M5C2–5</w:t>
            </w:r>
          </w:p>
        </w:tc>
        <w:tc>
          <w:tcPr>
            <w:tcW w:w="3118" w:type="dxa"/>
            <w:tcBorders>
              <w:top w:val="nil"/>
              <w:left w:val="nil"/>
              <w:bottom w:val="single" w:sz="4" w:space="0" w:color="auto"/>
              <w:right w:val="single" w:sz="4" w:space="0" w:color="auto"/>
            </w:tcBorders>
            <w:shd w:val="clear" w:color="auto" w:fill="C6EFCE"/>
            <w:noWrap/>
            <w:vAlign w:val="center"/>
          </w:tcPr>
          <w:p w14:paraId="56E86335" w14:textId="77777777" w:rsidR="003F5418" w:rsidRDefault="002A6C25">
            <w:pPr>
              <w:pStyle w:val="P68B1DB1-Normal9"/>
              <w:rPr>
                <w:noProof/>
              </w:rPr>
            </w:pPr>
            <w:r>
              <w:rPr>
                <w:noProof/>
              </w:rPr>
              <w:t>Beruházás – A kiszolgáltatott személyek támogatása és az intézményesítés megelőzése</w:t>
            </w:r>
          </w:p>
        </w:tc>
        <w:tc>
          <w:tcPr>
            <w:tcW w:w="1418" w:type="dxa"/>
            <w:tcBorders>
              <w:top w:val="nil"/>
              <w:left w:val="nil"/>
              <w:bottom w:val="single" w:sz="4" w:space="0" w:color="auto"/>
              <w:right w:val="single" w:sz="4" w:space="0" w:color="auto"/>
            </w:tcBorders>
            <w:shd w:val="clear" w:color="auto" w:fill="C6EFCE"/>
            <w:noWrap/>
            <w:vAlign w:val="center"/>
          </w:tcPr>
          <w:p w14:paraId="2C32BDE6" w14:textId="77777777" w:rsidR="003F5418" w:rsidRDefault="002A6C25">
            <w:pPr>
              <w:pStyle w:val="P68B1DB1-Normal9"/>
              <w:rPr>
                <w:noProof/>
                <w:color w:val="006600"/>
              </w:rPr>
            </w:pPr>
            <w:r>
              <w:rPr>
                <w:noProof/>
              </w:rPr>
              <w:t>Mérföld</w:t>
            </w:r>
            <w:r>
              <w:rPr>
                <w:noProof/>
              </w:rPr>
              <w:t>kő</w:t>
            </w:r>
          </w:p>
        </w:tc>
        <w:tc>
          <w:tcPr>
            <w:tcW w:w="3714" w:type="dxa"/>
            <w:tcBorders>
              <w:top w:val="nil"/>
              <w:left w:val="nil"/>
              <w:bottom w:val="single" w:sz="4" w:space="0" w:color="auto"/>
              <w:right w:val="single" w:sz="4" w:space="0" w:color="auto"/>
            </w:tcBorders>
            <w:shd w:val="clear" w:color="auto" w:fill="C6EFCE"/>
            <w:noWrap/>
            <w:vAlign w:val="center"/>
          </w:tcPr>
          <w:p w14:paraId="31ABEBA2" w14:textId="77777777" w:rsidR="003F5418" w:rsidRDefault="002A6C25">
            <w:pPr>
              <w:pStyle w:val="P68B1DB1-Normal9"/>
              <w:rPr>
                <w:noProof/>
                <w:color w:val="006600"/>
              </w:rPr>
            </w:pPr>
            <w:r>
              <w:rPr>
                <w:noProof/>
              </w:rPr>
              <w:t>A műveleti terv hatálybalépése</w:t>
            </w:r>
          </w:p>
        </w:tc>
      </w:tr>
      <w:tr w:rsidR="003F5418" w14:paraId="1C91ADA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E43AB7"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3DAD4FA1"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3CD4A277" w14:textId="77777777" w:rsidR="003F5418" w:rsidRDefault="002A6C25">
            <w:pPr>
              <w:pStyle w:val="P68B1DB1-Normal9"/>
              <w:rPr>
                <w:noProof/>
              </w:rPr>
            </w:pPr>
            <w:r>
              <w:rPr>
                <w:noProof/>
              </w:rPr>
              <w:t>Részösszeg</w:t>
            </w:r>
          </w:p>
        </w:tc>
        <w:tc>
          <w:tcPr>
            <w:tcW w:w="3714" w:type="dxa"/>
            <w:tcBorders>
              <w:top w:val="single" w:sz="4" w:space="0" w:color="auto"/>
              <w:left w:val="nil"/>
              <w:bottom w:val="single" w:sz="4" w:space="0" w:color="auto"/>
              <w:right w:val="single" w:sz="4" w:space="0" w:color="auto"/>
            </w:tcBorders>
            <w:shd w:val="clear" w:color="auto" w:fill="C6EFCE"/>
            <w:noWrap/>
            <w:vAlign w:val="bottom"/>
          </w:tcPr>
          <w:p w14:paraId="446973F1" w14:textId="22FA4E72" w:rsidR="003F5418" w:rsidRDefault="002A6C25">
            <w:pPr>
              <w:pStyle w:val="P68B1DB1-Normal37"/>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1BC0D0D8" w14:textId="77777777" w:rsidR="003F5418" w:rsidRDefault="003F5418">
      <w:pPr>
        <w:spacing w:before="120" w:after="120"/>
        <w:ind w:left="850"/>
        <w:jc w:val="both"/>
        <w:rPr>
          <w:rFonts w:eastAsia="Calibri"/>
          <w:noProof/>
        </w:rPr>
      </w:pPr>
    </w:p>
    <w:p w14:paraId="4F189FC5" w14:textId="77777777" w:rsidR="003F5418" w:rsidRDefault="002A6C25">
      <w:pPr>
        <w:pStyle w:val="P68B1DB1-Normal35"/>
        <w:numPr>
          <w:ilvl w:val="1"/>
          <w:numId w:val="6"/>
        </w:numPr>
        <w:spacing w:before="120" w:after="120"/>
        <w:jc w:val="both"/>
        <w:rPr>
          <w:noProof/>
        </w:rPr>
      </w:pPr>
      <w:r>
        <w:rPr>
          <w:noProof/>
        </w:rPr>
        <w:t>Második részösszeg (vissza nem térítendő támogatás):</w:t>
      </w:r>
    </w:p>
    <w:tbl>
      <w:tblPr>
        <w:tblW w:w="9692" w:type="dxa"/>
        <w:tblInd w:w="113" w:type="dxa"/>
        <w:tblLook w:val="04A0" w:firstRow="1" w:lastRow="0" w:firstColumn="1" w:lastColumn="0" w:noHBand="0" w:noVBand="1"/>
      </w:tblPr>
      <w:tblGrid>
        <w:gridCol w:w="1413"/>
        <w:gridCol w:w="3118"/>
        <w:gridCol w:w="1418"/>
        <w:gridCol w:w="3743"/>
      </w:tblGrid>
      <w:tr w:rsidR="003F5418" w14:paraId="7EFE05C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EB63655"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4F5F0E"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2FE5F73" w14:textId="77777777" w:rsidR="003F5418" w:rsidRDefault="002A6C25">
            <w:pPr>
              <w:pStyle w:val="P68B1DB1-Normal36"/>
              <w:jc w:val="center"/>
              <w:rPr>
                <w:noProof/>
              </w:rPr>
            </w:pPr>
            <w:r>
              <w:rPr>
                <w:noProof/>
              </w:rPr>
              <w:t>Mérföldkő/cél</w:t>
            </w:r>
          </w:p>
        </w:tc>
        <w:tc>
          <w:tcPr>
            <w:tcW w:w="374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3A07D91" w14:textId="77777777" w:rsidR="003F5418" w:rsidRDefault="002A6C25">
            <w:pPr>
              <w:pStyle w:val="P68B1DB1-Normal36"/>
              <w:jc w:val="center"/>
              <w:rPr>
                <w:noProof/>
              </w:rPr>
            </w:pPr>
            <w:r>
              <w:rPr>
                <w:noProof/>
              </w:rPr>
              <w:t>Név</w:t>
            </w:r>
          </w:p>
        </w:tc>
      </w:tr>
      <w:tr w:rsidR="003F5418" w14:paraId="529BC1CE"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2FB465"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288D7D"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DC8C58F" w14:textId="77777777" w:rsidR="003F5418" w:rsidRDefault="003F5418">
            <w:pPr>
              <w:rPr>
                <w:b/>
                <w:noProof/>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14:paraId="2A4FCDED" w14:textId="77777777" w:rsidR="003F5418" w:rsidRDefault="003F5418">
            <w:pPr>
              <w:rPr>
                <w:b/>
                <w:noProof/>
              </w:rPr>
            </w:pPr>
          </w:p>
        </w:tc>
      </w:tr>
      <w:tr w:rsidR="003F5418" w14:paraId="0FF47DA7"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66EB54" w14:textId="77777777" w:rsidR="003F5418" w:rsidRDefault="002A6C25">
            <w:pPr>
              <w:pStyle w:val="P68B1DB1-Normal9"/>
              <w:jc w:val="center"/>
              <w:rPr>
                <w:noProof/>
              </w:rPr>
            </w:pPr>
            <w:r>
              <w:rPr>
                <w:noProof/>
              </w:rPr>
              <w:t>M2C4–5</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35EDA25" w14:textId="77777777" w:rsidR="003F5418" w:rsidRDefault="002A6C25">
            <w:pPr>
              <w:pStyle w:val="P68B1DB1-Normal9"/>
              <w:rPr>
                <w:noProof/>
              </w:rPr>
            </w:pPr>
            <w:r>
              <w:rPr>
                <w:noProof/>
              </w:rPr>
              <w:t>Beruházás: A nemzeti parkok digitalizálása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8E3951B" w14:textId="77777777" w:rsidR="003F5418" w:rsidRDefault="002A6C25">
            <w:pPr>
              <w:pStyle w:val="P68B1DB1-Normal9"/>
              <w:rPr>
                <w:noProof/>
              </w:rPr>
            </w:pPr>
            <w:r>
              <w:rPr>
                <w:noProof/>
              </w:rPr>
              <w:t>Mérföldkő</w:t>
            </w:r>
          </w:p>
        </w:tc>
        <w:tc>
          <w:tcPr>
            <w:tcW w:w="3743" w:type="dxa"/>
            <w:tcBorders>
              <w:top w:val="single" w:sz="4" w:space="0" w:color="auto"/>
              <w:left w:val="nil"/>
              <w:bottom w:val="single" w:sz="4" w:space="0" w:color="auto"/>
              <w:right w:val="single" w:sz="4" w:space="0" w:color="auto"/>
            </w:tcBorders>
            <w:shd w:val="clear" w:color="auto" w:fill="C6EFCE"/>
            <w:noWrap/>
            <w:vAlign w:val="center"/>
          </w:tcPr>
          <w:p w14:paraId="4DDC1A94" w14:textId="77777777" w:rsidR="003F5418" w:rsidRDefault="002A6C25">
            <w:pPr>
              <w:pStyle w:val="P68B1DB1-Normal9"/>
              <w:rPr>
                <w:noProof/>
              </w:rPr>
            </w:pPr>
            <w:r>
              <w:rPr>
                <w:noProof/>
              </w:rPr>
              <w:t>Az adminisztratív egyszerűsítés hatálybalépése és a nemzeti parkokba és védett tengeri területekbe látogatóknak nyújtott digitális szolgáltatások fejlesztése</w:t>
            </w:r>
          </w:p>
        </w:tc>
      </w:tr>
      <w:tr w:rsidR="003F5418" w14:paraId="73EA7A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8539FF" w14:textId="77777777" w:rsidR="003F5418" w:rsidRDefault="002A6C25">
            <w:pPr>
              <w:pStyle w:val="P68B1DB1-Normal9"/>
              <w:jc w:val="center"/>
              <w:rPr>
                <w:noProof/>
              </w:rPr>
            </w:pPr>
            <w:r>
              <w:rPr>
                <w:noProof/>
              </w:rPr>
              <w:t>M5C2–9</w:t>
            </w:r>
          </w:p>
        </w:tc>
        <w:tc>
          <w:tcPr>
            <w:tcW w:w="3118" w:type="dxa"/>
            <w:tcBorders>
              <w:top w:val="nil"/>
              <w:left w:val="nil"/>
              <w:bottom w:val="single" w:sz="4" w:space="0" w:color="auto"/>
              <w:right w:val="single" w:sz="4" w:space="0" w:color="auto"/>
            </w:tcBorders>
            <w:shd w:val="clear" w:color="auto" w:fill="C6EFCE"/>
            <w:noWrap/>
            <w:vAlign w:val="center"/>
          </w:tcPr>
          <w:p w14:paraId="5F0ECCAB" w14:textId="77777777" w:rsidR="003F5418" w:rsidRDefault="002A6C25">
            <w:pPr>
              <w:pStyle w:val="P68B1DB1-Normal9"/>
              <w:rPr>
                <w:noProof/>
              </w:rPr>
            </w:pPr>
            <w:r>
              <w:rPr>
                <w:noProof/>
              </w:rPr>
              <w:t>Beruházás – Az első és a későbbi állomások lakhatása</w:t>
            </w:r>
          </w:p>
        </w:tc>
        <w:tc>
          <w:tcPr>
            <w:tcW w:w="1418" w:type="dxa"/>
            <w:tcBorders>
              <w:top w:val="nil"/>
              <w:left w:val="nil"/>
              <w:bottom w:val="single" w:sz="4" w:space="0" w:color="auto"/>
              <w:right w:val="single" w:sz="4" w:space="0" w:color="auto"/>
            </w:tcBorders>
            <w:shd w:val="clear" w:color="auto" w:fill="C6EFCE"/>
            <w:noWrap/>
            <w:vAlign w:val="center"/>
          </w:tcPr>
          <w:p w14:paraId="55CE9E93"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72A6612A" w14:textId="77777777" w:rsidR="003F5418" w:rsidRDefault="002A6C25">
            <w:pPr>
              <w:pStyle w:val="P68B1DB1-Normal9"/>
              <w:rPr>
                <w:noProof/>
              </w:rPr>
            </w:pPr>
            <w:r>
              <w:rPr>
                <w:noProof/>
              </w:rPr>
              <w:t>A „Lakhatás az első” és a „post-állomás” projektekkel kapcsolatos operatív terv hatálybalépése, a helyi szervezetek által előterjeszthető projektek követelményeinek meghatározása, valamint pályázati felhívás közzététele</w:t>
            </w:r>
          </w:p>
        </w:tc>
      </w:tr>
      <w:tr w:rsidR="003F5418" w14:paraId="408063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860BA" w14:textId="77777777" w:rsidR="003F5418" w:rsidRDefault="002A6C25">
            <w:pPr>
              <w:pStyle w:val="P68B1DB1-Normal9"/>
              <w:jc w:val="center"/>
              <w:rPr>
                <w:noProof/>
              </w:rPr>
            </w:pPr>
            <w:r>
              <w:rPr>
                <w:noProof/>
              </w:rPr>
              <w:t>M1C1–33</w:t>
            </w:r>
          </w:p>
        </w:tc>
        <w:tc>
          <w:tcPr>
            <w:tcW w:w="3118" w:type="dxa"/>
            <w:tcBorders>
              <w:top w:val="nil"/>
              <w:left w:val="nil"/>
              <w:bottom w:val="single" w:sz="4" w:space="0" w:color="auto"/>
              <w:right w:val="single" w:sz="4" w:space="0" w:color="auto"/>
            </w:tcBorders>
            <w:shd w:val="clear" w:color="auto" w:fill="C6EFCE"/>
            <w:noWrap/>
            <w:vAlign w:val="center"/>
          </w:tcPr>
          <w:p w14:paraId="1053760C" w14:textId="77777777" w:rsidR="003F5418" w:rsidRDefault="002A6C25">
            <w:pPr>
              <w:pStyle w:val="P68B1DB1-Normal9"/>
              <w:rPr>
                <w:noProof/>
              </w:rPr>
            </w:pPr>
            <w:r>
              <w:rPr>
                <w:noProof/>
              </w:rPr>
              <w:t xml:space="preserve">Beruházás: A közigazgatási </w:t>
            </w:r>
            <w:r>
              <w:rPr>
                <w:noProof/>
              </w:rPr>
              <w:t>bíróságok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6CE45FDB" w14:textId="77777777" w:rsidR="003F5418" w:rsidRDefault="002A6C25">
            <w:pPr>
              <w:pStyle w:val="P68B1DB1-Normal9"/>
              <w:rPr>
                <w:noProof/>
              </w:rPr>
            </w:pPr>
            <w:r>
              <w:rPr>
                <w:noProof/>
              </w:rPr>
              <w:t>Cél</w:t>
            </w:r>
          </w:p>
        </w:tc>
        <w:tc>
          <w:tcPr>
            <w:tcW w:w="3743" w:type="dxa"/>
            <w:tcBorders>
              <w:top w:val="nil"/>
              <w:left w:val="nil"/>
              <w:bottom w:val="single" w:sz="4" w:space="0" w:color="auto"/>
              <w:right w:val="single" w:sz="4" w:space="0" w:color="auto"/>
            </w:tcBorders>
            <w:shd w:val="clear" w:color="auto" w:fill="C6EFCE"/>
            <w:noWrap/>
            <w:vAlign w:val="center"/>
          </w:tcPr>
          <w:p w14:paraId="103E48ED" w14:textId="77777777" w:rsidR="003F5418" w:rsidRDefault="002A6C25">
            <w:pPr>
              <w:pStyle w:val="P68B1DB1-Normal9"/>
              <w:rPr>
                <w:noProof/>
              </w:rPr>
            </w:pPr>
            <w:r>
              <w:rPr>
                <w:noProof/>
              </w:rPr>
              <w:t>A közigazgatási bíróságok felvételi eljárásainak megkezdése</w:t>
            </w:r>
          </w:p>
        </w:tc>
      </w:tr>
      <w:tr w:rsidR="003F5418" w14:paraId="25AE69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39621" w14:textId="77777777" w:rsidR="003F5418" w:rsidRDefault="002A6C25">
            <w:pPr>
              <w:pStyle w:val="P68B1DB1-Normal9"/>
              <w:jc w:val="center"/>
              <w:rPr>
                <w:noProof/>
              </w:rPr>
            </w:pPr>
            <w:r>
              <w:rPr>
                <w:noProof/>
              </w:rPr>
              <w:t>M1C1–56</w:t>
            </w:r>
          </w:p>
        </w:tc>
        <w:tc>
          <w:tcPr>
            <w:tcW w:w="3118" w:type="dxa"/>
            <w:tcBorders>
              <w:top w:val="nil"/>
              <w:left w:val="nil"/>
              <w:bottom w:val="single" w:sz="4" w:space="0" w:color="auto"/>
              <w:right w:val="single" w:sz="4" w:space="0" w:color="auto"/>
            </w:tcBorders>
            <w:shd w:val="clear" w:color="auto" w:fill="C6EFCE"/>
            <w:noWrap/>
            <w:vAlign w:val="center"/>
          </w:tcPr>
          <w:p w14:paraId="3F832543"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25395ACD"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245D2DAF" w14:textId="77777777" w:rsidR="003F5418" w:rsidRDefault="002A6C25">
            <w:pPr>
              <w:pStyle w:val="P68B1DB1-Normal9"/>
              <w:rPr>
                <w:noProof/>
              </w:rPr>
            </w:pPr>
            <w:r>
              <w:rPr>
                <w:noProof/>
              </w:rPr>
              <w:t>Az állami foglalkoztatás reformját lehetővé tevő jogszabályok hatálybalépése</w:t>
            </w:r>
          </w:p>
        </w:tc>
      </w:tr>
      <w:tr w:rsidR="003F5418" w14:paraId="0B8505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1D54B5" w14:textId="77777777" w:rsidR="003F5418" w:rsidRDefault="002A6C25">
            <w:pPr>
              <w:pStyle w:val="P68B1DB1-Normal9"/>
              <w:jc w:val="center"/>
              <w:rPr>
                <w:noProof/>
              </w:rPr>
            </w:pPr>
            <w:r>
              <w:rPr>
                <w:noProof/>
              </w:rPr>
              <w:t>M1C1–70</w:t>
            </w:r>
          </w:p>
        </w:tc>
        <w:tc>
          <w:tcPr>
            <w:tcW w:w="3118" w:type="dxa"/>
            <w:tcBorders>
              <w:top w:val="nil"/>
              <w:left w:val="nil"/>
              <w:bottom w:val="single" w:sz="4" w:space="0" w:color="auto"/>
              <w:right w:val="single" w:sz="4" w:space="0" w:color="auto"/>
            </w:tcBorders>
            <w:shd w:val="clear" w:color="auto" w:fill="C6EFCE"/>
            <w:noWrap/>
            <w:vAlign w:val="center"/>
          </w:tcPr>
          <w:p w14:paraId="134773EE" w14:textId="77777777" w:rsidR="003F5418" w:rsidRDefault="002A6C25">
            <w:pPr>
              <w:pStyle w:val="P68B1DB1-Normal9"/>
              <w:rPr>
                <w:noProof/>
              </w:rPr>
            </w:pPr>
            <w:r>
              <w:rPr>
                <w:noProof/>
              </w:rPr>
              <w:t>Reform: A közbeszerzési j</w:t>
            </w:r>
            <w:r>
              <w:rPr>
                <w:noProof/>
              </w:rPr>
              <w:t>ogi keret reformja</w:t>
            </w:r>
          </w:p>
        </w:tc>
        <w:tc>
          <w:tcPr>
            <w:tcW w:w="1418" w:type="dxa"/>
            <w:tcBorders>
              <w:top w:val="nil"/>
              <w:left w:val="nil"/>
              <w:bottom w:val="single" w:sz="4" w:space="0" w:color="auto"/>
              <w:right w:val="single" w:sz="4" w:space="0" w:color="auto"/>
            </w:tcBorders>
            <w:shd w:val="clear" w:color="auto" w:fill="C6EFCE"/>
            <w:noWrap/>
            <w:vAlign w:val="center"/>
          </w:tcPr>
          <w:p w14:paraId="37373293"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5B9C0552" w14:textId="77777777" w:rsidR="003F5418" w:rsidRDefault="002A6C25">
            <w:pPr>
              <w:pStyle w:val="P68B1DB1-Normal9"/>
              <w:rPr>
                <w:noProof/>
              </w:rPr>
            </w:pPr>
            <w:r>
              <w:rPr>
                <w:noProof/>
              </w:rPr>
              <w:t>A közbeszerzési törvénykönyv felülvizsgálatának hatálybalépése (D.Lgs. n. 50/2016)</w:t>
            </w:r>
          </w:p>
        </w:tc>
      </w:tr>
      <w:tr w:rsidR="003F5418" w14:paraId="2B0135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2D7932" w14:textId="77777777" w:rsidR="003F5418" w:rsidRDefault="002A6C25">
            <w:pPr>
              <w:pStyle w:val="P68B1DB1-Normal9"/>
              <w:jc w:val="center"/>
              <w:rPr>
                <w:noProof/>
              </w:rPr>
            </w:pPr>
            <w:r>
              <w:rPr>
                <w:noProof/>
              </w:rPr>
              <w:t>M1C1–1003</w:t>
            </w:r>
          </w:p>
        </w:tc>
        <w:tc>
          <w:tcPr>
            <w:tcW w:w="3118" w:type="dxa"/>
            <w:tcBorders>
              <w:top w:val="nil"/>
              <w:left w:val="nil"/>
              <w:bottom w:val="single" w:sz="4" w:space="0" w:color="auto"/>
              <w:right w:val="single" w:sz="4" w:space="0" w:color="auto"/>
            </w:tcBorders>
            <w:shd w:val="clear" w:color="auto" w:fill="C6EFCE"/>
            <w:noWrap/>
            <w:vAlign w:val="center"/>
          </w:tcPr>
          <w:p w14:paraId="308F23CB"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7E5CF829"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4FA93FCB" w14:textId="77777777" w:rsidR="003F5418" w:rsidRDefault="002A6C25">
            <w:pPr>
              <w:pStyle w:val="P68B1DB1-Normal9"/>
              <w:rPr>
                <w:noProof/>
              </w:rPr>
            </w:pPr>
            <w:r>
              <w:rPr>
                <w:noProof/>
              </w:rPr>
              <w:t>Az elsődleges és másodlagos jogszabályok és szabályozási rendelkezések hatálybalépése, valamint az adózási fegyelem ösztönzését, valamint az auditok és kontrollok javítását célzó közigazgatási eljárások lezárása</w:t>
            </w:r>
          </w:p>
        </w:tc>
      </w:tr>
      <w:tr w:rsidR="003F5418" w14:paraId="364C98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61BE6F" w14:textId="77777777" w:rsidR="003F5418" w:rsidRDefault="002A6C25">
            <w:pPr>
              <w:pStyle w:val="P68B1DB1-Normal9"/>
              <w:jc w:val="center"/>
              <w:rPr>
                <w:noProof/>
              </w:rPr>
            </w:pPr>
            <w:r>
              <w:rPr>
                <w:noProof/>
              </w:rPr>
              <w:t>M1C1–104.</w:t>
            </w:r>
          </w:p>
        </w:tc>
        <w:tc>
          <w:tcPr>
            <w:tcW w:w="3118" w:type="dxa"/>
            <w:tcBorders>
              <w:top w:val="nil"/>
              <w:left w:val="nil"/>
              <w:bottom w:val="single" w:sz="4" w:space="0" w:color="auto"/>
              <w:right w:val="single" w:sz="4" w:space="0" w:color="auto"/>
            </w:tcBorders>
            <w:shd w:val="clear" w:color="auto" w:fill="C6EFCE"/>
            <w:noWrap/>
            <w:vAlign w:val="center"/>
          </w:tcPr>
          <w:p w14:paraId="08D3A648" w14:textId="77777777" w:rsidR="003F5418" w:rsidRDefault="002A6C25">
            <w:pPr>
              <w:pStyle w:val="P68B1DB1-Normal9"/>
              <w:rPr>
                <w:noProof/>
              </w:rPr>
            </w:pPr>
            <w:r>
              <w:rPr>
                <w:noProof/>
              </w:rPr>
              <w:t>Reform: A kiadások felülvizsgálat</w:t>
            </w:r>
            <w:r>
              <w:rPr>
                <w:noProof/>
              </w:rPr>
              <w:t>ára vonatkozó keret reformja</w:t>
            </w:r>
          </w:p>
        </w:tc>
        <w:tc>
          <w:tcPr>
            <w:tcW w:w="1418" w:type="dxa"/>
            <w:tcBorders>
              <w:top w:val="nil"/>
              <w:left w:val="nil"/>
              <w:bottom w:val="single" w:sz="4" w:space="0" w:color="auto"/>
              <w:right w:val="single" w:sz="4" w:space="0" w:color="auto"/>
            </w:tcBorders>
            <w:shd w:val="clear" w:color="auto" w:fill="C6EFCE"/>
            <w:noWrap/>
            <w:vAlign w:val="center"/>
          </w:tcPr>
          <w:p w14:paraId="3A9ED898"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7AE82126" w14:textId="77777777" w:rsidR="003F5418" w:rsidRDefault="002A6C25">
            <w:pPr>
              <w:pStyle w:val="P68B1DB1-Normal9"/>
              <w:rPr>
                <w:noProof/>
              </w:rPr>
            </w:pPr>
            <w:r>
              <w:rPr>
                <w:noProof/>
              </w:rPr>
              <w:t>A 2023–2025-ös időszakra vonatkozó kiadási felülvizsgálatokra vonatkozó megtakarítási célok elfogadása</w:t>
            </w:r>
          </w:p>
        </w:tc>
      </w:tr>
      <w:tr w:rsidR="003F5418" w14:paraId="33A76A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75F8FE" w14:textId="77777777" w:rsidR="003F5418" w:rsidRDefault="002A6C25">
            <w:pPr>
              <w:pStyle w:val="P68B1DB1-Normal9"/>
              <w:jc w:val="center"/>
              <w:rPr>
                <w:noProof/>
              </w:rPr>
            </w:pPr>
            <w:r>
              <w:rPr>
                <w:noProof/>
              </w:rPr>
              <w:t>M1C3–11</w:t>
            </w:r>
          </w:p>
        </w:tc>
        <w:tc>
          <w:tcPr>
            <w:tcW w:w="3118" w:type="dxa"/>
            <w:tcBorders>
              <w:top w:val="nil"/>
              <w:left w:val="nil"/>
              <w:bottom w:val="single" w:sz="4" w:space="0" w:color="auto"/>
              <w:right w:val="single" w:sz="4" w:space="0" w:color="auto"/>
            </w:tcBorders>
            <w:shd w:val="clear" w:color="auto" w:fill="C6EFCE"/>
            <w:noWrap/>
            <w:vAlign w:val="center"/>
          </w:tcPr>
          <w:p w14:paraId="4FDE0688" w14:textId="77777777" w:rsidR="003F5418" w:rsidRDefault="002A6C25">
            <w:pPr>
              <w:pStyle w:val="P68B1DB1-Normal9"/>
              <w:rPr>
                <w:noProof/>
              </w:rPr>
            </w:pPr>
            <w:r>
              <w:rPr>
                <w:noProof/>
              </w:rPr>
              <w:t>Beruházás – A mozi, színházak és múzeumok energiahatékonyságának javítása</w:t>
            </w:r>
          </w:p>
        </w:tc>
        <w:tc>
          <w:tcPr>
            <w:tcW w:w="1418" w:type="dxa"/>
            <w:tcBorders>
              <w:top w:val="nil"/>
              <w:left w:val="nil"/>
              <w:bottom w:val="single" w:sz="4" w:space="0" w:color="auto"/>
              <w:right w:val="single" w:sz="4" w:space="0" w:color="auto"/>
            </w:tcBorders>
            <w:shd w:val="clear" w:color="auto" w:fill="C6EFCE"/>
            <w:noWrap/>
            <w:vAlign w:val="center"/>
          </w:tcPr>
          <w:p w14:paraId="13AD7C94"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01910632" w14:textId="77777777" w:rsidR="003F5418" w:rsidRDefault="002A6C25">
            <w:pPr>
              <w:pStyle w:val="P68B1DB1-Normal9"/>
              <w:rPr>
                <w:noProof/>
              </w:rPr>
            </w:pPr>
            <w:r>
              <w:rPr>
                <w:noProof/>
              </w:rPr>
              <w:t xml:space="preserve">A Kultúra Minisztérium forráselosztásról szóló rendeletének hatálybalépése: az energiahatékonyság javítása a kultúra helyszínein </w:t>
            </w:r>
          </w:p>
        </w:tc>
      </w:tr>
      <w:tr w:rsidR="003F5418" w14:paraId="4855D2E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F5625" w14:textId="77777777" w:rsidR="003F5418" w:rsidRDefault="002A6C25">
            <w:pPr>
              <w:pStyle w:val="P68B1DB1-Normal9"/>
              <w:jc w:val="center"/>
              <w:rPr>
                <w:noProof/>
              </w:rPr>
            </w:pPr>
            <w:r>
              <w:rPr>
                <w:noProof/>
              </w:rPr>
              <w:t>M2C1–1</w:t>
            </w:r>
          </w:p>
        </w:tc>
        <w:tc>
          <w:tcPr>
            <w:tcW w:w="3118" w:type="dxa"/>
            <w:tcBorders>
              <w:top w:val="nil"/>
              <w:left w:val="nil"/>
              <w:bottom w:val="single" w:sz="4" w:space="0" w:color="auto"/>
              <w:right w:val="single" w:sz="4" w:space="0" w:color="auto"/>
            </w:tcBorders>
            <w:shd w:val="clear" w:color="auto" w:fill="C6EFCE"/>
            <w:noWrap/>
            <w:vAlign w:val="center"/>
          </w:tcPr>
          <w:p w14:paraId="53B8ACD5" w14:textId="77777777" w:rsidR="003F5418" w:rsidRDefault="002A6C25">
            <w:pPr>
              <w:pStyle w:val="P68B1DB1-Normal9"/>
              <w:rPr>
                <w:noProof/>
              </w:rPr>
            </w:pPr>
            <w:r>
              <w:rPr>
                <w:noProof/>
              </w:rPr>
              <w:t>Reform – A körforgásos gazdaságra vonatkozó nemzeti stratégia</w:t>
            </w:r>
          </w:p>
        </w:tc>
        <w:tc>
          <w:tcPr>
            <w:tcW w:w="1418" w:type="dxa"/>
            <w:tcBorders>
              <w:top w:val="nil"/>
              <w:left w:val="nil"/>
              <w:bottom w:val="single" w:sz="4" w:space="0" w:color="auto"/>
              <w:right w:val="single" w:sz="4" w:space="0" w:color="auto"/>
            </w:tcBorders>
            <w:shd w:val="clear" w:color="auto" w:fill="C6EFCE"/>
            <w:noWrap/>
            <w:vAlign w:val="center"/>
          </w:tcPr>
          <w:p w14:paraId="6ECB5260"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09241567" w14:textId="77777777" w:rsidR="003F5418" w:rsidRDefault="002A6C25">
            <w:pPr>
              <w:pStyle w:val="P68B1DB1-Normal9"/>
              <w:rPr>
                <w:noProof/>
              </w:rPr>
            </w:pPr>
            <w:r>
              <w:rPr>
                <w:noProof/>
              </w:rPr>
              <w:t>A körforgásos gazdaságra vonatkozó nemzeti str</w:t>
            </w:r>
            <w:r>
              <w:rPr>
                <w:noProof/>
              </w:rPr>
              <w:t>atégia elfogadásáról szóló miniszteri rendelet hatálybalépése</w:t>
            </w:r>
          </w:p>
        </w:tc>
      </w:tr>
      <w:tr w:rsidR="003F5418" w14:paraId="2B28C1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E000" w14:textId="77777777" w:rsidR="003F5418" w:rsidRDefault="002A6C25">
            <w:pPr>
              <w:pStyle w:val="P68B1DB1-Normal9"/>
              <w:jc w:val="center"/>
              <w:rPr>
                <w:noProof/>
              </w:rPr>
            </w:pPr>
            <w:r>
              <w:rPr>
                <w:noProof/>
              </w:rPr>
              <w:t>M2C1–2</w:t>
            </w:r>
          </w:p>
        </w:tc>
        <w:tc>
          <w:tcPr>
            <w:tcW w:w="3118" w:type="dxa"/>
            <w:tcBorders>
              <w:top w:val="nil"/>
              <w:left w:val="nil"/>
              <w:bottom w:val="single" w:sz="4" w:space="0" w:color="auto"/>
              <w:right w:val="single" w:sz="4" w:space="0" w:color="auto"/>
            </w:tcBorders>
            <w:shd w:val="clear" w:color="auto" w:fill="C6EFCE"/>
            <w:noWrap/>
            <w:vAlign w:val="center"/>
          </w:tcPr>
          <w:p w14:paraId="3AA926CF" w14:textId="77777777" w:rsidR="003F5418" w:rsidRDefault="002A6C25">
            <w:pPr>
              <w:pStyle w:val="P68B1DB1-Normal9"/>
              <w:rPr>
                <w:noProof/>
              </w:rPr>
            </w:pPr>
            <w:r>
              <w:rPr>
                <w:noProof/>
              </w:rPr>
              <w:t>Reform – Technikai támogatás a helyi hatóságok számára</w:t>
            </w:r>
          </w:p>
        </w:tc>
        <w:tc>
          <w:tcPr>
            <w:tcW w:w="1418" w:type="dxa"/>
            <w:tcBorders>
              <w:top w:val="nil"/>
              <w:left w:val="nil"/>
              <w:bottom w:val="single" w:sz="4" w:space="0" w:color="auto"/>
              <w:right w:val="single" w:sz="4" w:space="0" w:color="auto"/>
            </w:tcBorders>
            <w:shd w:val="clear" w:color="auto" w:fill="C6EFCE"/>
            <w:noWrap/>
            <w:vAlign w:val="center"/>
          </w:tcPr>
          <w:p w14:paraId="06429FA1"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44F2A174" w14:textId="77777777" w:rsidR="003F5418" w:rsidRDefault="002A6C25">
            <w:pPr>
              <w:pStyle w:val="P68B1DB1-Normal9"/>
              <w:rPr>
                <w:noProof/>
              </w:rPr>
            </w:pPr>
            <w:r>
              <w:rPr>
                <w:noProof/>
              </w:rPr>
              <w:t xml:space="preserve">Megállapodás jóváhagyása a helyi hatóságok támogatására irányuló, az építési kapacitásra vonatkozó cselekvési terv </w:t>
            </w:r>
            <w:r>
              <w:rPr>
                <w:noProof/>
              </w:rPr>
              <w:t>kidolgozására vonatkozóan</w:t>
            </w:r>
          </w:p>
        </w:tc>
      </w:tr>
      <w:tr w:rsidR="003F5418" w14:paraId="13D88B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8C5880" w14:textId="77777777" w:rsidR="003F5418" w:rsidRDefault="002A6C25">
            <w:pPr>
              <w:pStyle w:val="P68B1DB1-Normal9"/>
              <w:jc w:val="center"/>
              <w:rPr>
                <w:noProof/>
              </w:rPr>
            </w:pPr>
            <w:r>
              <w:rPr>
                <w:noProof/>
              </w:rPr>
              <w:t>M2C1–11</w:t>
            </w:r>
          </w:p>
        </w:tc>
        <w:tc>
          <w:tcPr>
            <w:tcW w:w="3118" w:type="dxa"/>
            <w:tcBorders>
              <w:top w:val="nil"/>
              <w:left w:val="nil"/>
              <w:bottom w:val="single" w:sz="4" w:space="0" w:color="auto"/>
              <w:right w:val="single" w:sz="4" w:space="0" w:color="auto"/>
            </w:tcBorders>
            <w:shd w:val="clear" w:color="auto" w:fill="C6EFCE"/>
            <w:noWrap/>
            <w:vAlign w:val="center"/>
          </w:tcPr>
          <w:p w14:paraId="042C02D1" w14:textId="77777777" w:rsidR="003F5418" w:rsidRDefault="002A6C25">
            <w:pPr>
              <w:pStyle w:val="P68B1DB1-Normal9"/>
              <w:rPr>
                <w:noProof/>
              </w:rPr>
            </w:pPr>
            <w:r>
              <w:rPr>
                <w:noProof/>
              </w:rPr>
              <w:t>Beruházás: Kultúra és tudatosság a környezetvédelmi témákkal és kihívásokkal kapcsolatban</w:t>
            </w:r>
          </w:p>
        </w:tc>
        <w:tc>
          <w:tcPr>
            <w:tcW w:w="1418" w:type="dxa"/>
            <w:tcBorders>
              <w:top w:val="nil"/>
              <w:left w:val="nil"/>
              <w:bottom w:val="single" w:sz="4" w:space="0" w:color="auto"/>
              <w:right w:val="single" w:sz="4" w:space="0" w:color="auto"/>
            </w:tcBorders>
            <w:shd w:val="clear" w:color="auto" w:fill="C6EFCE"/>
            <w:noWrap/>
            <w:vAlign w:val="center"/>
          </w:tcPr>
          <w:p w14:paraId="2774B703"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439DB293" w14:textId="77777777" w:rsidR="003F5418" w:rsidRDefault="002A6C25">
            <w:pPr>
              <w:pStyle w:val="P68B1DB1-Normal9"/>
              <w:rPr>
                <w:noProof/>
              </w:rPr>
            </w:pPr>
            <w:r>
              <w:rPr>
                <w:noProof/>
              </w:rPr>
              <w:t>Internetes platform elindítása és szerzőkkel kötött szerződések</w:t>
            </w:r>
          </w:p>
        </w:tc>
      </w:tr>
      <w:tr w:rsidR="003F5418" w14:paraId="677F6C5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F59E6" w14:textId="77777777" w:rsidR="003F5418" w:rsidRDefault="002A6C25">
            <w:pPr>
              <w:pStyle w:val="P68B1DB1-Normal9"/>
              <w:jc w:val="center"/>
              <w:rPr>
                <w:noProof/>
              </w:rPr>
            </w:pPr>
            <w:r>
              <w:rPr>
                <w:noProof/>
              </w:rPr>
              <w:t>M2C2–18</w:t>
            </w:r>
          </w:p>
        </w:tc>
        <w:tc>
          <w:tcPr>
            <w:tcW w:w="3118" w:type="dxa"/>
            <w:tcBorders>
              <w:top w:val="nil"/>
              <w:left w:val="nil"/>
              <w:bottom w:val="single" w:sz="4" w:space="0" w:color="auto"/>
              <w:right w:val="single" w:sz="4" w:space="0" w:color="auto"/>
            </w:tcBorders>
            <w:shd w:val="clear" w:color="auto" w:fill="C6EFCE"/>
            <w:noWrap/>
            <w:vAlign w:val="center"/>
          </w:tcPr>
          <w:p w14:paraId="31A8C976" w14:textId="77777777" w:rsidR="003F5418" w:rsidRDefault="002A6C25">
            <w:pPr>
              <w:pStyle w:val="P68B1DB1-Normal9"/>
              <w:rPr>
                <w:noProof/>
              </w:rPr>
            </w:pPr>
            <w:r>
              <w:rPr>
                <w:noProof/>
              </w:rPr>
              <w:t>Beruházás Hidrogénkutatás és -fejlesztés</w:t>
            </w:r>
          </w:p>
        </w:tc>
        <w:tc>
          <w:tcPr>
            <w:tcW w:w="1418" w:type="dxa"/>
            <w:tcBorders>
              <w:top w:val="nil"/>
              <w:left w:val="nil"/>
              <w:bottom w:val="single" w:sz="4" w:space="0" w:color="auto"/>
              <w:right w:val="single" w:sz="4" w:space="0" w:color="auto"/>
            </w:tcBorders>
            <w:shd w:val="clear" w:color="auto" w:fill="C6EFCE"/>
            <w:noWrap/>
            <w:vAlign w:val="center"/>
          </w:tcPr>
          <w:p w14:paraId="334585EA" w14:textId="77777777" w:rsidR="003F5418" w:rsidRDefault="002A6C25">
            <w:pPr>
              <w:pStyle w:val="P68B1DB1-Normal9"/>
              <w:rPr>
                <w:noProof/>
              </w:rPr>
            </w:pPr>
            <w:r>
              <w:rPr>
                <w:noProof/>
              </w:rPr>
              <w:t>Mérföld</w:t>
            </w:r>
            <w:r>
              <w:rPr>
                <w:noProof/>
              </w:rPr>
              <w:t>kő</w:t>
            </w:r>
          </w:p>
        </w:tc>
        <w:tc>
          <w:tcPr>
            <w:tcW w:w="3743" w:type="dxa"/>
            <w:tcBorders>
              <w:top w:val="nil"/>
              <w:left w:val="nil"/>
              <w:bottom w:val="single" w:sz="4" w:space="0" w:color="auto"/>
              <w:right w:val="single" w:sz="4" w:space="0" w:color="auto"/>
            </w:tcBorders>
            <w:shd w:val="clear" w:color="auto" w:fill="C6EFCE"/>
            <w:noWrap/>
            <w:vAlign w:val="center"/>
          </w:tcPr>
          <w:p w14:paraId="0D2F37E1" w14:textId="77777777" w:rsidR="003F5418" w:rsidRDefault="002A6C25">
            <w:pPr>
              <w:pStyle w:val="P68B1DB1-Normal9"/>
              <w:rPr>
                <w:noProof/>
              </w:rPr>
            </w:pPr>
            <w:r>
              <w:rPr>
                <w:noProof/>
              </w:rPr>
              <w:t>Valamennyi állami K+F szerződés odaítélése hidrogénnel kapcsolatos kutatási projektek számára</w:t>
            </w:r>
          </w:p>
        </w:tc>
      </w:tr>
      <w:tr w:rsidR="003F5418" w14:paraId="5E8168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CD30D" w14:textId="77777777" w:rsidR="003F5418" w:rsidRDefault="002A6C25">
            <w:pPr>
              <w:pStyle w:val="P68B1DB1-Normal9"/>
              <w:jc w:val="center"/>
              <w:rPr>
                <w:noProof/>
              </w:rPr>
            </w:pPr>
            <w:r>
              <w:rPr>
                <w:noProof/>
              </w:rPr>
              <w:t>M2C2–21</w:t>
            </w:r>
          </w:p>
        </w:tc>
        <w:tc>
          <w:tcPr>
            <w:tcW w:w="3118" w:type="dxa"/>
            <w:tcBorders>
              <w:top w:val="nil"/>
              <w:left w:val="nil"/>
              <w:bottom w:val="single" w:sz="4" w:space="0" w:color="auto"/>
              <w:right w:val="single" w:sz="4" w:space="0" w:color="auto"/>
            </w:tcBorders>
            <w:shd w:val="clear" w:color="auto" w:fill="C6EFCE"/>
            <w:noWrap/>
            <w:vAlign w:val="center"/>
          </w:tcPr>
          <w:p w14:paraId="4FE95417" w14:textId="77777777" w:rsidR="003F5418" w:rsidRDefault="002A6C25">
            <w:pPr>
              <w:pStyle w:val="P68B1DB1-Normal9"/>
              <w:rPr>
                <w:noProof/>
              </w:rPr>
            </w:pPr>
            <w:r>
              <w:rPr>
                <w:noProof/>
              </w:rPr>
              <w:t>Reform – A hidrogén versenyképességét elősegítő intézkedések</w:t>
            </w:r>
          </w:p>
        </w:tc>
        <w:tc>
          <w:tcPr>
            <w:tcW w:w="1418" w:type="dxa"/>
            <w:tcBorders>
              <w:top w:val="nil"/>
              <w:left w:val="nil"/>
              <w:bottom w:val="single" w:sz="4" w:space="0" w:color="auto"/>
              <w:right w:val="single" w:sz="4" w:space="0" w:color="auto"/>
            </w:tcBorders>
            <w:shd w:val="clear" w:color="auto" w:fill="C6EFCE"/>
            <w:noWrap/>
            <w:vAlign w:val="center"/>
          </w:tcPr>
          <w:p w14:paraId="454BE34D"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0B5BDEDD" w14:textId="77777777" w:rsidR="003F5418" w:rsidRDefault="002A6C25">
            <w:pPr>
              <w:pStyle w:val="P68B1DB1-Normal9"/>
              <w:rPr>
                <w:noProof/>
              </w:rPr>
            </w:pPr>
            <w:r>
              <w:rPr>
                <w:noProof/>
              </w:rPr>
              <w:t>A fiskális ösztönzők hatálybalépése</w:t>
            </w:r>
          </w:p>
        </w:tc>
      </w:tr>
      <w:tr w:rsidR="003F5418" w14:paraId="4E04EE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894049" w14:textId="77777777" w:rsidR="003F5418" w:rsidRDefault="002A6C25">
            <w:pPr>
              <w:pStyle w:val="P68B1DB1-Normal9"/>
              <w:jc w:val="center"/>
              <w:rPr>
                <w:noProof/>
              </w:rPr>
            </w:pPr>
            <w:r>
              <w:rPr>
                <w:noProof/>
              </w:rPr>
              <w:t>M2C2–38</w:t>
            </w:r>
          </w:p>
        </w:tc>
        <w:tc>
          <w:tcPr>
            <w:tcW w:w="3118" w:type="dxa"/>
            <w:tcBorders>
              <w:top w:val="nil"/>
              <w:left w:val="nil"/>
              <w:bottom w:val="single" w:sz="4" w:space="0" w:color="auto"/>
              <w:right w:val="single" w:sz="4" w:space="0" w:color="auto"/>
            </w:tcBorders>
            <w:shd w:val="clear" w:color="auto" w:fill="C6EFCE"/>
            <w:noWrap/>
            <w:vAlign w:val="center"/>
          </w:tcPr>
          <w:p w14:paraId="1D73EC9D" w14:textId="77777777" w:rsidR="003F5418" w:rsidRDefault="002A6C25">
            <w:pPr>
              <w:pStyle w:val="P68B1DB1-Normal9"/>
              <w:rPr>
                <w:noProof/>
              </w:rPr>
            </w:pPr>
            <w:r>
              <w:rPr>
                <w:noProof/>
              </w:rPr>
              <w:t xml:space="preserve">Beruházás: Megújuló </w:t>
            </w:r>
            <w:r>
              <w:rPr>
                <w:noProof/>
              </w:rPr>
              <w:t>energiaforrások és akkumulátorok</w:t>
            </w:r>
          </w:p>
        </w:tc>
        <w:tc>
          <w:tcPr>
            <w:tcW w:w="1418" w:type="dxa"/>
            <w:tcBorders>
              <w:top w:val="nil"/>
              <w:left w:val="nil"/>
              <w:bottom w:val="single" w:sz="4" w:space="0" w:color="auto"/>
              <w:right w:val="single" w:sz="4" w:space="0" w:color="auto"/>
            </w:tcBorders>
            <w:shd w:val="clear" w:color="auto" w:fill="C6EFCE"/>
            <w:noWrap/>
            <w:vAlign w:val="center"/>
          </w:tcPr>
          <w:p w14:paraId="03491071"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25086484" w14:textId="77777777" w:rsidR="003F5418" w:rsidRDefault="002A6C25">
            <w:pPr>
              <w:pStyle w:val="P68B1DB1-Normal9"/>
              <w:rPr>
                <w:noProof/>
              </w:rPr>
            </w:pPr>
            <w:r>
              <w:rPr>
                <w:noProof/>
              </w:rPr>
              <w:t>Miniszteri rendelet hatálybalépése</w:t>
            </w:r>
          </w:p>
        </w:tc>
      </w:tr>
      <w:tr w:rsidR="003F5418" w14:paraId="4593B0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4DE152" w14:textId="77777777" w:rsidR="003F5418" w:rsidRDefault="002A6C25">
            <w:pPr>
              <w:pStyle w:val="P68B1DB1-Normal9"/>
              <w:jc w:val="center"/>
              <w:rPr>
                <w:noProof/>
              </w:rPr>
            </w:pPr>
            <w:r>
              <w:rPr>
                <w:noProof/>
              </w:rPr>
              <w:t>M2C2–42</w:t>
            </w:r>
          </w:p>
        </w:tc>
        <w:tc>
          <w:tcPr>
            <w:tcW w:w="3118" w:type="dxa"/>
            <w:tcBorders>
              <w:top w:val="nil"/>
              <w:left w:val="nil"/>
              <w:bottom w:val="single" w:sz="4" w:space="0" w:color="auto"/>
              <w:right w:val="single" w:sz="4" w:space="0" w:color="auto"/>
            </w:tcBorders>
            <w:shd w:val="clear" w:color="auto" w:fill="C6EFCE"/>
            <w:noWrap/>
            <w:vAlign w:val="center"/>
          </w:tcPr>
          <w:p w14:paraId="7CC9D29D" w14:textId="77777777" w:rsidR="003F5418" w:rsidRDefault="002A6C25">
            <w:pPr>
              <w:pStyle w:val="P68B1DB1-Normal9"/>
              <w:rPr>
                <w:noProof/>
              </w:rPr>
            </w:pPr>
            <w:r>
              <w:rPr>
                <w:noProof/>
              </w:rPr>
              <w:t>Beruházás: Az ökológiai átállásban aktív induló vállalkozások és kockázati tőke támogatása</w:t>
            </w:r>
          </w:p>
        </w:tc>
        <w:tc>
          <w:tcPr>
            <w:tcW w:w="1418" w:type="dxa"/>
            <w:tcBorders>
              <w:top w:val="nil"/>
              <w:left w:val="nil"/>
              <w:bottom w:val="single" w:sz="4" w:space="0" w:color="auto"/>
              <w:right w:val="single" w:sz="4" w:space="0" w:color="auto"/>
            </w:tcBorders>
            <w:shd w:val="clear" w:color="auto" w:fill="C6EFCE"/>
            <w:noWrap/>
            <w:vAlign w:val="center"/>
          </w:tcPr>
          <w:p w14:paraId="65A1CA58"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0ADC6ECF" w14:textId="77777777" w:rsidR="003F5418" w:rsidRDefault="002A6C25">
            <w:pPr>
              <w:pStyle w:val="P68B1DB1-Normal9"/>
              <w:rPr>
                <w:noProof/>
              </w:rPr>
            </w:pPr>
            <w:r>
              <w:rPr>
                <w:noProof/>
              </w:rPr>
              <w:t>A pénzügyi megállapodás aláírása</w:t>
            </w:r>
          </w:p>
        </w:tc>
      </w:tr>
      <w:tr w:rsidR="003F5418" w14:paraId="04BAC5A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EE9107" w14:textId="77777777" w:rsidR="003F5418" w:rsidRDefault="002A6C25">
            <w:pPr>
              <w:pStyle w:val="P68B1DB1-Normal9"/>
              <w:jc w:val="center"/>
              <w:rPr>
                <w:noProof/>
              </w:rPr>
            </w:pPr>
            <w:r>
              <w:rPr>
                <w:noProof/>
              </w:rPr>
              <w:t>M2C3–4</w:t>
            </w:r>
          </w:p>
        </w:tc>
        <w:tc>
          <w:tcPr>
            <w:tcW w:w="3118" w:type="dxa"/>
            <w:tcBorders>
              <w:top w:val="nil"/>
              <w:left w:val="nil"/>
              <w:bottom w:val="single" w:sz="4" w:space="0" w:color="auto"/>
              <w:right w:val="single" w:sz="4" w:space="0" w:color="auto"/>
            </w:tcBorders>
            <w:shd w:val="clear" w:color="auto" w:fill="C6EFCE"/>
            <w:noWrap/>
            <w:vAlign w:val="center"/>
          </w:tcPr>
          <w:p w14:paraId="543E96C1" w14:textId="77777777" w:rsidR="003F5418" w:rsidRDefault="002A6C25">
            <w:pPr>
              <w:pStyle w:val="P68B1DB1-Normal9"/>
              <w:rPr>
                <w:noProof/>
              </w:rPr>
            </w:pPr>
            <w:r>
              <w:rPr>
                <w:noProof/>
              </w:rPr>
              <w:t xml:space="preserve">Reform: Az </w:t>
            </w:r>
            <w:r>
              <w:rPr>
                <w:noProof/>
              </w:rPr>
              <w:t>energiahatékonysági beavatkozások eljárásainak egyszerűsítése és felgyorsítása</w:t>
            </w:r>
          </w:p>
        </w:tc>
        <w:tc>
          <w:tcPr>
            <w:tcW w:w="1418" w:type="dxa"/>
            <w:tcBorders>
              <w:top w:val="nil"/>
              <w:left w:val="nil"/>
              <w:bottom w:val="single" w:sz="4" w:space="0" w:color="auto"/>
              <w:right w:val="single" w:sz="4" w:space="0" w:color="auto"/>
            </w:tcBorders>
            <w:shd w:val="clear" w:color="auto" w:fill="C6EFCE"/>
            <w:noWrap/>
            <w:vAlign w:val="center"/>
          </w:tcPr>
          <w:p w14:paraId="002A4275"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70443BE5" w14:textId="77777777" w:rsidR="003F5418" w:rsidRDefault="002A6C25">
            <w:pPr>
              <w:pStyle w:val="P68B1DB1-Normal9"/>
              <w:rPr>
                <w:noProof/>
              </w:rPr>
            </w:pPr>
            <w:r>
              <w:rPr>
                <w:noProof/>
              </w:rPr>
              <w:t>Az energiahatékonysági beavatkozások eljárásainak egyszerűsítése és felgyorsítása</w:t>
            </w:r>
          </w:p>
        </w:tc>
      </w:tr>
      <w:tr w:rsidR="003F5418" w14:paraId="1868E82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3CF9C6" w14:textId="77777777" w:rsidR="003F5418" w:rsidRDefault="002A6C25">
            <w:pPr>
              <w:pStyle w:val="P68B1DB1-Normal9"/>
              <w:jc w:val="center"/>
              <w:rPr>
                <w:noProof/>
              </w:rPr>
            </w:pPr>
            <w:r>
              <w:rPr>
                <w:noProof/>
              </w:rPr>
              <w:t>M2C4–1</w:t>
            </w:r>
          </w:p>
        </w:tc>
        <w:tc>
          <w:tcPr>
            <w:tcW w:w="3118" w:type="dxa"/>
            <w:tcBorders>
              <w:top w:val="nil"/>
              <w:left w:val="nil"/>
              <w:bottom w:val="single" w:sz="4" w:space="0" w:color="auto"/>
              <w:right w:val="single" w:sz="4" w:space="0" w:color="auto"/>
            </w:tcBorders>
            <w:shd w:val="clear" w:color="auto" w:fill="C6EFCE"/>
            <w:noWrap/>
            <w:vAlign w:val="center"/>
          </w:tcPr>
          <w:p w14:paraId="1A46E890" w14:textId="77777777" w:rsidR="003F5418" w:rsidRDefault="002A6C25">
            <w:pPr>
              <w:pStyle w:val="P68B1DB1-Normal9"/>
              <w:rPr>
                <w:noProof/>
              </w:rPr>
            </w:pPr>
            <w:r>
              <w:rPr>
                <w:noProof/>
              </w:rPr>
              <w:t>Reform: A hidrogeológiai instabilitás elleni beavatkozások végrehajtási eljár</w:t>
            </w:r>
            <w:r>
              <w:rPr>
                <w:noProof/>
              </w:rPr>
              <w:t>ásainak egyszerűsítése és felgyorsítása</w:t>
            </w:r>
          </w:p>
        </w:tc>
        <w:tc>
          <w:tcPr>
            <w:tcW w:w="1418" w:type="dxa"/>
            <w:tcBorders>
              <w:top w:val="nil"/>
              <w:left w:val="nil"/>
              <w:bottom w:val="single" w:sz="4" w:space="0" w:color="auto"/>
              <w:right w:val="single" w:sz="4" w:space="0" w:color="auto"/>
            </w:tcBorders>
            <w:shd w:val="clear" w:color="auto" w:fill="C6EFCE"/>
            <w:noWrap/>
            <w:vAlign w:val="center"/>
          </w:tcPr>
          <w:p w14:paraId="2D54A8AA"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23D75F1F" w14:textId="77777777" w:rsidR="003F5418" w:rsidRDefault="002A6C25">
            <w:pPr>
              <w:pStyle w:val="P68B1DB1-Normal9"/>
              <w:rPr>
                <w:noProof/>
              </w:rPr>
            </w:pPr>
            <w:r>
              <w:rPr>
                <w:noProof/>
              </w:rPr>
              <w:t>A hidrológiai kockázatok jobb kezelését célzó jogi keret egyszerűsítésének hatálybalépése</w:t>
            </w:r>
          </w:p>
        </w:tc>
      </w:tr>
      <w:tr w:rsidR="003F5418" w14:paraId="41939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9FDDDE" w14:textId="77777777" w:rsidR="003F5418" w:rsidRDefault="002A6C25">
            <w:pPr>
              <w:pStyle w:val="P68B1DB1-Normal9"/>
              <w:jc w:val="center"/>
              <w:rPr>
                <w:noProof/>
              </w:rPr>
            </w:pPr>
            <w:r>
              <w:rPr>
                <w:noProof/>
              </w:rPr>
              <w:t>M2C4–4</w:t>
            </w:r>
          </w:p>
        </w:tc>
        <w:tc>
          <w:tcPr>
            <w:tcW w:w="3118" w:type="dxa"/>
            <w:tcBorders>
              <w:top w:val="nil"/>
              <w:left w:val="nil"/>
              <w:bottom w:val="single" w:sz="4" w:space="0" w:color="auto"/>
              <w:right w:val="single" w:sz="4" w:space="0" w:color="auto"/>
            </w:tcBorders>
            <w:shd w:val="clear" w:color="auto" w:fill="C6EFCE"/>
            <w:noWrap/>
            <w:vAlign w:val="center"/>
          </w:tcPr>
          <w:p w14:paraId="0F0F471F" w14:textId="77777777" w:rsidR="003F5418" w:rsidRDefault="002A6C25">
            <w:pPr>
              <w:pStyle w:val="P68B1DB1-Normal9"/>
              <w:rPr>
                <w:noProof/>
              </w:rPr>
            </w:pPr>
            <w:r>
              <w:rPr>
                <w:noProof/>
              </w:rPr>
              <w:t>Reform: „Az integrált vízszolgáltatások teljes irányítási kapacitásának biztosítását célzó intézkedések”</w:t>
            </w:r>
          </w:p>
        </w:tc>
        <w:tc>
          <w:tcPr>
            <w:tcW w:w="1418" w:type="dxa"/>
            <w:tcBorders>
              <w:top w:val="nil"/>
              <w:left w:val="nil"/>
              <w:bottom w:val="single" w:sz="4" w:space="0" w:color="auto"/>
              <w:right w:val="single" w:sz="4" w:space="0" w:color="auto"/>
            </w:tcBorders>
            <w:shd w:val="clear" w:color="auto" w:fill="C6EFCE"/>
            <w:noWrap/>
            <w:vAlign w:val="center"/>
          </w:tcPr>
          <w:p w14:paraId="58282FF3"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18C46641" w14:textId="77777777" w:rsidR="003F5418" w:rsidRDefault="002A6C25">
            <w:pPr>
              <w:pStyle w:val="P68B1DB1-Normal9"/>
              <w:rPr>
                <w:noProof/>
              </w:rPr>
            </w:pPr>
            <w:r>
              <w:rPr>
                <w:noProof/>
              </w:rPr>
              <w:t>Az öntözési célokra vonatkozó új jogi keret hatálybalépése</w:t>
            </w:r>
          </w:p>
        </w:tc>
      </w:tr>
      <w:tr w:rsidR="003F5418" w14:paraId="66BD89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3FA757" w14:textId="77777777" w:rsidR="003F5418" w:rsidRDefault="002A6C25">
            <w:pPr>
              <w:pStyle w:val="P68B1DB1-Normal9"/>
              <w:jc w:val="center"/>
              <w:rPr>
                <w:noProof/>
              </w:rPr>
            </w:pPr>
            <w:r>
              <w:rPr>
                <w:noProof/>
              </w:rPr>
              <w:t>M4C1–3</w:t>
            </w:r>
          </w:p>
        </w:tc>
        <w:tc>
          <w:tcPr>
            <w:tcW w:w="3118" w:type="dxa"/>
            <w:tcBorders>
              <w:top w:val="nil"/>
              <w:left w:val="nil"/>
              <w:bottom w:val="single" w:sz="4" w:space="0" w:color="auto"/>
              <w:right w:val="single" w:sz="4" w:space="0" w:color="auto"/>
            </w:tcBorders>
            <w:shd w:val="clear" w:color="auto" w:fill="C6EFCE"/>
            <w:noWrap/>
            <w:vAlign w:val="center"/>
          </w:tcPr>
          <w:p w14:paraId="0603A826" w14:textId="77777777" w:rsidR="003F5418" w:rsidRDefault="002A6C25">
            <w:pPr>
              <w:pStyle w:val="P68B1DB1-Normal9"/>
              <w:rPr>
                <w:noProof/>
              </w:rPr>
            </w:pPr>
            <w:r>
              <w:rPr>
                <w:noProof/>
              </w:rPr>
              <w:t>Reform: Tanárok felvétele</w:t>
            </w:r>
          </w:p>
        </w:tc>
        <w:tc>
          <w:tcPr>
            <w:tcW w:w="1418" w:type="dxa"/>
            <w:tcBorders>
              <w:top w:val="nil"/>
              <w:left w:val="nil"/>
              <w:bottom w:val="single" w:sz="4" w:space="0" w:color="auto"/>
              <w:right w:val="single" w:sz="4" w:space="0" w:color="auto"/>
            </w:tcBorders>
            <w:shd w:val="clear" w:color="auto" w:fill="C6EFCE"/>
            <w:noWrap/>
            <w:vAlign w:val="center"/>
          </w:tcPr>
          <w:p w14:paraId="555670BA"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702F6EE0" w14:textId="77777777" w:rsidR="003F5418" w:rsidRDefault="002A6C25">
            <w:pPr>
              <w:pStyle w:val="P68B1DB1-Normal9"/>
              <w:rPr>
                <w:noProof/>
              </w:rPr>
            </w:pPr>
            <w:r>
              <w:rPr>
                <w:noProof/>
              </w:rPr>
              <w:t>A tanári szakma reformjának hatálybalépése.</w:t>
            </w:r>
          </w:p>
        </w:tc>
      </w:tr>
      <w:tr w:rsidR="003F5418" w14:paraId="3532462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4C0769" w14:textId="77777777" w:rsidR="003F5418" w:rsidRDefault="002A6C25">
            <w:pPr>
              <w:pStyle w:val="P68B1DB1-Normal9"/>
              <w:jc w:val="center"/>
              <w:rPr>
                <w:noProof/>
              </w:rPr>
            </w:pPr>
            <w:r>
              <w:rPr>
                <w:noProof/>
              </w:rPr>
              <w:t>M4C1–4</w:t>
            </w:r>
          </w:p>
        </w:tc>
        <w:tc>
          <w:tcPr>
            <w:tcW w:w="3118" w:type="dxa"/>
            <w:tcBorders>
              <w:top w:val="nil"/>
              <w:left w:val="nil"/>
              <w:bottom w:val="single" w:sz="4" w:space="0" w:color="auto"/>
              <w:right w:val="single" w:sz="4" w:space="0" w:color="auto"/>
            </w:tcBorders>
            <w:shd w:val="clear" w:color="auto" w:fill="C6EFCE"/>
            <w:noWrap/>
            <w:vAlign w:val="center"/>
          </w:tcPr>
          <w:p w14:paraId="4FC51153" w14:textId="77777777" w:rsidR="003F5418" w:rsidRDefault="002A6C25">
            <w:pPr>
              <w:pStyle w:val="P68B1DB1-Normal9"/>
              <w:rPr>
                <w:noProof/>
              </w:rPr>
            </w:pPr>
            <w:r>
              <w:rPr>
                <w:noProof/>
              </w:rPr>
              <w:t>Beruházás: Iskola 4.0: innovatív iskolák, vezetékek, új osztálytermek és műhelyek</w:t>
            </w:r>
          </w:p>
        </w:tc>
        <w:tc>
          <w:tcPr>
            <w:tcW w:w="1418" w:type="dxa"/>
            <w:tcBorders>
              <w:top w:val="nil"/>
              <w:left w:val="nil"/>
              <w:bottom w:val="single" w:sz="4" w:space="0" w:color="auto"/>
              <w:right w:val="single" w:sz="4" w:space="0" w:color="auto"/>
            </w:tcBorders>
            <w:shd w:val="clear" w:color="auto" w:fill="C6EFCE"/>
            <w:noWrap/>
            <w:vAlign w:val="center"/>
          </w:tcPr>
          <w:p w14:paraId="5636703F"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017D0B97" w14:textId="77777777" w:rsidR="003F5418" w:rsidRDefault="002A6C25">
            <w:pPr>
              <w:pStyle w:val="P68B1DB1-Normal9"/>
              <w:rPr>
                <w:noProof/>
              </w:rPr>
            </w:pPr>
            <w:r>
              <w:rPr>
                <w:noProof/>
              </w:rPr>
              <w:t>Az Iskola 4.0 Az olasz iskolarendszer digitális átállásának előmozdítására irányuló terv elfogadása</w:t>
            </w:r>
          </w:p>
        </w:tc>
      </w:tr>
      <w:tr w:rsidR="003F5418" w14:paraId="7602D3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9CC50" w14:textId="77777777" w:rsidR="003F5418" w:rsidRDefault="002A6C25">
            <w:pPr>
              <w:pStyle w:val="P68B1DB1-Normal9"/>
              <w:jc w:val="center"/>
              <w:rPr>
                <w:noProof/>
              </w:rPr>
            </w:pPr>
            <w:r>
              <w:rPr>
                <w:noProof/>
              </w:rPr>
              <w:t>M4C2–4</w:t>
            </w:r>
          </w:p>
        </w:tc>
        <w:tc>
          <w:tcPr>
            <w:tcW w:w="3118" w:type="dxa"/>
            <w:tcBorders>
              <w:top w:val="nil"/>
              <w:left w:val="nil"/>
              <w:bottom w:val="single" w:sz="4" w:space="0" w:color="auto"/>
              <w:right w:val="single" w:sz="4" w:space="0" w:color="auto"/>
            </w:tcBorders>
            <w:shd w:val="clear" w:color="auto" w:fill="C6EFCE"/>
            <w:noWrap/>
            <w:vAlign w:val="center"/>
          </w:tcPr>
          <w:p w14:paraId="46DFFA5B" w14:textId="77777777" w:rsidR="003F5418" w:rsidRDefault="002A6C25">
            <w:pPr>
              <w:pStyle w:val="P68B1DB1-Normal9"/>
              <w:rPr>
                <w:noProof/>
              </w:rPr>
            </w:pPr>
            <w:r>
              <w:rPr>
                <w:noProof/>
              </w:rPr>
              <w:t>Reform: Az egyszerűsítést és a mobilitást elősegítő K+F támogatási intézkedések végrehajtása</w:t>
            </w:r>
          </w:p>
        </w:tc>
        <w:tc>
          <w:tcPr>
            <w:tcW w:w="1418" w:type="dxa"/>
            <w:tcBorders>
              <w:top w:val="nil"/>
              <w:left w:val="nil"/>
              <w:bottom w:val="single" w:sz="4" w:space="0" w:color="auto"/>
              <w:right w:val="single" w:sz="4" w:space="0" w:color="auto"/>
            </w:tcBorders>
            <w:shd w:val="clear" w:color="auto" w:fill="C6EFCE"/>
            <w:noWrap/>
            <w:vAlign w:val="center"/>
          </w:tcPr>
          <w:p w14:paraId="19945CC3" w14:textId="77777777" w:rsidR="003F5418" w:rsidRDefault="002A6C25">
            <w:pPr>
              <w:pStyle w:val="P68B1DB1-Normal9"/>
              <w:rPr>
                <w:noProof/>
              </w:rPr>
            </w:pPr>
            <w:r>
              <w:rPr>
                <w:noProof/>
              </w:rPr>
              <w:t>Mérföldkő</w:t>
            </w:r>
          </w:p>
        </w:tc>
        <w:tc>
          <w:tcPr>
            <w:tcW w:w="3743" w:type="dxa"/>
            <w:tcBorders>
              <w:top w:val="nil"/>
              <w:left w:val="nil"/>
              <w:bottom w:val="single" w:sz="4" w:space="0" w:color="auto"/>
              <w:right w:val="single" w:sz="4" w:space="0" w:color="auto"/>
            </w:tcBorders>
            <w:shd w:val="clear" w:color="auto" w:fill="C6EFCE"/>
            <w:noWrap/>
            <w:vAlign w:val="center"/>
          </w:tcPr>
          <w:p w14:paraId="6BB7674D" w14:textId="77777777" w:rsidR="003F5418" w:rsidRDefault="002A6C25">
            <w:pPr>
              <w:pStyle w:val="P68B1DB1-Normal9"/>
              <w:rPr>
                <w:noProof/>
              </w:rPr>
            </w:pPr>
            <w:r>
              <w:rPr>
                <w:noProof/>
              </w:rPr>
              <w:t xml:space="preserve">A rendes finanszírozási alaphoz kapcsolódó, </w:t>
            </w:r>
            <w:r>
              <w:rPr>
                <w:noProof/>
              </w:rPr>
              <w:t>a K+F egyszerűsítéséről és a mobilitásról szóló miniszteri rendeletek hatálybalépése.</w:t>
            </w:r>
          </w:p>
        </w:tc>
      </w:tr>
      <w:tr w:rsidR="003F5418" w14:paraId="4F5595F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6E6BC1"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5828A58D"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A63F548" w14:textId="77777777" w:rsidR="003F5418" w:rsidRDefault="002A6C25">
            <w:pPr>
              <w:pStyle w:val="P68B1DB1-Normal9"/>
              <w:rPr>
                <w:noProof/>
              </w:rPr>
            </w:pPr>
            <w:r>
              <w:rPr>
                <w:noProof/>
              </w:rPr>
              <w:t>Részösszeg</w:t>
            </w:r>
          </w:p>
        </w:tc>
        <w:tc>
          <w:tcPr>
            <w:tcW w:w="3743" w:type="dxa"/>
            <w:tcBorders>
              <w:top w:val="single" w:sz="4" w:space="0" w:color="auto"/>
              <w:left w:val="nil"/>
              <w:bottom w:val="single" w:sz="4" w:space="0" w:color="auto"/>
              <w:right w:val="single" w:sz="4" w:space="0" w:color="auto"/>
            </w:tcBorders>
            <w:shd w:val="clear" w:color="auto" w:fill="C6EFCE"/>
            <w:noWrap/>
            <w:vAlign w:val="bottom"/>
          </w:tcPr>
          <w:p w14:paraId="57C58393" w14:textId="77A02BC6" w:rsidR="003F5418" w:rsidRDefault="002A6C25">
            <w:pPr>
              <w:pStyle w:val="P68B1DB1-Normal37"/>
              <w:rPr>
                <w:noProof/>
              </w:rPr>
            </w:pPr>
            <w:r>
              <w:rPr>
                <w:noProof/>
              </w:rPr>
              <w:t>11</w:t>
            </w:r>
            <w:r>
              <w:rPr>
                <w:noProof/>
              </w:rPr>
              <w:t> </w:t>
            </w:r>
            <w:r>
              <w:rPr>
                <w:noProof/>
              </w:rPr>
              <w:t>494</w:t>
            </w:r>
            <w:r>
              <w:rPr>
                <w:noProof/>
              </w:rPr>
              <w:t> </w:t>
            </w:r>
            <w:r>
              <w:rPr>
                <w:noProof/>
              </w:rPr>
              <w:t>252</w:t>
            </w:r>
            <w:r>
              <w:rPr>
                <w:noProof/>
              </w:rPr>
              <w:t> </w:t>
            </w:r>
            <w:r>
              <w:rPr>
                <w:noProof/>
              </w:rPr>
              <w:t>874</w:t>
            </w:r>
            <w:r>
              <w:rPr>
                <w:noProof/>
              </w:rPr>
              <w:t> </w:t>
            </w:r>
            <w:r>
              <w:rPr>
                <w:noProof/>
              </w:rPr>
              <w:t xml:space="preserve">EUR  </w:t>
            </w:r>
          </w:p>
        </w:tc>
      </w:tr>
    </w:tbl>
    <w:p w14:paraId="07581B67" w14:textId="77777777" w:rsidR="003F5418" w:rsidRDefault="002A6C25">
      <w:pPr>
        <w:pStyle w:val="P68B1DB1-Normal35"/>
        <w:spacing w:after="160" w:line="259" w:lineRule="auto"/>
        <w:rPr>
          <w:noProof/>
        </w:rPr>
      </w:pPr>
      <w:r>
        <w:rPr>
          <w:noProof/>
        </w:rPr>
        <w:br w:type="page"/>
      </w:r>
    </w:p>
    <w:p w14:paraId="2167E0DB" w14:textId="0E5B7654" w:rsidR="003F5418" w:rsidRDefault="002A6C25">
      <w:pPr>
        <w:pStyle w:val="P68B1DB1-Normal35"/>
        <w:numPr>
          <w:ilvl w:val="1"/>
          <w:numId w:val="6"/>
        </w:numPr>
        <w:spacing w:before="120" w:after="120"/>
        <w:jc w:val="both"/>
        <w:rPr>
          <w:noProof/>
        </w:rPr>
      </w:pPr>
      <w:r>
        <w:rPr>
          <w:noProof/>
        </w:rPr>
        <w:t>Harmadik részösszeg (vissza nem térítendő támogatás):</w:t>
      </w:r>
    </w:p>
    <w:tbl>
      <w:tblPr>
        <w:tblW w:w="9814" w:type="dxa"/>
        <w:tblInd w:w="113" w:type="dxa"/>
        <w:tblLook w:val="04A0" w:firstRow="1" w:lastRow="0" w:firstColumn="1" w:lastColumn="0" w:noHBand="0" w:noVBand="1"/>
      </w:tblPr>
      <w:tblGrid>
        <w:gridCol w:w="1413"/>
        <w:gridCol w:w="3118"/>
        <w:gridCol w:w="1418"/>
        <w:gridCol w:w="3865"/>
      </w:tblGrid>
      <w:tr w:rsidR="003F5418" w14:paraId="1C42239F"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929F226"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3B654F"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6AA68CF" w14:textId="77777777" w:rsidR="003F5418" w:rsidRDefault="002A6C25">
            <w:pPr>
              <w:pStyle w:val="P68B1DB1-Normal36"/>
              <w:jc w:val="center"/>
              <w:rPr>
                <w:noProof/>
              </w:rPr>
            </w:pPr>
            <w:r>
              <w:rPr>
                <w:noProof/>
              </w:rPr>
              <w:t>Mérföldkő/cél</w:t>
            </w:r>
          </w:p>
        </w:tc>
        <w:tc>
          <w:tcPr>
            <w:tcW w:w="386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2839042" w14:textId="77777777" w:rsidR="003F5418" w:rsidRDefault="002A6C25">
            <w:pPr>
              <w:pStyle w:val="P68B1DB1-Normal36"/>
              <w:jc w:val="center"/>
              <w:rPr>
                <w:noProof/>
              </w:rPr>
            </w:pPr>
            <w:r>
              <w:rPr>
                <w:noProof/>
              </w:rPr>
              <w:t>Név</w:t>
            </w:r>
          </w:p>
        </w:tc>
      </w:tr>
      <w:tr w:rsidR="003F5418" w14:paraId="49F4496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05D56F7"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7DE1129"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44F3AF" w14:textId="77777777" w:rsidR="003F5418" w:rsidRDefault="003F5418">
            <w:pPr>
              <w:rPr>
                <w:b/>
                <w:noProof/>
              </w:rPr>
            </w:pPr>
          </w:p>
        </w:tc>
        <w:tc>
          <w:tcPr>
            <w:tcW w:w="3865" w:type="dxa"/>
            <w:vMerge/>
            <w:tcBorders>
              <w:top w:val="single" w:sz="4" w:space="0" w:color="auto"/>
              <w:left w:val="single" w:sz="4" w:space="0" w:color="auto"/>
              <w:bottom w:val="single" w:sz="4" w:space="0" w:color="auto"/>
              <w:right w:val="single" w:sz="4" w:space="0" w:color="auto"/>
            </w:tcBorders>
            <w:vAlign w:val="center"/>
            <w:hideMark/>
          </w:tcPr>
          <w:p w14:paraId="09457DB5" w14:textId="77777777" w:rsidR="003F5418" w:rsidRDefault="003F5418">
            <w:pPr>
              <w:rPr>
                <w:b/>
                <w:noProof/>
              </w:rPr>
            </w:pPr>
          </w:p>
        </w:tc>
      </w:tr>
      <w:tr w:rsidR="003F5418" w14:paraId="621B0B2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B15E58" w14:textId="77777777" w:rsidR="003F5418" w:rsidRDefault="002A6C25">
            <w:pPr>
              <w:pStyle w:val="P68B1DB1-Normal9"/>
              <w:jc w:val="center"/>
              <w:rPr>
                <w:noProof/>
              </w:rPr>
            </w:pPr>
            <w:r>
              <w:rPr>
                <w:noProof/>
              </w:rPr>
              <w:t>M2C4–2</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1E7D32F5" w14:textId="77777777" w:rsidR="003F5418" w:rsidRDefault="002A6C25">
            <w:pPr>
              <w:pStyle w:val="P68B1DB1-Normal9"/>
              <w:rPr>
                <w:noProof/>
              </w:rPr>
            </w:pPr>
            <w:r>
              <w:rPr>
                <w:noProof/>
              </w:rPr>
              <w:t>Reform: „Az integrált vízszolgáltatások teljes irányítási kapacitásának biztosítását célzó intézkedések”</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4418A470" w14:textId="77777777" w:rsidR="003F5418" w:rsidRDefault="002A6C25">
            <w:pPr>
              <w:pStyle w:val="P68B1DB1-Normal9"/>
              <w:rPr>
                <w:noProof/>
              </w:rPr>
            </w:pPr>
            <w:r>
              <w:rPr>
                <w:noProof/>
              </w:rPr>
              <w:t>Mérföldkő</w:t>
            </w:r>
          </w:p>
        </w:tc>
        <w:tc>
          <w:tcPr>
            <w:tcW w:w="3865" w:type="dxa"/>
            <w:tcBorders>
              <w:top w:val="single" w:sz="4" w:space="0" w:color="auto"/>
              <w:left w:val="nil"/>
              <w:bottom w:val="single" w:sz="4" w:space="0" w:color="auto"/>
              <w:right w:val="single" w:sz="4" w:space="0" w:color="auto"/>
            </w:tcBorders>
            <w:shd w:val="clear" w:color="auto" w:fill="C6EFCE"/>
            <w:noWrap/>
            <w:vAlign w:val="center"/>
          </w:tcPr>
          <w:p w14:paraId="006948D0" w14:textId="77777777" w:rsidR="003F5418" w:rsidRDefault="002A6C25">
            <w:pPr>
              <w:pStyle w:val="P68B1DB1-Normal9"/>
              <w:rPr>
                <w:noProof/>
              </w:rPr>
            </w:pPr>
            <w:r>
              <w:rPr>
                <w:noProof/>
              </w:rPr>
              <w:t xml:space="preserve">Az integrált vízszolgáltatások teljes irányítási kapacitásának biztosítását célzó reform hatálybalépése </w:t>
            </w:r>
          </w:p>
        </w:tc>
      </w:tr>
      <w:tr w:rsidR="003F5418" w14:paraId="639037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87F532" w14:textId="77777777" w:rsidR="003F5418" w:rsidRDefault="002A6C25">
            <w:pPr>
              <w:pStyle w:val="P68B1DB1-Normal9"/>
              <w:jc w:val="center"/>
              <w:rPr>
                <w:noProof/>
              </w:rPr>
            </w:pPr>
            <w:r>
              <w:rPr>
                <w:noProof/>
              </w:rPr>
              <w:t>M1C1–3</w:t>
            </w:r>
          </w:p>
        </w:tc>
        <w:tc>
          <w:tcPr>
            <w:tcW w:w="3118" w:type="dxa"/>
            <w:tcBorders>
              <w:top w:val="nil"/>
              <w:left w:val="nil"/>
              <w:bottom w:val="single" w:sz="4" w:space="0" w:color="auto"/>
              <w:right w:val="single" w:sz="4" w:space="0" w:color="auto"/>
            </w:tcBorders>
            <w:shd w:val="clear" w:color="auto" w:fill="C6EFCE"/>
            <w:noWrap/>
            <w:vAlign w:val="center"/>
          </w:tcPr>
          <w:p w14:paraId="74D64418" w14:textId="77777777" w:rsidR="003F5418" w:rsidRDefault="002A6C25">
            <w:pPr>
              <w:pStyle w:val="P68B1DB1-Normal9"/>
              <w:rPr>
                <w:noProof/>
              </w:rPr>
            </w:pPr>
            <w:r>
              <w:rPr>
                <w:noProof/>
              </w:rPr>
              <w:t xml:space="preserve">Beruházás: Digitális </w:t>
            </w:r>
            <w:r>
              <w:rPr>
                <w:noProof/>
              </w:rPr>
              <w:t>infrastruktúra</w:t>
            </w:r>
          </w:p>
        </w:tc>
        <w:tc>
          <w:tcPr>
            <w:tcW w:w="1418" w:type="dxa"/>
            <w:tcBorders>
              <w:top w:val="nil"/>
              <w:left w:val="nil"/>
              <w:bottom w:val="single" w:sz="4" w:space="0" w:color="auto"/>
              <w:right w:val="single" w:sz="4" w:space="0" w:color="auto"/>
            </w:tcBorders>
            <w:shd w:val="clear" w:color="auto" w:fill="C6EFCE"/>
            <w:noWrap/>
            <w:vAlign w:val="center"/>
          </w:tcPr>
          <w:p w14:paraId="5AFF511E"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0FD7C43E" w14:textId="77777777" w:rsidR="003F5418" w:rsidRDefault="002A6C25">
            <w:pPr>
              <w:pStyle w:val="P68B1DB1-Normal9"/>
              <w:rPr>
                <w:noProof/>
              </w:rPr>
            </w:pPr>
            <w:r>
              <w:rPr>
                <w:noProof/>
              </w:rPr>
              <w:t>A Polo Strategico Nazionale (PSN) lezárása</w:t>
            </w:r>
          </w:p>
        </w:tc>
      </w:tr>
      <w:tr w:rsidR="003F5418" w14:paraId="4220E49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BE1175" w14:textId="77777777" w:rsidR="003F5418" w:rsidRDefault="002A6C25">
            <w:pPr>
              <w:pStyle w:val="P68B1DB1-Normal9"/>
              <w:jc w:val="center"/>
              <w:rPr>
                <w:noProof/>
              </w:rPr>
            </w:pPr>
            <w:r>
              <w:rPr>
                <w:noProof/>
              </w:rPr>
              <w:t>M1C1–4</w:t>
            </w:r>
          </w:p>
        </w:tc>
        <w:tc>
          <w:tcPr>
            <w:tcW w:w="3118" w:type="dxa"/>
            <w:tcBorders>
              <w:top w:val="nil"/>
              <w:left w:val="nil"/>
              <w:bottom w:val="single" w:sz="4" w:space="0" w:color="auto"/>
              <w:right w:val="single" w:sz="4" w:space="0" w:color="auto"/>
            </w:tcBorders>
            <w:shd w:val="clear" w:color="auto" w:fill="C6EFCE"/>
            <w:noWrap/>
            <w:vAlign w:val="center"/>
          </w:tcPr>
          <w:p w14:paraId="4CB07C3C" w14:textId="77777777" w:rsidR="003F5418" w:rsidRDefault="002A6C25">
            <w:pPr>
              <w:pStyle w:val="P68B1DB1-Normal9"/>
              <w:rPr>
                <w:noProof/>
              </w:rPr>
            </w:pPr>
            <w:r>
              <w:rPr>
                <w:noProof/>
              </w:rPr>
              <w:t>Beruházás: Nemzeti digitális adatplatform</w:t>
            </w:r>
          </w:p>
        </w:tc>
        <w:tc>
          <w:tcPr>
            <w:tcW w:w="1418" w:type="dxa"/>
            <w:tcBorders>
              <w:top w:val="nil"/>
              <w:left w:val="nil"/>
              <w:bottom w:val="single" w:sz="4" w:space="0" w:color="auto"/>
              <w:right w:val="single" w:sz="4" w:space="0" w:color="auto"/>
            </w:tcBorders>
            <w:shd w:val="clear" w:color="auto" w:fill="C6EFCE"/>
            <w:noWrap/>
            <w:vAlign w:val="center"/>
          </w:tcPr>
          <w:p w14:paraId="299AF59F"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38CD96D9" w14:textId="77777777" w:rsidR="003F5418" w:rsidRDefault="002A6C25">
            <w:pPr>
              <w:pStyle w:val="P68B1DB1-Normal9"/>
              <w:rPr>
                <w:noProof/>
              </w:rPr>
            </w:pPr>
            <w:r>
              <w:rPr>
                <w:noProof/>
              </w:rPr>
              <w:t>A nemzeti digitális adatplatform működése</w:t>
            </w:r>
          </w:p>
        </w:tc>
      </w:tr>
      <w:tr w:rsidR="003F5418" w14:paraId="5E88BC9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EF3674" w14:textId="77777777" w:rsidR="003F5418" w:rsidRDefault="002A6C25">
            <w:pPr>
              <w:pStyle w:val="P68B1DB1-Normal9"/>
              <w:jc w:val="center"/>
              <w:rPr>
                <w:noProof/>
              </w:rPr>
            </w:pPr>
            <w:r>
              <w:rPr>
                <w:noProof/>
              </w:rPr>
              <w:t>M1C1–5</w:t>
            </w:r>
          </w:p>
        </w:tc>
        <w:tc>
          <w:tcPr>
            <w:tcW w:w="3118" w:type="dxa"/>
            <w:tcBorders>
              <w:top w:val="nil"/>
              <w:left w:val="nil"/>
              <w:bottom w:val="single" w:sz="4" w:space="0" w:color="auto"/>
              <w:right w:val="single" w:sz="4" w:space="0" w:color="auto"/>
            </w:tcBorders>
            <w:shd w:val="clear" w:color="auto" w:fill="C6EFCE"/>
            <w:noWrap/>
            <w:vAlign w:val="center"/>
          </w:tcPr>
          <w:p w14:paraId="2E08A455"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1C952075"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00AEF3D" w14:textId="77777777" w:rsidR="003F5418" w:rsidRDefault="002A6C25">
            <w:pPr>
              <w:pStyle w:val="P68B1DB1-Normal9"/>
              <w:rPr>
                <w:noProof/>
              </w:rPr>
            </w:pPr>
            <w:r>
              <w:rPr>
                <w:noProof/>
              </w:rPr>
              <w:t xml:space="preserve">Az új Nemzeti Kiberbiztonsági Ügynökség </w:t>
            </w:r>
            <w:r>
              <w:rPr>
                <w:noProof/>
              </w:rPr>
              <w:t>létrehozása</w:t>
            </w:r>
          </w:p>
        </w:tc>
      </w:tr>
      <w:tr w:rsidR="003F5418" w14:paraId="7CDA5B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8E1D9" w14:textId="77777777" w:rsidR="003F5418" w:rsidRDefault="002A6C25">
            <w:pPr>
              <w:pStyle w:val="P68B1DB1-Normal9"/>
              <w:jc w:val="center"/>
              <w:rPr>
                <w:noProof/>
              </w:rPr>
            </w:pPr>
            <w:r>
              <w:rPr>
                <w:noProof/>
              </w:rPr>
              <w:t>M1C1–6</w:t>
            </w:r>
          </w:p>
        </w:tc>
        <w:tc>
          <w:tcPr>
            <w:tcW w:w="3118" w:type="dxa"/>
            <w:tcBorders>
              <w:top w:val="nil"/>
              <w:left w:val="nil"/>
              <w:bottom w:val="single" w:sz="4" w:space="0" w:color="auto"/>
              <w:right w:val="single" w:sz="4" w:space="0" w:color="auto"/>
            </w:tcBorders>
            <w:shd w:val="clear" w:color="auto" w:fill="C6EFCE"/>
            <w:noWrap/>
            <w:vAlign w:val="center"/>
          </w:tcPr>
          <w:p w14:paraId="55BD239D"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540C1972"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6F391B54" w14:textId="77777777" w:rsidR="003F5418" w:rsidRDefault="002A6C25">
            <w:pPr>
              <w:pStyle w:val="P68B1DB1-Normal9"/>
              <w:rPr>
                <w:noProof/>
              </w:rPr>
            </w:pPr>
            <w:r>
              <w:rPr>
                <w:noProof/>
              </w:rPr>
              <w:t>A nemzeti kiberbiztonsági szolgáltatások kezdeti kiépítése</w:t>
            </w:r>
          </w:p>
        </w:tc>
      </w:tr>
      <w:tr w:rsidR="003F5418" w14:paraId="032371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F34762" w14:textId="77777777" w:rsidR="003F5418" w:rsidRDefault="002A6C25">
            <w:pPr>
              <w:pStyle w:val="P68B1DB1-Normal9"/>
              <w:jc w:val="center"/>
              <w:rPr>
                <w:noProof/>
              </w:rPr>
            </w:pPr>
            <w:r>
              <w:rPr>
                <w:noProof/>
              </w:rPr>
              <w:t>M1C1–7</w:t>
            </w:r>
          </w:p>
        </w:tc>
        <w:tc>
          <w:tcPr>
            <w:tcW w:w="3118" w:type="dxa"/>
            <w:tcBorders>
              <w:top w:val="nil"/>
              <w:left w:val="nil"/>
              <w:bottom w:val="single" w:sz="4" w:space="0" w:color="auto"/>
              <w:right w:val="single" w:sz="4" w:space="0" w:color="auto"/>
            </w:tcBorders>
            <w:shd w:val="clear" w:color="auto" w:fill="C6EFCE"/>
            <w:noWrap/>
            <w:vAlign w:val="center"/>
          </w:tcPr>
          <w:p w14:paraId="13065724"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7549C010"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95A2AA9" w14:textId="77777777" w:rsidR="003F5418" w:rsidRDefault="002A6C25">
            <w:pPr>
              <w:pStyle w:val="P68B1DB1-Normal9"/>
              <w:rPr>
                <w:noProof/>
              </w:rPr>
            </w:pPr>
            <w:r>
              <w:rPr>
                <w:noProof/>
              </w:rPr>
              <w:t>A kiberbiztonsági szűrő- és tanúsító laboratóriumok hálózatának elindítása</w:t>
            </w:r>
          </w:p>
        </w:tc>
      </w:tr>
      <w:tr w:rsidR="003F5418" w14:paraId="3390D6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9DF1C" w14:textId="77777777" w:rsidR="003F5418" w:rsidRDefault="002A6C25">
            <w:pPr>
              <w:pStyle w:val="P68B1DB1-Normal9"/>
              <w:jc w:val="center"/>
              <w:rPr>
                <w:noProof/>
              </w:rPr>
            </w:pPr>
            <w:r>
              <w:rPr>
                <w:noProof/>
              </w:rPr>
              <w:t>M1C1–8</w:t>
            </w:r>
          </w:p>
        </w:tc>
        <w:tc>
          <w:tcPr>
            <w:tcW w:w="3118" w:type="dxa"/>
            <w:tcBorders>
              <w:top w:val="nil"/>
              <w:left w:val="nil"/>
              <w:bottom w:val="single" w:sz="4" w:space="0" w:color="auto"/>
              <w:right w:val="single" w:sz="4" w:space="0" w:color="auto"/>
            </w:tcBorders>
            <w:shd w:val="clear" w:color="auto" w:fill="C6EFCE"/>
            <w:noWrap/>
            <w:vAlign w:val="center"/>
          </w:tcPr>
          <w:p w14:paraId="52B0F024" w14:textId="77777777" w:rsidR="003F5418" w:rsidRDefault="002A6C25">
            <w:pPr>
              <w:pStyle w:val="P68B1DB1-Normal9"/>
              <w:rPr>
                <w:noProof/>
              </w:rPr>
            </w:pPr>
            <w:r>
              <w:rPr>
                <w:noProof/>
              </w:rPr>
              <w:t xml:space="preserve">Beruházás: </w:t>
            </w:r>
            <w:r>
              <w:rPr>
                <w:noProof/>
              </w:rPr>
              <w:t>Kiberbiztonság</w:t>
            </w:r>
          </w:p>
        </w:tc>
        <w:tc>
          <w:tcPr>
            <w:tcW w:w="1418" w:type="dxa"/>
            <w:tcBorders>
              <w:top w:val="nil"/>
              <w:left w:val="nil"/>
              <w:bottom w:val="single" w:sz="4" w:space="0" w:color="auto"/>
              <w:right w:val="single" w:sz="4" w:space="0" w:color="auto"/>
            </w:tcBorders>
            <w:shd w:val="clear" w:color="auto" w:fill="C6EFCE"/>
            <w:noWrap/>
            <w:vAlign w:val="center"/>
          </w:tcPr>
          <w:p w14:paraId="68F9840A"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474B6C91" w14:textId="77777777" w:rsidR="003F5418" w:rsidRDefault="002A6C25">
            <w:pPr>
              <w:pStyle w:val="P68B1DB1-Normal9"/>
              <w:rPr>
                <w:noProof/>
              </w:rPr>
            </w:pPr>
            <w:r>
              <w:rPr>
                <w:noProof/>
              </w:rPr>
              <w:t>A PSNC és a hálózat- és információbiztonsági intézkedések központi ellenőrzési egységének aktiválása</w:t>
            </w:r>
          </w:p>
        </w:tc>
      </w:tr>
      <w:tr w:rsidR="003F5418" w14:paraId="03A628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35E80" w14:textId="77777777" w:rsidR="003F5418" w:rsidRDefault="002A6C25">
            <w:pPr>
              <w:pStyle w:val="P68B1DB1-Normal9"/>
              <w:jc w:val="center"/>
              <w:rPr>
                <w:noProof/>
              </w:rPr>
            </w:pPr>
            <w:r>
              <w:rPr>
                <w:noProof/>
              </w:rPr>
              <w:t>M1C1–9</w:t>
            </w:r>
          </w:p>
        </w:tc>
        <w:tc>
          <w:tcPr>
            <w:tcW w:w="3118" w:type="dxa"/>
            <w:tcBorders>
              <w:top w:val="nil"/>
              <w:left w:val="nil"/>
              <w:bottom w:val="single" w:sz="4" w:space="0" w:color="auto"/>
              <w:right w:val="single" w:sz="4" w:space="0" w:color="auto"/>
            </w:tcBorders>
            <w:shd w:val="clear" w:color="auto" w:fill="C6EFCE"/>
            <w:noWrap/>
            <w:vAlign w:val="center"/>
          </w:tcPr>
          <w:p w14:paraId="6E9D4B1C"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23575F9E" w14:textId="77777777" w:rsidR="003F5418" w:rsidRDefault="002A6C25">
            <w:pPr>
              <w:pStyle w:val="P68B1DB1-Normal9"/>
              <w:rPr>
                <w:noProof/>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69FC0058" w14:textId="77777777" w:rsidR="003F5418" w:rsidRDefault="002A6C25">
            <w:pPr>
              <w:pStyle w:val="P68B1DB1-Normal9"/>
              <w:rPr>
                <w:noProof/>
              </w:rPr>
            </w:pPr>
            <w:r>
              <w:rPr>
                <w:noProof/>
              </w:rPr>
              <w:t>A T1 biztonsági struktúrák korszerűsítésének támogatása</w:t>
            </w:r>
          </w:p>
        </w:tc>
      </w:tr>
      <w:tr w:rsidR="003F5418" w14:paraId="44BF8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7C0634" w14:textId="77777777" w:rsidR="003F5418" w:rsidRDefault="002A6C25">
            <w:pPr>
              <w:pStyle w:val="P68B1DB1-Normal9"/>
              <w:jc w:val="center"/>
              <w:rPr>
                <w:noProof/>
              </w:rPr>
            </w:pPr>
            <w:r>
              <w:rPr>
                <w:noProof/>
              </w:rPr>
              <w:t>M1C1–10</w:t>
            </w:r>
          </w:p>
        </w:tc>
        <w:tc>
          <w:tcPr>
            <w:tcW w:w="3118" w:type="dxa"/>
            <w:tcBorders>
              <w:top w:val="nil"/>
              <w:left w:val="nil"/>
              <w:bottom w:val="single" w:sz="4" w:space="0" w:color="auto"/>
              <w:right w:val="single" w:sz="4" w:space="0" w:color="auto"/>
            </w:tcBorders>
            <w:shd w:val="clear" w:color="auto" w:fill="C6EFCE"/>
            <w:noWrap/>
            <w:vAlign w:val="center"/>
          </w:tcPr>
          <w:p w14:paraId="6906BC06" w14:textId="77777777" w:rsidR="003F5418" w:rsidRDefault="002A6C25">
            <w:pPr>
              <w:pStyle w:val="P68B1DB1-Normal9"/>
              <w:rPr>
                <w:noProof/>
              </w:rPr>
            </w:pPr>
            <w:r>
              <w:rPr>
                <w:noProof/>
              </w:rPr>
              <w:t xml:space="preserve">Reform: Az átalakulás </w:t>
            </w:r>
            <w:r>
              <w:rPr>
                <w:noProof/>
              </w:rPr>
              <w:t>támogatása</w:t>
            </w:r>
          </w:p>
        </w:tc>
        <w:tc>
          <w:tcPr>
            <w:tcW w:w="1418" w:type="dxa"/>
            <w:tcBorders>
              <w:top w:val="nil"/>
              <w:left w:val="nil"/>
              <w:bottom w:val="single" w:sz="4" w:space="0" w:color="auto"/>
              <w:right w:val="single" w:sz="4" w:space="0" w:color="auto"/>
            </w:tcBorders>
            <w:shd w:val="clear" w:color="auto" w:fill="C6EFCE"/>
            <w:noWrap/>
            <w:vAlign w:val="center"/>
          </w:tcPr>
          <w:p w14:paraId="426828CB"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30F1BBD4" w14:textId="77777777" w:rsidR="003F5418" w:rsidRDefault="002A6C25">
            <w:pPr>
              <w:pStyle w:val="P68B1DB1-Normal9"/>
              <w:rPr>
                <w:noProof/>
              </w:rPr>
            </w:pPr>
            <w:r>
              <w:rPr>
                <w:noProof/>
              </w:rPr>
              <w:t>Az átalakítási csoport és a NewCo létrehozásának hatálybalépése</w:t>
            </w:r>
          </w:p>
        </w:tc>
      </w:tr>
      <w:tr w:rsidR="003F5418" w14:paraId="52A48F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30AD90" w14:textId="77777777" w:rsidR="003F5418" w:rsidRDefault="002A6C25">
            <w:pPr>
              <w:pStyle w:val="P68B1DB1-Normal9"/>
              <w:jc w:val="center"/>
              <w:rPr>
                <w:noProof/>
              </w:rPr>
            </w:pPr>
            <w:r>
              <w:rPr>
                <w:noProof/>
              </w:rPr>
              <w:t>M1C1–34</w:t>
            </w:r>
          </w:p>
        </w:tc>
        <w:tc>
          <w:tcPr>
            <w:tcW w:w="3118" w:type="dxa"/>
            <w:tcBorders>
              <w:top w:val="nil"/>
              <w:left w:val="nil"/>
              <w:bottom w:val="single" w:sz="4" w:space="0" w:color="auto"/>
              <w:right w:val="single" w:sz="4" w:space="0" w:color="auto"/>
            </w:tcBorders>
            <w:shd w:val="clear" w:color="auto" w:fill="C6EFCE"/>
            <w:noWrap/>
            <w:vAlign w:val="center"/>
          </w:tcPr>
          <w:p w14:paraId="207F2F7A" w14:textId="77777777" w:rsidR="003F5418" w:rsidRDefault="002A6C25">
            <w:pPr>
              <w:pStyle w:val="P68B1DB1-Normal9"/>
              <w:rPr>
                <w:noProof/>
              </w:rPr>
            </w:pPr>
            <w:r>
              <w:rPr>
                <w:noProof/>
              </w:rPr>
              <w:t>Beruházás: A polgári és büntetőbíróságok ítélkező hivatalának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4A4D1DB5" w14:textId="77777777" w:rsidR="003F5418" w:rsidRDefault="002A6C25">
            <w:pPr>
              <w:pStyle w:val="P68B1DB1-Normal9"/>
              <w:rPr>
                <w:noProof/>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0B79970D" w14:textId="77777777" w:rsidR="003F5418" w:rsidRDefault="002A6C25">
            <w:pPr>
              <w:pStyle w:val="P68B1DB1-Normal9"/>
              <w:rPr>
                <w:noProof/>
              </w:rPr>
            </w:pPr>
            <w:r>
              <w:rPr>
                <w:noProof/>
              </w:rPr>
              <w:t>A polgári és büntetőbíróságok felvételi eljárásainak megkezdése</w:t>
            </w:r>
          </w:p>
        </w:tc>
      </w:tr>
      <w:tr w:rsidR="003F5418" w14:paraId="3EE533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53A5F" w14:textId="77777777" w:rsidR="003F5418" w:rsidRDefault="002A6C25">
            <w:pPr>
              <w:pStyle w:val="P68B1DB1-Normal9"/>
              <w:jc w:val="center"/>
              <w:rPr>
                <w:noProof/>
              </w:rPr>
            </w:pPr>
            <w:r>
              <w:rPr>
                <w:noProof/>
              </w:rPr>
              <w:t>M1C1–35</w:t>
            </w:r>
          </w:p>
        </w:tc>
        <w:tc>
          <w:tcPr>
            <w:tcW w:w="3118" w:type="dxa"/>
            <w:tcBorders>
              <w:top w:val="nil"/>
              <w:left w:val="nil"/>
              <w:bottom w:val="single" w:sz="4" w:space="0" w:color="auto"/>
              <w:right w:val="single" w:sz="4" w:space="0" w:color="auto"/>
            </w:tcBorders>
            <w:shd w:val="clear" w:color="auto" w:fill="C6EFCE"/>
            <w:noWrap/>
            <w:vAlign w:val="center"/>
          </w:tcPr>
          <w:p w14:paraId="453D0FED" w14:textId="77777777" w:rsidR="003F5418" w:rsidRDefault="002A6C25">
            <w:pPr>
              <w:pStyle w:val="P68B1DB1-Normal9"/>
              <w:rPr>
                <w:noProof/>
              </w:rPr>
            </w:pPr>
            <w:r>
              <w:rPr>
                <w:noProof/>
              </w:rPr>
              <w:t>Reform: Az adóügyi bíróságok reformja</w:t>
            </w:r>
          </w:p>
        </w:tc>
        <w:tc>
          <w:tcPr>
            <w:tcW w:w="1418" w:type="dxa"/>
            <w:tcBorders>
              <w:top w:val="nil"/>
              <w:left w:val="nil"/>
              <w:bottom w:val="single" w:sz="4" w:space="0" w:color="auto"/>
              <w:right w:val="single" w:sz="4" w:space="0" w:color="auto"/>
            </w:tcBorders>
            <w:shd w:val="clear" w:color="auto" w:fill="C6EFCE"/>
            <w:noWrap/>
            <w:vAlign w:val="center"/>
          </w:tcPr>
          <w:p w14:paraId="5298C087"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491ED52E" w14:textId="77777777" w:rsidR="003F5418" w:rsidRDefault="002A6C25">
            <w:pPr>
              <w:pStyle w:val="P68B1DB1-Normal9"/>
              <w:rPr>
                <w:noProof/>
              </w:rPr>
            </w:pPr>
            <w:r>
              <w:rPr>
                <w:noProof/>
              </w:rPr>
              <w:t>Az elsőfokú és másodfokú adóügyi bíróságok átfogó reformja</w:t>
            </w:r>
          </w:p>
        </w:tc>
      </w:tr>
      <w:tr w:rsidR="003F5418" w14:paraId="7A8D52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EC33E1" w14:textId="77777777" w:rsidR="003F5418" w:rsidRDefault="002A6C25">
            <w:pPr>
              <w:pStyle w:val="P68B1DB1-Normal9"/>
              <w:jc w:val="center"/>
              <w:rPr>
                <w:noProof/>
              </w:rPr>
            </w:pPr>
            <w:r>
              <w:rPr>
                <w:noProof/>
              </w:rPr>
              <w:t>M1C1–36</w:t>
            </w:r>
          </w:p>
        </w:tc>
        <w:tc>
          <w:tcPr>
            <w:tcW w:w="3118" w:type="dxa"/>
            <w:tcBorders>
              <w:top w:val="nil"/>
              <w:left w:val="nil"/>
              <w:bottom w:val="single" w:sz="4" w:space="0" w:color="auto"/>
              <w:right w:val="single" w:sz="4" w:space="0" w:color="auto"/>
            </w:tcBorders>
            <w:shd w:val="clear" w:color="auto" w:fill="C6EFCE"/>
            <w:noWrap/>
            <w:vAlign w:val="center"/>
          </w:tcPr>
          <w:p w14:paraId="758F34D3" w14:textId="77777777" w:rsidR="003F5418" w:rsidRDefault="002A6C25">
            <w:pPr>
              <w:pStyle w:val="P68B1DB1-Normal9"/>
              <w:rPr>
                <w:noProof/>
              </w:rPr>
            </w:pPr>
            <w:r>
              <w:rPr>
                <w:noProof/>
              </w:rPr>
              <w:t>Az 1.4., 1.5. és 1.6. reform: A polgári és büntető igazságszolgáltatás reformja, valamint a fizetésképtelenség reformja</w:t>
            </w:r>
          </w:p>
        </w:tc>
        <w:tc>
          <w:tcPr>
            <w:tcW w:w="1418" w:type="dxa"/>
            <w:tcBorders>
              <w:top w:val="nil"/>
              <w:left w:val="nil"/>
              <w:bottom w:val="single" w:sz="4" w:space="0" w:color="auto"/>
              <w:right w:val="single" w:sz="4" w:space="0" w:color="auto"/>
            </w:tcBorders>
            <w:shd w:val="clear" w:color="auto" w:fill="C6EFCE"/>
            <w:noWrap/>
            <w:vAlign w:val="center"/>
          </w:tcPr>
          <w:p w14:paraId="11EA66AF"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68720DEE" w14:textId="77777777" w:rsidR="003F5418" w:rsidRDefault="002A6C25">
            <w:pPr>
              <w:pStyle w:val="P68B1DB1-Normal9"/>
              <w:rPr>
                <w:noProof/>
              </w:rPr>
            </w:pPr>
            <w:r>
              <w:rPr>
                <w:noProof/>
              </w:rPr>
              <w:t xml:space="preserve">A polgári </w:t>
            </w:r>
            <w:r>
              <w:rPr>
                <w:noProof/>
              </w:rPr>
              <w:t>és büntető igazságszolgáltatási reformokra, valamint a fizetésképtelenségi reformra vonatkozó felhatalmazáson alapuló jogi aktusok hatálybalépése</w:t>
            </w:r>
          </w:p>
        </w:tc>
      </w:tr>
      <w:tr w:rsidR="003F5418" w14:paraId="706993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AE7F88" w14:textId="77777777" w:rsidR="003F5418" w:rsidRDefault="002A6C25">
            <w:pPr>
              <w:pStyle w:val="P68B1DB1-Normal9"/>
              <w:jc w:val="center"/>
              <w:rPr>
                <w:noProof/>
              </w:rPr>
            </w:pPr>
            <w:r>
              <w:rPr>
                <w:noProof/>
              </w:rPr>
              <w:t>M1C1–57</w:t>
            </w:r>
          </w:p>
        </w:tc>
        <w:tc>
          <w:tcPr>
            <w:tcW w:w="3118" w:type="dxa"/>
            <w:tcBorders>
              <w:top w:val="nil"/>
              <w:left w:val="nil"/>
              <w:bottom w:val="single" w:sz="4" w:space="0" w:color="auto"/>
              <w:right w:val="single" w:sz="4" w:space="0" w:color="auto"/>
            </w:tcBorders>
            <w:shd w:val="clear" w:color="auto" w:fill="C6EFCE"/>
            <w:noWrap/>
            <w:vAlign w:val="center"/>
          </w:tcPr>
          <w:p w14:paraId="335F3E07"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67DB602B"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6605325A" w14:textId="77777777" w:rsidR="003F5418" w:rsidRDefault="002A6C25">
            <w:pPr>
              <w:pStyle w:val="P68B1DB1-Normal9"/>
              <w:rPr>
                <w:noProof/>
              </w:rPr>
            </w:pPr>
            <w:r>
              <w:rPr>
                <w:noProof/>
              </w:rPr>
              <w:t>A Helyreállítási és Rezilienciaépítési Eszköz végrehajtását</w:t>
            </w:r>
            <w:r>
              <w:rPr>
                <w:noProof/>
              </w:rPr>
              <w:t xml:space="preserve"> célzó egyszerűsítési reform adminisztratív eljárásainak hatálybalépése</w:t>
            </w:r>
          </w:p>
        </w:tc>
      </w:tr>
      <w:tr w:rsidR="003F5418" w14:paraId="30B3852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51D877" w14:textId="77777777" w:rsidR="003F5418" w:rsidRDefault="002A6C25">
            <w:pPr>
              <w:pStyle w:val="P68B1DB1-Normal9"/>
              <w:jc w:val="center"/>
              <w:rPr>
                <w:noProof/>
              </w:rPr>
            </w:pPr>
            <w:r>
              <w:rPr>
                <w:noProof/>
              </w:rPr>
              <w:t>M1C1–102</w:t>
            </w:r>
          </w:p>
        </w:tc>
        <w:tc>
          <w:tcPr>
            <w:tcW w:w="3118" w:type="dxa"/>
            <w:tcBorders>
              <w:top w:val="nil"/>
              <w:left w:val="nil"/>
              <w:bottom w:val="single" w:sz="4" w:space="0" w:color="auto"/>
              <w:right w:val="single" w:sz="4" w:space="0" w:color="auto"/>
            </w:tcBorders>
            <w:shd w:val="clear" w:color="auto" w:fill="C6EFCE"/>
            <w:noWrap/>
            <w:vAlign w:val="center"/>
          </w:tcPr>
          <w:p w14:paraId="67EA17A2" w14:textId="77777777" w:rsidR="003F5418" w:rsidRDefault="002A6C25">
            <w:pPr>
              <w:pStyle w:val="P68B1DB1-Normal9"/>
              <w:rPr>
                <w:noProof/>
              </w:rPr>
            </w:pPr>
            <w:r>
              <w:rPr>
                <w:noProof/>
              </w:rPr>
              <w:t>Reform: A kiadások felülvizsgálatára vonatkozó keret reformja</w:t>
            </w:r>
          </w:p>
        </w:tc>
        <w:tc>
          <w:tcPr>
            <w:tcW w:w="1418" w:type="dxa"/>
            <w:tcBorders>
              <w:top w:val="nil"/>
              <w:left w:val="nil"/>
              <w:bottom w:val="single" w:sz="4" w:space="0" w:color="auto"/>
              <w:right w:val="single" w:sz="4" w:space="0" w:color="auto"/>
            </w:tcBorders>
            <w:shd w:val="clear" w:color="auto" w:fill="C6EFCE"/>
            <w:noWrap/>
            <w:vAlign w:val="center"/>
          </w:tcPr>
          <w:p w14:paraId="1A9989DB" w14:textId="77777777" w:rsidR="003F5418" w:rsidRDefault="002A6C25">
            <w:pPr>
              <w:pStyle w:val="P68B1DB1-Normal9"/>
              <w:rPr>
                <w:noProof/>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0F4A4E89" w14:textId="77777777" w:rsidR="003F5418" w:rsidRDefault="002A6C25">
            <w:pPr>
              <w:pStyle w:val="P68B1DB1-Normal9"/>
              <w:rPr>
                <w:noProof/>
              </w:rPr>
            </w:pPr>
            <w:r>
              <w:rPr>
                <w:noProof/>
              </w:rPr>
              <w:t>Jelentés elfogadása a kiválasztott közigazgatási szervek által a megtakarítási tervek kidolgozása és v</w:t>
            </w:r>
            <w:r>
              <w:rPr>
                <w:noProof/>
              </w:rPr>
              <w:t>égrehajtása során alkalmazott gyakorlatok hatékonyságáról</w:t>
            </w:r>
          </w:p>
        </w:tc>
      </w:tr>
      <w:tr w:rsidR="003F5418" w14:paraId="01C59C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092461" w14:textId="77777777" w:rsidR="003F5418" w:rsidRDefault="002A6C25">
            <w:pPr>
              <w:pStyle w:val="P68B1DB1-Normal9"/>
              <w:jc w:val="center"/>
              <w:rPr>
                <w:noProof/>
              </w:rPr>
            </w:pPr>
            <w:r>
              <w:rPr>
                <w:noProof/>
              </w:rPr>
              <w:t>M1C1–105.</w:t>
            </w:r>
          </w:p>
        </w:tc>
        <w:tc>
          <w:tcPr>
            <w:tcW w:w="3118" w:type="dxa"/>
            <w:tcBorders>
              <w:top w:val="nil"/>
              <w:left w:val="nil"/>
              <w:bottom w:val="single" w:sz="4" w:space="0" w:color="auto"/>
              <w:right w:val="single" w:sz="4" w:space="0" w:color="auto"/>
            </w:tcBorders>
            <w:shd w:val="clear" w:color="auto" w:fill="C6EFCE"/>
            <w:noWrap/>
            <w:vAlign w:val="center"/>
          </w:tcPr>
          <w:p w14:paraId="63C581F1"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2B16D930" w14:textId="77777777" w:rsidR="003F5418" w:rsidRDefault="002A6C25">
            <w:pPr>
              <w:pStyle w:val="P68B1DB1-Normal9"/>
              <w:rPr>
                <w:noProof/>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2696C9BA" w14:textId="77777777" w:rsidR="003F5418" w:rsidRDefault="002A6C25">
            <w:pPr>
              <w:pStyle w:val="P68B1DB1-Normal9"/>
              <w:rPr>
                <w:noProof/>
              </w:rPr>
            </w:pPr>
            <w:r>
              <w:rPr>
                <w:noProof/>
              </w:rPr>
              <w:t>A „megfelelési levelek” nagyobb száma</w:t>
            </w:r>
          </w:p>
        </w:tc>
      </w:tr>
      <w:tr w:rsidR="003F5418" w14:paraId="26B6AD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0D8E89" w14:textId="77777777" w:rsidR="003F5418" w:rsidRDefault="002A6C25">
            <w:pPr>
              <w:pStyle w:val="P68B1DB1-Normal9"/>
              <w:jc w:val="center"/>
              <w:rPr>
                <w:noProof/>
              </w:rPr>
            </w:pPr>
            <w:r>
              <w:rPr>
                <w:noProof/>
              </w:rPr>
              <w:t>M1C1–1006</w:t>
            </w:r>
          </w:p>
        </w:tc>
        <w:tc>
          <w:tcPr>
            <w:tcW w:w="3118" w:type="dxa"/>
            <w:tcBorders>
              <w:top w:val="nil"/>
              <w:left w:val="nil"/>
              <w:bottom w:val="single" w:sz="4" w:space="0" w:color="auto"/>
              <w:right w:val="single" w:sz="4" w:space="0" w:color="auto"/>
            </w:tcBorders>
            <w:shd w:val="clear" w:color="auto" w:fill="C6EFCE"/>
            <w:noWrap/>
            <w:vAlign w:val="center"/>
          </w:tcPr>
          <w:p w14:paraId="4421C7F5"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5F00D699" w14:textId="77777777" w:rsidR="003F5418" w:rsidRDefault="002A6C25">
            <w:pPr>
              <w:pStyle w:val="P68B1DB1-Normal9"/>
              <w:rPr>
                <w:noProof/>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3E358832" w14:textId="77777777" w:rsidR="003F5418" w:rsidRDefault="002A6C25">
            <w:pPr>
              <w:pStyle w:val="P68B1DB1-Normal9"/>
              <w:rPr>
                <w:noProof/>
              </w:rPr>
            </w:pPr>
            <w:r>
              <w:rPr>
                <w:noProof/>
              </w:rPr>
              <w:t>A hamis pozitív „megfelelési levelek” számának csökkentése</w:t>
            </w:r>
          </w:p>
        </w:tc>
      </w:tr>
      <w:tr w:rsidR="003F5418" w14:paraId="669095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1C58A0" w14:textId="77777777" w:rsidR="003F5418" w:rsidRDefault="002A6C25">
            <w:pPr>
              <w:pStyle w:val="P68B1DB1-Normal9"/>
              <w:jc w:val="center"/>
              <w:rPr>
                <w:noProof/>
              </w:rPr>
            </w:pPr>
            <w:r>
              <w:rPr>
                <w:noProof/>
              </w:rPr>
              <w:t>M1C1–107.</w:t>
            </w:r>
          </w:p>
        </w:tc>
        <w:tc>
          <w:tcPr>
            <w:tcW w:w="3118" w:type="dxa"/>
            <w:tcBorders>
              <w:top w:val="nil"/>
              <w:left w:val="nil"/>
              <w:bottom w:val="single" w:sz="4" w:space="0" w:color="auto"/>
              <w:right w:val="single" w:sz="4" w:space="0" w:color="auto"/>
            </w:tcBorders>
            <w:shd w:val="clear" w:color="auto" w:fill="C6EFCE"/>
            <w:noWrap/>
            <w:vAlign w:val="center"/>
          </w:tcPr>
          <w:p w14:paraId="5F80CE36"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6B73D085" w14:textId="77777777" w:rsidR="003F5418" w:rsidRDefault="002A6C25">
            <w:pPr>
              <w:pStyle w:val="P68B1DB1-Normal9"/>
              <w:rPr>
                <w:noProof/>
                <w:color w:val="006600"/>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55137587" w14:textId="77777777" w:rsidR="003F5418" w:rsidRDefault="002A6C25">
            <w:pPr>
              <w:pStyle w:val="P68B1DB1-Normal9"/>
              <w:rPr>
                <w:noProof/>
                <w:color w:val="006600"/>
              </w:rPr>
            </w:pPr>
            <w:r>
              <w:rPr>
                <w:noProof/>
              </w:rPr>
              <w:t>A „megfelelési levelek” által generált adóbevételek növekedése</w:t>
            </w:r>
          </w:p>
        </w:tc>
      </w:tr>
      <w:tr w:rsidR="003F5418" w14:paraId="1F4BA3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7514A" w14:textId="77777777" w:rsidR="003F5418" w:rsidRDefault="002A6C25">
            <w:pPr>
              <w:pStyle w:val="P68B1DB1-Normal9"/>
              <w:jc w:val="center"/>
              <w:rPr>
                <w:noProof/>
              </w:rPr>
            </w:pPr>
            <w:r>
              <w:rPr>
                <w:noProof/>
              </w:rPr>
              <w:t>M1C2–6</w:t>
            </w:r>
          </w:p>
        </w:tc>
        <w:tc>
          <w:tcPr>
            <w:tcW w:w="3118" w:type="dxa"/>
            <w:tcBorders>
              <w:top w:val="nil"/>
              <w:left w:val="nil"/>
              <w:bottom w:val="single" w:sz="4" w:space="0" w:color="auto"/>
              <w:right w:val="single" w:sz="4" w:space="0" w:color="auto"/>
            </w:tcBorders>
            <w:shd w:val="clear" w:color="auto" w:fill="C6EFCE"/>
            <w:noWrap/>
            <w:vAlign w:val="center"/>
          </w:tcPr>
          <w:p w14:paraId="20866DC2"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602D7834"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4B693CBB" w14:textId="77777777" w:rsidR="003F5418" w:rsidRDefault="002A6C25">
            <w:pPr>
              <w:pStyle w:val="P68B1DB1-Normal9"/>
              <w:rPr>
                <w:noProof/>
                <w:color w:val="006600"/>
              </w:rPr>
            </w:pPr>
            <w:r>
              <w:rPr>
                <w:noProof/>
              </w:rPr>
              <w:t>A 2021. évi éves versenyjogi törvény hatálybalépése</w:t>
            </w:r>
          </w:p>
        </w:tc>
      </w:tr>
      <w:tr w:rsidR="003F5418" w14:paraId="1B98E6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D04AB3" w14:textId="77777777" w:rsidR="003F5418" w:rsidRDefault="002A6C25">
            <w:pPr>
              <w:pStyle w:val="P68B1DB1-Normal9"/>
              <w:jc w:val="center"/>
              <w:rPr>
                <w:noProof/>
              </w:rPr>
            </w:pPr>
            <w:r>
              <w:rPr>
                <w:noProof/>
              </w:rPr>
              <w:t>M1C2–7</w:t>
            </w:r>
          </w:p>
        </w:tc>
        <w:tc>
          <w:tcPr>
            <w:tcW w:w="3118" w:type="dxa"/>
            <w:tcBorders>
              <w:top w:val="nil"/>
              <w:left w:val="nil"/>
              <w:bottom w:val="single" w:sz="4" w:space="0" w:color="auto"/>
              <w:right w:val="single" w:sz="4" w:space="0" w:color="auto"/>
            </w:tcBorders>
            <w:shd w:val="clear" w:color="auto" w:fill="C6EFCE"/>
            <w:noWrap/>
            <w:vAlign w:val="center"/>
          </w:tcPr>
          <w:p w14:paraId="58CE8340" w14:textId="77777777" w:rsidR="003F5418" w:rsidRDefault="002A6C25">
            <w:pPr>
              <w:pStyle w:val="P68B1DB1-Normal9"/>
              <w:rPr>
                <w:noProof/>
              </w:rPr>
            </w:pPr>
            <w:r>
              <w:rPr>
                <w:noProof/>
              </w:rPr>
              <w:t xml:space="preserve">Reform: Éves versenyjogi </w:t>
            </w:r>
            <w:r>
              <w:rPr>
                <w:noProof/>
              </w:rPr>
              <w:t>jogszabályok</w:t>
            </w:r>
          </w:p>
        </w:tc>
        <w:tc>
          <w:tcPr>
            <w:tcW w:w="1418" w:type="dxa"/>
            <w:tcBorders>
              <w:top w:val="nil"/>
              <w:left w:val="nil"/>
              <w:bottom w:val="single" w:sz="4" w:space="0" w:color="auto"/>
              <w:right w:val="single" w:sz="4" w:space="0" w:color="auto"/>
            </w:tcBorders>
            <w:shd w:val="clear" w:color="auto" w:fill="C6EFCE"/>
            <w:noWrap/>
            <w:vAlign w:val="center"/>
          </w:tcPr>
          <w:p w14:paraId="058E205F"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387C8220" w14:textId="77777777" w:rsidR="003F5418" w:rsidRDefault="002A6C25">
            <w:pPr>
              <w:pStyle w:val="P68B1DB1-Normal9"/>
              <w:rPr>
                <w:noProof/>
                <w:color w:val="006600"/>
              </w:rPr>
            </w:pPr>
            <w:r>
              <w:rPr>
                <w:noProof/>
              </w:rPr>
              <w:t>Az energiával kapcsolatos valamennyi végrehajtási intézkedés és másodlagos jog hatálybalépése (szükség esetén)</w:t>
            </w:r>
          </w:p>
        </w:tc>
      </w:tr>
      <w:tr w:rsidR="003F5418" w14:paraId="5D6CCB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CFDDBF" w14:textId="77777777" w:rsidR="003F5418" w:rsidRDefault="002A6C25">
            <w:pPr>
              <w:pStyle w:val="P68B1DB1-Normal9"/>
              <w:jc w:val="center"/>
              <w:rPr>
                <w:noProof/>
              </w:rPr>
            </w:pPr>
            <w:r>
              <w:rPr>
                <w:noProof/>
              </w:rPr>
              <w:t>M1C2–8</w:t>
            </w:r>
          </w:p>
        </w:tc>
        <w:tc>
          <w:tcPr>
            <w:tcW w:w="3118" w:type="dxa"/>
            <w:tcBorders>
              <w:top w:val="nil"/>
              <w:left w:val="nil"/>
              <w:bottom w:val="single" w:sz="4" w:space="0" w:color="auto"/>
              <w:right w:val="single" w:sz="4" w:space="0" w:color="auto"/>
            </w:tcBorders>
            <w:shd w:val="clear" w:color="auto" w:fill="C6EFCE"/>
            <w:noWrap/>
            <w:vAlign w:val="center"/>
          </w:tcPr>
          <w:p w14:paraId="687ABE07"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47D903FC"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6B7AB489" w14:textId="77777777" w:rsidR="003F5418" w:rsidRDefault="002A6C25">
            <w:pPr>
              <w:pStyle w:val="P68B1DB1-Normal9"/>
              <w:rPr>
                <w:noProof/>
                <w:color w:val="006600"/>
              </w:rPr>
            </w:pPr>
            <w:r>
              <w:rPr>
                <w:noProof/>
              </w:rPr>
              <w:t xml:space="preserve">A 2021. évi éves versenyjogi törvényből eredő intézkedések </w:t>
            </w:r>
            <w:r>
              <w:rPr>
                <w:noProof/>
              </w:rPr>
              <w:t>hatékony végrehajtását és alkalmazását szolgáló valamennyi végrehajtási intézkedés (beleértve szükség esetén a másodlagos jogszabályokat is) hatálybalépése</w:t>
            </w:r>
          </w:p>
        </w:tc>
      </w:tr>
      <w:tr w:rsidR="003F5418" w14:paraId="6EF796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C31963" w14:textId="77777777" w:rsidR="003F5418" w:rsidRDefault="002A6C25">
            <w:pPr>
              <w:pStyle w:val="P68B1DB1-Normal9"/>
              <w:jc w:val="center"/>
              <w:rPr>
                <w:noProof/>
              </w:rPr>
            </w:pPr>
            <w:r>
              <w:rPr>
                <w:noProof/>
              </w:rPr>
              <w:t>M1C3–6</w:t>
            </w:r>
          </w:p>
        </w:tc>
        <w:tc>
          <w:tcPr>
            <w:tcW w:w="3118" w:type="dxa"/>
            <w:tcBorders>
              <w:top w:val="nil"/>
              <w:left w:val="nil"/>
              <w:bottom w:val="single" w:sz="4" w:space="0" w:color="auto"/>
              <w:right w:val="single" w:sz="4" w:space="0" w:color="auto"/>
            </w:tcBorders>
            <w:shd w:val="clear" w:color="auto" w:fill="C6EFCE"/>
            <w:noWrap/>
            <w:vAlign w:val="center"/>
          </w:tcPr>
          <w:p w14:paraId="24B1B9F1" w14:textId="77777777" w:rsidR="003F5418" w:rsidRDefault="002A6C25">
            <w:pPr>
              <w:pStyle w:val="P68B1DB1-Normal9"/>
              <w:rPr>
                <w:noProof/>
              </w:rPr>
            </w:pPr>
            <w:r>
              <w:rPr>
                <w:noProof/>
              </w:rPr>
              <w:t>Reform – 3.1. A kulturális eseményekre vonatkozó minimális környezetvédelmi kritériumok</w:t>
            </w:r>
          </w:p>
        </w:tc>
        <w:tc>
          <w:tcPr>
            <w:tcW w:w="1418" w:type="dxa"/>
            <w:tcBorders>
              <w:top w:val="nil"/>
              <w:left w:val="nil"/>
              <w:bottom w:val="single" w:sz="4" w:space="0" w:color="auto"/>
              <w:right w:val="single" w:sz="4" w:space="0" w:color="auto"/>
            </w:tcBorders>
            <w:shd w:val="clear" w:color="auto" w:fill="C6EFCE"/>
            <w:noWrap/>
            <w:vAlign w:val="center"/>
          </w:tcPr>
          <w:p w14:paraId="51371742"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49842E78" w14:textId="77777777" w:rsidR="003F5418" w:rsidRDefault="002A6C25">
            <w:pPr>
              <w:pStyle w:val="P68B1DB1-Normal9"/>
              <w:rPr>
                <w:noProof/>
                <w:color w:val="006600"/>
              </w:rPr>
            </w:pPr>
            <w:r>
              <w:rPr>
                <w:noProof/>
              </w:rPr>
              <w:t>Az államilag finanszírozott kulturális eseményekre vonatkozó közbeszerzési pályázatok szociális és környezetvédelmi szempontjainak meghatározásáról szóló rendelet hatálybalépése</w:t>
            </w:r>
          </w:p>
        </w:tc>
      </w:tr>
      <w:tr w:rsidR="003F5418" w14:paraId="178391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4AE060" w14:textId="77777777" w:rsidR="003F5418" w:rsidRDefault="002A6C25">
            <w:pPr>
              <w:pStyle w:val="P68B1DB1-Normal9"/>
              <w:jc w:val="center"/>
              <w:rPr>
                <w:noProof/>
              </w:rPr>
            </w:pPr>
            <w:r>
              <w:rPr>
                <w:noProof/>
              </w:rPr>
              <w:t>M2C1–3</w:t>
            </w:r>
          </w:p>
        </w:tc>
        <w:tc>
          <w:tcPr>
            <w:tcW w:w="3118" w:type="dxa"/>
            <w:tcBorders>
              <w:top w:val="nil"/>
              <w:left w:val="nil"/>
              <w:bottom w:val="single" w:sz="4" w:space="0" w:color="auto"/>
              <w:right w:val="single" w:sz="4" w:space="0" w:color="auto"/>
            </w:tcBorders>
            <w:shd w:val="clear" w:color="auto" w:fill="C6EFCE"/>
            <w:noWrap/>
            <w:vAlign w:val="center"/>
          </w:tcPr>
          <w:p w14:paraId="728E8A6E" w14:textId="77777777" w:rsidR="003F5418" w:rsidRDefault="002A6C25">
            <w:pPr>
              <w:pStyle w:val="P68B1DB1-Normal9"/>
              <w:rPr>
                <w:noProof/>
              </w:rPr>
            </w:pPr>
            <w:r>
              <w:rPr>
                <w:noProof/>
              </w:rPr>
              <w:t>Beruházás: Az agrár-élelmiszeripari, halászati és akvakultúr</w:t>
            </w:r>
            <w:r>
              <w:rPr>
                <w:noProof/>
              </w:rPr>
              <w:t>a-ágazat, az erdészet, a virágkertészet és a növényiskolák logisztikai terve</w:t>
            </w:r>
          </w:p>
        </w:tc>
        <w:tc>
          <w:tcPr>
            <w:tcW w:w="1418" w:type="dxa"/>
            <w:tcBorders>
              <w:top w:val="nil"/>
              <w:left w:val="nil"/>
              <w:bottom w:val="single" w:sz="4" w:space="0" w:color="auto"/>
              <w:right w:val="single" w:sz="4" w:space="0" w:color="auto"/>
            </w:tcBorders>
            <w:shd w:val="clear" w:color="auto" w:fill="C6EFCE"/>
            <w:noWrap/>
            <w:vAlign w:val="center"/>
          </w:tcPr>
          <w:p w14:paraId="616189B5"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75ECC662" w14:textId="77777777" w:rsidR="003F5418" w:rsidRDefault="002A6C25">
            <w:pPr>
              <w:pStyle w:val="P68B1DB1-Normal9"/>
              <w:rPr>
                <w:noProof/>
                <w:color w:val="006600"/>
              </w:rPr>
            </w:pPr>
            <w:r>
              <w:rPr>
                <w:noProof/>
              </w:rPr>
              <w:t>A logisztikai ösztönzőrendszer végső rangsorolásának közzététele</w:t>
            </w:r>
          </w:p>
        </w:tc>
      </w:tr>
      <w:tr w:rsidR="003F5418" w14:paraId="3D74E3E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F6EFF" w14:textId="77777777" w:rsidR="003F5418" w:rsidRDefault="002A6C25">
            <w:pPr>
              <w:pStyle w:val="P68B1DB1-Normal9"/>
              <w:jc w:val="center"/>
              <w:rPr>
                <w:noProof/>
              </w:rPr>
            </w:pPr>
            <w:r>
              <w:rPr>
                <w:noProof/>
              </w:rPr>
              <w:t>M2C1–4</w:t>
            </w:r>
          </w:p>
        </w:tc>
        <w:tc>
          <w:tcPr>
            <w:tcW w:w="3118" w:type="dxa"/>
            <w:tcBorders>
              <w:top w:val="nil"/>
              <w:left w:val="nil"/>
              <w:bottom w:val="single" w:sz="4" w:space="0" w:color="auto"/>
              <w:right w:val="single" w:sz="4" w:space="0" w:color="auto"/>
            </w:tcBorders>
            <w:shd w:val="clear" w:color="auto" w:fill="C6EFCE"/>
            <w:noWrap/>
            <w:vAlign w:val="center"/>
          </w:tcPr>
          <w:p w14:paraId="27020966" w14:textId="77777777" w:rsidR="003F5418" w:rsidRDefault="002A6C25">
            <w:pPr>
              <w:pStyle w:val="P68B1DB1-Normal9"/>
              <w:rPr>
                <w:noProof/>
              </w:rPr>
            </w:pPr>
            <w:r>
              <w:rPr>
                <w:noProof/>
              </w:rPr>
              <w:t>Beruházás: Agrár-soláris park</w:t>
            </w:r>
          </w:p>
        </w:tc>
        <w:tc>
          <w:tcPr>
            <w:tcW w:w="1418" w:type="dxa"/>
            <w:tcBorders>
              <w:top w:val="nil"/>
              <w:left w:val="nil"/>
              <w:bottom w:val="single" w:sz="4" w:space="0" w:color="auto"/>
              <w:right w:val="single" w:sz="4" w:space="0" w:color="auto"/>
            </w:tcBorders>
            <w:shd w:val="clear" w:color="auto" w:fill="C6EFCE"/>
            <w:noWrap/>
            <w:vAlign w:val="center"/>
          </w:tcPr>
          <w:p w14:paraId="142F62F4" w14:textId="77777777" w:rsidR="003F5418" w:rsidRDefault="002A6C25">
            <w:pPr>
              <w:pStyle w:val="P68B1DB1-Normal9"/>
              <w:rPr>
                <w:noProof/>
                <w:color w:val="006600"/>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78F3D665" w14:textId="77777777" w:rsidR="003F5418" w:rsidRDefault="002A6C25">
            <w:pPr>
              <w:pStyle w:val="P68B1DB1-Normal9"/>
              <w:rPr>
                <w:noProof/>
                <w:color w:val="006600"/>
              </w:rPr>
            </w:pPr>
            <w:r>
              <w:rPr>
                <w:noProof/>
              </w:rPr>
              <w:t xml:space="preserve">A források kedvezményezettek közötti elosztása a beruházáshoz </w:t>
            </w:r>
            <w:r>
              <w:rPr>
                <w:noProof/>
              </w:rPr>
              <w:t>rendelt összes pénzügyi forrás %-ában</w:t>
            </w:r>
          </w:p>
        </w:tc>
      </w:tr>
      <w:tr w:rsidR="003F5418" w14:paraId="6EF9A0A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577DC4" w14:textId="77777777" w:rsidR="003F5418" w:rsidRDefault="002A6C25">
            <w:pPr>
              <w:pStyle w:val="P68B1DB1-Normal9"/>
              <w:jc w:val="center"/>
              <w:rPr>
                <w:noProof/>
              </w:rPr>
            </w:pPr>
            <w:r>
              <w:rPr>
                <w:noProof/>
              </w:rPr>
              <w:t>M2C2–8</w:t>
            </w:r>
          </w:p>
        </w:tc>
        <w:tc>
          <w:tcPr>
            <w:tcW w:w="3118" w:type="dxa"/>
            <w:tcBorders>
              <w:top w:val="nil"/>
              <w:left w:val="nil"/>
              <w:bottom w:val="single" w:sz="4" w:space="0" w:color="auto"/>
              <w:right w:val="single" w:sz="4" w:space="0" w:color="auto"/>
            </w:tcBorders>
            <w:shd w:val="clear" w:color="auto" w:fill="C6EFCE"/>
            <w:noWrap/>
            <w:vAlign w:val="center"/>
          </w:tcPr>
          <w:p w14:paraId="5F809D2C" w14:textId="77777777" w:rsidR="003F5418" w:rsidRDefault="002A6C25">
            <w:pPr>
              <w:pStyle w:val="P68B1DB1-Normal9"/>
              <w:rPr>
                <w:noProof/>
              </w:rPr>
            </w:pPr>
            <w:r>
              <w:rPr>
                <w:noProof/>
              </w:rPr>
              <w:t>Beruházás: Az intelligens hálózatok megerősítése</w:t>
            </w:r>
          </w:p>
        </w:tc>
        <w:tc>
          <w:tcPr>
            <w:tcW w:w="1418" w:type="dxa"/>
            <w:tcBorders>
              <w:top w:val="nil"/>
              <w:left w:val="nil"/>
              <w:bottom w:val="single" w:sz="4" w:space="0" w:color="auto"/>
              <w:right w:val="single" w:sz="4" w:space="0" w:color="auto"/>
            </w:tcBorders>
            <w:shd w:val="clear" w:color="auto" w:fill="C6EFCE"/>
            <w:noWrap/>
            <w:vAlign w:val="center"/>
          </w:tcPr>
          <w:p w14:paraId="641A7A12"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66CA039E" w14:textId="77777777" w:rsidR="003F5418" w:rsidRDefault="002A6C25">
            <w:pPr>
              <w:pStyle w:val="P68B1DB1-Normal9"/>
              <w:rPr>
                <w:noProof/>
                <w:color w:val="006600"/>
              </w:rPr>
            </w:pPr>
            <w:r>
              <w:rPr>
                <w:noProof/>
              </w:rPr>
              <w:t>A hálózati kapacitás növelésére irányuló (összes) közbeszerzési szerződés odaítélése</w:t>
            </w:r>
          </w:p>
        </w:tc>
      </w:tr>
      <w:tr w:rsidR="003F5418" w14:paraId="76C5A6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9457B1" w14:textId="77777777" w:rsidR="003F5418" w:rsidRDefault="002A6C25">
            <w:pPr>
              <w:pStyle w:val="P68B1DB1-Normal9"/>
              <w:jc w:val="center"/>
              <w:rPr>
                <w:noProof/>
              </w:rPr>
            </w:pPr>
            <w:r>
              <w:rPr>
                <w:noProof/>
              </w:rPr>
              <w:t>M2C2–12</w:t>
            </w:r>
          </w:p>
        </w:tc>
        <w:tc>
          <w:tcPr>
            <w:tcW w:w="3118" w:type="dxa"/>
            <w:tcBorders>
              <w:top w:val="nil"/>
              <w:left w:val="nil"/>
              <w:bottom w:val="single" w:sz="4" w:space="0" w:color="auto"/>
              <w:right w:val="single" w:sz="4" w:space="0" w:color="auto"/>
            </w:tcBorders>
            <w:shd w:val="clear" w:color="auto" w:fill="C6EFCE"/>
            <w:noWrap/>
            <w:vAlign w:val="center"/>
          </w:tcPr>
          <w:p w14:paraId="4AF5106B" w14:textId="77777777" w:rsidR="003F5418" w:rsidRDefault="002A6C25">
            <w:pPr>
              <w:pStyle w:val="P68B1DB1-Normal9"/>
              <w:rPr>
                <w:noProof/>
              </w:rPr>
            </w:pPr>
            <w:r>
              <w:rPr>
                <w:noProof/>
              </w:rPr>
              <w:t>Beruházás: Beavatkozás a villamosenergia-hálózat rezilien</w:t>
            </w:r>
            <w:r>
              <w:rPr>
                <w:noProof/>
              </w:rPr>
              <w:t>ciájának növelésére</w:t>
            </w:r>
          </w:p>
        </w:tc>
        <w:tc>
          <w:tcPr>
            <w:tcW w:w="1418" w:type="dxa"/>
            <w:tcBorders>
              <w:top w:val="nil"/>
              <w:left w:val="nil"/>
              <w:bottom w:val="single" w:sz="4" w:space="0" w:color="auto"/>
              <w:right w:val="single" w:sz="4" w:space="0" w:color="auto"/>
            </w:tcBorders>
            <w:shd w:val="clear" w:color="auto" w:fill="C6EFCE"/>
            <w:noWrap/>
            <w:vAlign w:val="center"/>
          </w:tcPr>
          <w:p w14:paraId="3683C119"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7793A8F5" w14:textId="77777777" w:rsidR="003F5418" w:rsidRDefault="002A6C25">
            <w:pPr>
              <w:pStyle w:val="P68B1DB1-Normal9"/>
              <w:rPr>
                <w:noProof/>
                <w:color w:val="006600"/>
              </w:rPr>
            </w:pPr>
            <w:r>
              <w:rPr>
                <w:noProof/>
              </w:rPr>
              <w:t>A villamosenergia-rendszer rezilienciájának növelését célzó projektek odaítélése</w:t>
            </w:r>
          </w:p>
        </w:tc>
      </w:tr>
      <w:tr w:rsidR="003F5418" w14:paraId="4D92D9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C102A" w14:textId="77777777" w:rsidR="003F5418" w:rsidRDefault="002A6C25">
            <w:pPr>
              <w:pStyle w:val="P68B1DB1-Normal9"/>
              <w:jc w:val="center"/>
              <w:rPr>
                <w:noProof/>
              </w:rPr>
            </w:pPr>
            <w:r>
              <w:rPr>
                <w:noProof/>
              </w:rPr>
              <w:t>M3C2–1</w:t>
            </w:r>
          </w:p>
        </w:tc>
        <w:tc>
          <w:tcPr>
            <w:tcW w:w="3118" w:type="dxa"/>
            <w:tcBorders>
              <w:top w:val="nil"/>
              <w:left w:val="nil"/>
              <w:bottom w:val="single" w:sz="4" w:space="0" w:color="auto"/>
              <w:right w:val="single" w:sz="4" w:space="0" w:color="auto"/>
            </w:tcBorders>
            <w:shd w:val="clear" w:color="auto" w:fill="C6EFCE"/>
            <w:noWrap/>
            <w:vAlign w:val="center"/>
          </w:tcPr>
          <w:p w14:paraId="5924D613" w14:textId="77777777" w:rsidR="003F5418" w:rsidRDefault="002A6C25">
            <w:pPr>
              <w:pStyle w:val="P68B1DB1-Normal9"/>
              <w:rPr>
                <w:noProof/>
              </w:rPr>
            </w:pPr>
            <w:r>
              <w:rPr>
                <w:noProof/>
              </w:rPr>
              <w:t xml:space="preserve">Reform – A stratégiai tervezési folyamat eljárásainak egyszerűsítése </w:t>
            </w:r>
          </w:p>
        </w:tc>
        <w:tc>
          <w:tcPr>
            <w:tcW w:w="1418" w:type="dxa"/>
            <w:tcBorders>
              <w:top w:val="nil"/>
              <w:left w:val="nil"/>
              <w:bottom w:val="single" w:sz="4" w:space="0" w:color="auto"/>
              <w:right w:val="single" w:sz="4" w:space="0" w:color="auto"/>
            </w:tcBorders>
            <w:shd w:val="clear" w:color="auto" w:fill="C6EFCE"/>
            <w:noWrap/>
            <w:vAlign w:val="center"/>
          </w:tcPr>
          <w:p w14:paraId="7535874B"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19433C5" w14:textId="77777777" w:rsidR="003F5418" w:rsidRDefault="002A6C25">
            <w:pPr>
              <w:pStyle w:val="P68B1DB1-Normal9"/>
              <w:rPr>
                <w:noProof/>
                <w:color w:val="006600"/>
              </w:rPr>
            </w:pPr>
            <w:r>
              <w:rPr>
                <w:noProof/>
              </w:rPr>
              <w:t xml:space="preserve">A stratégiai tervezési folyamat eljárásainak </w:t>
            </w:r>
            <w:r>
              <w:rPr>
                <w:noProof/>
              </w:rPr>
              <w:t>egyszerűsítésével kapcsolatos jogszabály-módosítások hatálybalépése</w:t>
            </w:r>
          </w:p>
        </w:tc>
      </w:tr>
      <w:tr w:rsidR="003F5418" w14:paraId="4BF1A3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A40C38" w14:textId="77777777" w:rsidR="003F5418" w:rsidRDefault="002A6C25">
            <w:pPr>
              <w:pStyle w:val="P68B1DB1-Normal9"/>
              <w:jc w:val="center"/>
              <w:rPr>
                <w:noProof/>
              </w:rPr>
            </w:pPr>
            <w:r>
              <w:rPr>
                <w:noProof/>
              </w:rPr>
              <w:t>M3C2–2</w:t>
            </w:r>
          </w:p>
        </w:tc>
        <w:tc>
          <w:tcPr>
            <w:tcW w:w="3118" w:type="dxa"/>
            <w:tcBorders>
              <w:top w:val="nil"/>
              <w:left w:val="nil"/>
              <w:bottom w:val="single" w:sz="4" w:space="0" w:color="auto"/>
              <w:right w:val="single" w:sz="4" w:space="0" w:color="auto"/>
            </w:tcBorders>
            <w:shd w:val="clear" w:color="auto" w:fill="C6EFCE"/>
            <w:noWrap/>
            <w:vAlign w:val="center"/>
          </w:tcPr>
          <w:p w14:paraId="51756FC6" w14:textId="77777777" w:rsidR="003F5418" w:rsidRDefault="002A6C25">
            <w:pPr>
              <w:pStyle w:val="P68B1DB1-Normal9"/>
              <w:rPr>
                <w:noProof/>
              </w:rPr>
            </w:pPr>
            <w:r>
              <w:rPr>
                <w:noProof/>
              </w:rPr>
              <w:t>Reform – Versenyképes koncessziók odaítélése az olasz kikötőkben</w:t>
            </w:r>
          </w:p>
        </w:tc>
        <w:tc>
          <w:tcPr>
            <w:tcW w:w="1418" w:type="dxa"/>
            <w:tcBorders>
              <w:top w:val="nil"/>
              <w:left w:val="nil"/>
              <w:bottom w:val="single" w:sz="4" w:space="0" w:color="auto"/>
              <w:right w:val="single" w:sz="4" w:space="0" w:color="auto"/>
            </w:tcBorders>
            <w:shd w:val="clear" w:color="auto" w:fill="C6EFCE"/>
            <w:noWrap/>
            <w:vAlign w:val="center"/>
          </w:tcPr>
          <w:p w14:paraId="214DD7F2"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426230A9" w14:textId="77777777" w:rsidR="003F5418" w:rsidRDefault="002A6C25">
            <w:pPr>
              <w:pStyle w:val="P68B1DB1-Normal9"/>
              <w:rPr>
                <w:noProof/>
                <w:color w:val="006600"/>
              </w:rPr>
            </w:pPr>
            <w:r>
              <w:rPr>
                <w:noProof/>
              </w:rPr>
              <w:t>A kikötői koncessziókról szóló rendelet hatálybalépése</w:t>
            </w:r>
          </w:p>
        </w:tc>
      </w:tr>
      <w:tr w:rsidR="003F5418" w14:paraId="510B52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23ED38" w14:textId="77777777" w:rsidR="003F5418" w:rsidRDefault="002A6C25">
            <w:pPr>
              <w:pStyle w:val="P68B1DB1-Normal9"/>
              <w:jc w:val="center"/>
              <w:rPr>
                <w:noProof/>
              </w:rPr>
            </w:pPr>
            <w:r>
              <w:rPr>
                <w:noProof/>
              </w:rPr>
              <w:t>M3C2–4</w:t>
            </w:r>
          </w:p>
        </w:tc>
        <w:tc>
          <w:tcPr>
            <w:tcW w:w="3118" w:type="dxa"/>
            <w:tcBorders>
              <w:top w:val="nil"/>
              <w:left w:val="nil"/>
              <w:bottom w:val="single" w:sz="4" w:space="0" w:color="auto"/>
              <w:right w:val="single" w:sz="4" w:space="0" w:color="auto"/>
            </w:tcBorders>
            <w:shd w:val="clear" w:color="auto" w:fill="C6EFCE"/>
            <w:noWrap/>
            <w:vAlign w:val="center"/>
          </w:tcPr>
          <w:p w14:paraId="4D504978" w14:textId="77777777" w:rsidR="003F5418" w:rsidRDefault="002A6C25">
            <w:pPr>
              <w:pStyle w:val="P68B1DB1-Normal9"/>
              <w:rPr>
                <w:noProof/>
              </w:rPr>
            </w:pPr>
            <w:r>
              <w:rPr>
                <w:noProof/>
              </w:rPr>
              <w:t>Reform – A hideg vasalódeszművek engedélye</w:t>
            </w:r>
            <w:r>
              <w:rPr>
                <w:noProof/>
              </w:rPr>
              <w:t>zési eljárásainak egyszerűsítése</w:t>
            </w:r>
          </w:p>
        </w:tc>
        <w:tc>
          <w:tcPr>
            <w:tcW w:w="1418" w:type="dxa"/>
            <w:tcBorders>
              <w:top w:val="nil"/>
              <w:left w:val="nil"/>
              <w:bottom w:val="single" w:sz="4" w:space="0" w:color="auto"/>
              <w:right w:val="single" w:sz="4" w:space="0" w:color="auto"/>
            </w:tcBorders>
            <w:shd w:val="clear" w:color="auto" w:fill="C6EFCE"/>
            <w:noWrap/>
            <w:vAlign w:val="center"/>
          </w:tcPr>
          <w:p w14:paraId="1C1F6F6A"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7D0201C8" w14:textId="77777777" w:rsidR="003F5418" w:rsidRDefault="002A6C25">
            <w:pPr>
              <w:pStyle w:val="P68B1DB1-Normal9"/>
              <w:rPr>
                <w:noProof/>
                <w:color w:val="006600"/>
              </w:rPr>
            </w:pPr>
            <w:r>
              <w:rPr>
                <w:noProof/>
              </w:rPr>
              <w:t>A hideg vasalódeszművekre vonatkozó engedélyezési eljárások egyszerűsítésének hatálybalépése</w:t>
            </w:r>
          </w:p>
        </w:tc>
      </w:tr>
      <w:tr w:rsidR="003F5418" w14:paraId="73B0D3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65709E" w14:textId="77777777" w:rsidR="003F5418" w:rsidRDefault="002A6C25">
            <w:pPr>
              <w:pStyle w:val="P68B1DB1-Normal9"/>
              <w:jc w:val="center"/>
              <w:rPr>
                <w:noProof/>
              </w:rPr>
            </w:pPr>
            <w:r>
              <w:rPr>
                <w:noProof/>
              </w:rPr>
              <w:t>M4C1–5</w:t>
            </w:r>
          </w:p>
        </w:tc>
        <w:tc>
          <w:tcPr>
            <w:tcW w:w="3118" w:type="dxa"/>
            <w:tcBorders>
              <w:top w:val="nil"/>
              <w:left w:val="nil"/>
              <w:bottom w:val="single" w:sz="4" w:space="0" w:color="auto"/>
              <w:right w:val="single" w:sz="4" w:space="0" w:color="auto"/>
            </w:tcBorders>
            <w:shd w:val="clear" w:color="auto" w:fill="C6EFCE"/>
            <w:noWrap/>
            <w:vAlign w:val="center"/>
          </w:tcPr>
          <w:p w14:paraId="609E3B82" w14:textId="77777777" w:rsidR="003F5418" w:rsidRDefault="002A6C25">
            <w:pPr>
              <w:pStyle w:val="P68B1DB1-Normal9"/>
              <w:rPr>
                <w:noProof/>
              </w:rPr>
            </w:pPr>
            <w:r>
              <w:rPr>
                <w:noProof/>
              </w:rPr>
              <w:t xml:space="preserve">Reform: Az iskolarendszer átszervezése; Reform: A felsőfokú szakképzési rendszer (ITS) reformja; Reform: A </w:t>
            </w:r>
            <w:r>
              <w:rPr>
                <w:noProof/>
              </w:rPr>
              <w:t>műszaki és szakmai intézetek reformja; Reform: Az orientációs rendszer reformja</w:t>
            </w:r>
          </w:p>
        </w:tc>
        <w:tc>
          <w:tcPr>
            <w:tcW w:w="1418" w:type="dxa"/>
            <w:tcBorders>
              <w:top w:val="nil"/>
              <w:left w:val="nil"/>
              <w:bottom w:val="single" w:sz="4" w:space="0" w:color="auto"/>
              <w:right w:val="single" w:sz="4" w:space="0" w:color="auto"/>
            </w:tcBorders>
            <w:shd w:val="clear" w:color="auto" w:fill="C6EFCE"/>
            <w:noWrap/>
            <w:vAlign w:val="center"/>
          </w:tcPr>
          <w:p w14:paraId="315DC976" w14:textId="77777777" w:rsidR="003F5418" w:rsidRDefault="002A6C25">
            <w:pPr>
              <w:pStyle w:val="P68B1DB1-Normal9"/>
              <w:rPr>
                <w:noProof/>
                <w:color w:val="006600"/>
              </w:rPr>
            </w:pPr>
            <w:r>
              <w:rPr>
                <w:noProof/>
              </w:rPr>
              <w:t>Mérföldkövek</w:t>
            </w:r>
          </w:p>
        </w:tc>
        <w:tc>
          <w:tcPr>
            <w:tcW w:w="3865" w:type="dxa"/>
            <w:tcBorders>
              <w:top w:val="nil"/>
              <w:left w:val="nil"/>
              <w:bottom w:val="single" w:sz="4" w:space="0" w:color="auto"/>
              <w:right w:val="single" w:sz="4" w:space="0" w:color="auto"/>
            </w:tcBorders>
            <w:shd w:val="clear" w:color="auto" w:fill="C6EFCE"/>
            <w:noWrap/>
            <w:vAlign w:val="center"/>
          </w:tcPr>
          <w:p w14:paraId="76068888" w14:textId="77777777" w:rsidR="003F5418" w:rsidRDefault="002A6C25">
            <w:pPr>
              <w:pStyle w:val="P68B1DB1-Normal9"/>
              <w:rPr>
                <w:noProof/>
                <w:color w:val="006600"/>
              </w:rPr>
            </w:pPr>
            <w:r>
              <w:rPr>
                <w:noProof/>
              </w:rPr>
              <w:t>Az alap- és középfokú oktatási rendszer reformjának hatálybalépése az oktatási eredmények javítása érdekében</w:t>
            </w:r>
          </w:p>
        </w:tc>
      </w:tr>
      <w:tr w:rsidR="003F5418" w14:paraId="3DF84B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A8E69B" w14:textId="77777777" w:rsidR="003F5418" w:rsidRDefault="002A6C25">
            <w:pPr>
              <w:pStyle w:val="P68B1DB1-Normal9"/>
              <w:jc w:val="center"/>
              <w:rPr>
                <w:noProof/>
              </w:rPr>
            </w:pPr>
            <w:r>
              <w:rPr>
                <w:noProof/>
              </w:rPr>
              <w:t>M4C1–6</w:t>
            </w:r>
          </w:p>
        </w:tc>
        <w:tc>
          <w:tcPr>
            <w:tcW w:w="3118" w:type="dxa"/>
            <w:tcBorders>
              <w:top w:val="nil"/>
              <w:left w:val="nil"/>
              <w:bottom w:val="single" w:sz="4" w:space="0" w:color="auto"/>
              <w:right w:val="single" w:sz="4" w:space="0" w:color="auto"/>
            </w:tcBorders>
            <w:shd w:val="clear" w:color="auto" w:fill="C6EFCE"/>
            <w:noWrap/>
            <w:vAlign w:val="center"/>
          </w:tcPr>
          <w:p w14:paraId="27A3AA18" w14:textId="77777777" w:rsidR="003F5418" w:rsidRDefault="002A6C25">
            <w:pPr>
              <w:pStyle w:val="P68B1DB1-Normal9"/>
              <w:rPr>
                <w:noProof/>
              </w:rPr>
            </w:pPr>
            <w:r>
              <w:rPr>
                <w:noProof/>
              </w:rPr>
              <w:t xml:space="preserve">Reform: Felsőfokú felsőbb szintű iskola és </w:t>
            </w:r>
            <w:r>
              <w:rPr>
                <w:noProof/>
              </w:rPr>
              <w:t>továbbképzés iskolavezetők, tanárok, adminisztratív és műszaki személyzet számára</w:t>
            </w:r>
          </w:p>
        </w:tc>
        <w:tc>
          <w:tcPr>
            <w:tcW w:w="1418" w:type="dxa"/>
            <w:tcBorders>
              <w:top w:val="nil"/>
              <w:left w:val="nil"/>
              <w:bottom w:val="single" w:sz="4" w:space="0" w:color="auto"/>
              <w:right w:val="single" w:sz="4" w:space="0" w:color="auto"/>
            </w:tcBorders>
            <w:shd w:val="clear" w:color="auto" w:fill="C6EFCE"/>
            <w:noWrap/>
            <w:vAlign w:val="center"/>
          </w:tcPr>
          <w:p w14:paraId="4CC10FC4"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586C31F" w14:textId="77777777" w:rsidR="003F5418" w:rsidRDefault="002A6C25">
            <w:pPr>
              <w:pStyle w:val="P68B1DB1-Normal9"/>
              <w:rPr>
                <w:noProof/>
                <w:color w:val="006600"/>
              </w:rPr>
            </w:pPr>
            <w:r>
              <w:rPr>
                <w:noProof/>
              </w:rPr>
              <w:t>Az iskolák minőségi képzési rendszerének kiépítését célzó jogszabályok hatálybalépése.</w:t>
            </w:r>
          </w:p>
        </w:tc>
      </w:tr>
      <w:tr w:rsidR="003F5418" w14:paraId="7C70F5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8226D5" w14:textId="77777777" w:rsidR="003F5418" w:rsidRDefault="002A6C25">
            <w:pPr>
              <w:pStyle w:val="P68B1DB1-Normal9"/>
              <w:jc w:val="center"/>
              <w:rPr>
                <w:noProof/>
              </w:rPr>
            </w:pPr>
            <w:r>
              <w:rPr>
                <w:noProof/>
              </w:rPr>
              <w:t>M4C2–1</w:t>
            </w:r>
          </w:p>
        </w:tc>
        <w:tc>
          <w:tcPr>
            <w:tcW w:w="3118" w:type="dxa"/>
            <w:tcBorders>
              <w:top w:val="nil"/>
              <w:left w:val="nil"/>
              <w:bottom w:val="single" w:sz="4" w:space="0" w:color="auto"/>
              <w:right w:val="single" w:sz="4" w:space="0" w:color="auto"/>
            </w:tcBorders>
            <w:shd w:val="clear" w:color="auto" w:fill="C6EFCE"/>
            <w:noWrap/>
            <w:vAlign w:val="center"/>
          </w:tcPr>
          <w:p w14:paraId="1118AE45" w14:textId="77777777" w:rsidR="003F5418" w:rsidRDefault="002A6C25">
            <w:pPr>
              <w:pStyle w:val="P68B1DB1-Normal9"/>
              <w:rPr>
                <w:noProof/>
              </w:rPr>
            </w:pPr>
            <w:r>
              <w:rPr>
                <w:noProof/>
              </w:rPr>
              <w:t>Beruházás: Fiatal kutatók által előterjesztett projektek finanszírozá</w:t>
            </w:r>
            <w:r>
              <w:rPr>
                <w:noProof/>
              </w:rPr>
              <w:t>sa</w:t>
            </w:r>
          </w:p>
        </w:tc>
        <w:tc>
          <w:tcPr>
            <w:tcW w:w="1418" w:type="dxa"/>
            <w:tcBorders>
              <w:top w:val="nil"/>
              <w:left w:val="nil"/>
              <w:bottom w:val="single" w:sz="4" w:space="0" w:color="auto"/>
              <w:right w:val="single" w:sz="4" w:space="0" w:color="auto"/>
            </w:tcBorders>
            <w:shd w:val="clear" w:color="auto" w:fill="C6EFCE"/>
            <w:noWrap/>
            <w:vAlign w:val="center"/>
          </w:tcPr>
          <w:p w14:paraId="7AE24E53" w14:textId="77777777" w:rsidR="003F5418" w:rsidRDefault="002A6C25">
            <w:pPr>
              <w:pStyle w:val="P68B1DB1-Normal9"/>
              <w:rPr>
                <w:noProof/>
                <w:color w:val="006600"/>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56E3CE5F" w14:textId="77777777" w:rsidR="003F5418" w:rsidRDefault="002A6C25">
            <w:pPr>
              <w:pStyle w:val="P68B1DB1-Normal9"/>
              <w:rPr>
                <w:noProof/>
                <w:color w:val="006600"/>
              </w:rPr>
            </w:pPr>
            <w:r>
              <w:rPr>
                <w:noProof/>
              </w:rPr>
              <w:t>Kutatási ösztöndíjban részesülő hallgatók száma</w:t>
            </w:r>
          </w:p>
        </w:tc>
      </w:tr>
      <w:tr w:rsidR="003F5418" w14:paraId="53998D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757B5E" w14:textId="77777777" w:rsidR="003F5418" w:rsidRDefault="002A6C25">
            <w:pPr>
              <w:pStyle w:val="P68B1DB1-Normal9"/>
              <w:jc w:val="center"/>
              <w:rPr>
                <w:noProof/>
              </w:rPr>
            </w:pPr>
            <w:r>
              <w:rPr>
                <w:noProof/>
              </w:rPr>
              <w:t xml:space="preserve">M5C1–2 </w:t>
            </w:r>
          </w:p>
        </w:tc>
        <w:tc>
          <w:tcPr>
            <w:tcW w:w="3118" w:type="dxa"/>
            <w:tcBorders>
              <w:top w:val="nil"/>
              <w:left w:val="nil"/>
              <w:bottom w:val="single" w:sz="4" w:space="0" w:color="auto"/>
              <w:right w:val="single" w:sz="4" w:space="0" w:color="auto"/>
            </w:tcBorders>
            <w:shd w:val="clear" w:color="auto" w:fill="C6EFCE"/>
            <w:noWrap/>
            <w:vAlign w:val="center"/>
          </w:tcPr>
          <w:p w14:paraId="7A0A8D00" w14:textId="77777777" w:rsidR="003F5418" w:rsidRDefault="002A6C25">
            <w:pPr>
              <w:pStyle w:val="P68B1DB1-Normal9"/>
              <w:rPr>
                <w:noProof/>
              </w:rPr>
            </w:pPr>
            <w:r>
              <w:rPr>
                <w:noProof/>
              </w:rPr>
              <w:t>Reform – aktív munkaerőpiaci intézkedések és szakképzés</w:t>
            </w:r>
          </w:p>
        </w:tc>
        <w:tc>
          <w:tcPr>
            <w:tcW w:w="1418" w:type="dxa"/>
            <w:tcBorders>
              <w:top w:val="nil"/>
              <w:left w:val="nil"/>
              <w:bottom w:val="single" w:sz="4" w:space="0" w:color="auto"/>
              <w:right w:val="single" w:sz="4" w:space="0" w:color="auto"/>
            </w:tcBorders>
            <w:shd w:val="clear" w:color="auto" w:fill="C6EFCE"/>
            <w:noWrap/>
            <w:vAlign w:val="center"/>
          </w:tcPr>
          <w:p w14:paraId="01D040A0"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D4BE4E9" w14:textId="77777777" w:rsidR="003F5418" w:rsidRDefault="002A6C25">
            <w:pPr>
              <w:pStyle w:val="P68B1DB1-Normal9"/>
              <w:rPr>
                <w:noProof/>
                <w:color w:val="006600"/>
              </w:rPr>
            </w:pPr>
            <w:r>
              <w:rPr>
                <w:noProof/>
              </w:rPr>
              <w:t xml:space="preserve">Az állami foglalkoztatási szolgálatok (ÁFSZ-ek) valamennyi tervének hatálybalépése regionális szinten  </w:t>
            </w:r>
          </w:p>
        </w:tc>
      </w:tr>
      <w:tr w:rsidR="003F5418" w14:paraId="1FC790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DAE879" w14:textId="77777777" w:rsidR="003F5418" w:rsidRDefault="002A6C25">
            <w:pPr>
              <w:pStyle w:val="P68B1DB1-Normal9"/>
              <w:jc w:val="center"/>
              <w:rPr>
                <w:noProof/>
              </w:rPr>
            </w:pPr>
            <w:r>
              <w:rPr>
                <w:noProof/>
              </w:rPr>
              <w:t xml:space="preserve">M5C1–6 </w:t>
            </w:r>
          </w:p>
        </w:tc>
        <w:tc>
          <w:tcPr>
            <w:tcW w:w="3118" w:type="dxa"/>
            <w:tcBorders>
              <w:top w:val="nil"/>
              <w:left w:val="nil"/>
              <w:bottom w:val="single" w:sz="4" w:space="0" w:color="auto"/>
              <w:right w:val="single" w:sz="4" w:space="0" w:color="auto"/>
            </w:tcBorders>
            <w:shd w:val="clear" w:color="auto" w:fill="C6EFCE"/>
            <w:noWrap/>
            <w:vAlign w:val="center"/>
          </w:tcPr>
          <w:p w14:paraId="1D155063" w14:textId="77777777" w:rsidR="003F5418" w:rsidRDefault="002A6C25">
            <w:pPr>
              <w:pStyle w:val="P68B1DB1-Normal9"/>
              <w:rPr>
                <w:noProof/>
              </w:rPr>
            </w:pPr>
            <w:r>
              <w:rPr>
                <w:noProof/>
              </w:rPr>
              <w:t xml:space="preserve">Beruházás – Az állami foglalkoztatási szolgálatok (ÁFSZ-ek) megerősítése </w:t>
            </w:r>
          </w:p>
        </w:tc>
        <w:tc>
          <w:tcPr>
            <w:tcW w:w="1418" w:type="dxa"/>
            <w:tcBorders>
              <w:top w:val="nil"/>
              <w:left w:val="nil"/>
              <w:bottom w:val="single" w:sz="4" w:space="0" w:color="auto"/>
              <w:right w:val="single" w:sz="4" w:space="0" w:color="auto"/>
            </w:tcBorders>
            <w:shd w:val="clear" w:color="auto" w:fill="C6EFCE"/>
            <w:noWrap/>
            <w:vAlign w:val="center"/>
          </w:tcPr>
          <w:p w14:paraId="55B9A50E" w14:textId="77777777" w:rsidR="003F5418" w:rsidRDefault="002A6C25">
            <w:pPr>
              <w:pStyle w:val="P68B1DB1-Normal9"/>
              <w:rPr>
                <w:noProof/>
                <w:color w:val="006600"/>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4DFDE1AD" w14:textId="77777777" w:rsidR="003F5418" w:rsidRDefault="002A6C25">
            <w:pPr>
              <w:pStyle w:val="P68B1DB1-Normal9"/>
              <w:rPr>
                <w:noProof/>
                <w:color w:val="006600"/>
              </w:rPr>
            </w:pPr>
            <w:r>
              <w:rPr>
                <w:noProof/>
              </w:rPr>
              <w:t>Az állami foglalkoztatási szolgálatok a 2021–2023-as hároméves időszakban hajtják végre a megerősítési tervben előirányzott tevékenységeket</w:t>
            </w:r>
          </w:p>
        </w:tc>
      </w:tr>
      <w:tr w:rsidR="003F5418" w14:paraId="6C8155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5123C" w14:textId="77777777" w:rsidR="003F5418" w:rsidRDefault="002A6C25">
            <w:pPr>
              <w:pStyle w:val="P68B1DB1-Normal9"/>
              <w:jc w:val="center"/>
              <w:rPr>
                <w:noProof/>
              </w:rPr>
            </w:pPr>
            <w:r>
              <w:rPr>
                <w:noProof/>
              </w:rPr>
              <w:t xml:space="preserve">M5C1–8 </w:t>
            </w:r>
          </w:p>
        </w:tc>
        <w:tc>
          <w:tcPr>
            <w:tcW w:w="3118" w:type="dxa"/>
            <w:tcBorders>
              <w:top w:val="nil"/>
              <w:left w:val="nil"/>
              <w:bottom w:val="single" w:sz="4" w:space="0" w:color="auto"/>
              <w:right w:val="single" w:sz="4" w:space="0" w:color="auto"/>
            </w:tcBorders>
            <w:shd w:val="clear" w:color="auto" w:fill="C6EFCE"/>
            <w:noWrap/>
            <w:vAlign w:val="center"/>
          </w:tcPr>
          <w:p w14:paraId="4B997125" w14:textId="77777777" w:rsidR="003F5418" w:rsidRDefault="002A6C25">
            <w:pPr>
              <w:pStyle w:val="P68B1DB1-Normal9"/>
              <w:rPr>
                <w:noProof/>
              </w:rPr>
            </w:pPr>
            <w:r>
              <w:rPr>
                <w:noProof/>
              </w:rPr>
              <w:t xml:space="preserve">Reform – Be nem jelentett </w:t>
            </w:r>
            <w:r>
              <w:rPr>
                <w:noProof/>
              </w:rPr>
              <w:t>munka</w:t>
            </w:r>
          </w:p>
        </w:tc>
        <w:tc>
          <w:tcPr>
            <w:tcW w:w="1418" w:type="dxa"/>
            <w:tcBorders>
              <w:top w:val="nil"/>
              <w:left w:val="nil"/>
              <w:bottom w:val="single" w:sz="4" w:space="0" w:color="auto"/>
              <w:right w:val="single" w:sz="4" w:space="0" w:color="auto"/>
            </w:tcBorders>
            <w:shd w:val="clear" w:color="auto" w:fill="C6EFCE"/>
            <w:noWrap/>
            <w:vAlign w:val="center"/>
          </w:tcPr>
          <w:p w14:paraId="5896811D"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0E42C39" w14:textId="77777777" w:rsidR="003F5418" w:rsidRDefault="002A6C25">
            <w:pPr>
              <w:pStyle w:val="P68B1DB1-Normal9"/>
              <w:rPr>
                <w:noProof/>
                <w:color w:val="006600"/>
              </w:rPr>
            </w:pPr>
            <w:r>
              <w:rPr>
                <w:noProof/>
              </w:rPr>
              <w:t>A be nem jelentett munkavégzés elleni küzdelemre irányuló nemzeti terv és végrehajtási ütemterv hatálybalépése valamennyi gazdasági ágazatban.</w:t>
            </w:r>
          </w:p>
        </w:tc>
      </w:tr>
      <w:tr w:rsidR="003F5418" w14:paraId="4C4424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C3BF28" w14:textId="77777777" w:rsidR="003F5418" w:rsidRDefault="002A6C25">
            <w:pPr>
              <w:pStyle w:val="P68B1DB1-Normal9"/>
              <w:jc w:val="center"/>
              <w:rPr>
                <w:noProof/>
              </w:rPr>
            </w:pPr>
            <w:r>
              <w:rPr>
                <w:noProof/>
              </w:rPr>
              <w:t>M5C1–12</w:t>
            </w:r>
          </w:p>
        </w:tc>
        <w:tc>
          <w:tcPr>
            <w:tcW w:w="3118" w:type="dxa"/>
            <w:tcBorders>
              <w:top w:val="nil"/>
              <w:left w:val="nil"/>
              <w:bottom w:val="single" w:sz="4" w:space="0" w:color="auto"/>
              <w:right w:val="single" w:sz="4" w:space="0" w:color="auto"/>
            </w:tcBorders>
            <w:shd w:val="clear" w:color="auto" w:fill="C6EFCE"/>
            <w:noWrap/>
            <w:vAlign w:val="center"/>
          </w:tcPr>
          <w:p w14:paraId="488926B1" w14:textId="77777777" w:rsidR="003F5418" w:rsidRDefault="002A6C25">
            <w:pPr>
              <w:pStyle w:val="P68B1DB1-Normal9"/>
              <w:rPr>
                <w:noProof/>
              </w:rPr>
            </w:pPr>
            <w:r>
              <w:rPr>
                <w:noProof/>
              </w:rPr>
              <w:t>Beruházás – A nemek közötti egyenlőség tanúsítási rendszere</w:t>
            </w:r>
          </w:p>
        </w:tc>
        <w:tc>
          <w:tcPr>
            <w:tcW w:w="1418" w:type="dxa"/>
            <w:tcBorders>
              <w:top w:val="nil"/>
              <w:left w:val="nil"/>
              <w:bottom w:val="single" w:sz="4" w:space="0" w:color="auto"/>
              <w:right w:val="single" w:sz="4" w:space="0" w:color="auto"/>
            </w:tcBorders>
            <w:shd w:val="clear" w:color="auto" w:fill="C6EFCE"/>
            <w:noWrap/>
            <w:vAlign w:val="center"/>
          </w:tcPr>
          <w:p w14:paraId="509E20E0"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5D6023A4" w14:textId="77777777" w:rsidR="003F5418" w:rsidRDefault="002A6C25">
            <w:pPr>
              <w:pStyle w:val="P68B1DB1-Normal9"/>
              <w:rPr>
                <w:noProof/>
                <w:color w:val="006600"/>
              </w:rPr>
            </w:pPr>
            <w:r>
              <w:rPr>
                <w:noProof/>
              </w:rPr>
              <w:t>A nemek közötti eg</w:t>
            </w:r>
            <w:r>
              <w:rPr>
                <w:noProof/>
              </w:rPr>
              <w:t xml:space="preserve">yenlőségre vonatkozó tanúsítási rendszer és az azt kísérő ösztönző mechanizmusok hatálybalépése a vállalatok számára </w:t>
            </w:r>
          </w:p>
        </w:tc>
      </w:tr>
      <w:tr w:rsidR="003F5418" w14:paraId="13DD56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38CE69" w14:textId="77777777" w:rsidR="003F5418" w:rsidRDefault="002A6C25">
            <w:pPr>
              <w:pStyle w:val="P68B1DB1-Normal9"/>
              <w:jc w:val="center"/>
              <w:rPr>
                <w:noProof/>
              </w:rPr>
            </w:pPr>
            <w:r>
              <w:rPr>
                <w:noProof/>
              </w:rPr>
              <w:t>M5C2–7</w:t>
            </w:r>
          </w:p>
        </w:tc>
        <w:tc>
          <w:tcPr>
            <w:tcW w:w="3118" w:type="dxa"/>
            <w:tcBorders>
              <w:top w:val="nil"/>
              <w:left w:val="nil"/>
              <w:bottom w:val="single" w:sz="4" w:space="0" w:color="auto"/>
              <w:right w:val="single" w:sz="4" w:space="0" w:color="auto"/>
            </w:tcBorders>
            <w:shd w:val="clear" w:color="auto" w:fill="C6EFCE"/>
            <w:noWrap/>
            <w:vAlign w:val="center"/>
          </w:tcPr>
          <w:p w14:paraId="37538DC7" w14:textId="77777777" w:rsidR="003F5418" w:rsidRDefault="002A6C25">
            <w:pPr>
              <w:pStyle w:val="P68B1DB1-Normal9"/>
              <w:rPr>
                <w:noProof/>
              </w:rPr>
            </w:pPr>
            <w:r>
              <w:rPr>
                <w:noProof/>
              </w:rPr>
              <w:t>Beruházás – Autonómiai minták a fogyatékossággal élő személyek számára</w:t>
            </w:r>
          </w:p>
        </w:tc>
        <w:tc>
          <w:tcPr>
            <w:tcW w:w="1418" w:type="dxa"/>
            <w:tcBorders>
              <w:top w:val="nil"/>
              <w:left w:val="nil"/>
              <w:bottom w:val="single" w:sz="4" w:space="0" w:color="auto"/>
              <w:right w:val="single" w:sz="4" w:space="0" w:color="auto"/>
            </w:tcBorders>
            <w:shd w:val="clear" w:color="auto" w:fill="C6EFCE"/>
            <w:noWrap/>
            <w:vAlign w:val="center"/>
          </w:tcPr>
          <w:p w14:paraId="1B72DA0C" w14:textId="77777777" w:rsidR="003F5418" w:rsidRDefault="002A6C25">
            <w:pPr>
              <w:pStyle w:val="P68B1DB1-Normal9"/>
              <w:rPr>
                <w:noProof/>
                <w:color w:val="006600"/>
              </w:rPr>
            </w:pPr>
            <w:r>
              <w:rPr>
                <w:noProof/>
              </w:rPr>
              <w:t>Cél</w:t>
            </w:r>
          </w:p>
        </w:tc>
        <w:tc>
          <w:tcPr>
            <w:tcW w:w="3865" w:type="dxa"/>
            <w:tcBorders>
              <w:top w:val="nil"/>
              <w:left w:val="nil"/>
              <w:bottom w:val="single" w:sz="4" w:space="0" w:color="auto"/>
              <w:right w:val="single" w:sz="4" w:space="0" w:color="auto"/>
            </w:tcBorders>
            <w:shd w:val="clear" w:color="auto" w:fill="C6EFCE"/>
            <w:noWrap/>
            <w:vAlign w:val="center"/>
          </w:tcPr>
          <w:p w14:paraId="2023AE2A" w14:textId="77777777" w:rsidR="003F5418" w:rsidRDefault="002A6C25">
            <w:pPr>
              <w:pStyle w:val="P68B1DB1-Normal9"/>
              <w:rPr>
                <w:noProof/>
                <w:color w:val="006600"/>
              </w:rPr>
            </w:pPr>
            <w:r>
              <w:rPr>
                <w:noProof/>
              </w:rPr>
              <w:t xml:space="preserve">A szociális körzetek legalább egy projektet </w:t>
            </w:r>
            <w:r>
              <w:rPr>
                <w:noProof/>
              </w:rPr>
              <w:t>megvalósítottak a lakóterek felújításával és/vagy az IKT-eszközök fogyatékossággal élő személyek számára történő biztosításával kapcsolatban, amelyet digitális készségekkel kapcsolatos képzés kísér</w:t>
            </w:r>
          </w:p>
        </w:tc>
      </w:tr>
      <w:tr w:rsidR="003F5418" w14:paraId="2D027E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55E742" w14:textId="77777777" w:rsidR="003F5418" w:rsidRDefault="002A6C25">
            <w:pPr>
              <w:pStyle w:val="P68B1DB1-Normal9"/>
              <w:jc w:val="center"/>
              <w:rPr>
                <w:noProof/>
              </w:rPr>
            </w:pPr>
            <w:r>
              <w:rPr>
                <w:noProof/>
              </w:rPr>
              <w:t>M5C3–1</w:t>
            </w:r>
          </w:p>
        </w:tc>
        <w:tc>
          <w:tcPr>
            <w:tcW w:w="3118" w:type="dxa"/>
            <w:tcBorders>
              <w:top w:val="nil"/>
              <w:left w:val="nil"/>
              <w:bottom w:val="single" w:sz="4" w:space="0" w:color="auto"/>
              <w:right w:val="single" w:sz="4" w:space="0" w:color="auto"/>
            </w:tcBorders>
            <w:shd w:val="clear" w:color="auto" w:fill="C6EFCE"/>
            <w:noWrap/>
            <w:vAlign w:val="center"/>
          </w:tcPr>
          <w:p w14:paraId="53958AD8" w14:textId="77777777" w:rsidR="003F5418" w:rsidRDefault="002A6C25">
            <w:pPr>
              <w:pStyle w:val="P68B1DB1-Normal9"/>
              <w:rPr>
                <w:noProof/>
              </w:rPr>
            </w:pPr>
            <w:r>
              <w:rPr>
                <w:noProof/>
              </w:rPr>
              <w:t>1.1.1. beruházás: Belső területek – A közösségi sz</w:t>
            </w:r>
            <w:r>
              <w:rPr>
                <w:noProof/>
              </w:rPr>
              <w:t>ociális szolgáltatások és infrastruktúrák megerősítése</w:t>
            </w:r>
          </w:p>
        </w:tc>
        <w:tc>
          <w:tcPr>
            <w:tcW w:w="1418" w:type="dxa"/>
            <w:tcBorders>
              <w:top w:val="nil"/>
              <w:left w:val="nil"/>
              <w:bottom w:val="single" w:sz="4" w:space="0" w:color="auto"/>
              <w:right w:val="single" w:sz="4" w:space="0" w:color="auto"/>
            </w:tcBorders>
            <w:shd w:val="clear" w:color="auto" w:fill="C6EFCE"/>
            <w:noWrap/>
            <w:vAlign w:val="center"/>
          </w:tcPr>
          <w:p w14:paraId="2AFC5F54"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2EE1F1B5" w14:textId="77777777" w:rsidR="003F5418" w:rsidRDefault="002A6C25">
            <w:pPr>
              <w:pStyle w:val="P68B1DB1-Normal9"/>
              <w:rPr>
                <w:noProof/>
                <w:color w:val="006600"/>
              </w:rPr>
            </w:pPr>
            <w:r>
              <w:rPr>
                <w:noProof/>
              </w:rPr>
              <w:t>A belső területek szociális szolgáltatásainak és infrastruktúrájának javítását célzó beavatkozásokra, valamint a 3000 főnél kevesebb lakosú települések gyógyszertárainak támogatására irányuló</w:t>
            </w:r>
            <w:r>
              <w:rPr>
                <w:noProof/>
              </w:rPr>
              <w:t xml:space="preserve"> pályázat odaítélése</w:t>
            </w:r>
          </w:p>
        </w:tc>
      </w:tr>
      <w:tr w:rsidR="003F5418" w14:paraId="341C38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BEB4BA" w14:textId="77777777" w:rsidR="003F5418" w:rsidRDefault="002A6C25">
            <w:pPr>
              <w:pStyle w:val="P68B1DB1-Normal9"/>
              <w:jc w:val="center"/>
              <w:rPr>
                <w:noProof/>
              </w:rPr>
            </w:pPr>
            <w:r>
              <w:rPr>
                <w:noProof/>
              </w:rPr>
              <w:t>M6C2–1</w:t>
            </w:r>
          </w:p>
        </w:tc>
        <w:tc>
          <w:tcPr>
            <w:tcW w:w="3118" w:type="dxa"/>
            <w:tcBorders>
              <w:top w:val="nil"/>
              <w:left w:val="nil"/>
              <w:bottom w:val="single" w:sz="4" w:space="0" w:color="auto"/>
              <w:right w:val="single" w:sz="4" w:space="0" w:color="auto"/>
            </w:tcBorders>
            <w:shd w:val="clear" w:color="auto" w:fill="C6EFCE"/>
            <w:noWrap/>
            <w:vAlign w:val="center"/>
          </w:tcPr>
          <w:p w14:paraId="56282FEA" w14:textId="77777777" w:rsidR="003F5418" w:rsidRDefault="002A6C25">
            <w:pPr>
              <w:pStyle w:val="P68B1DB1-Normal9"/>
              <w:rPr>
                <w:noProof/>
              </w:rPr>
            </w:pPr>
            <w:r>
              <w:rPr>
                <w:noProof/>
              </w:rPr>
              <w:t>Az 1. reformot A kutatás, az innováció és az egészségügy közötti kapcsolat megerősítése érdekében felül kell vizsgálni és aktualizálni kell a Kórházi és Ellátási Tudományos Intézetek (IRCCS) és az Egészségügyi Minisztérium kuta</w:t>
            </w:r>
            <w:r>
              <w:rPr>
                <w:noProof/>
              </w:rPr>
              <w:t>tási politikáinak jelenlegi jogi keretét</w:t>
            </w:r>
          </w:p>
        </w:tc>
        <w:tc>
          <w:tcPr>
            <w:tcW w:w="1418" w:type="dxa"/>
            <w:tcBorders>
              <w:top w:val="nil"/>
              <w:left w:val="nil"/>
              <w:bottom w:val="single" w:sz="4" w:space="0" w:color="auto"/>
              <w:right w:val="single" w:sz="4" w:space="0" w:color="auto"/>
            </w:tcBorders>
            <w:shd w:val="clear" w:color="auto" w:fill="C6EFCE"/>
            <w:noWrap/>
            <w:vAlign w:val="center"/>
          </w:tcPr>
          <w:p w14:paraId="5EC316DF" w14:textId="77777777" w:rsidR="003F5418" w:rsidRDefault="002A6C25">
            <w:pPr>
              <w:pStyle w:val="P68B1DB1-Normal9"/>
              <w:rPr>
                <w:noProof/>
                <w:color w:val="006600"/>
              </w:rPr>
            </w:pPr>
            <w:r>
              <w:rPr>
                <w:noProof/>
              </w:rPr>
              <w:t>Mérföldkő</w:t>
            </w:r>
          </w:p>
        </w:tc>
        <w:tc>
          <w:tcPr>
            <w:tcW w:w="3865" w:type="dxa"/>
            <w:tcBorders>
              <w:top w:val="nil"/>
              <w:left w:val="nil"/>
              <w:bottom w:val="single" w:sz="4" w:space="0" w:color="auto"/>
              <w:right w:val="single" w:sz="4" w:space="0" w:color="auto"/>
            </w:tcBorders>
            <w:shd w:val="clear" w:color="auto" w:fill="C6EFCE"/>
            <w:noWrap/>
            <w:vAlign w:val="center"/>
          </w:tcPr>
          <w:p w14:paraId="7D51544E" w14:textId="77777777" w:rsidR="003F5418" w:rsidRDefault="002A6C25">
            <w:pPr>
              <w:pStyle w:val="P68B1DB1-Normal9"/>
              <w:rPr>
                <w:noProof/>
                <w:color w:val="006600"/>
              </w:rPr>
            </w:pPr>
            <w:r>
              <w:rPr>
                <w:noProof/>
              </w:rPr>
              <w:t>A kórházi ápolással és gondozással foglalkozó tudományos intézetekre (IRCSS) vonatkozó rendeletek átszervezéséről szóló törvényerejű rendelet hatálybalépése</w:t>
            </w:r>
          </w:p>
        </w:tc>
      </w:tr>
      <w:tr w:rsidR="003F5418" w14:paraId="6ED96AE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95CA3"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1723B8FA"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507C078A" w14:textId="77777777" w:rsidR="003F5418" w:rsidRDefault="002A6C25">
            <w:pPr>
              <w:pStyle w:val="P68B1DB1-Normal9"/>
              <w:rPr>
                <w:noProof/>
              </w:rPr>
            </w:pPr>
            <w:r>
              <w:rPr>
                <w:noProof/>
              </w:rPr>
              <w:t>Részösszeg</w:t>
            </w:r>
          </w:p>
        </w:tc>
        <w:tc>
          <w:tcPr>
            <w:tcW w:w="3865" w:type="dxa"/>
            <w:tcBorders>
              <w:top w:val="single" w:sz="4" w:space="0" w:color="auto"/>
              <w:left w:val="nil"/>
              <w:bottom w:val="single" w:sz="4" w:space="0" w:color="auto"/>
              <w:right w:val="single" w:sz="4" w:space="0" w:color="auto"/>
            </w:tcBorders>
            <w:shd w:val="clear" w:color="auto" w:fill="C6EFCE"/>
            <w:noWrap/>
            <w:vAlign w:val="bottom"/>
          </w:tcPr>
          <w:p w14:paraId="413A263B" w14:textId="56BC4C41" w:rsidR="003F5418" w:rsidRDefault="002A6C25">
            <w:pPr>
              <w:pStyle w:val="P68B1DB1-Normal37"/>
              <w:rPr>
                <w:noProof/>
              </w:rPr>
            </w:pPr>
            <w:r>
              <w:rPr>
                <w:noProof/>
              </w:rPr>
              <w:t>·</w:t>
            </w:r>
            <w:r>
              <w:rPr>
                <w:noProof/>
              </w:rPr>
              <w:t xml:space="preserve"> 11</w:t>
            </w:r>
            <w:r>
              <w:rPr>
                <w:noProof/>
              </w:rPr>
              <w:t> </w:t>
            </w:r>
            <w:r>
              <w:rPr>
                <w:noProof/>
              </w:rPr>
              <w:t>494</w:t>
            </w:r>
            <w:r>
              <w:rPr>
                <w:noProof/>
              </w:rPr>
              <w:t> </w:t>
            </w:r>
            <w:r>
              <w:rPr>
                <w:noProof/>
              </w:rPr>
              <w:t>252</w:t>
            </w:r>
            <w:r>
              <w:rPr>
                <w:noProof/>
              </w:rPr>
              <w:t> </w:t>
            </w:r>
            <w:r>
              <w:rPr>
                <w:noProof/>
              </w:rPr>
              <w:t>874</w:t>
            </w:r>
            <w:r>
              <w:rPr>
                <w:noProof/>
              </w:rPr>
              <w:t> </w:t>
            </w:r>
            <w:r>
              <w:rPr>
                <w:noProof/>
              </w:rPr>
              <w:t>EUR</w:t>
            </w:r>
          </w:p>
        </w:tc>
      </w:tr>
    </w:tbl>
    <w:p w14:paraId="25E69548" w14:textId="77777777" w:rsidR="003F5418" w:rsidRDefault="002A6C25">
      <w:pPr>
        <w:pStyle w:val="P68B1DB1-Normal35"/>
        <w:numPr>
          <w:ilvl w:val="1"/>
          <w:numId w:val="6"/>
        </w:numPr>
        <w:spacing w:before="120" w:after="120"/>
        <w:jc w:val="both"/>
        <w:rPr>
          <w:noProof/>
        </w:rPr>
      </w:pPr>
      <w:r>
        <w:rPr>
          <w:noProof/>
        </w:rPr>
        <w:t xml:space="preserve">Negyedik </w:t>
      </w:r>
      <w:r>
        <w:rPr>
          <w:noProof/>
        </w:rPr>
        <w:t>kifizetés (vissza nem térítendő támogatás):</w:t>
      </w:r>
    </w:p>
    <w:tbl>
      <w:tblPr>
        <w:tblW w:w="9704" w:type="dxa"/>
        <w:tblInd w:w="113" w:type="dxa"/>
        <w:tblLook w:val="04A0" w:firstRow="1" w:lastRow="0" w:firstColumn="1" w:lastColumn="0" w:noHBand="0" w:noVBand="1"/>
      </w:tblPr>
      <w:tblGrid>
        <w:gridCol w:w="1438"/>
        <w:gridCol w:w="3118"/>
        <w:gridCol w:w="1418"/>
        <w:gridCol w:w="3755"/>
      </w:tblGrid>
      <w:tr w:rsidR="003F5418" w14:paraId="650CDACE"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F9A6BA"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97DF08F"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F826044" w14:textId="77777777" w:rsidR="003F5418" w:rsidRDefault="002A6C25">
            <w:pPr>
              <w:pStyle w:val="P68B1DB1-Normal36"/>
              <w:jc w:val="center"/>
              <w:rPr>
                <w:noProof/>
              </w:rPr>
            </w:pPr>
            <w:r>
              <w:rPr>
                <w:noProof/>
              </w:rPr>
              <w:t>Mérföldkő/cél</w:t>
            </w:r>
          </w:p>
        </w:tc>
        <w:tc>
          <w:tcPr>
            <w:tcW w:w="37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B3BAAA" w14:textId="77777777" w:rsidR="003F5418" w:rsidRDefault="002A6C25">
            <w:pPr>
              <w:pStyle w:val="P68B1DB1-Normal36"/>
              <w:jc w:val="center"/>
              <w:rPr>
                <w:noProof/>
              </w:rPr>
            </w:pPr>
            <w:r>
              <w:rPr>
                <w:noProof/>
              </w:rPr>
              <w:t>Név</w:t>
            </w:r>
          </w:p>
        </w:tc>
      </w:tr>
      <w:tr w:rsidR="003F5418" w14:paraId="10613D33"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93302E1"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50236BF"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B2263" w14:textId="77777777" w:rsidR="003F5418" w:rsidRDefault="003F5418">
            <w:pPr>
              <w:rPr>
                <w:b/>
                <w:noProof/>
              </w:rPr>
            </w:pPr>
          </w:p>
        </w:tc>
        <w:tc>
          <w:tcPr>
            <w:tcW w:w="3755" w:type="dxa"/>
            <w:vMerge/>
            <w:tcBorders>
              <w:top w:val="single" w:sz="4" w:space="0" w:color="auto"/>
              <w:left w:val="single" w:sz="4" w:space="0" w:color="auto"/>
              <w:bottom w:val="single" w:sz="4" w:space="0" w:color="auto"/>
              <w:right w:val="single" w:sz="4" w:space="0" w:color="auto"/>
            </w:tcBorders>
            <w:vAlign w:val="center"/>
            <w:hideMark/>
          </w:tcPr>
          <w:p w14:paraId="6D632A78" w14:textId="77777777" w:rsidR="003F5418" w:rsidRDefault="003F5418">
            <w:pPr>
              <w:rPr>
                <w:b/>
                <w:noProof/>
              </w:rPr>
            </w:pPr>
          </w:p>
        </w:tc>
      </w:tr>
      <w:tr w:rsidR="003F5418" w14:paraId="5D678EE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758DE3" w14:textId="77777777" w:rsidR="003F5418" w:rsidRDefault="002A6C25">
            <w:pPr>
              <w:pStyle w:val="P68B1DB1-Normal9"/>
              <w:jc w:val="center"/>
              <w:rPr>
                <w:noProof/>
              </w:rPr>
            </w:pPr>
            <w:r>
              <w:rPr>
                <w:noProof/>
              </w:rPr>
              <w:t>M1C1–11</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21D13ECB" w14:textId="77777777" w:rsidR="003F5418" w:rsidRDefault="002A6C25">
            <w:pPr>
              <w:pStyle w:val="P68B1DB1-Normal9"/>
              <w:rPr>
                <w:noProof/>
              </w:rPr>
            </w:pPr>
            <w:r>
              <w:rPr>
                <w:noProof/>
              </w:rPr>
              <w:t>Beruházás: A pénzügyi rendőrség digitalizálása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7362B900" w14:textId="77777777" w:rsidR="003F5418" w:rsidRDefault="002A6C25">
            <w:pPr>
              <w:pStyle w:val="P68B1DB1-Normal9"/>
              <w:rPr>
                <w:noProof/>
              </w:rPr>
            </w:pPr>
            <w:r>
              <w:rPr>
                <w:noProof/>
              </w:rPr>
              <w:t>Cél</w:t>
            </w:r>
          </w:p>
        </w:tc>
        <w:tc>
          <w:tcPr>
            <w:tcW w:w="3755" w:type="dxa"/>
            <w:tcBorders>
              <w:top w:val="single" w:sz="4" w:space="0" w:color="auto"/>
              <w:left w:val="nil"/>
              <w:bottom w:val="single" w:sz="4" w:space="0" w:color="auto"/>
              <w:right w:val="single" w:sz="4" w:space="0" w:color="auto"/>
            </w:tcBorders>
            <w:shd w:val="clear" w:color="auto" w:fill="C6EFCE"/>
            <w:noWrap/>
            <w:vAlign w:val="center"/>
          </w:tcPr>
          <w:p w14:paraId="2D602B3D" w14:textId="77777777" w:rsidR="003F5418" w:rsidRDefault="002A6C25">
            <w:pPr>
              <w:pStyle w:val="P68B1DB1-Normal9"/>
              <w:rPr>
                <w:noProof/>
              </w:rPr>
            </w:pPr>
            <w:r>
              <w:rPr>
                <w:noProof/>
              </w:rPr>
              <w:t>Pénzügyi rendőrség – Szakmai adattudományi szolgáltatások beszerzése T1</w:t>
            </w:r>
          </w:p>
        </w:tc>
      </w:tr>
      <w:tr w:rsidR="003F5418" w14:paraId="787B2B9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E272FC" w14:textId="77777777" w:rsidR="003F5418" w:rsidRDefault="002A6C25">
            <w:pPr>
              <w:pStyle w:val="P68B1DB1-Normal9"/>
              <w:jc w:val="center"/>
              <w:rPr>
                <w:noProof/>
              </w:rPr>
            </w:pPr>
            <w:r>
              <w:rPr>
                <w:noProof/>
              </w:rPr>
              <w:t>M1C1–72</w:t>
            </w:r>
          </w:p>
        </w:tc>
        <w:tc>
          <w:tcPr>
            <w:tcW w:w="3118" w:type="dxa"/>
            <w:tcBorders>
              <w:top w:val="nil"/>
              <w:left w:val="nil"/>
              <w:bottom w:val="single" w:sz="4" w:space="0" w:color="auto"/>
              <w:right w:val="single" w:sz="4" w:space="0" w:color="auto"/>
            </w:tcBorders>
            <w:shd w:val="clear" w:color="auto" w:fill="C6EFCE"/>
            <w:noWrap/>
            <w:vAlign w:val="center"/>
          </w:tcPr>
          <w:p w14:paraId="52620E6E" w14:textId="77777777" w:rsidR="003F5418" w:rsidRDefault="002A6C25">
            <w:pPr>
              <w:pStyle w:val="P68B1DB1-Normal9"/>
              <w:rPr>
                <w:noProof/>
              </w:rPr>
            </w:pPr>
            <w:r>
              <w:rPr>
                <w:noProof/>
              </w:rPr>
              <w:t>Reform: A közigazgatási és egészségügyi hatóságok késedelmes kifizetéseinek csökkentése</w:t>
            </w:r>
          </w:p>
        </w:tc>
        <w:tc>
          <w:tcPr>
            <w:tcW w:w="1418" w:type="dxa"/>
            <w:tcBorders>
              <w:top w:val="nil"/>
              <w:left w:val="nil"/>
              <w:bottom w:val="single" w:sz="4" w:space="0" w:color="auto"/>
              <w:right w:val="single" w:sz="4" w:space="0" w:color="auto"/>
            </w:tcBorders>
            <w:shd w:val="clear" w:color="auto" w:fill="C6EFCE"/>
            <w:noWrap/>
            <w:vAlign w:val="center"/>
          </w:tcPr>
          <w:p w14:paraId="16D0667C"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53F85253" w14:textId="77777777" w:rsidR="003F5418" w:rsidRDefault="002A6C25">
            <w:pPr>
              <w:pStyle w:val="P68B1DB1-Normal9"/>
              <w:rPr>
                <w:noProof/>
              </w:rPr>
            </w:pPr>
            <w:r>
              <w:rPr>
                <w:noProof/>
              </w:rPr>
              <w:t>A közigazgatási szervek által a vállalkozásoknak teljesített késedelmes kifizetések csökkentésére irányuló intézkedések jóváhagyása</w:t>
            </w:r>
          </w:p>
        </w:tc>
      </w:tr>
      <w:tr w:rsidR="003F5418" w14:paraId="77C0A2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444036" w14:textId="77777777" w:rsidR="003F5418" w:rsidRDefault="002A6C25">
            <w:pPr>
              <w:pStyle w:val="P68B1DB1-Normal9"/>
              <w:jc w:val="center"/>
              <w:rPr>
                <w:noProof/>
              </w:rPr>
            </w:pPr>
            <w:r>
              <w:rPr>
                <w:noProof/>
              </w:rPr>
              <w:t>M1C1–73</w:t>
            </w:r>
          </w:p>
        </w:tc>
        <w:tc>
          <w:tcPr>
            <w:tcW w:w="3118" w:type="dxa"/>
            <w:tcBorders>
              <w:top w:val="nil"/>
              <w:left w:val="nil"/>
              <w:bottom w:val="single" w:sz="4" w:space="0" w:color="auto"/>
              <w:right w:val="single" w:sz="4" w:space="0" w:color="auto"/>
            </w:tcBorders>
            <w:shd w:val="clear" w:color="auto" w:fill="C6EFCE"/>
            <w:noWrap/>
            <w:vAlign w:val="center"/>
          </w:tcPr>
          <w:p w14:paraId="5D6010F0" w14:textId="77777777" w:rsidR="003F5418" w:rsidRDefault="002A6C25">
            <w:pPr>
              <w:pStyle w:val="P68B1DB1-Normal9"/>
              <w:rPr>
                <w:noProof/>
              </w:rPr>
            </w:pPr>
            <w:r>
              <w:rPr>
                <w:noProof/>
              </w:rPr>
              <w:t>Reform: A</w:t>
            </w:r>
            <w:r>
              <w:rPr>
                <w:noProof/>
              </w:rPr>
              <w:t xml:space="preserve">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49769F4E"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66CA3E30" w14:textId="77777777" w:rsidR="003F5418" w:rsidRDefault="002A6C25">
            <w:pPr>
              <w:pStyle w:val="P68B1DB1-Normal9"/>
              <w:rPr>
                <w:noProof/>
              </w:rPr>
            </w:pPr>
            <w:r>
              <w:rPr>
                <w:noProof/>
              </w:rPr>
              <w:t>A közbeszerzési törvénykönyv reformjának hatálybalépése</w:t>
            </w:r>
          </w:p>
        </w:tc>
      </w:tr>
      <w:tr w:rsidR="003F5418" w14:paraId="63C052F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5A413" w14:textId="77777777" w:rsidR="003F5418" w:rsidRDefault="002A6C25">
            <w:pPr>
              <w:pStyle w:val="P68B1DB1-Normal9"/>
              <w:jc w:val="center"/>
              <w:rPr>
                <w:noProof/>
              </w:rPr>
            </w:pPr>
            <w:r>
              <w:rPr>
                <w:noProof/>
              </w:rPr>
              <w:t>M2C2–14</w:t>
            </w:r>
          </w:p>
        </w:tc>
        <w:tc>
          <w:tcPr>
            <w:tcW w:w="3118" w:type="dxa"/>
            <w:tcBorders>
              <w:top w:val="nil"/>
              <w:left w:val="nil"/>
              <w:bottom w:val="single" w:sz="4" w:space="0" w:color="auto"/>
              <w:right w:val="single" w:sz="4" w:space="0" w:color="auto"/>
            </w:tcBorders>
            <w:shd w:val="clear" w:color="auto" w:fill="C6EFCE"/>
            <w:noWrap/>
            <w:vAlign w:val="center"/>
          </w:tcPr>
          <w:p w14:paraId="08E43D01" w14:textId="77777777" w:rsidR="003F5418" w:rsidRDefault="002A6C25">
            <w:pPr>
              <w:pStyle w:val="P68B1DB1-Normal9"/>
              <w:rPr>
                <w:noProof/>
              </w:rPr>
            </w:pPr>
            <w:r>
              <w:rPr>
                <w:noProof/>
              </w:rPr>
              <w:t>Beruházás: Hidrogénteszt a közúti közlekedésben</w:t>
            </w:r>
          </w:p>
        </w:tc>
        <w:tc>
          <w:tcPr>
            <w:tcW w:w="1418" w:type="dxa"/>
            <w:tcBorders>
              <w:top w:val="nil"/>
              <w:left w:val="nil"/>
              <w:bottom w:val="single" w:sz="4" w:space="0" w:color="auto"/>
              <w:right w:val="single" w:sz="4" w:space="0" w:color="auto"/>
            </w:tcBorders>
            <w:shd w:val="clear" w:color="auto" w:fill="C6EFCE"/>
            <w:noWrap/>
            <w:vAlign w:val="center"/>
          </w:tcPr>
          <w:p w14:paraId="37050982"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574A9844" w14:textId="77777777" w:rsidR="003F5418" w:rsidRDefault="002A6C25">
            <w:pPr>
              <w:pStyle w:val="P68B1DB1-Normal9"/>
              <w:rPr>
                <w:noProof/>
              </w:rPr>
            </w:pPr>
            <w:r>
              <w:rPr>
                <w:noProof/>
              </w:rPr>
              <w:t>Hidrogénalapú töltőállomások fejlesztésére irányuló (összes) közbeszerzési szerződés oda</w:t>
            </w:r>
            <w:r>
              <w:rPr>
                <w:noProof/>
              </w:rPr>
              <w:t>ítélése</w:t>
            </w:r>
          </w:p>
        </w:tc>
      </w:tr>
      <w:tr w:rsidR="003F5418" w14:paraId="5C2CE0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3B23D8" w14:textId="77777777" w:rsidR="003F5418" w:rsidRDefault="002A6C25">
            <w:pPr>
              <w:pStyle w:val="P68B1DB1-Normal9"/>
              <w:jc w:val="center"/>
              <w:rPr>
                <w:noProof/>
              </w:rPr>
            </w:pPr>
            <w:r>
              <w:rPr>
                <w:noProof/>
              </w:rPr>
              <w:t>M2C2–16</w:t>
            </w:r>
          </w:p>
        </w:tc>
        <w:tc>
          <w:tcPr>
            <w:tcW w:w="3118" w:type="dxa"/>
            <w:tcBorders>
              <w:top w:val="nil"/>
              <w:left w:val="nil"/>
              <w:bottom w:val="single" w:sz="4" w:space="0" w:color="auto"/>
              <w:right w:val="single" w:sz="4" w:space="0" w:color="auto"/>
            </w:tcBorders>
            <w:shd w:val="clear" w:color="auto" w:fill="C6EFCE"/>
            <w:noWrap/>
            <w:vAlign w:val="center"/>
          </w:tcPr>
          <w:p w14:paraId="4BDB0111" w14:textId="77777777" w:rsidR="003F5418" w:rsidRDefault="002A6C25">
            <w:pPr>
              <w:pStyle w:val="P68B1DB1-Normal9"/>
              <w:rPr>
                <w:noProof/>
              </w:rPr>
            </w:pPr>
            <w:r>
              <w:rPr>
                <w:noProof/>
              </w:rPr>
              <w:t>Beruházás – A hidrogénhajtású vasúti mobilitás tesztelése</w:t>
            </w:r>
          </w:p>
        </w:tc>
        <w:tc>
          <w:tcPr>
            <w:tcW w:w="1418" w:type="dxa"/>
            <w:tcBorders>
              <w:top w:val="nil"/>
              <w:left w:val="nil"/>
              <w:bottom w:val="single" w:sz="4" w:space="0" w:color="auto"/>
              <w:right w:val="single" w:sz="4" w:space="0" w:color="auto"/>
            </w:tcBorders>
            <w:shd w:val="clear" w:color="auto" w:fill="C6EFCE"/>
            <w:noWrap/>
            <w:vAlign w:val="center"/>
          </w:tcPr>
          <w:p w14:paraId="2BC4BCB9"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3588CCFD" w14:textId="77777777" w:rsidR="003F5418" w:rsidRDefault="002A6C25">
            <w:pPr>
              <w:pStyle w:val="P68B1DB1-Normal9"/>
              <w:rPr>
                <w:noProof/>
              </w:rPr>
            </w:pPr>
            <w:r>
              <w:rPr>
                <w:noProof/>
              </w:rPr>
              <w:t>Erőforrás-allokáció a hidrogénhajtású vasúti mobilitás teszteléséhez</w:t>
            </w:r>
          </w:p>
        </w:tc>
      </w:tr>
      <w:tr w:rsidR="003F5418" w14:paraId="2E1DAB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A1D9A5" w14:textId="77777777" w:rsidR="003F5418" w:rsidRDefault="002A6C25">
            <w:pPr>
              <w:pStyle w:val="P68B1DB1-Normal9"/>
              <w:jc w:val="center"/>
              <w:rPr>
                <w:noProof/>
              </w:rPr>
            </w:pPr>
            <w:r>
              <w:rPr>
                <w:noProof/>
              </w:rPr>
              <w:t>M2C2–20</w:t>
            </w:r>
          </w:p>
        </w:tc>
        <w:tc>
          <w:tcPr>
            <w:tcW w:w="3118" w:type="dxa"/>
            <w:tcBorders>
              <w:top w:val="nil"/>
              <w:left w:val="nil"/>
              <w:bottom w:val="single" w:sz="4" w:space="0" w:color="auto"/>
              <w:right w:val="single" w:sz="4" w:space="0" w:color="auto"/>
            </w:tcBorders>
            <w:shd w:val="clear" w:color="auto" w:fill="C6EFCE"/>
            <w:noWrap/>
            <w:vAlign w:val="center"/>
          </w:tcPr>
          <w:p w14:paraId="1C2775F8" w14:textId="77777777" w:rsidR="003F5418" w:rsidRDefault="002A6C25">
            <w:pPr>
              <w:pStyle w:val="P68B1DB1-Normal9"/>
              <w:rPr>
                <w:noProof/>
              </w:rPr>
            </w:pPr>
            <w:r>
              <w:rPr>
                <w:noProof/>
              </w:rPr>
              <w:t xml:space="preserve">Reform Az adminisztráció egyszerűsítése és a hidrogén bevezetése előtt álló szabályozási </w:t>
            </w:r>
            <w:r>
              <w:rPr>
                <w:noProof/>
              </w:rPr>
              <w:t>akadályok csökkentése</w:t>
            </w:r>
          </w:p>
        </w:tc>
        <w:tc>
          <w:tcPr>
            <w:tcW w:w="1418" w:type="dxa"/>
            <w:tcBorders>
              <w:top w:val="nil"/>
              <w:left w:val="nil"/>
              <w:bottom w:val="single" w:sz="4" w:space="0" w:color="auto"/>
              <w:right w:val="single" w:sz="4" w:space="0" w:color="auto"/>
            </w:tcBorders>
            <w:shd w:val="clear" w:color="auto" w:fill="C6EFCE"/>
            <w:noWrap/>
            <w:vAlign w:val="center"/>
          </w:tcPr>
          <w:p w14:paraId="30E57B91"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6EC246A9" w14:textId="77777777" w:rsidR="003F5418" w:rsidRDefault="002A6C25">
            <w:pPr>
              <w:pStyle w:val="P68B1DB1-Normal9"/>
              <w:rPr>
                <w:noProof/>
              </w:rPr>
            </w:pPr>
            <w:r>
              <w:rPr>
                <w:noProof/>
              </w:rPr>
              <w:t>A szükséges jogalkotási intézkedések hatálybalépése</w:t>
            </w:r>
          </w:p>
        </w:tc>
      </w:tr>
      <w:tr w:rsidR="003F5418" w14:paraId="48A266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3D62EC" w14:textId="77777777" w:rsidR="003F5418" w:rsidRDefault="002A6C25">
            <w:pPr>
              <w:pStyle w:val="P68B1DB1-Normal9"/>
              <w:jc w:val="center"/>
              <w:rPr>
                <w:noProof/>
              </w:rPr>
            </w:pPr>
            <w:r>
              <w:rPr>
                <w:noProof/>
              </w:rPr>
              <w:t>M5C2–3</w:t>
            </w:r>
          </w:p>
        </w:tc>
        <w:tc>
          <w:tcPr>
            <w:tcW w:w="3118" w:type="dxa"/>
            <w:tcBorders>
              <w:top w:val="nil"/>
              <w:left w:val="nil"/>
              <w:bottom w:val="single" w:sz="4" w:space="0" w:color="auto"/>
              <w:right w:val="single" w:sz="4" w:space="0" w:color="auto"/>
            </w:tcBorders>
            <w:shd w:val="clear" w:color="auto" w:fill="C6EFCE"/>
            <w:noWrap/>
            <w:vAlign w:val="center"/>
          </w:tcPr>
          <w:p w14:paraId="2508D5B2" w14:textId="77777777" w:rsidR="003F5418" w:rsidRDefault="002A6C25">
            <w:pPr>
              <w:pStyle w:val="P68B1DB1-Normal9"/>
              <w:rPr>
                <w:noProof/>
              </w:rPr>
            </w:pPr>
            <w:r>
              <w:rPr>
                <w:noProof/>
              </w:rPr>
              <w:t>Reform – Az önellátó idősek reformja</w:t>
            </w:r>
          </w:p>
        </w:tc>
        <w:tc>
          <w:tcPr>
            <w:tcW w:w="1418" w:type="dxa"/>
            <w:tcBorders>
              <w:top w:val="nil"/>
              <w:left w:val="nil"/>
              <w:bottom w:val="single" w:sz="4" w:space="0" w:color="auto"/>
              <w:right w:val="single" w:sz="4" w:space="0" w:color="auto"/>
            </w:tcBorders>
            <w:shd w:val="clear" w:color="auto" w:fill="C6EFCE"/>
            <w:noWrap/>
            <w:vAlign w:val="center"/>
          </w:tcPr>
          <w:p w14:paraId="5EFADEF6"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59486047" w14:textId="77777777" w:rsidR="003F5418" w:rsidRDefault="002A6C25">
            <w:pPr>
              <w:pStyle w:val="P68B1DB1-Normal9"/>
              <w:rPr>
                <w:noProof/>
              </w:rPr>
            </w:pPr>
            <w:r>
              <w:rPr>
                <w:noProof/>
              </w:rPr>
              <w:t>Egy olyan kerettörvény hatálybalépése, amely megerősíti a nem önellátó idős emberek érdekében tett intézkedéseket</w:t>
            </w:r>
          </w:p>
        </w:tc>
      </w:tr>
      <w:tr w:rsidR="003F5418" w14:paraId="0E7AF8D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47D202" w14:textId="77777777" w:rsidR="003F5418" w:rsidRDefault="002A6C25">
            <w:pPr>
              <w:pStyle w:val="P68B1DB1-Normal9"/>
              <w:jc w:val="center"/>
              <w:rPr>
                <w:noProof/>
              </w:rPr>
            </w:pPr>
            <w:r>
              <w:rPr>
                <w:noProof/>
              </w:rPr>
              <w:t>M1C1–37</w:t>
            </w:r>
          </w:p>
        </w:tc>
        <w:tc>
          <w:tcPr>
            <w:tcW w:w="3118" w:type="dxa"/>
            <w:tcBorders>
              <w:top w:val="nil"/>
              <w:left w:val="nil"/>
              <w:bottom w:val="single" w:sz="4" w:space="0" w:color="auto"/>
              <w:right w:val="single" w:sz="4" w:space="0" w:color="auto"/>
            </w:tcBorders>
            <w:shd w:val="clear" w:color="auto" w:fill="C6EFCE"/>
            <w:noWrap/>
            <w:vAlign w:val="center"/>
          </w:tcPr>
          <w:p w14:paraId="73504DF2" w14:textId="77777777" w:rsidR="003F5418" w:rsidRDefault="002A6C25">
            <w:pPr>
              <w:pStyle w:val="P68B1DB1-Normal9"/>
              <w:rPr>
                <w:noProof/>
              </w:rPr>
            </w:pPr>
            <w:r>
              <w:rPr>
                <w:noProof/>
              </w:rPr>
              <w:t>És 1.5. reform: A polgári és büntető 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6ACB3818"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1133E23D" w14:textId="77777777" w:rsidR="003F5418" w:rsidRDefault="002A6C25">
            <w:pPr>
              <w:pStyle w:val="P68B1DB1-Normal9"/>
              <w:rPr>
                <w:noProof/>
              </w:rPr>
            </w:pPr>
            <w:r>
              <w:rPr>
                <w:noProof/>
              </w:rPr>
              <w:t>A polgári és büntető igazságszolgáltatási reform hatálybalépése</w:t>
            </w:r>
          </w:p>
        </w:tc>
      </w:tr>
      <w:tr w:rsidR="003F5418" w14:paraId="54C473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A8BF79" w14:textId="77777777" w:rsidR="003F5418" w:rsidRDefault="002A6C25">
            <w:pPr>
              <w:pStyle w:val="P68B1DB1-Normal9"/>
              <w:jc w:val="center"/>
              <w:rPr>
                <w:noProof/>
              </w:rPr>
            </w:pPr>
            <w:r>
              <w:rPr>
                <w:noProof/>
              </w:rPr>
              <w:t>M1C1–58</w:t>
            </w:r>
          </w:p>
        </w:tc>
        <w:tc>
          <w:tcPr>
            <w:tcW w:w="3118" w:type="dxa"/>
            <w:tcBorders>
              <w:top w:val="nil"/>
              <w:left w:val="nil"/>
              <w:bottom w:val="single" w:sz="4" w:space="0" w:color="auto"/>
              <w:right w:val="single" w:sz="4" w:space="0" w:color="auto"/>
            </w:tcBorders>
            <w:shd w:val="clear" w:color="auto" w:fill="C6EFCE"/>
            <w:noWrap/>
            <w:vAlign w:val="center"/>
          </w:tcPr>
          <w:p w14:paraId="4AC6525C"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35525F40"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341CED32" w14:textId="77777777" w:rsidR="003F5418" w:rsidRDefault="002A6C25">
            <w:pPr>
              <w:pStyle w:val="P68B1DB1-Normal9"/>
              <w:rPr>
                <w:noProof/>
              </w:rPr>
            </w:pPr>
            <w:r>
              <w:rPr>
                <w:noProof/>
              </w:rPr>
              <w:t xml:space="preserve">Az állami foglalkoztatás reformjáról szóló jogi aktusok </w:t>
            </w:r>
            <w:r>
              <w:rPr>
                <w:noProof/>
              </w:rPr>
              <w:t>hatálybalépése</w:t>
            </w:r>
          </w:p>
        </w:tc>
      </w:tr>
      <w:tr w:rsidR="003F5418" w14:paraId="317780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A01FFF" w14:textId="77777777" w:rsidR="003F5418" w:rsidRDefault="002A6C25">
            <w:pPr>
              <w:pStyle w:val="P68B1DB1-Normal9"/>
              <w:jc w:val="center"/>
              <w:rPr>
                <w:noProof/>
              </w:rPr>
            </w:pPr>
            <w:r>
              <w:rPr>
                <w:noProof/>
              </w:rPr>
              <w:t>M1C1–74 INTÉZKEDÉS</w:t>
            </w:r>
          </w:p>
        </w:tc>
        <w:tc>
          <w:tcPr>
            <w:tcW w:w="3118" w:type="dxa"/>
            <w:tcBorders>
              <w:top w:val="nil"/>
              <w:left w:val="nil"/>
              <w:bottom w:val="single" w:sz="4" w:space="0" w:color="auto"/>
              <w:right w:val="single" w:sz="4" w:space="0" w:color="auto"/>
            </w:tcBorders>
            <w:shd w:val="clear" w:color="auto" w:fill="C6EFCE"/>
            <w:noWrap/>
            <w:vAlign w:val="center"/>
          </w:tcPr>
          <w:p w14:paraId="0CF82566"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26BF7088"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194CC6E8" w14:textId="77777777" w:rsidR="003F5418" w:rsidRDefault="002A6C25">
            <w:pPr>
              <w:pStyle w:val="P68B1DB1-Normal9"/>
              <w:rPr>
                <w:noProof/>
              </w:rPr>
            </w:pPr>
            <w:r>
              <w:rPr>
                <w:noProof/>
              </w:rPr>
              <w:t>A közbeszerzési kódex egyszerűsítését célzó reformhoz szükséges valamennyi végrehajtási intézkedés és másodlagos jogszabály hatálybalépése</w:t>
            </w:r>
          </w:p>
        </w:tc>
      </w:tr>
      <w:tr w:rsidR="003F5418" w14:paraId="60E426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81275E" w14:textId="77777777" w:rsidR="003F5418" w:rsidRDefault="002A6C25">
            <w:pPr>
              <w:pStyle w:val="P68B1DB1-Normal9"/>
              <w:jc w:val="center"/>
              <w:rPr>
                <w:noProof/>
              </w:rPr>
            </w:pPr>
            <w:r>
              <w:rPr>
                <w:noProof/>
              </w:rPr>
              <w:t>M1C1–109.</w:t>
            </w:r>
          </w:p>
        </w:tc>
        <w:tc>
          <w:tcPr>
            <w:tcW w:w="3118" w:type="dxa"/>
            <w:tcBorders>
              <w:top w:val="nil"/>
              <w:left w:val="nil"/>
              <w:bottom w:val="single" w:sz="4" w:space="0" w:color="auto"/>
              <w:right w:val="single" w:sz="4" w:space="0" w:color="auto"/>
            </w:tcBorders>
            <w:shd w:val="clear" w:color="auto" w:fill="C6EFCE"/>
            <w:noWrap/>
            <w:vAlign w:val="center"/>
          </w:tcPr>
          <w:p w14:paraId="05D0197E" w14:textId="77777777" w:rsidR="003F5418" w:rsidRDefault="002A6C25">
            <w:pPr>
              <w:pStyle w:val="P68B1DB1-Normal9"/>
              <w:rPr>
                <w:noProof/>
              </w:rPr>
            </w:pPr>
            <w:r>
              <w:rPr>
                <w:noProof/>
              </w:rPr>
              <w:t xml:space="preserve">Reform: Az </w:t>
            </w:r>
            <w:r>
              <w:rPr>
                <w:noProof/>
              </w:rPr>
              <w:t>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1B6EB02C" w14:textId="77777777" w:rsidR="003F5418" w:rsidRDefault="002A6C25">
            <w:pPr>
              <w:pStyle w:val="P68B1DB1-Normal9"/>
              <w:rPr>
                <w:noProof/>
              </w:rPr>
            </w:pPr>
            <w:r>
              <w:rPr>
                <w:noProof/>
              </w:rPr>
              <w:t>Cél</w:t>
            </w:r>
          </w:p>
        </w:tc>
        <w:tc>
          <w:tcPr>
            <w:tcW w:w="3755" w:type="dxa"/>
            <w:tcBorders>
              <w:top w:val="nil"/>
              <w:left w:val="nil"/>
              <w:bottom w:val="single" w:sz="4" w:space="0" w:color="auto"/>
              <w:right w:val="single" w:sz="4" w:space="0" w:color="auto"/>
            </w:tcBorders>
            <w:shd w:val="clear" w:color="auto" w:fill="C6EFCE"/>
            <w:noWrap/>
            <w:vAlign w:val="center"/>
          </w:tcPr>
          <w:p w14:paraId="006940B6" w14:textId="77777777" w:rsidR="003F5418" w:rsidRDefault="002A6C25">
            <w:pPr>
              <w:pStyle w:val="P68B1DB1-Normal9"/>
              <w:rPr>
                <w:noProof/>
              </w:rPr>
            </w:pPr>
            <w:r>
              <w:rPr>
                <w:noProof/>
              </w:rPr>
              <w:t>Az első előre kitöltött héabevallások megküldése</w:t>
            </w:r>
          </w:p>
        </w:tc>
      </w:tr>
      <w:tr w:rsidR="003F5418" w14:paraId="43A348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54EDF" w14:textId="77777777" w:rsidR="003F5418" w:rsidRDefault="002A6C25">
            <w:pPr>
              <w:pStyle w:val="P68B1DB1-Normal9"/>
              <w:jc w:val="center"/>
              <w:rPr>
                <w:noProof/>
              </w:rPr>
            </w:pPr>
            <w:r>
              <w:rPr>
                <w:noProof/>
              </w:rPr>
              <w:t>M2C2–27</w:t>
            </w:r>
          </w:p>
        </w:tc>
        <w:tc>
          <w:tcPr>
            <w:tcW w:w="3118" w:type="dxa"/>
            <w:tcBorders>
              <w:top w:val="nil"/>
              <w:left w:val="nil"/>
              <w:bottom w:val="single" w:sz="4" w:space="0" w:color="auto"/>
              <w:right w:val="single" w:sz="4" w:space="0" w:color="auto"/>
            </w:tcBorders>
            <w:shd w:val="clear" w:color="auto" w:fill="C6EFCE"/>
            <w:noWrap/>
            <w:vAlign w:val="center"/>
          </w:tcPr>
          <w:p w14:paraId="7FCF917B" w14:textId="77777777" w:rsidR="003F5418" w:rsidRDefault="002A6C25">
            <w:pPr>
              <w:pStyle w:val="P68B1DB1-Normal9"/>
              <w:rPr>
                <w:noProof/>
              </w:rPr>
            </w:pPr>
            <w:r>
              <w:rPr>
                <w:noProof/>
              </w:rPr>
              <w:t>Beruházás: Töltő infrastruktúra létesítése</w:t>
            </w:r>
          </w:p>
        </w:tc>
        <w:tc>
          <w:tcPr>
            <w:tcW w:w="1418" w:type="dxa"/>
            <w:tcBorders>
              <w:top w:val="nil"/>
              <w:left w:val="nil"/>
              <w:bottom w:val="single" w:sz="4" w:space="0" w:color="auto"/>
              <w:right w:val="single" w:sz="4" w:space="0" w:color="auto"/>
            </w:tcBorders>
            <w:shd w:val="clear" w:color="auto" w:fill="C6EFCE"/>
            <w:noWrap/>
            <w:vAlign w:val="center"/>
          </w:tcPr>
          <w:p w14:paraId="590D1F08" w14:textId="77777777" w:rsidR="003F5418" w:rsidRDefault="002A6C25">
            <w:pPr>
              <w:pStyle w:val="P68B1DB1-Normal9"/>
              <w:rPr>
                <w:noProof/>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676C5FC7" w14:textId="77777777" w:rsidR="003F5418" w:rsidRDefault="002A6C25">
            <w:pPr>
              <w:pStyle w:val="P68B1DB1-Normal9"/>
              <w:rPr>
                <w:noProof/>
              </w:rPr>
            </w:pPr>
            <w:r>
              <w:rPr>
                <w:noProof/>
              </w:rPr>
              <w:t>Az M1 kategóriájú töltőállomás létesítésére irányuló valamennyi közbeszerzési szerződés odaítélése</w:t>
            </w:r>
          </w:p>
        </w:tc>
      </w:tr>
      <w:tr w:rsidR="003F5418" w14:paraId="4BC5A2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1CB170" w14:textId="77777777" w:rsidR="003F5418" w:rsidRDefault="002A6C25">
            <w:pPr>
              <w:pStyle w:val="P68B1DB1-Normal9"/>
              <w:jc w:val="center"/>
              <w:rPr>
                <w:noProof/>
              </w:rPr>
            </w:pPr>
            <w:r>
              <w:rPr>
                <w:noProof/>
              </w:rPr>
              <w:t>M2C2–33</w:t>
            </w:r>
          </w:p>
        </w:tc>
        <w:tc>
          <w:tcPr>
            <w:tcW w:w="3118" w:type="dxa"/>
            <w:tcBorders>
              <w:top w:val="nil"/>
              <w:left w:val="nil"/>
              <w:bottom w:val="single" w:sz="4" w:space="0" w:color="auto"/>
              <w:right w:val="single" w:sz="4" w:space="0" w:color="auto"/>
            </w:tcBorders>
            <w:shd w:val="clear" w:color="auto" w:fill="C6EFCE"/>
            <w:noWrap/>
            <w:vAlign w:val="center"/>
          </w:tcPr>
          <w:p w14:paraId="69D00DB8" w14:textId="77777777" w:rsidR="003F5418" w:rsidRDefault="002A6C25">
            <w:pPr>
              <w:rPr>
                <w:noProof/>
                <w:color w:val="006100"/>
                <w:sz w:val="20"/>
              </w:rPr>
            </w:pPr>
            <w:r>
              <w:rPr>
                <w:noProof/>
                <w:color w:val="006100"/>
                <w:sz w:val="20"/>
              </w:rPr>
              <w:t xml:space="preserve">Beruházás: </w:t>
            </w:r>
            <w:r>
              <w:rPr>
                <w:rStyle w:val="font81"/>
                <w:rFonts w:eastAsiaTheme="majorEastAsia"/>
                <w:noProof/>
              </w:rPr>
              <w:t xml:space="preserve">A </w:t>
            </w:r>
            <w:r>
              <w:rPr>
                <w:rStyle w:val="font81"/>
                <w:rFonts w:eastAsiaTheme="majorEastAsia"/>
                <w:noProof/>
              </w:rPr>
              <w:t>regionális tömegközlekedési vasúti flotta kibocsátásmentes vonatokkal és egyetemes szolgáltatással történő</w:t>
            </w:r>
            <w:r>
              <w:rPr>
                <w:rStyle w:val="font71"/>
                <w:rFonts w:eastAsiaTheme="majorEastAsia"/>
                <w:noProof/>
              </w:rPr>
              <w:t xml:space="preserve"> </w:t>
            </w:r>
            <w:r>
              <w:rPr>
                <w:rStyle w:val="font81"/>
                <w:rFonts w:eastAsiaTheme="majorEastAsia"/>
                <w:noProof/>
              </w:rPr>
              <w:t>megerősítése</w:t>
            </w:r>
          </w:p>
        </w:tc>
        <w:tc>
          <w:tcPr>
            <w:tcW w:w="1418" w:type="dxa"/>
            <w:tcBorders>
              <w:top w:val="nil"/>
              <w:left w:val="nil"/>
              <w:bottom w:val="single" w:sz="4" w:space="0" w:color="auto"/>
              <w:right w:val="single" w:sz="4" w:space="0" w:color="auto"/>
            </w:tcBorders>
            <w:shd w:val="clear" w:color="auto" w:fill="C6EFCE"/>
            <w:noWrap/>
            <w:vAlign w:val="center"/>
          </w:tcPr>
          <w:p w14:paraId="6DAB4B98" w14:textId="77777777" w:rsidR="003F5418" w:rsidRDefault="002A6C25">
            <w:pPr>
              <w:pStyle w:val="P68B1DB1-Normal9"/>
              <w:rPr>
                <w:noProof/>
                <w:color w:val="006600"/>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5F7FFACE" w14:textId="77777777" w:rsidR="003F5418" w:rsidRDefault="002A6C25">
            <w:pPr>
              <w:pStyle w:val="P68B1DB1-Normal9"/>
              <w:rPr>
                <w:noProof/>
                <w:color w:val="006600"/>
              </w:rPr>
            </w:pPr>
            <w:r>
              <w:rPr>
                <w:noProof/>
              </w:rPr>
              <w:t>A regionális tömegközlekedési vasúti flotta kibocsátásmentes vonatokkal és egyetemes szolgáltatással való megerősítésére irány</w:t>
            </w:r>
            <w:r>
              <w:rPr>
                <w:noProof/>
              </w:rPr>
              <w:t>uló valamennyi közbeszerzési szerződés odaítélése</w:t>
            </w:r>
          </w:p>
        </w:tc>
      </w:tr>
      <w:tr w:rsidR="003F5418" w14:paraId="535D7A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809369D" w14:textId="77777777" w:rsidR="003F5418" w:rsidRDefault="002A6C25">
            <w:pPr>
              <w:pStyle w:val="P68B1DB1-Normal9"/>
              <w:jc w:val="center"/>
              <w:rPr>
                <w:noProof/>
              </w:rPr>
            </w:pPr>
            <w:r>
              <w:rPr>
                <w:noProof/>
              </w:rPr>
              <w:t>M2C3–2</w:t>
            </w:r>
          </w:p>
        </w:tc>
        <w:tc>
          <w:tcPr>
            <w:tcW w:w="3118" w:type="dxa"/>
            <w:tcBorders>
              <w:top w:val="nil"/>
              <w:left w:val="nil"/>
              <w:bottom w:val="single" w:sz="4" w:space="0" w:color="auto"/>
              <w:right w:val="single" w:sz="4" w:space="0" w:color="auto"/>
            </w:tcBorders>
            <w:shd w:val="clear" w:color="auto" w:fill="C6EFCE"/>
            <w:noWrap/>
            <w:vAlign w:val="center"/>
          </w:tcPr>
          <w:p w14:paraId="14812C49" w14:textId="77777777" w:rsidR="003F5418" w:rsidRDefault="002A6C25">
            <w:pPr>
              <w:pStyle w:val="P68B1DB1-Normal9"/>
              <w:rPr>
                <w:noProof/>
              </w:rPr>
            </w:pPr>
            <w:r>
              <w:rPr>
                <w:noProof/>
              </w:rPr>
              <w:t xml:space="preserve">Beruházás – Az Ecobonus megerősítése az energiahatékonyság érdekében </w:t>
            </w:r>
          </w:p>
        </w:tc>
        <w:tc>
          <w:tcPr>
            <w:tcW w:w="1418" w:type="dxa"/>
            <w:tcBorders>
              <w:top w:val="nil"/>
              <w:left w:val="nil"/>
              <w:bottom w:val="single" w:sz="4" w:space="0" w:color="auto"/>
              <w:right w:val="single" w:sz="4" w:space="0" w:color="auto"/>
            </w:tcBorders>
            <w:shd w:val="clear" w:color="auto" w:fill="C6EFCE"/>
            <w:noWrap/>
            <w:vAlign w:val="center"/>
          </w:tcPr>
          <w:p w14:paraId="3A8C9AC0" w14:textId="77777777" w:rsidR="003F5418" w:rsidRDefault="002A6C25">
            <w:pPr>
              <w:pStyle w:val="P68B1DB1-Normal9"/>
              <w:rPr>
                <w:noProof/>
                <w:color w:val="006600"/>
              </w:rPr>
            </w:pPr>
            <w:r>
              <w:rPr>
                <w:noProof/>
              </w:rPr>
              <w:t>Cél</w:t>
            </w:r>
          </w:p>
        </w:tc>
        <w:tc>
          <w:tcPr>
            <w:tcW w:w="3755" w:type="dxa"/>
            <w:tcBorders>
              <w:top w:val="nil"/>
              <w:left w:val="nil"/>
              <w:bottom w:val="single" w:sz="4" w:space="0" w:color="auto"/>
              <w:right w:val="single" w:sz="4" w:space="0" w:color="auto"/>
            </w:tcBorders>
            <w:shd w:val="clear" w:color="auto" w:fill="C6EFCE"/>
            <w:noWrap/>
            <w:vAlign w:val="center"/>
          </w:tcPr>
          <w:p w14:paraId="3F19945D" w14:textId="77777777" w:rsidR="003F5418" w:rsidRDefault="002A6C25">
            <w:pPr>
              <w:pStyle w:val="P68B1DB1-Normal9"/>
              <w:rPr>
                <w:noProof/>
                <w:color w:val="006600"/>
              </w:rPr>
            </w:pPr>
            <w:r>
              <w:rPr>
                <w:noProof/>
              </w:rPr>
              <w:t>A Superbonus T1 épületfelújítása</w:t>
            </w:r>
          </w:p>
        </w:tc>
      </w:tr>
      <w:tr w:rsidR="003F5418" w14:paraId="5D0FB5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3AA563" w14:textId="77777777" w:rsidR="003F5418" w:rsidRDefault="002A6C25">
            <w:pPr>
              <w:pStyle w:val="P68B1DB1-Normal9"/>
              <w:jc w:val="center"/>
              <w:rPr>
                <w:noProof/>
              </w:rPr>
            </w:pPr>
            <w:r>
              <w:rPr>
                <w:noProof/>
              </w:rPr>
              <w:t>M4C1–9</w:t>
            </w:r>
          </w:p>
        </w:tc>
        <w:tc>
          <w:tcPr>
            <w:tcW w:w="3118" w:type="dxa"/>
            <w:tcBorders>
              <w:top w:val="nil"/>
              <w:left w:val="nil"/>
              <w:bottom w:val="single" w:sz="4" w:space="0" w:color="auto"/>
              <w:right w:val="single" w:sz="4" w:space="0" w:color="auto"/>
            </w:tcBorders>
            <w:shd w:val="clear" w:color="auto" w:fill="C6EFCE"/>
            <w:noWrap/>
            <w:vAlign w:val="center"/>
          </w:tcPr>
          <w:p w14:paraId="18E7A30E" w14:textId="77777777" w:rsidR="003F5418" w:rsidRDefault="002A6C25">
            <w:pPr>
              <w:pStyle w:val="P68B1DB1-Normal9"/>
              <w:rPr>
                <w:noProof/>
              </w:rPr>
            </w:pPr>
            <w:r>
              <w:rPr>
                <w:noProof/>
              </w:rPr>
              <w:t>Beruházás: A bölcsődékre és az óvodákra, valamint a kora gyermekkori nevelésre és g</w:t>
            </w:r>
            <w:r>
              <w:rPr>
                <w:noProof/>
              </w:rPr>
              <w:t>ondozásra vonatkozó terv</w:t>
            </w:r>
          </w:p>
        </w:tc>
        <w:tc>
          <w:tcPr>
            <w:tcW w:w="1418" w:type="dxa"/>
            <w:tcBorders>
              <w:top w:val="nil"/>
              <w:left w:val="nil"/>
              <w:bottom w:val="single" w:sz="4" w:space="0" w:color="auto"/>
              <w:right w:val="single" w:sz="4" w:space="0" w:color="auto"/>
            </w:tcBorders>
            <w:shd w:val="clear" w:color="auto" w:fill="C6EFCE"/>
            <w:noWrap/>
            <w:vAlign w:val="center"/>
          </w:tcPr>
          <w:p w14:paraId="09670CA2" w14:textId="77777777" w:rsidR="003F5418" w:rsidRDefault="002A6C25">
            <w:pPr>
              <w:pStyle w:val="P68B1DB1-Normal9"/>
              <w:rPr>
                <w:noProof/>
                <w:color w:val="006600"/>
              </w:rPr>
            </w:pPr>
            <w:r>
              <w:rPr>
                <w:noProof/>
              </w:rPr>
              <w:t>Mérföldkő</w:t>
            </w:r>
          </w:p>
        </w:tc>
        <w:tc>
          <w:tcPr>
            <w:tcW w:w="3755" w:type="dxa"/>
            <w:tcBorders>
              <w:top w:val="nil"/>
              <w:left w:val="nil"/>
              <w:bottom w:val="single" w:sz="4" w:space="0" w:color="auto"/>
              <w:right w:val="single" w:sz="4" w:space="0" w:color="auto"/>
            </w:tcBorders>
            <w:shd w:val="clear" w:color="auto" w:fill="C6EFCE"/>
            <w:noWrap/>
            <w:vAlign w:val="center"/>
          </w:tcPr>
          <w:p w14:paraId="515C4D56" w14:textId="77777777" w:rsidR="003F5418" w:rsidRDefault="002A6C25">
            <w:pPr>
              <w:pStyle w:val="P68B1DB1-Normal9"/>
              <w:rPr>
                <w:noProof/>
                <w:color w:val="006600"/>
              </w:rPr>
            </w:pPr>
            <w:r>
              <w:rPr>
                <w:noProof/>
              </w:rPr>
              <w:t>Bölcsődék és óvodák építésére, felújítására és biztonságosabbá tételére, valamint a kora gyermekkori nevelési és gondozási szolgáltatásokra irányuló szerződések odaítélése</w:t>
            </w:r>
          </w:p>
        </w:tc>
      </w:tr>
      <w:tr w:rsidR="003F5418" w14:paraId="3BE5A4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BAB5F3" w14:textId="77777777" w:rsidR="003F5418" w:rsidRDefault="002A6C25">
            <w:pPr>
              <w:pStyle w:val="P68B1DB1-Normal9"/>
              <w:jc w:val="center"/>
              <w:rPr>
                <w:noProof/>
              </w:rPr>
            </w:pPr>
            <w:r>
              <w:rPr>
                <w:noProof/>
              </w:rPr>
              <w:t>M5C3–8</w:t>
            </w:r>
          </w:p>
        </w:tc>
        <w:tc>
          <w:tcPr>
            <w:tcW w:w="3118" w:type="dxa"/>
            <w:tcBorders>
              <w:top w:val="nil"/>
              <w:left w:val="nil"/>
              <w:bottom w:val="single" w:sz="4" w:space="0" w:color="auto"/>
              <w:right w:val="single" w:sz="4" w:space="0" w:color="auto"/>
            </w:tcBorders>
            <w:shd w:val="clear" w:color="auto" w:fill="C6EFCE"/>
            <w:noWrap/>
            <w:vAlign w:val="center"/>
          </w:tcPr>
          <w:p w14:paraId="1BE2F2E9" w14:textId="77777777" w:rsidR="003F5418" w:rsidRDefault="002A6C25">
            <w:pPr>
              <w:pStyle w:val="P68B1DB1-Normal9"/>
              <w:rPr>
                <w:noProof/>
              </w:rPr>
            </w:pPr>
            <w:r>
              <w:rPr>
                <w:noProof/>
              </w:rPr>
              <w:t xml:space="preserve">Beruházás: Strukturált </w:t>
            </w:r>
            <w:r>
              <w:rPr>
                <w:noProof/>
              </w:rPr>
              <w:t>társadalmi-oktatási beavatkozások a déli oktatási szegénység elleni küzdelem érdekében, támogatva a harmadik szektort</w:t>
            </w:r>
          </w:p>
        </w:tc>
        <w:tc>
          <w:tcPr>
            <w:tcW w:w="1418" w:type="dxa"/>
            <w:tcBorders>
              <w:top w:val="nil"/>
              <w:left w:val="nil"/>
              <w:bottom w:val="single" w:sz="4" w:space="0" w:color="auto"/>
              <w:right w:val="single" w:sz="4" w:space="0" w:color="auto"/>
            </w:tcBorders>
            <w:shd w:val="clear" w:color="auto" w:fill="C6EFCE"/>
            <w:noWrap/>
            <w:vAlign w:val="center"/>
          </w:tcPr>
          <w:p w14:paraId="6C8DA0FE" w14:textId="77777777" w:rsidR="003F5418" w:rsidRDefault="002A6C25">
            <w:pPr>
              <w:pStyle w:val="P68B1DB1-Normal9"/>
              <w:rPr>
                <w:noProof/>
                <w:color w:val="006600"/>
              </w:rPr>
            </w:pPr>
            <w:r>
              <w:rPr>
                <w:noProof/>
              </w:rPr>
              <w:t>Cél</w:t>
            </w:r>
          </w:p>
        </w:tc>
        <w:tc>
          <w:tcPr>
            <w:tcW w:w="3755" w:type="dxa"/>
            <w:tcBorders>
              <w:top w:val="nil"/>
              <w:left w:val="nil"/>
              <w:bottom w:val="single" w:sz="4" w:space="0" w:color="auto"/>
              <w:right w:val="single" w:sz="4" w:space="0" w:color="auto"/>
            </w:tcBorders>
            <w:shd w:val="clear" w:color="auto" w:fill="C6EFCE"/>
            <w:noWrap/>
            <w:vAlign w:val="center"/>
          </w:tcPr>
          <w:p w14:paraId="10663400" w14:textId="77777777" w:rsidR="003F5418" w:rsidRDefault="002A6C25">
            <w:pPr>
              <w:pStyle w:val="P68B1DB1-Normal9"/>
              <w:rPr>
                <w:noProof/>
                <w:color w:val="006600"/>
              </w:rPr>
            </w:pPr>
            <w:r>
              <w:rPr>
                <w:noProof/>
              </w:rPr>
              <w:t>Oktatási támogatás kiskorúaknak (első csomag)</w:t>
            </w:r>
          </w:p>
        </w:tc>
      </w:tr>
      <w:tr w:rsidR="003F5418" w14:paraId="4C751B1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3D3DF43"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22290B4C"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1BA32320" w14:textId="77777777" w:rsidR="003F5418" w:rsidRDefault="002A6C25">
            <w:pPr>
              <w:pStyle w:val="P68B1DB1-Normal9"/>
              <w:rPr>
                <w:noProof/>
              </w:rPr>
            </w:pPr>
            <w:r>
              <w:rPr>
                <w:noProof/>
              </w:rPr>
              <w:t>Részösszeg</w:t>
            </w:r>
          </w:p>
        </w:tc>
        <w:tc>
          <w:tcPr>
            <w:tcW w:w="3755" w:type="dxa"/>
            <w:tcBorders>
              <w:top w:val="single" w:sz="4" w:space="0" w:color="auto"/>
              <w:left w:val="nil"/>
              <w:bottom w:val="single" w:sz="4" w:space="0" w:color="auto"/>
              <w:right w:val="single" w:sz="4" w:space="0" w:color="auto"/>
            </w:tcBorders>
            <w:shd w:val="clear" w:color="auto" w:fill="C6EFCE"/>
            <w:noWrap/>
            <w:vAlign w:val="bottom"/>
          </w:tcPr>
          <w:p w14:paraId="5C874529" w14:textId="08EFC6B3" w:rsidR="003F5418" w:rsidRDefault="002A6C25">
            <w:pPr>
              <w:pStyle w:val="P68B1DB1-Normal37"/>
              <w:rPr>
                <w:noProof/>
              </w:rPr>
            </w:pPr>
            <w:r>
              <w:rPr>
                <w:noProof/>
              </w:rPr>
              <w:t>2</w:t>
            </w:r>
            <w:r>
              <w:rPr>
                <w:noProof/>
              </w:rPr>
              <w:t> </w:t>
            </w:r>
            <w:r>
              <w:rPr>
                <w:noProof/>
              </w:rPr>
              <w:t>315</w:t>
            </w:r>
            <w:r>
              <w:rPr>
                <w:noProof/>
              </w:rPr>
              <w:t> </w:t>
            </w:r>
            <w:r>
              <w:rPr>
                <w:noProof/>
              </w:rPr>
              <w:t>646</w:t>
            </w:r>
            <w:r>
              <w:rPr>
                <w:noProof/>
              </w:rPr>
              <w:t> </w:t>
            </w:r>
            <w:r>
              <w:rPr>
                <w:noProof/>
              </w:rPr>
              <w:t>882</w:t>
            </w:r>
            <w:r>
              <w:rPr>
                <w:noProof/>
              </w:rPr>
              <w:t> </w:t>
            </w:r>
            <w:r>
              <w:rPr>
                <w:noProof/>
              </w:rPr>
              <w:t>EUR</w:t>
            </w:r>
          </w:p>
        </w:tc>
      </w:tr>
    </w:tbl>
    <w:p w14:paraId="439E5D50" w14:textId="77777777" w:rsidR="003F5418" w:rsidRDefault="002A6C25">
      <w:pPr>
        <w:pStyle w:val="P68B1DB1-Normal35"/>
        <w:numPr>
          <w:ilvl w:val="1"/>
          <w:numId w:val="6"/>
        </w:numPr>
        <w:spacing w:before="120" w:after="120"/>
        <w:jc w:val="both"/>
        <w:rPr>
          <w:noProof/>
        </w:rPr>
      </w:pPr>
      <w:r>
        <w:rPr>
          <w:noProof/>
        </w:rPr>
        <w:t>Ötödik rész (vissza nem térítendő támogatás):</w:t>
      </w:r>
    </w:p>
    <w:tbl>
      <w:tblPr>
        <w:tblW w:w="9776" w:type="dxa"/>
        <w:tblInd w:w="113" w:type="dxa"/>
        <w:tblLook w:val="04A0" w:firstRow="1" w:lastRow="0" w:firstColumn="1" w:lastColumn="0" w:noHBand="0" w:noVBand="1"/>
      </w:tblPr>
      <w:tblGrid>
        <w:gridCol w:w="1413"/>
        <w:gridCol w:w="3118"/>
        <w:gridCol w:w="1418"/>
        <w:gridCol w:w="3827"/>
      </w:tblGrid>
      <w:tr w:rsidR="003F5418" w14:paraId="51086915" w14:textId="77777777">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D6E92DE" w14:textId="77777777" w:rsidR="003F5418" w:rsidRDefault="002A6C25">
            <w:pPr>
              <w:pStyle w:val="P68B1DB1-Normal36"/>
              <w:jc w:val="center"/>
              <w:rPr>
                <w:noProof/>
              </w:rPr>
            </w:pPr>
            <w:r>
              <w:rPr>
                <w:noProof/>
              </w:rPr>
              <w:t>Sorszám</w:t>
            </w:r>
          </w:p>
        </w:tc>
        <w:tc>
          <w:tcPr>
            <w:tcW w:w="31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6050919" w14:textId="77777777" w:rsidR="003F5418" w:rsidRDefault="002A6C25">
            <w:pPr>
              <w:pStyle w:val="P68B1DB1-Normal36"/>
              <w:jc w:val="center"/>
              <w:rPr>
                <w:noProof/>
              </w:rPr>
            </w:pPr>
            <w:r>
              <w:rPr>
                <w:noProof/>
              </w:rPr>
              <w:t>Kapcsolódó intézkedés (reform vagy beruházás)</w:t>
            </w:r>
          </w:p>
        </w:tc>
        <w:tc>
          <w:tcPr>
            <w:tcW w:w="141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A3AAB46" w14:textId="77777777" w:rsidR="003F5418" w:rsidRDefault="002A6C25">
            <w:pPr>
              <w:pStyle w:val="P68B1DB1-Normal36"/>
              <w:jc w:val="center"/>
              <w:rPr>
                <w:noProof/>
              </w:rPr>
            </w:pPr>
            <w:r>
              <w:rPr>
                <w:noProof/>
              </w:rPr>
              <w:t>Mérföldkő/cél</w:t>
            </w:r>
          </w:p>
        </w:tc>
        <w:tc>
          <w:tcPr>
            <w:tcW w:w="3827"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7C94FD6" w14:textId="77777777" w:rsidR="003F5418" w:rsidRDefault="002A6C25">
            <w:pPr>
              <w:pStyle w:val="P68B1DB1-Normal36"/>
              <w:jc w:val="center"/>
              <w:rPr>
                <w:noProof/>
              </w:rPr>
            </w:pPr>
            <w:r>
              <w:rPr>
                <w:noProof/>
              </w:rPr>
              <w:t>Név</w:t>
            </w:r>
          </w:p>
        </w:tc>
      </w:tr>
      <w:tr w:rsidR="003F5418" w14:paraId="67E1557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B42824" w14:textId="77777777" w:rsidR="003F5418" w:rsidRDefault="002A6C25">
            <w:pPr>
              <w:pStyle w:val="P68B1DB1-Normal9"/>
              <w:jc w:val="center"/>
              <w:rPr>
                <w:noProof/>
              </w:rPr>
            </w:pPr>
            <w:r>
              <w:rPr>
                <w:noProof/>
              </w:rPr>
              <w:t>M1C2–4</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7C74BAED" w14:textId="77777777" w:rsidR="003F5418" w:rsidRDefault="002A6C25">
            <w:pPr>
              <w:pStyle w:val="P68B1DB1-Normal9"/>
              <w:rPr>
                <w:noProof/>
              </w:rPr>
            </w:pPr>
            <w:r>
              <w:rPr>
                <w:noProof/>
              </w:rPr>
              <w:t>Az 1. reformot Az iparjogvédelmi rendszer reformja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25340BBD" w14:textId="77777777" w:rsidR="003F5418" w:rsidRDefault="002A6C25">
            <w:pPr>
              <w:pStyle w:val="P68B1DB1-Normal9"/>
              <w:rPr>
                <w:noProof/>
              </w:rPr>
            </w:pPr>
            <w:r>
              <w:rPr>
                <w:noProof/>
              </w:rPr>
              <w:t>Mérföldkő</w:t>
            </w:r>
          </w:p>
        </w:tc>
        <w:tc>
          <w:tcPr>
            <w:tcW w:w="3827" w:type="dxa"/>
            <w:tcBorders>
              <w:top w:val="single" w:sz="4" w:space="0" w:color="auto"/>
              <w:left w:val="nil"/>
              <w:bottom w:val="single" w:sz="4" w:space="0" w:color="auto"/>
              <w:right w:val="single" w:sz="4" w:space="0" w:color="auto"/>
            </w:tcBorders>
            <w:shd w:val="clear" w:color="auto" w:fill="C6EFCE"/>
            <w:noWrap/>
            <w:vAlign w:val="center"/>
          </w:tcPr>
          <w:p w14:paraId="58B30C07" w14:textId="77777777" w:rsidR="003F5418" w:rsidRDefault="002A6C25">
            <w:pPr>
              <w:pStyle w:val="P68B1DB1-Normal9"/>
              <w:rPr>
                <w:noProof/>
              </w:rPr>
            </w:pPr>
            <w:r>
              <w:rPr>
                <w:noProof/>
              </w:rPr>
              <w:t xml:space="preserve">Az olasz iparjogvédelmi törvény és a vonatkozó végrehajtási aktusok reformjára irányuló törvényerejű rendelet </w:t>
            </w:r>
            <w:r>
              <w:rPr>
                <w:noProof/>
              </w:rPr>
              <w:t>hatálybalépése</w:t>
            </w:r>
          </w:p>
        </w:tc>
      </w:tr>
      <w:tr w:rsidR="003F5418" w14:paraId="1421E6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997A4C" w14:textId="77777777" w:rsidR="003F5418" w:rsidRDefault="002A6C25">
            <w:pPr>
              <w:pStyle w:val="P68B1DB1-Normal9"/>
              <w:jc w:val="center"/>
              <w:rPr>
                <w:noProof/>
              </w:rPr>
            </w:pPr>
            <w:r>
              <w:rPr>
                <w:noProof/>
              </w:rPr>
              <w:t>M1C3–4</w:t>
            </w:r>
          </w:p>
        </w:tc>
        <w:tc>
          <w:tcPr>
            <w:tcW w:w="3118" w:type="dxa"/>
            <w:tcBorders>
              <w:top w:val="nil"/>
              <w:left w:val="nil"/>
              <w:bottom w:val="single" w:sz="4" w:space="0" w:color="auto"/>
              <w:right w:val="single" w:sz="4" w:space="0" w:color="auto"/>
            </w:tcBorders>
            <w:shd w:val="clear" w:color="auto" w:fill="C6EFCE"/>
            <w:noWrap/>
            <w:vAlign w:val="center"/>
          </w:tcPr>
          <w:p w14:paraId="7CF57FEF" w14:textId="77777777" w:rsidR="003F5418" w:rsidRDefault="002A6C25">
            <w:pPr>
              <w:pStyle w:val="P68B1DB1-Normal9"/>
              <w:rPr>
                <w:noProof/>
              </w:rPr>
            </w:pPr>
            <w:r>
              <w:rPr>
                <w:noProof/>
              </w:rPr>
              <w:t>Beruházás – A mozi, színházak és múzeumok energiahatékonyságának javítása</w:t>
            </w:r>
          </w:p>
        </w:tc>
        <w:tc>
          <w:tcPr>
            <w:tcW w:w="1418" w:type="dxa"/>
            <w:tcBorders>
              <w:top w:val="nil"/>
              <w:left w:val="nil"/>
              <w:bottom w:val="single" w:sz="4" w:space="0" w:color="auto"/>
              <w:right w:val="single" w:sz="4" w:space="0" w:color="auto"/>
            </w:tcBorders>
            <w:shd w:val="clear" w:color="auto" w:fill="C6EFCE"/>
            <w:noWrap/>
            <w:vAlign w:val="center"/>
          </w:tcPr>
          <w:p w14:paraId="7139FB38"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586775E0" w14:textId="77777777" w:rsidR="003F5418" w:rsidRDefault="002A6C25">
            <w:pPr>
              <w:pStyle w:val="P68B1DB1-Normal9"/>
              <w:rPr>
                <w:noProof/>
              </w:rPr>
            </w:pPr>
            <w:r>
              <w:rPr>
                <w:noProof/>
              </w:rPr>
              <w:t>Az állami múzeumokkal és kulturális helyszínekkel, színházi csarnokokkal és mozikkal kapcsolatos felszólalások lezárultak (első csomag)</w:t>
            </w:r>
          </w:p>
        </w:tc>
      </w:tr>
      <w:tr w:rsidR="003F5418" w14:paraId="002480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A0D4F6" w14:textId="77777777" w:rsidR="003F5418" w:rsidRDefault="002A6C25">
            <w:pPr>
              <w:pStyle w:val="P68B1DB1-Normal9"/>
              <w:jc w:val="center"/>
              <w:rPr>
                <w:noProof/>
              </w:rPr>
            </w:pPr>
            <w:r>
              <w:rPr>
                <w:noProof/>
              </w:rPr>
              <w:t>M1C1–12</w:t>
            </w:r>
          </w:p>
        </w:tc>
        <w:tc>
          <w:tcPr>
            <w:tcW w:w="3118" w:type="dxa"/>
            <w:tcBorders>
              <w:top w:val="nil"/>
              <w:left w:val="nil"/>
              <w:bottom w:val="single" w:sz="4" w:space="0" w:color="auto"/>
              <w:right w:val="single" w:sz="4" w:space="0" w:color="auto"/>
            </w:tcBorders>
            <w:shd w:val="clear" w:color="auto" w:fill="C6EFCE"/>
            <w:noWrap/>
            <w:vAlign w:val="center"/>
          </w:tcPr>
          <w:p w14:paraId="7C16D6ED" w14:textId="77777777" w:rsidR="003F5418" w:rsidRDefault="002A6C25">
            <w:pPr>
              <w:pStyle w:val="P68B1DB1-Normal9"/>
              <w:rPr>
                <w:noProof/>
              </w:rPr>
            </w:pPr>
            <w:r>
              <w:rPr>
                <w:noProof/>
              </w:rPr>
              <w:t>Beruházás:</w:t>
            </w:r>
            <w:r>
              <w:rPr>
                <w:noProof/>
              </w:rPr>
              <w:t xml:space="preserve"> Egységes digitális kapu</w:t>
            </w:r>
          </w:p>
        </w:tc>
        <w:tc>
          <w:tcPr>
            <w:tcW w:w="1418" w:type="dxa"/>
            <w:tcBorders>
              <w:top w:val="nil"/>
              <w:left w:val="nil"/>
              <w:bottom w:val="single" w:sz="4" w:space="0" w:color="auto"/>
              <w:right w:val="single" w:sz="4" w:space="0" w:color="auto"/>
            </w:tcBorders>
            <w:shd w:val="clear" w:color="auto" w:fill="C6EFCE"/>
            <w:noWrap/>
            <w:vAlign w:val="center"/>
          </w:tcPr>
          <w:p w14:paraId="13404227"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233695FB" w14:textId="77777777" w:rsidR="003F5418" w:rsidRDefault="002A6C25">
            <w:pPr>
              <w:pStyle w:val="P68B1DB1-Normal9"/>
              <w:rPr>
                <w:noProof/>
              </w:rPr>
            </w:pPr>
            <w:r>
              <w:rPr>
                <w:noProof/>
              </w:rPr>
              <w:t>Egységes digitális kapu</w:t>
            </w:r>
          </w:p>
        </w:tc>
      </w:tr>
      <w:tr w:rsidR="003F5418" w14:paraId="3C5F4F9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5F7898" w14:textId="77777777" w:rsidR="003F5418" w:rsidRDefault="002A6C25">
            <w:pPr>
              <w:pStyle w:val="P68B1DB1-Normal9"/>
              <w:jc w:val="center"/>
              <w:rPr>
                <w:noProof/>
              </w:rPr>
            </w:pPr>
            <w:r>
              <w:rPr>
                <w:noProof/>
              </w:rPr>
              <w:t>M1C1–13</w:t>
            </w:r>
          </w:p>
        </w:tc>
        <w:tc>
          <w:tcPr>
            <w:tcW w:w="3118" w:type="dxa"/>
            <w:tcBorders>
              <w:top w:val="nil"/>
              <w:left w:val="nil"/>
              <w:bottom w:val="single" w:sz="4" w:space="0" w:color="auto"/>
              <w:right w:val="single" w:sz="4" w:space="0" w:color="auto"/>
            </w:tcBorders>
            <w:shd w:val="clear" w:color="auto" w:fill="C6EFCE"/>
            <w:noWrap/>
            <w:vAlign w:val="center"/>
          </w:tcPr>
          <w:p w14:paraId="50A20C07" w14:textId="77777777" w:rsidR="003F5418" w:rsidRDefault="002A6C25">
            <w:pPr>
              <w:pStyle w:val="P68B1DB1-Normal9"/>
              <w:rPr>
                <w:noProof/>
              </w:rPr>
            </w:pPr>
            <w:r>
              <w:rPr>
                <w:noProof/>
              </w:rPr>
              <w:t>Beruházás: Mobilitás mint olaszországi szolgáltatás</w:t>
            </w:r>
          </w:p>
        </w:tc>
        <w:tc>
          <w:tcPr>
            <w:tcW w:w="1418" w:type="dxa"/>
            <w:tcBorders>
              <w:top w:val="nil"/>
              <w:left w:val="nil"/>
              <w:bottom w:val="single" w:sz="4" w:space="0" w:color="auto"/>
              <w:right w:val="single" w:sz="4" w:space="0" w:color="auto"/>
            </w:tcBorders>
            <w:shd w:val="clear" w:color="auto" w:fill="C6EFCE"/>
            <w:noWrap/>
            <w:vAlign w:val="center"/>
          </w:tcPr>
          <w:p w14:paraId="73B44236"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655D0395" w14:textId="77777777" w:rsidR="003F5418" w:rsidRDefault="002A6C25">
            <w:pPr>
              <w:pStyle w:val="P68B1DB1-Normal9"/>
              <w:rPr>
                <w:noProof/>
              </w:rPr>
            </w:pPr>
            <w:r>
              <w:rPr>
                <w:noProof/>
              </w:rPr>
              <w:t>Mobilitás mint szolgáltatási megoldások, M1</w:t>
            </w:r>
          </w:p>
        </w:tc>
      </w:tr>
      <w:tr w:rsidR="003F5418" w14:paraId="397E0B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7DDD67" w14:textId="77777777" w:rsidR="003F5418" w:rsidRDefault="002A6C25">
            <w:pPr>
              <w:pStyle w:val="P68B1DB1-Normal9"/>
              <w:jc w:val="center"/>
              <w:rPr>
                <w:noProof/>
              </w:rPr>
            </w:pPr>
            <w:r>
              <w:rPr>
                <w:noProof/>
              </w:rPr>
              <w:t>M1C1–38</w:t>
            </w:r>
          </w:p>
        </w:tc>
        <w:tc>
          <w:tcPr>
            <w:tcW w:w="3118" w:type="dxa"/>
            <w:tcBorders>
              <w:top w:val="nil"/>
              <w:left w:val="nil"/>
              <w:bottom w:val="single" w:sz="4" w:space="0" w:color="auto"/>
              <w:right w:val="single" w:sz="4" w:space="0" w:color="auto"/>
            </w:tcBorders>
            <w:shd w:val="clear" w:color="auto" w:fill="C6EFCE"/>
            <w:noWrap/>
            <w:vAlign w:val="center"/>
          </w:tcPr>
          <w:p w14:paraId="0AA38812" w14:textId="77777777" w:rsidR="003F5418" w:rsidRDefault="002A6C25">
            <w:pPr>
              <w:pStyle w:val="P68B1DB1-Normal9"/>
              <w:rPr>
                <w:noProof/>
              </w:rPr>
            </w:pPr>
            <w:r>
              <w:rPr>
                <w:noProof/>
              </w:rPr>
              <w:t>Reform: Az igazságszolgáltatás digitalizációja</w:t>
            </w:r>
          </w:p>
        </w:tc>
        <w:tc>
          <w:tcPr>
            <w:tcW w:w="1418" w:type="dxa"/>
            <w:tcBorders>
              <w:top w:val="nil"/>
              <w:left w:val="nil"/>
              <w:bottom w:val="single" w:sz="4" w:space="0" w:color="auto"/>
              <w:right w:val="single" w:sz="4" w:space="0" w:color="auto"/>
            </w:tcBorders>
            <w:shd w:val="clear" w:color="auto" w:fill="C6EFCE"/>
            <w:noWrap/>
            <w:vAlign w:val="center"/>
          </w:tcPr>
          <w:p w14:paraId="3EA7D13D"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4712DB90" w14:textId="77777777" w:rsidR="003F5418" w:rsidRDefault="002A6C25">
            <w:pPr>
              <w:pStyle w:val="P68B1DB1-Normal9"/>
              <w:rPr>
                <w:noProof/>
              </w:rPr>
            </w:pPr>
            <w:r>
              <w:rPr>
                <w:noProof/>
              </w:rPr>
              <w:t xml:space="preserve">Az </w:t>
            </w:r>
            <w:r>
              <w:rPr>
                <w:noProof/>
              </w:rPr>
              <w:t>igazságszolgáltatási rendszer digitalizálása</w:t>
            </w:r>
          </w:p>
        </w:tc>
      </w:tr>
      <w:tr w:rsidR="003F5418" w14:paraId="07E95B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84DA66" w14:textId="77777777" w:rsidR="003F5418" w:rsidRDefault="002A6C25">
            <w:pPr>
              <w:pStyle w:val="P68B1DB1-Normal9"/>
              <w:jc w:val="center"/>
              <w:rPr>
                <w:noProof/>
              </w:rPr>
            </w:pPr>
            <w:r>
              <w:rPr>
                <w:noProof/>
              </w:rPr>
              <w:t>M1C1–59</w:t>
            </w:r>
          </w:p>
        </w:tc>
        <w:tc>
          <w:tcPr>
            <w:tcW w:w="3118" w:type="dxa"/>
            <w:tcBorders>
              <w:top w:val="nil"/>
              <w:left w:val="nil"/>
              <w:bottom w:val="single" w:sz="4" w:space="0" w:color="auto"/>
              <w:right w:val="single" w:sz="4" w:space="0" w:color="auto"/>
            </w:tcBorders>
            <w:shd w:val="clear" w:color="auto" w:fill="C6EFCE"/>
            <w:noWrap/>
            <w:vAlign w:val="center"/>
          </w:tcPr>
          <w:p w14:paraId="0ABB48D5"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4DE5DBAF"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0629AD48" w14:textId="77777777" w:rsidR="003F5418" w:rsidRDefault="002A6C25">
            <w:pPr>
              <w:pStyle w:val="P68B1DB1-Normal9"/>
              <w:rPr>
                <w:noProof/>
              </w:rPr>
            </w:pPr>
            <w:r>
              <w:rPr>
                <w:noProof/>
              </w:rPr>
              <w:t>A közigazgatásban a stratégiai humánerőforrás-gazdálkodás hatálybalépése</w:t>
            </w:r>
          </w:p>
        </w:tc>
      </w:tr>
      <w:tr w:rsidR="003F5418" w14:paraId="29ACDA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654E40" w14:textId="77777777" w:rsidR="003F5418" w:rsidRDefault="002A6C25">
            <w:pPr>
              <w:pStyle w:val="P68B1DB1-Normal9"/>
              <w:jc w:val="center"/>
              <w:rPr>
                <w:noProof/>
              </w:rPr>
            </w:pPr>
            <w:r>
              <w:rPr>
                <w:noProof/>
              </w:rPr>
              <w:t>M1C1–73quater</w:t>
            </w:r>
          </w:p>
        </w:tc>
        <w:tc>
          <w:tcPr>
            <w:tcW w:w="3118" w:type="dxa"/>
            <w:tcBorders>
              <w:top w:val="nil"/>
              <w:left w:val="nil"/>
              <w:bottom w:val="single" w:sz="4" w:space="0" w:color="auto"/>
              <w:right w:val="single" w:sz="4" w:space="0" w:color="auto"/>
            </w:tcBorders>
            <w:shd w:val="clear" w:color="auto" w:fill="C6EFCE"/>
            <w:noWrap/>
            <w:vAlign w:val="center"/>
          </w:tcPr>
          <w:p w14:paraId="2F77A513"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1C0489BE"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75250E92" w14:textId="77777777" w:rsidR="003F5418" w:rsidRDefault="002A6C25">
            <w:pPr>
              <w:pStyle w:val="P68B1DB1-Normal9"/>
              <w:rPr>
                <w:noProof/>
              </w:rPr>
            </w:pPr>
            <w:r>
              <w:rPr>
                <w:noProof/>
              </w:rPr>
              <w:t xml:space="preserve">Az uniós </w:t>
            </w:r>
            <w:r>
              <w:rPr>
                <w:noProof/>
              </w:rPr>
              <w:t>értékhatár alatti közbeszerzésekre vonatkozó iránymutatások hatálybalépése</w:t>
            </w:r>
          </w:p>
        </w:tc>
      </w:tr>
      <w:tr w:rsidR="003F5418" w14:paraId="30DB88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5A2819" w14:textId="77777777" w:rsidR="003F5418" w:rsidRDefault="002A6C25">
            <w:pPr>
              <w:pStyle w:val="P68B1DB1-Normal9"/>
              <w:jc w:val="center"/>
              <w:rPr>
                <w:noProof/>
              </w:rPr>
            </w:pPr>
            <w:r>
              <w:rPr>
                <w:noProof/>
              </w:rPr>
              <w:t>M1C1–75</w:t>
            </w:r>
          </w:p>
        </w:tc>
        <w:tc>
          <w:tcPr>
            <w:tcW w:w="3118" w:type="dxa"/>
            <w:tcBorders>
              <w:top w:val="nil"/>
              <w:left w:val="nil"/>
              <w:bottom w:val="single" w:sz="4" w:space="0" w:color="auto"/>
              <w:right w:val="single" w:sz="4" w:space="0" w:color="auto"/>
            </w:tcBorders>
            <w:shd w:val="clear" w:color="auto" w:fill="C6EFCE"/>
            <w:noWrap/>
            <w:vAlign w:val="center"/>
          </w:tcPr>
          <w:p w14:paraId="08C14185"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78FB3725" w14:textId="2384B78F"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587F909C" w14:textId="77777777" w:rsidR="003F5418" w:rsidRDefault="002A6C25">
            <w:pPr>
              <w:pStyle w:val="P68B1DB1-Normal9"/>
              <w:rPr>
                <w:noProof/>
              </w:rPr>
            </w:pPr>
            <w:r>
              <w:rPr>
                <w:noProof/>
              </w:rPr>
              <w:t>A nemzeti e-közbeszerzési rendszer teljes körű működése</w:t>
            </w:r>
          </w:p>
        </w:tc>
      </w:tr>
      <w:tr w:rsidR="003F5418" w14:paraId="3D747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10D18E1" w14:textId="77777777" w:rsidR="003F5418" w:rsidRDefault="002A6C25">
            <w:pPr>
              <w:pStyle w:val="P68B1DB1-Normal9"/>
              <w:jc w:val="center"/>
              <w:rPr>
                <w:noProof/>
              </w:rPr>
            </w:pPr>
            <w:r>
              <w:rPr>
                <w:noProof/>
              </w:rPr>
              <w:t>M1C1–84</w:t>
            </w:r>
          </w:p>
        </w:tc>
        <w:tc>
          <w:tcPr>
            <w:tcW w:w="3118" w:type="dxa"/>
            <w:tcBorders>
              <w:top w:val="nil"/>
              <w:left w:val="nil"/>
              <w:bottom w:val="single" w:sz="4" w:space="0" w:color="auto"/>
              <w:right w:val="single" w:sz="4" w:space="0" w:color="auto"/>
            </w:tcBorders>
            <w:shd w:val="clear" w:color="auto" w:fill="C6EFCE"/>
            <w:noWrap/>
            <w:vAlign w:val="center"/>
          </w:tcPr>
          <w:p w14:paraId="1E806FCB"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404D828E"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78966A2F" w14:textId="77777777" w:rsidR="003F5418" w:rsidRDefault="002A6C25">
            <w:pPr>
              <w:pStyle w:val="P68B1DB1-Normal9"/>
              <w:rPr>
                <w:noProof/>
              </w:rPr>
            </w:pPr>
            <w:r>
              <w:rPr>
                <w:noProof/>
              </w:rPr>
              <w:t xml:space="preserve">A </w:t>
            </w:r>
            <w:r>
              <w:rPr>
                <w:noProof/>
              </w:rPr>
              <w:t>közzététel és a szerződés odaítélése között eltelt átlagos idő</w:t>
            </w:r>
          </w:p>
        </w:tc>
      </w:tr>
      <w:tr w:rsidR="003F5418" w14:paraId="36043BB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E44AFE" w14:textId="77777777" w:rsidR="003F5418" w:rsidRDefault="002A6C25">
            <w:pPr>
              <w:pStyle w:val="P68B1DB1-Normal9"/>
              <w:jc w:val="center"/>
              <w:rPr>
                <w:noProof/>
              </w:rPr>
            </w:pPr>
            <w:r>
              <w:rPr>
                <w:noProof/>
              </w:rPr>
              <w:t>M1C1–85</w:t>
            </w:r>
          </w:p>
        </w:tc>
        <w:tc>
          <w:tcPr>
            <w:tcW w:w="3118" w:type="dxa"/>
            <w:tcBorders>
              <w:top w:val="nil"/>
              <w:left w:val="nil"/>
              <w:bottom w:val="single" w:sz="4" w:space="0" w:color="auto"/>
              <w:right w:val="single" w:sz="4" w:space="0" w:color="auto"/>
            </w:tcBorders>
            <w:shd w:val="clear" w:color="auto" w:fill="C6EFCE"/>
            <w:noWrap/>
            <w:vAlign w:val="center"/>
          </w:tcPr>
          <w:p w14:paraId="291DC48C"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7609F344"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76C671AF" w14:textId="77777777" w:rsidR="003F5418" w:rsidRDefault="002A6C25">
            <w:pPr>
              <w:pStyle w:val="P68B1DB1-Normal9"/>
              <w:rPr>
                <w:noProof/>
              </w:rPr>
            </w:pPr>
            <w:r>
              <w:rPr>
                <w:noProof/>
              </w:rPr>
              <w:t>A szerződés odaítélése és az infrastruktúra megvalósítása között eltelt átlagos idő</w:t>
            </w:r>
          </w:p>
        </w:tc>
      </w:tr>
      <w:tr w:rsidR="003F5418" w14:paraId="510FC8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2A52E" w14:textId="77777777" w:rsidR="003F5418" w:rsidRDefault="002A6C25">
            <w:pPr>
              <w:pStyle w:val="P68B1DB1-Normal9"/>
              <w:jc w:val="center"/>
              <w:rPr>
                <w:noProof/>
              </w:rPr>
            </w:pPr>
            <w:r>
              <w:rPr>
                <w:noProof/>
              </w:rPr>
              <w:t>M1C1–86</w:t>
            </w:r>
          </w:p>
        </w:tc>
        <w:tc>
          <w:tcPr>
            <w:tcW w:w="3118" w:type="dxa"/>
            <w:tcBorders>
              <w:top w:val="nil"/>
              <w:left w:val="nil"/>
              <w:bottom w:val="single" w:sz="4" w:space="0" w:color="auto"/>
              <w:right w:val="single" w:sz="4" w:space="0" w:color="auto"/>
            </w:tcBorders>
            <w:shd w:val="clear" w:color="auto" w:fill="C6EFCE"/>
            <w:noWrap/>
            <w:vAlign w:val="center"/>
          </w:tcPr>
          <w:p w14:paraId="5837B22C"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6BBB215E"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04FBF5C2" w14:textId="77777777" w:rsidR="003F5418" w:rsidRDefault="002A6C25">
            <w:pPr>
              <w:pStyle w:val="P68B1DB1-Normal9"/>
              <w:rPr>
                <w:noProof/>
              </w:rPr>
            </w:pPr>
            <w:r>
              <w:rPr>
                <w:noProof/>
              </w:rPr>
              <w:t>A közbeszerzők professzionalizálási stratégiája keretében kiképzett köztisztviselők</w:t>
            </w:r>
          </w:p>
        </w:tc>
      </w:tr>
      <w:tr w:rsidR="003F5418" w14:paraId="54E78F1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89CDB9" w14:textId="77777777" w:rsidR="003F5418" w:rsidRDefault="002A6C25">
            <w:pPr>
              <w:pStyle w:val="P68B1DB1-Normal9"/>
              <w:jc w:val="center"/>
              <w:rPr>
                <w:noProof/>
              </w:rPr>
            </w:pPr>
            <w:r>
              <w:rPr>
                <w:noProof/>
              </w:rPr>
              <w:t>M1C1–87</w:t>
            </w:r>
          </w:p>
        </w:tc>
        <w:tc>
          <w:tcPr>
            <w:tcW w:w="3118" w:type="dxa"/>
            <w:tcBorders>
              <w:top w:val="nil"/>
              <w:left w:val="nil"/>
              <w:bottom w:val="single" w:sz="4" w:space="0" w:color="auto"/>
              <w:right w:val="single" w:sz="4" w:space="0" w:color="auto"/>
            </w:tcBorders>
            <w:shd w:val="clear" w:color="auto" w:fill="C6EFCE"/>
            <w:noWrap/>
            <w:vAlign w:val="center"/>
          </w:tcPr>
          <w:p w14:paraId="72A62C43"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6BFD026B"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6452BB47" w14:textId="77777777" w:rsidR="003F5418" w:rsidRDefault="002A6C25">
            <w:pPr>
              <w:pStyle w:val="P68B1DB1-Normal9"/>
              <w:rPr>
                <w:noProof/>
              </w:rPr>
            </w:pPr>
            <w:r>
              <w:rPr>
                <w:noProof/>
              </w:rPr>
              <w:t>Dinamikus beszerzési rendszereket alkalmazó ajánlatkérő szervek</w:t>
            </w:r>
          </w:p>
        </w:tc>
      </w:tr>
      <w:tr w:rsidR="003F5418" w14:paraId="7B3EB7F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699908" w14:textId="77777777" w:rsidR="003F5418" w:rsidRDefault="002A6C25">
            <w:pPr>
              <w:pStyle w:val="P68B1DB1-Normal9"/>
              <w:jc w:val="center"/>
              <w:rPr>
                <w:noProof/>
              </w:rPr>
            </w:pPr>
            <w:r>
              <w:rPr>
                <w:noProof/>
              </w:rPr>
              <w:t>M1C1–110</w:t>
            </w:r>
          </w:p>
        </w:tc>
        <w:tc>
          <w:tcPr>
            <w:tcW w:w="3118" w:type="dxa"/>
            <w:tcBorders>
              <w:top w:val="nil"/>
              <w:left w:val="nil"/>
              <w:bottom w:val="single" w:sz="4" w:space="0" w:color="auto"/>
              <w:right w:val="single" w:sz="4" w:space="0" w:color="auto"/>
            </w:tcBorders>
            <w:shd w:val="clear" w:color="auto" w:fill="C6EFCE"/>
            <w:noWrap/>
            <w:vAlign w:val="center"/>
          </w:tcPr>
          <w:p w14:paraId="3820B7C6" w14:textId="77777777" w:rsidR="003F5418" w:rsidRDefault="002A6C25">
            <w:pPr>
              <w:pStyle w:val="P68B1DB1-Normal9"/>
              <w:rPr>
                <w:noProof/>
              </w:rPr>
            </w:pPr>
            <w:r>
              <w:rPr>
                <w:noProof/>
              </w:rPr>
              <w:t>Reform: A kiadások felülvizsgálatára</w:t>
            </w:r>
            <w:r>
              <w:rPr>
                <w:noProof/>
              </w:rPr>
              <w:t xml:space="preserve"> vonatkozó keret reformja</w:t>
            </w:r>
          </w:p>
        </w:tc>
        <w:tc>
          <w:tcPr>
            <w:tcW w:w="1418" w:type="dxa"/>
            <w:tcBorders>
              <w:top w:val="nil"/>
              <w:left w:val="nil"/>
              <w:bottom w:val="single" w:sz="4" w:space="0" w:color="auto"/>
              <w:right w:val="single" w:sz="4" w:space="0" w:color="auto"/>
            </w:tcBorders>
            <w:shd w:val="clear" w:color="auto" w:fill="C6EFCE"/>
            <w:noWrap/>
            <w:vAlign w:val="center"/>
          </w:tcPr>
          <w:p w14:paraId="5A370809"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0C3C2AB2" w14:textId="77777777" w:rsidR="003F5418" w:rsidRDefault="002A6C25">
            <w:pPr>
              <w:pStyle w:val="P68B1DB1-Normal9"/>
              <w:rPr>
                <w:noProof/>
              </w:rPr>
            </w:pPr>
            <w:r>
              <w:rPr>
                <w:noProof/>
              </w:rPr>
              <w:t>Az általános állami költségvetés átsorolása a környezetvédelmi kiadások és a nemek közötti egyenlőséget előmozdító kiadások tekintetében</w:t>
            </w:r>
          </w:p>
        </w:tc>
      </w:tr>
      <w:tr w:rsidR="003F5418" w14:paraId="1D6CDE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238B1E" w14:textId="77777777" w:rsidR="003F5418" w:rsidRDefault="002A6C25">
            <w:pPr>
              <w:pStyle w:val="P68B1DB1-Normal9"/>
              <w:jc w:val="center"/>
              <w:rPr>
                <w:noProof/>
              </w:rPr>
            </w:pPr>
            <w:r>
              <w:rPr>
                <w:noProof/>
              </w:rPr>
              <w:t>M1C2–9</w:t>
            </w:r>
          </w:p>
        </w:tc>
        <w:tc>
          <w:tcPr>
            <w:tcW w:w="3118" w:type="dxa"/>
            <w:tcBorders>
              <w:top w:val="nil"/>
              <w:left w:val="nil"/>
              <w:bottom w:val="single" w:sz="4" w:space="0" w:color="auto"/>
              <w:right w:val="single" w:sz="4" w:space="0" w:color="auto"/>
            </w:tcBorders>
            <w:shd w:val="clear" w:color="auto" w:fill="C6EFCE"/>
            <w:noWrap/>
            <w:vAlign w:val="center"/>
          </w:tcPr>
          <w:p w14:paraId="5E9CCD65"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4080912E"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1F4E645C" w14:textId="77777777" w:rsidR="003F5418" w:rsidRDefault="002A6C25">
            <w:pPr>
              <w:pStyle w:val="P68B1DB1-Normal9"/>
              <w:rPr>
                <w:noProof/>
              </w:rPr>
            </w:pPr>
            <w:r>
              <w:rPr>
                <w:noProof/>
              </w:rPr>
              <w:t>A 2022. évi éves versenyjog</w:t>
            </w:r>
            <w:r>
              <w:rPr>
                <w:noProof/>
              </w:rPr>
              <w:t>i törvény hatálybalépése</w:t>
            </w:r>
          </w:p>
        </w:tc>
      </w:tr>
      <w:tr w:rsidR="003F5418" w14:paraId="06570A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996213" w14:textId="77777777" w:rsidR="003F5418" w:rsidRDefault="002A6C25">
            <w:pPr>
              <w:pStyle w:val="P68B1DB1-Normal9"/>
              <w:jc w:val="center"/>
              <w:rPr>
                <w:noProof/>
              </w:rPr>
            </w:pPr>
            <w:r>
              <w:rPr>
                <w:noProof/>
              </w:rPr>
              <w:t>M1C2–10</w:t>
            </w:r>
          </w:p>
        </w:tc>
        <w:tc>
          <w:tcPr>
            <w:tcW w:w="3118" w:type="dxa"/>
            <w:tcBorders>
              <w:top w:val="nil"/>
              <w:left w:val="nil"/>
              <w:bottom w:val="single" w:sz="4" w:space="0" w:color="auto"/>
              <w:right w:val="single" w:sz="4" w:space="0" w:color="auto"/>
            </w:tcBorders>
            <w:shd w:val="clear" w:color="auto" w:fill="C6EFCE"/>
            <w:noWrap/>
            <w:vAlign w:val="center"/>
          </w:tcPr>
          <w:p w14:paraId="3B5469E4"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306F1464"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306DFB86" w14:textId="77777777" w:rsidR="003F5418" w:rsidRDefault="002A6C25">
            <w:pPr>
              <w:pStyle w:val="P68B1DB1-Normal9"/>
              <w:rPr>
                <w:noProof/>
              </w:rPr>
            </w:pPr>
            <w:r>
              <w:rPr>
                <w:noProof/>
              </w:rPr>
              <w:t>A 2022. évi éves versenyjogi törvényből eredő intézkedések hatékony végrehajtását és alkalmazását szolgáló valamennyi végrehajtási intézkedés (beleértve szükség esetén a máso</w:t>
            </w:r>
            <w:r>
              <w:rPr>
                <w:noProof/>
              </w:rPr>
              <w:t>dlagos jogszabályokat is) hatálybalépése</w:t>
            </w:r>
          </w:p>
        </w:tc>
      </w:tr>
      <w:tr w:rsidR="003F5418" w14:paraId="140687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2EAA5A" w14:textId="77777777" w:rsidR="003F5418" w:rsidRDefault="002A6C25">
            <w:pPr>
              <w:pStyle w:val="P68B1DB1-Normal9"/>
              <w:jc w:val="center"/>
              <w:rPr>
                <w:noProof/>
              </w:rPr>
            </w:pPr>
            <w:r>
              <w:rPr>
                <w:noProof/>
              </w:rPr>
              <w:t>M1C3–7</w:t>
            </w:r>
          </w:p>
        </w:tc>
        <w:tc>
          <w:tcPr>
            <w:tcW w:w="3118" w:type="dxa"/>
            <w:tcBorders>
              <w:top w:val="nil"/>
              <w:left w:val="nil"/>
              <w:bottom w:val="single" w:sz="4" w:space="0" w:color="auto"/>
              <w:right w:val="single" w:sz="4" w:space="0" w:color="auto"/>
            </w:tcBorders>
            <w:shd w:val="clear" w:color="auto" w:fill="C6EFCE"/>
            <w:noWrap/>
            <w:vAlign w:val="center"/>
          </w:tcPr>
          <w:p w14:paraId="1D4A3383" w14:textId="77777777" w:rsidR="003F5418" w:rsidRDefault="002A6C25">
            <w:pPr>
              <w:pStyle w:val="P68B1DB1-Normal9"/>
              <w:rPr>
                <w:noProof/>
              </w:rPr>
            </w:pPr>
            <w:r>
              <w:rPr>
                <w:noProof/>
              </w:rPr>
              <w:t>Beruházás – A kulturális szereplők kapacitásépítése a digitális és zöld átállás irányítása érdekében.</w:t>
            </w:r>
          </w:p>
        </w:tc>
        <w:tc>
          <w:tcPr>
            <w:tcW w:w="1418" w:type="dxa"/>
            <w:tcBorders>
              <w:top w:val="nil"/>
              <w:left w:val="nil"/>
              <w:bottom w:val="single" w:sz="4" w:space="0" w:color="auto"/>
              <w:right w:val="single" w:sz="4" w:space="0" w:color="auto"/>
            </w:tcBorders>
            <w:shd w:val="clear" w:color="auto" w:fill="C6EFCE"/>
            <w:noWrap/>
            <w:vAlign w:val="center"/>
          </w:tcPr>
          <w:p w14:paraId="42A6E2E2"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175ADE15" w14:textId="77777777" w:rsidR="003F5418" w:rsidRDefault="002A6C25">
            <w:pPr>
              <w:pStyle w:val="P68B1DB1-Normal9"/>
              <w:rPr>
                <w:noProof/>
              </w:rPr>
            </w:pPr>
            <w:r>
              <w:rPr>
                <w:noProof/>
              </w:rPr>
              <w:t xml:space="preserve">Valamennyi közbeszerzési szerződés odaítélése a végrehajtó szervezettel/kedvezményezettekkel a </w:t>
            </w:r>
            <w:r>
              <w:rPr>
                <w:noProof/>
              </w:rPr>
              <w:t>kulturális szereplők digitális és zöld átállásának irányítására irányuló valamennyi beavatkozás esetében</w:t>
            </w:r>
          </w:p>
        </w:tc>
      </w:tr>
      <w:tr w:rsidR="003F5418" w14:paraId="3F9BF1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805262" w14:textId="77777777" w:rsidR="003F5418" w:rsidRDefault="002A6C25">
            <w:pPr>
              <w:pStyle w:val="P68B1DB1-Normal9"/>
              <w:jc w:val="center"/>
              <w:rPr>
                <w:noProof/>
              </w:rPr>
            </w:pPr>
            <w:r>
              <w:rPr>
                <w:noProof/>
              </w:rPr>
              <w:t>M2C1–5</w:t>
            </w:r>
          </w:p>
        </w:tc>
        <w:tc>
          <w:tcPr>
            <w:tcW w:w="3118" w:type="dxa"/>
            <w:tcBorders>
              <w:top w:val="nil"/>
              <w:left w:val="nil"/>
              <w:bottom w:val="single" w:sz="4" w:space="0" w:color="auto"/>
              <w:right w:val="single" w:sz="4" w:space="0" w:color="auto"/>
            </w:tcBorders>
            <w:shd w:val="clear" w:color="auto" w:fill="C6EFCE"/>
            <w:noWrap/>
            <w:vAlign w:val="center"/>
          </w:tcPr>
          <w:p w14:paraId="2AE55E28" w14:textId="77777777" w:rsidR="003F5418" w:rsidRDefault="002A6C25">
            <w:pPr>
              <w:pStyle w:val="P68B1DB1-Normal9"/>
              <w:rPr>
                <w:noProof/>
              </w:rPr>
            </w:pPr>
            <w:r>
              <w:rPr>
                <w:noProof/>
              </w:rPr>
              <w:t>Beruházás: Agrár-soláris park</w:t>
            </w:r>
          </w:p>
        </w:tc>
        <w:tc>
          <w:tcPr>
            <w:tcW w:w="1418" w:type="dxa"/>
            <w:tcBorders>
              <w:top w:val="nil"/>
              <w:left w:val="nil"/>
              <w:bottom w:val="single" w:sz="4" w:space="0" w:color="auto"/>
              <w:right w:val="single" w:sz="4" w:space="0" w:color="auto"/>
            </w:tcBorders>
            <w:shd w:val="clear" w:color="auto" w:fill="C6EFCE"/>
            <w:noWrap/>
            <w:vAlign w:val="center"/>
          </w:tcPr>
          <w:p w14:paraId="3C59F53B"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6221A3F6" w14:textId="77777777" w:rsidR="003F5418" w:rsidRDefault="002A6C25">
            <w:pPr>
              <w:pStyle w:val="P68B1DB1-Normal9"/>
              <w:rPr>
                <w:noProof/>
              </w:rPr>
            </w:pPr>
            <w:r>
              <w:rPr>
                <w:noProof/>
              </w:rPr>
              <w:t>A források kedvezményezettek közötti elosztása a beruházáshoz rendelt összes pénzügyi forrás %-ában</w:t>
            </w:r>
          </w:p>
        </w:tc>
      </w:tr>
      <w:tr w:rsidR="003F5418" w14:paraId="33D8F3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9832B7" w14:textId="77777777" w:rsidR="003F5418" w:rsidRDefault="002A6C25">
            <w:pPr>
              <w:pStyle w:val="P68B1DB1-Normal9"/>
              <w:jc w:val="center"/>
              <w:rPr>
                <w:noProof/>
              </w:rPr>
            </w:pPr>
            <w:r>
              <w:rPr>
                <w:noProof/>
              </w:rPr>
              <w:t>M2C2–22</w:t>
            </w:r>
          </w:p>
        </w:tc>
        <w:tc>
          <w:tcPr>
            <w:tcW w:w="3118" w:type="dxa"/>
            <w:tcBorders>
              <w:top w:val="nil"/>
              <w:left w:val="nil"/>
              <w:bottom w:val="single" w:sz="4" w:space="0" w:color="auto"/>
              <w:right w:val="single" w:sz="4" w:space="0" w:color="auto"/>
            </w:tcBorders>
            <w:shd w:val="clear" w:color="auto" w:fill="C6EFCE"/>
            <w:noWrap/>
            <w:vAlign w:val="center"/>
          </w:tcPr>
          <w:p w14:paraId="55DE903D" w14:textId="77777777" w:rsidR="003F5418" w:rsidRDefault="002A6C25">
            <w:pPr>
              <w:pStyle w:val="P68B1DB1-Normal9"/>
              <w:rPr>
                <w:noProof/>
              </w:rPr>
            </w:pPr>
            <w:r>
              <w:rPr>
                <w:noProof/>
              </w:rPr>
              <w:t>Beruházás a puha mobilitásba (Nemzeti ciklusterv)</w:t>
            </w:r>
          </w:p>
        </w:tc>
        <w:tc>
          <w:tcPr>
            <w:tcW w:w="1418" w:type="dxa"/>
            <w:tcBorders>
              <w:top w:val="nil"/>
              <w:left w:val="nil"/>
              <w:bottom w:val="single" w:sz="4" w:space="0" w:color="auto"/>
              <w:right w:val="single" w:sz="4" w:space="0" w:color="auto"/>
            </w:tcBorders>
            <w:shd w:val="clear" w:color="auto" w:fill="C6EFCE"/>
            <w:noWrap/>
            <w:vAlign w:val="center"/>
          </w:tcPr>
          <w:p w14:paraId="5650545E"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62C17CAD" w14:textId="77777777" w:rsidR="003F5418" w:rsidRDefault="002A6C25">
            <w:pPr>
              <w:pStyle w:val="P68B1DB1-Normal9"/>
              <w:rPr>
                <w:noProof/>
              </w:rPr>
            </w:pPr>
            <w:r>
              <w:rPr>
                <w:noProof/>
              </w:rPr>
              <w:t>T1 kerékpársávok</w:t>
            </w:r>
          </w:p>
        </w:tc>
      </w:tr>
      <w:tr w:rsidR="003F5418" w14:paraId="121C66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341F3E" w14:textId="77777777" w:rsidR="003F5418" w:rsidRDefault="002A6C25">
            <w:pPr>
              <w:pStyle w:val="P68B1DB1-Normal9"/>
              <w:jc w:val="center"/>
              <w:rPr>
                <w:noProof/>
              </w:rPr>
            </w:pPr>
            <w:r>
              <w:rPr>
                <w:noProof/>
              </w:rPr>
              <w:t>M4C1–10</w:t>
            </w:r>
          </w:p>
        </w:tc>
        <w:tc>
          <w:tcPr>
            <w:tcW w:w="3118" w:type="dxa"/>
            <w:tcBorders>
              <w:top w:val="nil"/>
              <w:left w:val="nil"/>
              <w:bottom w:val="single" w:sz="4" w:space="0" w:color="auto"/>
              <w:right w:val="single" w:sz="4" w:space="0" w:color="auto"/>
            </w:tcBorders>
            <w:shd w:val="clear" w:color="auto" w:fill="C6EFCE"/>
            <w:noWrap/>
            <w:vAlign w:val="center"/>
          </w:tcPr>
          <w:p w14:paraId="439F4F16" w14:textId="77777777" w:rsidR="003F5418" w:rsidRDefault="002A6C25">
            <w:pPr>
              <w:pStyle w:val="P68B1DB1-Normal9"/>
              <w:rPr>
                <w:noProof/>
              </w:rPr>
            </w:pPr>
            <w:r>
              <w:rPr>
                <w:noProof/>
              </w:rPr>
              <w:t xml:space="preserve">Reform: Tanárok felvétele; Reform: Az iskolarendszer átszervezése; Reform: A felsőfokú szakképzési rendszer (ITS) reformja; Reform: Az orientációs rendszer reformja; Reform: </w:t>
            </w:r>
            <w:r>
              <w:rPr>
                <w:noProof/>
              </w:rPr>
              <w:t>Egyetemi diplomacsoportok reformja; Reform: Az egyetemi diplomák reformjának lehetővé tétele</w:t>
            </w:r>
          </w:p>
        </w:tc>
        <w:tc>
          <w:tcPr>
            <w:tcW w:w="1418" w:type="dxa"/>
            <w:tcBorders>
              <w:top w:val="nil"/>
              <w:left w:val="nil"/>
              <w:bottom w:val="single" w:sz="4" w:space="0" w:color="auto"/>
              <w:right w:val="single" w:sz="4" w:space="0" w:color="auto"/>
            </w:tcBorders>
            <w:shd w:val="clear" w:color="auto" w:fill="C6EFCE"/>
            <w:noWrap/>
            <w:vAlign w:val="center"/>
          </w:tcPr>
          <w:p w14:paraId="51A9D65C" w14:textId="77777777" w:rsidR="003F5418" w:rsidRDefault="002A6C25">
            <w:pPr>
              <w:pStyle w:val="P68B1DB1-Normal9"/>
              <w:rPr>
                <w:noProof/>
              </w:rPr>
            </w:pPr>
            <w:r>
              <w:rPr>
                <w:noProof/>
              </w:rPr>
              <w:t>Mérföldkő</w:t>
            </w:r>
          </w:p>
        </w:tc>
        <w:tc>
          <w:tcPr>
            <w:tcW w:w="3827" w:type="dxa"/>
            <w:tcBorders>
              <w:top w:val="nil"/>
              <w:left w:val="nil"/>
              <w:bottom w:val="single" w:sz="4" w:space="0" w:color="auto"/>
              <w:right w:val="single" w:sz="4" w:space="0" w:color="auto"/>
            </w:tcBorders>
            <w:shd w:val="clear" w:color="auto" w:fill="C6EFCE"/>
            <w:noWrap/>
            <w:vAlign w:val="center"/>
          </w:tcPr>
          <w:p w14:paraId="7B915951" w14:textId="77777777" w:rsidR="003F5418" w:rsidRDefault="002A6C25">
            <w:pPr>
              <w:pStyle w:val="P68B1DB1-Normal9"/>
              <w:rPr>
                <w:noProof/>
              </w:rPr>
            </w:pPr>
            <w:r>
              <w:rPr>
                <w:noProof/>
              </w:rPr>
              <w:t>Az alap-, közép- és felsőfokú oktatás reformjával kapcsolatos valamennyi intézkedés hatékony végrehajtására és alkalmazására vonatkozó rendeletek hatályb</w:t>
            </w:r>
            <w:r>
              <w:rPr>
                <w:noProof/>
              </w:rPr>
              <w:t>alépése, amennyiben szükséges</w:t>
            </w:r>
          </w:p>
        </w:tc>
      </w:tr>
      <w:tr w:rsidR="003F5418" w14:paraId="514367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9D8911" w14:textId="77777777" w:rsidR="003F5418" w:rsidRDefault="002A6C25">
            <w:pPr>
              <w:pStyle w:val="P68B1DB1-Normal9"/>
              <w:jc w:val="center"/>
              <w:rPr>
                <w:noProof/>
              </w:rPr>
            </w:pPr>
            <w:r>
              <w:rPr>
                <w:noProof/>
              </w:rPr>
              <w:t>M4C1–11</w:t>
            </w:r>
          </w:p>
        </w:tc>
        <w:tc>
          <w:tcPr>
            <w:tcW w:w="3118" w:type="dxa"/>
            <w:tcBorders>
              <w:top w:val="nil"/>
              <w:left w:val="nil"/>
              <w:bottom w:val="single" w:sz="4" w:space="0" w:color="auto"/>
              <w:right w:val="single" w:sz="4" w:space="0" w:color="auto"/>
            </w:tcBorders>
            <w:shd w:val="clear" w:color="auto" w:fill="C6EFCE"/>
            <w:noWrap/>
            <w:vAlign w:val="center"/>
          </w:tcPr>
          <w:p w14:paraId="44A0446A" w14:textId="77777777" w:rsidR="003F5418" w:rsidRDefault="002A6C25">
            <w:pPr>
              <w:pStyle w:val="P68B1DB1-Normal9"/>
              <w:rPr>
                <w:noProof/>
              </w:rPr>
            </w:pPr>
            <w:r>
              <w:rPr>
                <w:noProof/>
              </w:rPr>
              <w:t>Beruházás: Egyetemi ösztöndíjak</w:t>
            </w:r>
          </w:p>
        </w:tc>
        <w:tc>
          <w:tcPr>
            <w:tcW w:w="1418" w:type="dxa"/>
            <w:tcBorders>
              <w:top w:val="nil"/>
              <w:left w:val="nil"/>
              <w:bottom w:val="single" w:sz="4" w:space="0" w:color="auto"/>
              <w:right w:val="single" w:sz="4" w:space="0" w:color="auto"/>
            </w:tcBorders>
            <w:shd w:val="clear" w:color="auto" w:fill="C6EFCE"/>
            <w:noWrap/>
            <w:vAlign w:val="center"/>
          </w:tcPr>
          <w:p w14:paraId="536D7E48"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2A927FF3" w14:textId="77777777" w:rsidR="003F5418" w:rsidRDefault="002A6C25">
            <w:pPr>
              <w:pStyle w:val="P68B1DB1-Normal9"/>
              <w:rPr>
                <w:noProof/>
              </w:rPr>
            </w:pPr>
            <w:r>
              <w:rPr>
                <w:noProof/>
              </w:rPr>
              <w:t>Egyetemi ösztöndíj</w:t>
            </w:r>
          </w:p>
        </w:tc>
      </w:tr>
      <w:tr w:rsidR="003F5418" w14:paraId="6E797F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3B0E" w14:textId="77777777" w:rsidR="003F5418" w:rsidRDefault="002A6C25">
            <w:pPr>
              <w:pStyle w:val="P68B1DB1-Normal9"/>
              <w:jc w:val="center"/>
              <w:rPr>
                <w:noProof/>
              </w:rPr>
            </w:pPr>
            <w:r>
              <w:rPr>
                <w:noProof/>
              </w:rPr>
              <w:t>M5C3–3</w:t>
            </w:r>
          </w:p>
        </w:tc>
        <w:tc>
          <w:tcPr>
            <w:tcW w:w="3118" w:type="dxa"/>
            <w:tcBorders>
              <w:top w:val="nil"/>
              <w:left w:val="nil"/>
              <w:bottom w:val="single" w:sz="4" w:space="0" w:color="auto"/>
              <w:right w:val="single" w:sz="4" w:space="0" w:color="auto"/>
            </w:tcBorders>
            <w:shd w:val="clear" w:color="auto" w:fill="C6EFCE"/>
            <w:noWrap/>
            <w:vAlign w:val="center"/>
          </w:tcPr>
          <w:p w14:paraId="255D50FE" w14:textId="77777777" w:rsidR="003F5418" w:rsidRDefault="002A6C25">
            <w:pPr>
              <w:pStyle w:val="P68B1DB1-Normal9"/>
              <w:rPr>
                <w:noProof/>
              </w:rPr>
            </w:pPr>
            <w:r>
              <w:rPr>
                <w:noProof/>
              </w:rPr>
              <w:t>A 2. beruházást Területi közelségben lévő egészségügyi létesítmények</w:t>
            </w:r>
          </w:p>
        </w:tc>
        <w:tc>
          <w:tcPr>
            <w:tcW w:w="1418" w:type="dxa"/>
            <w:tcBorders>
              <w:top w:val="nil"/>
              <w:left w:val="nil"/>
              <w:bottom w:val="single" w:sz="4" w:space="0" w:color="auto"/>
              <w:right w:val="single" w:sz="4" w:space="0" w:color="auto"/>
            </w:tcBorders>
            <w:shd w:val="clear" w:color="auto" w:fill="C6EFCE"/>
            <w:noWrap/>
            <w:vAlign w:val="center"/>
          </w:tcPr>
          <w:p w14:paraId="07F8F000"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741BEDAA" w14:textId="77777777" w:rsidR="003F5418" w:rsidRDefault="002A6C25">
            <w:pPr>
              <w:pStyle w:val="P68B1DB1-Normal9"/>
              <w:rPr>
                <w:noProof/>
              </w:rPr>
            </w:pPr>
            <w:r>
              <w:rPr>
                <w:noProof/>
              </w:rPr>
              <w:t xml:space="preserve">Az 5000 főnél kevesebb lakosú településeken, mocsarakban vagy településeken </w:t>
            </w:r>
            <w:r>
              <w:rPr>
                <w:noProof/>
              </w:rPr>
              <w:t>működő vidéki gyógyszertárak támogatása (első tétel)</w:t>
            </w:r>
          </w:p>
        </w:tc>
      </w:tr>
      <w:tr w:rsidR="003F5418" w14:paraId="055573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197AF1" w14:textId="77777777" w:rsidR="003F5418" w:rsidRDefault="002A6C25">
            <w:pPr>
              <w:pStyle w:val="P68B1DB1-Normal9"/>
              <w:jc w:val="center"/>
              <w:rPr>
                <w:noProof/>
              </w:rPr>
            </w:pPr>
            <w:r>
              <w:rPr>
                <w:noProof/>
              </w:rPr>
              <w:t>M1C1–113</w:t>
            </w:r>
          </w:p>
        </w:tc>
        <w:tc>
          <w:tcPr>
            <w:tcW w:w="3118" w:type="dxa"/>
            <w:tcBorders>
              <w:top w:val="nil"/>
              <w:left w:val="nil"/>
              <w:bottom w:val="single" w:sz="4" w:space="0" w:color="auto"/>
              <w:right w:val="single" w:sz="4" w:space="0" w:color="auto"/>
            </w:tcBorders>
            <w:shd w:val="clear" w:color="auto" w:fill="C6EFCE"/>
            <w:noWrap/>
            <w:vAlign w:val="center"/>
          </w:tcPr>
          <w:p w14:paraId="5A8E5860"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21E13923"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5859BA85" w14:textId="77777777" w:rsidR="003F5418" w:rsidRDefault="002A6C25">
            <w:pPr>
              <w:pStyle w:val="P68B1DB1-Normal9"/>
              <w:rPr>
                <w:noProof/>
              </w:rPr>
            </w:pPr>
            <w:r>
              <w:rPr>
                <w:noProof/>
              </w:rPr>
              <w:t>A „megfelelési levelek” nagyobb száma</w:t>
            </w:r>
          </w:p>
        </w:tc>
      </w:tr>
      <w:tr w:rsidR="003F5418" w14:paraId="17CAD3E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2DB723" w14:textId="77777777" w:rsidR="003F5418" w:rsidRDefault="002A6C25">
            <w:pPr>
              <w:pStyle w:val="P68B1DB1-Normal9"/>
              <w:jc w:val="center"/>
              <w:rPr>
                <w:noProof/>
              </w:rPr>
            </w:pPr>
            <w:r>
              <w:rPr>
                <w:noProof/>
              </w:rPr>
              <w:t>M1C1–114</w:t>
            </w:r>
          </w:p>
        </w:tc>
        <w:tc>
          <w:tcPr>
            <w:tcW w:w="3118" w:type="dxa"/>
            <w:tcBorders>
              <w:top w:val="nil"/>
              <w:left w:val="nil"/>
              <w:bottom w:val="single" w:sz="4" w:space="0" w:color="auto"/>
              <w:right w:val="single" w:sz="4" w:space="0" w:color="auto"/>
            </w:tcBorders>
            <w:shd w:val="clear" w:color="auto" w:fill="C6EFCE"/>
            <w:noWrap/>
            <w:vAlign w:val="center"/>
          </w:tcPr>
          <w:p w14:paraId="06D79BE0"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188391E8" w14:textId="77777777" w:rsidR="003F5418" w:rsidRDefault="002A6C25">
            <w:pPr>
              <w:pStyle w:val="P68B1DB1-Normal9"/>
              <w:rPr>
                <w:noProof/>
              </w:rPr>
            </w:pPr>
            <w:r>
              <w:rPr>
                <w:noProof/>
              </w:rPr>
              <w:t>Cél</w:t>
            </w:r>
          </w:p>
        </w:tc>
        <w:tc>
          <w:tcPr>
            <w:tcW w:w="3827" w:type="dxa"/>
            <w:tcBorders>
              <w:top w:val="nil"/>
              <w:left w:val="nil"/>
              <w:bottom w:val="single" w:sz="4" w:space="0" w:color="auto"/>
              <w:right w:val="single" w:sz="4" w:space="0" w:color="auto"/>
            </w:tcBorders>
            <w:shd w:val="clear" w:color="auto" w:fill="C6EFCE"/>
            <w:noWrap/>
            <w:vAlign w:val="center"/>
          </w:tcPr>
          <w:p w14:paraId="0A81273C" w14:textId="77777777" w:rsidR="003F5418" w:rsidRDefault="002A6C25">
            <w:pPr>
              <w:pStyle w:val="P68B1DB1-Normal9"/>
              <w:rPr>
                <w:noProof/>
              </w:rPr>
            </w:pPr>
            <w:r>
              <w:rPr>
                <w:noProof/>
              </w:rPr>
              <w:t>A „megfelelési levelek” által generált adóbevételek növekedése</w:t>
            </w:r>
          </w:p>
        </w:tc>
      </w:tr>
      <w:tr w:rsidR="003F5418" w14:paraId="2EC4044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2F4996"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4026DA15"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2D892242" w14:textId="77777777" w:rsidR="003F5418" w:rsidRDefault="002A6C25">
            <w:pPr>
              <w:pStyle w:val="P68B1DB1-Normal9"/>
              <w:rPr>
                <w:noProof/>
              </w:rPr>
            </w:pPr>
            <w:r>
              <w:rPr>
                <w:noProof/>
              </w:rPr>
              <w:t>Részösszeg</w:t>
            </w:r>
          </w:p>
        </w:tc>
        <w:tc>
          <w:tcPr>
            <w:tcW w:w="3827" w:type="dxa"/>
            <w:tcBorders>
              <w:top w:val="single" w:sz="4" w:space="0" w:color="auto"/>
              <w:left w:val="nil"/>
              <w:bottom w:val="single" w:sz="4" w:space="0" w:color="auto"/>
              <w:right w:val="single" w:sz="4" w:space="0" w:color="auto"/>
            </w:tcBorders>
            <w:shd w:val="clear" w:color="auto" w:fill="C6EFCE"/>
            <w:noWrap/>
            <w:vAlign w:val="bottom"/>
          </w:tcPr>
          <w:p w14:paraId="00F41486" w14:textId="71A6777F" w:rsidR="003F5418" w:rsidRDefault="002A6C25">
            <w:pPr>
              <w:pStyle w:val="P68B1DB1-Normal9"/>
              <w:rPr>
                <w:noProof/>
              </w:rPr>
            </w:pPr>
            <w:r>
              <w:rPr>
                <w:rFonts w:hAnsi="Arial Narrow"/>
                <w:noProof/>
              </w:rPr>
              <w:t>3</w:t>
            </w:r>
            <w:r>
              <w:rPr>
                <w:rFonts w:hAnsi="Arial Narrow"/>
                <w:noProof/>
              </w:rPr>
              <w:t> </w:t>
            </w:r>
            <w:r>
              <w:rPr>
                <w:rFonts w:hAnsi="Arial Narrow"/>
                <w:noProof/>
              </w:rPr>
              <w:t>731</w:t>
            </w:r>
            <w:r>
              <w:rPr>
                <w:rFonts w:hAnsi="Arial Narrow"/>
                <w:noProof/>
              </w:rPr>
              <w:t> </w:t>
            </w:r>
            <w:r>
              <w:rPr>
                <w:rFonts w:hAnsi="Arial Narrow"/>
                <w:noProof/>
              </w:rPr>
              <w:t>584</w:t>
            </w:r>
            <w:r>
              <w:rPr>
                <w:rFonts w:hAnsi="Arial Narrow"/>
                <w:noProof/>
              </w:rPr>
              <w:t> </w:t>
            </w:r>
            <w:r>
              <w:rPr>
                <w:rFonts w:hAnsi="Arial Narrow"/>
                <w:noProof/>
              </w:rPr>
              <w:t>149</w:t>
            </w:r>
            <w:r>
              <w:rPr>
                <w:rFonts w:hAnsi="Arial Narrow"/>
                <w:noProof/>
              </w:rPr>
              <w:t> </w:t>
            </w:r>
            <w:r>
              <w:rPr>
                <w:rFonts w:hAnsi="Arial Narrow"/>
                <w:noProof/>
              </w:rPr>
              <w:t xml:space="preserve">EUR </w:t>
            </w:r>
          </w:p>
        </w:tc>
      </w:tr>
    </w:tbl>
    <w:p w14:paraId="30E559C9" w14:textId="77777777" w:rsidR="003F5418" w:rsidRDefault="002A6C25">
      <w:pPr>
        <w:pStyle w:val="P68B1DB1-Normal35"/>
        <w:numPr>
          <w:ilvl w:val="1"/>
          <w:numId w:val="6"/>
        </w:numPr>
        <w:spacing w:before="120" w:after="120"/>
        <w:jc w:val="both"/>
        <w:rPr>
          <w:noProof/>
        </w:rPr>
      </w:pPr>
      <w:r>
        <w:rPr>
          <w:noProof/>
        </w:rPr>
        <w:t>Hatodik kifizetés (vissza nem térítendő támogatás):</w:t>
      </w:r>
    </w:p>
    <w:tbl>
      <w:tblPr>
        <w:tblW w:w="9998" w:type="dxa"/>
        <w:tblInd w:w="113" w:type="dxa"/>
        <w:tblLook w:val="04A0" w:firstRow="1" w:lastRow="0" w:firstColumn="1" w:lastColumn="0" w:noHBand="0" w:noVBand="1"/>
      </w:tblPr>
      <w:tblGrid>
        <w:gridCol w:w="1438"/>
        <w:gridCol w:w="3118"/>
        <w:gridCol w:w="1418"/>
        <w:gridCol w:w="4049"/>
      </w:tblGrid>
      <w:tr w:rsidR="003F5418" w14:paraId="6CB24018"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9B23D42"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E50F3D"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867BDC" w14:textId="77777777" w:rsidR="003F5418" w:rsidRDefault="002A6C25">
            <w:pPr>
              <w:pStyle w:val="P68B1DB1-Normal36"/>
              <w:jc w:val="center"/>
              <w:rPr>
                <w:noProof/>
              </w:rPr>
            </w:pPr>
            <w:r>
              <w:rPr>
                <w:noProof/>
              </w:rPr>
              <w:t>Mérföldkő/cél</w:t>
            </w:r>
          </w:p>
        </w:tc>
        <w:tc>
          <w:tcPr>
            <w:tcW w:w="404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4AABEC" w14:textId="77777777" w:rsidR="003F5418" w:rsidRDefault="002A6C25">
            <w:pPr>
              <w:pStyle w:val="P68B1DB1-Normal36"/>
              <w:jc w:val="center"/>
              <w:rPr>
                <w:noProof/>
              </w:rPr>
            </w:pPr>
            <w:r>
              <w:rPr>
                <w:noProof/>
              </w:rPr>
              <w:t>Név</w:t>
            </w:r>
          </w:p>
        </w:tc>
      </w:tr>
      <w:tr w:rsidR="003F5418" w14:paraId="4FB64791"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D51BDE0"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3EDF63F"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0C8762" w14:textId="77777777" w:rsidR="003F5418" w:rsidRDefault="003F5418">
            <w:pPr>
              <w:rPr>
                <w:b/>
                <w:noProof/>
              </w:rPr>
            </w:pPr>
          </w:p>
        </w:tc>
        <w:tc>
          <w:tcPr>
            <w:tcW w:w="4049" w:type="dxa"/>
            <w:vMerge/>
            <w:tcBorders>
              <w:top w:val="single" w:sz="4" w:space="0" w:color="auto"/>
              <w:left w:val="single" w:sz="4" w:space="0" w:color="auto"/>
              <w:bottom w:val="single" w:sz="4" w:space="0" w:color="auto"/>
              <w:right w:val="single" w:sz="4" w:space="0" w:color="auto"/>
            </w:tcBorders>
            <w:vAlign w:val="center"/>
            <w:hideMark/>
          </w:tcPr>
          <w:p w14:paraId="1AB292CB" w14:textId="77777777" w:rsidR="003F5418" w:rsidRDefault="003F5418">
            <w:pPr>
              <w:rPr>
                <w:b/>
                <w:noProof/>
              </w:rPr>
            </w:pPr>
          </w:p>
        </w:tc>
      </w:tr>
      <w:tr w:rsidR="003F5418" w14:paraId="76CBD3E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E46D01" w14:textId="77777777" w:rsidR="003F5418" w:rsidRDefault="002A6C25">
            <w:pPr>
              <w:pStyle w:val="P68B1DB1-Normal9"/>
              <w:jc w:val="center"/>
              <w:rPr>
                <w:noProof/>
              </w:rPr>
            </w:pPr>
            <w:r>
              <w:rPr>
                <w:noProof/>
              </w:rPr>
              <w:t>M1C1–14a</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3C368559" w14:textId="77777777" w:rsidR="003F5418" w:rsidRDefault="002A6C25">
            <w:pPr>
              <w:pStyle w:val="P68B1DB1-Normal9"/>
              <w:rPr>
                <w:noProof/>
              </w:rPr>
            </w:pPr>
            <w:r>
              <w:rPr>
                <w:noProof/>
              </w:rPr>
              <w:t>Reform: A kohéziós politika végrehajtásának felgyorsítását célzó reform</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12A673D6" w14:textId="77777777" w:rsidR="003F5418" w:rsidRDefault="002A6C25">
            <w:pPr>
              <w:pStyle w:val="P68B1DB1-Normal9"/>
              <w:rPr>
                <w:noProof/>
              </w:rPr>
            </w:pPr>
            <w:r>
              <w:rPr>
                <w:noProof/>
              </w:rPr>
              <w:t xml:space="preserve">Mérföldkő </w:t>
            </w:r>
          </w:p>
        </w:tc>
        <w:tc>
          <w:tcPr>
            <w:tcW w:w="4049" w:type="dxa"/>
            <w:tcBorders>
              <w:top w:val="single" w:sz="4" w:space="0" w:color="auto"/>
              <w:left w:val="nil"/>
              <w:bottom w:val="single" w:sz="4" w:space="0" w:color="auto"/>
              <w:right w:val="single" w:sz="4" w:space="0" w:color="auto"/>
            </w:tcBorders>
            <w:shd w:val="clear" w:color="auto" w:fill="C6EFCE"/>
            <w:noWrap/>
            <w:vAlign w:val="center"/>
          </w:tcPr>
          <w:p w14:paraId="16B69DAE" w14:textId="77777777" w:rsidR="003F5418" w:rsidRDefault="002A6C25">
            <w:pPr>
              <w:pStyle w:val="P68B1DB1-Normal9"/>
              <w:rPr>
                <w:noProof/>
              </w:rPr>
            </w:pPr>
            <w:r>
              <w:rPr>
                <w:noProof/>
              </w:rPr>
              <w:t xml:space="preserve">A </w:t>
            </w:r>
            <w:r>
              <w:rPr>
                <w:noProof/>
              </w:rPr>
              <w:t>kohéziós politika végrehajtásának felgyorsítását célzó nemzeti jogszabályok hatálybalépése</w:t>
            </w:r>
          </w:p>
        </w:tc>
      </w:tr>
      <w:tr w:rsidR="003F5418" w14:paraId="3B27BE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8C5D5F" w14:textId="77777777" w:rsidR="003F5418" w:rsidRDefault="002A6C25">
            <w:pPr>
              <w:pStyle w:val="P68B1DB1-Normal9"/>
              <w:jc w:val="center"/>
              <w:rPr>
                <w:noProof/>
              </w:rPr>
            </w:pPr>
            <w:r>
              <w:rPr>
                <w:noProof/>
              </w:rPr>
              <w:t>M1C1–15</w:t>
            </w:r>
          </w:p>
        </w:tc>
        <w:tc>
          <w:tcPr>
            <w:tcW w:w="3118" w:type="dxa"/>
            <w:tcBorders>
              <w:top w:val="nil"/>
              <w:left w:val="nil"/>
              <w:bottom w:val="single" w:sz="4" w:space="0" w:color="auto"/>
              <w:right w:val="single" w:sz="4" w:space="0" w:color="auto"/>
            </w:tcBorders>
            <w:shd w:val="clear" w:color="auto" w:fill="C6EFCE"/>
            <w:noWrap/>
            <w:vAlign w:val="center"/>
          </w:tcPr>
          <w:p w14:paraId="17E6B817" w14:textId="77777777" w:rsidR="003F5418" w:rsidRDefault="002A6C25">
            <w:pPr>
              <w:pStyle w:val="P68B1DB1-Normal9"/>
              <w:rPr>
                <w:noProof/>
              </w:rPr>
            </w:pPr>
            <w:r>
              <w:rPr>
                <w:noProof/>
              </w:rPr>
              <w:t>Beruházás: A pénzügyi rendőrség digitalizálása</w:t>
            </w:r>
          </w:p>
        </w:tc>
        <w:tc>
          <w:tcPr>
            <w:tcW w:w="1418" w:type="dxa"/>
            <w:tcBorders>
              <w:top w:val="nil"/>
              <w:left w:val="nil"/>
              <w:bottom w:val="single" w:sz="4" w:space="0" w:color="auto"/>
              <w:right w:val="single" w:sz="4" w:space="0" w:color="auto"/>
            </w:tcBorders>
            <w:shd w:val="clear" w:color="auto" w:fill="C6EFCE"/>
            <w:noWrap/>
            <w:vAlign w:val="center"/>
          </w:tcPr>
          <w:p w14:paraId="09311523"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3B049DD5" w14:textId="77777777" w:rsidR="003F5418" w:rsidRDefault="002A6C25">
            <w:pPr>
              <w:pStyle w:val="P68B1DB1-Normal9"/>
              <w:rPr>
                <w:noProof/>
              </w:rPr>
            </w:pPr>
            <w:r>
              <w:rPr>
                <w:noProof/>
              </w:rPr>
              <w:t>Pénzügyi rendőrség – Szakmai adattudományi szolgáltatások beszerzése T2</w:t>
            </w:r>
          </w:p>
        </w:tc>
      </w:tr>
      <w:tr w:rsidR="003F5418" w14:paraId="4D61B8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B507D1" w14:textId="77777777" w:rsidR="003F5418" w:rsidRDefault="002A6C25">
            <w:pPr>
              <w:pStyle w:val="P68B1DB1-Normal9"/>
              <w:jc w:val="center"/>
              <w:rPr>
                <w:noProof/>
              </w:rPr>
            </w:pPr>
            <w:r>
              <w:rPr>
                <w:noProof/>
              </w:rPr>
              <w:t>M1C1–37a.</w:t>
            </w:r>
          </w:p>
        </w:tc>
        <w:tc>
          <w:tcPr>
            <w:tcW w:w="3118" w:type="dxa"/>
            <w:tcBorders>
              <w:top w:val="nil"/>
              <w:left w:val="nil"/>
              <w:bottom w:val="single" w:sz="4" w:space="0" w:color="auto"/>
              <w:right w:val="single" w:sz="4" w:space="0" w:color="auto"/>
            </w:tcBorders>
            <w:shd w:val="clear" w:color="auto" w:fill="C6EFCE"/>
            <w:noWrap/>
            <w:vAlign w:val="center"/>
          </w:tcPr>
          <w:p w14:paraId="01F9E05B" w14:textId="77777777" w:rsidR="003F5418" w:rsidRDefault="002A6C25">
            <w:pPr>
              <w:pStyle w:val="P68B1DB1-Normal9"/>
              <w:rPr>
                <w:noProof/>
              </w:rPr>
            </w:pPr>
            <w:r>
              <w:rPr>
                <w:noProof/>
              </w:rPr>
              <w:t xml:space="preserve">Reform: A polgári </w:t>
            </w:r>
            <w:r>
              <w:rPr>
                <w:noProof/>
              </w:rPr>
              <w:t>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6A20A73F"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01BD11D5" w14:textId="77777777" w:rsidR="003F5418" w:rsidRDefault="002A6C25">
            <w:pPr>
              <w:pStyle w:val="P68B1DB1-Normal9"/>
              <w:rPr>
                <w:noProof/>
              </w:rPr>
            </w:pPr>
            <w:r>
              <w:rPr>
                <w:noProof/>
              </w:rPr>
              <w:t>Az ügyhátralék csökkentését célzó intézkedések hatálybalépése</w:t>
            </w:r>
          </w:p>
        </w:tc>
      </w:tr>
      <w:tr w:rsidR="003F5418" w14:paraId="531C0B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F96336" w14:textId="77777777" w:rsidR="003F5418" w:rsidRDefault="002A6C25">
            <w:pPr>
              <w:pStyle w:val="P68B1DB1-Normal9"/>
              <w:jc w:val="center"/>
              <w:rPr>
                <w:noProof/>
              </w:rPr>
            </w:pPr>
            <w:r>
              <w:rPr>
                <w:noProof/>
              </w:rPr>
              <w:t>M1C1–72a</w:t>
            </w:r>
          </w:p>
        </w:tc>
        <w:tc>
          <w:tcPr>
            <w:tcW w:w="3118" w:type="dxa"/>
            <w:tcBorders>
              <w:top w:val="nil"/>
              <w:left w:val="nil"/>
              <w:bottom w:val="single" w:sz="4" w:space="0" w:color="auto"/>
              <w:right w:val="single" w:sz="4" w:space="0" w:color="auto"/>
            </w:tcBorders>
            <w:shd w:val="clear" w:color="auto" w:fill="C6EFCE"/>
            <w:noWrap/>
            <w:vAlign w:val="center"/>
          </w:tcPr>
          <w:p w14:paraId="525FE7B5" w14:textId="77777777" w:rsidR="003F5418" w:rsidRDefault="002A6C25">
            <w:pPr>
              <w:pStyle w:val="P68B1DB1-Normal9"/>
              <w:rPr>
                <w:noProof/>
              </w:rPr>
            </w:pPr>
            <w:r>
              <w:rPr>
                <w:noProof/>
              </w:rPr>
              <w:t>Reform: A közigazgatási és egészségügyi hatóságok késedelmes kifizetéseinek csökkentése</w:t>
            </w:r>
          </w:p>
        </w:tc>
        <w:tc>
          <w:tcPr>
            <w:tcW w:w="1418" w:type="dxa"/>
            <w:tcBorders>
              <w:top w:val="nil"/>
              <w:left w:val="nil"/>
              <w:bottom w:val="single" w:sz="4" w:space="0" w:color="auto"/>
              <w:right w:val="single" w:sz="4" w:space="0" w:color="auto"/>
            </w:tcBorders>
            <w:shd w:val="clear" w:color="auto" w:fill="C6EFCE"/>
            <w:noWrap/>
            <w:vAlign w:val="center"/>
          </w:tcPr>
          <w:p w14:paraId="4448E378"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3B4B4ED5" w14:textId="77777777" w:rsidR="003F5418" w:rsidRDefault="002A6C25">
            <w:pPr>
              <w:pStyle w:val="P68B1DB1-Normal9"/>
              <w:rPr>
                <w:noProof/>
              </w:rPr>
            </w:pPr>
            <w:r>
              <w:rPr>
                <w:noProof/>
              </w:rPr>
              <w:t>Jogalkotási és konkrét intézkedések a késedelme</w:t>
            </w:r>
            <w:r>
              <w:rPr>
                <w:noProof/>
              </w:rPr>
              <w:t>s fizetések csökkentésére központi/helyi szinten</w:t>
            </w:r>
          </w:p>
        </w:tc>
      </w:tr>
      <w:tr w:rsidR="003F5418" w14:paraId="693716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6FBAF1" w14:textId="77777777" w:rsidR="003F5418" w:rsidRDefault="002A6C25">
            <w:pPr>
              <w:pStyle w:val="P68B1DB1-Normal9"/>
              <w:jc w:val="center"/>
              <w:rPr>
                <w:noProof/>
              </w:rPr>
            </w:pPr>
            <w:r>
              <w:rPr>
                <w:noProof/>
              </w:rPr>
              <w:t>M2C2–6</w:t>
            </w:r>
          </w:p>
        </w:tc>
        <w:tc>
          <w:tcPr>
            <w:tcW w:w="3118" w:type="dxa"/>
            <w:tcBorders>
              <w:top w:val="nil"/>
              <w:left w:val="nil"/>
              <w:bottom w:val="single" w:sz="4" w:space="0" w:color="auto"/>
              <w:right w:val="single" w:sz="4" w:space="0" w:color="auto"/>
            </w:tcBorders>
            <w:shd w:val="clear" w:color="auto" w:fill="C6EFCE"/>
            <w:noWrap/>
            <w:vAlign w:val="center"/>
          </w:tcPr>
          <w:p w14:paraId="536387F7" w14:textId="77777777" w:rsidR="003F5418" w:rsidRDefault="002A6C25">
            <w:pPr>
              <w:pStyle w:val="P68B1DB1-Normal9"/>
              <w:rPr>
                <w:noProof/>
              </w:rPr>
            </w:pPr>
            <w:r>
              <w:rPr>
                <w:noProof/>
              </w:rPr>
              <w:t>Reform A megújuló szárazföldi és tengeri erőművek engedélyezési eljárásainak egyszerűsítése és a megújuló energiaforrásokból történő termelés fenntartását célzó új jogi keret, valamint a jelenlegi tá</w:t>
            </w:r>
            <w:r>
              <w:rPr>
                <w:noProof/>
              </w:rPr>
              <w:t>mogatási rendszerek időbeli és jogosultsági meghosszabbítása</w:t>
            </w:r>
          </w:p>
        </w:tc>
        <w:tc>
          <w:tcPr>
            <w:tcW w:w="1418" w:type="dxa"/>
            <w:tcBorders>
              <w:top w:val="nil"/>
              <w:left w:val="nil"/>
              <w:bottom w:val="single" w:sz="4" w:space="0" w:color="auto"/>
              <w:right w:val="single" w:sz="4" w:space="0" w:color="auto"/>
            </w:tcBorders>
            <w:shd w:val="clear" w:color="auto" w:fill="C6EFCE"/>
            <w:noWrap/>
            <w:vAlign w:val="center"/>
          </w:tcPr>
          <w:p w14:paraId="2C63F575"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11CC6478" w14:textId="77777777" w:rsidR="003F5418" w:rsidRDefault="002A6C25">
            <w:pPr>
              <w:pStyle w:val="P68B1DB1-Normal9"/>
              <w:rPr>
                <w:noProof/>
              </w:rPr>
            </w:pPr>
            <w:r>
              <w:rPr>
                <w:noProof/>
              </w:rPr>
              <w:t>A szárazföldi és tengeri megújuló energiák építésére vonatkozó engedélyezési eljárások egyszerűsítését szolgáló jogi keret hatálybalépése</w:t>
            </w:r>
          </w:p>
        </w:tc>
      </w:tr>
      <w:tr w:rsidR="003F5418" w14:paraId="6E28BA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6EB955" w14:textId="77777777" w:rsidR="003F5418" w:rsidRDefault="002A6C25">
            <w:pPr>
              <w:pStyle w:val="P68B1DB1-Normal9"/>
              <w:jc w:val="center"/>
              <w:rPr>
                <w:noProof/>
              </w:rPr>
            </w:pPr>
            <w:r>
              <w:rPr>
                <w:noProof/>
              </w:rPr>
              <w:t>M4C1–8</w:t>
            </w:r>
          </w:p>
        </w:tc>
        <w:tc>
          <w:tcPr>
            <w:tcW w:w="3118" w:type="dxa"/>
            <w:tcBorders>
              <w:top w:val="nil"/>
              <w:left w:val="nil"/>
              <w:bottom w:val="single" w:sz="4" w:space="0" w:color="auto"/>
              <w:right w:val="single" w:sz="4" w:space="0" w:color="auto"/>
            </w:tcBorders>
            <w:shd w:val="clear" w:color="auto" w:fill="C6EFCE"/>
            <w:noWrap/>
            <w:vAlign w:val="center"/>
          </w:tcPr>
          <w:p w14:paraId="0FC89F5D" w14:textId="77777777" w:rsidR="003F5418" w:rsidRDefault="002A6C25">
            <w:pPr>
              <w:pStyle w:val="P68B1DB1-Normal9"/>
              <w:rPr>
                <w:noProof/>
              </w:rPr>
            </w:pPr>
            <w:r>
              <w:rPr>
                <w:noProof/>
              </w:rPr>
              <w:t xml:space="preserve">Beruházás: Iskolai </w:t>
            </w:r>
            <w:r>
              <w:rPr>
                <w:noProof/>
              </w:rPr>
              <w:t>sportinfrastruktúra-fejlesztési terv</w:t>
            </w:r>
          </w:p>
        </w:tc>
        <w:tc>
          <w:tcPr>
            <w:tcW w:w="1418" w:type="dxa"/>
            <w:tcBorders>
              <w:top w:val="nil"/>
              <w:left w:val="nil"/>
              <w:bottom w:val="single" w:sz="4" w:space="0" w:color="auto"/>
              <w:right w:val="single" w:sz="4" w:space="0" w:color="auto"/>
            </w:tcBorders>
            <w:shd w:val="clear" w:color="auto" w:fill="C6EFCE"/>
            <w:noWrap/>
            <w:vAlign w:val="center"/>
          </w:tcPr>
          <w:p w14:paraId="1E967014"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0C568493" w14:textId="77777777" w:rsidR="003F5418" w:rsidRDefault="002A6C25">
            <w:pPr>
              <w:pStyle w:val="P68B1DB1-Normal9"/>
              <w:rPr>
                <w:noProof/>
              </w:rPr>
            </w:pPr>
            <w:r>
              <w:rPr>
                <w:noProof/>
              </w:rPr>
              <w:t>Az Oktatási Minisztérium rendeletében előirányzott sportlétesítmények és tornatermek építésére és felújítására irányuló beavatkozásokra vonatkozó szerződések odaítélése</w:t>
            </w:r>
          </w:p>
        </w:tc>
      </w:tr>
      <w:tr w:rsidR="003F5418" w14:paraId="1D442A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801BB1" w14:textId="77777777" w:rsidR="003F5418" w:rsidRDefault="002A6C25">
            <w:pPr>
              <w:pStyle w:val="P68B1DB1-Normal9"/>
              <w:jc w:val="center"/>
              <w:rPr>
                <w:noProof/>
              </w:rPr>
            </w:pPr>
            <w:r>
              <w:rPr>
                <w:noProof/>
              </w:rPr>
              <w:t xml:space="preserve">M5C1–9 </w:t>
            </w:r>
          </w:p>
        </w:tc>
        <w:tc>
          <w:tcPr>
            <w:tcW w:w="3118" w:type="dxa"/>
            <w:tcBorders>
              <w:top w:val="nil"/>
              <w:left w:val="nil"/>
              <w:bottom w:val="single" w:sz="4" w:space="0" w:color="auto"/>
              <w:right w:val="single" w:sz="4" w:space="0" w:color="auto"/>
            </w:tcBorders>
            <w:shd w:val="clear" w:color="auto" w:fill="C6EFCE"/>
            <w:noWrap/>
            <w:vAlign w:val="center"/>
          </w:tcPr>
          <w:p w14:paraId="6CB30CF8" w14:textId="77777777" w:rsidR="003F5418" w:rsidRDefault="002A6C25">
            <w:pPr>
              <w:pStyle w:val="P68B1DB1-Normal9"/>
              <w:rPr>
                <w:noProof/>
              </w:rPr>
            </w:pPr>
            <w:r>
              <w:rPr>
                <w:noProof/>
              </w:rPr>
              <w:t>Reform – Be nem jelentett munka</w:t>
            </w:r>
          </w:p>
        </w:tc>
        <w:tc>
          <w:tcPr>
            <w:tcW w:w="1418" w:type="dxa"/>
            <w:tcBorders>
              <w:top w:val="nil"/>
              <w:left w:val="nil"/>
              <w:bottom w:val="single" w:sz="4" w:space="0" w:color="auto"/>
              <w:right w:val="single" w:sz="4" w:space="0" w:color="auto"/>
            </w:tcBorders>
            <w:shd w:val="clear" w:color="auto" w:fill="C6EFCE"/>
            <w:noWrap/>
            <w:vAlign w:val="center"/>
          </w:tcPr>
          <w:p w14:paraId="2C0584B9"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6AC18625" w14:textId="77777777" w:rsidR="003F5418" w:rsidRDefault="002A6C25">
            <w:pPr>
              <w:pStyle w:val="P68B1DB1-Normal9"/>
              <w:rPr>
                <w:noProof/>
              </w:rPr>
            </w:pPr>
            <w:r>
              <w:rPr>
                <w:noProof/>
              </w:rPr>
              <w:t>A nemzeti tervben foglalt intézkedések teljes körű végrehajtása az ütemtervvel összhangban</w:t>
            </w:r>
          </w:p>
        </w:tc>
      </w:tr>
      <w:tr w:rsidR="003F5418" w14:paraId="4AB5F6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27A9B" w14:textId="77777777" w:rsidR="003F5418" w:rsidRDefault="002A6C25">
            <w:pPr>
              <w:pStyle w:val="P68B1DB1-Normal9"/>
              <w:jc w:val="center"/>
              <w:rPr>
                <w:noProof/>
              </w:rPr>
            </w:pPr>
            <w:r>
              <w:rPr>
                <w:noProof/>
              </w:rPr>
              <w:t>M5C2–4</w:t>
            </w:r>
          </w:p>
        </w:tc>
        <w:tc>
          <w:tcPr>
            <w:tcW w:w="3118" w:type="dxa"/>
            <w:tcBorders>
              <w:top w:val="nil"/>
              <w:left w:val="nil"/>
              <w:bottom w:val="single" w:sz="4" w:space="0" w:color="auto"/>
              <w:right w:val="single" w:sz="4" w:space="0" w:color="auto"/>
            </w:tcBorders>
            <w:shd w:val="clear" w:color="auto" w:fill="C6EFCE"/>
            <w:noWrap/>
            <w:vAlign w:val="center"/>
          </w:tcPr>
          <w:p w14:paraId="54C67C66" w14:textId="77777777" w:rsidR="003F5418" w:rsidRDefault="002A6C25">
            <w:pPr>
              <w:pStyle w:val="P68B1DB1-Normal9"/>
              <w:rPr>
                <w:noProof/>
              </w:rPr>
            </w:pPr>
            <w:r>
              <w:rPr>
                <w:noProof/>
              </w:rPr>
              <w:t>Reform – Az önellátó időskorúakra vonatkozó reform</w:t>
            </w:r>
          </w:p>
        </w:tc>
        <w:tc>
          <w:tcPr>
            <w:tcW w:w="1418" w:type="dxa"/>
            <w:tcBorders>
              <w:top w:val="nil"/>
              <w:left w:val="nil"/>
              <w:bottom w:val="single" w:sz="4" w:space="0" w:color="auto"/>
              <w:right w:val="single" w:sz="4" w:space="0" w:color="auto"/>
            </w:tcBorders>
            <w:shd w:val="clear" w:color="auto" w:fill="C6EFCE"/>
            <w:noWrap/>
            <w:vAlign w:val="center"/>
          </w:tcPr>
          <w:p w14:paraId="5D9F4B11"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430FA83D" w14:textId="77777777" w:rsidR="003F5418" w:rsidRDefault="002A6C25">
            <w:pPr>
              <w:pStyle w:val="P68B1DB1-Normal9"/>
              <w:rPr>
                <w:noProof/>
              </w:rPr>
            </w:pPr>
            <w:r>
              <w:rPr>
                <w:noProof/>
              </w:rPr>
              <w:t xml:space="preserve">Azon törvényerejű rendeletek hatálybalépése, amelyek a kerettörvényben meghatározott </w:t>
            </w:r>
            <w:r>
              <w:rPr>
                <w:noProof/>
              </w:rPr>
              <w:t>rendelkezéseket fejlesztik ki az önellátással nem rendelkező idősek érdekében tett intézkedések megerősítése érdekében</w:t>
            </w:r>
          </w:p>
        </w:tc>
      </w:tr>
      <w:tr w:rsidR="003F5418" w14:paraId="05FDAC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0DA50" w14:textId="77777777" w:rsidR="003F5418" w:rsidRDefault="002A6C25">
            <w:pPr>
              <w:pStyle w:val="P68B1DB1-Normal9"/>
              <w:jc w:val="center"/>
              <w:rPr>
                <w:noProof/>
              </w:rPr>
            </w:pPr>
            <w:r>
              <w:rPr>
                <w:noProof/>
              </w:rPr>
              <w:t>M7–9</w:t>
            </w:r>
          </w:p>
        </w:tc>
        <w:tc>
          <w:tcPr>
            <w:tcW w:w="3118" w:type="dxa"/>
            <w:tcBorders>
              <w:top w:val="nil"/>
              <w:left w:val="nil"/>
              <w:bottom w:val="single" w:sz="4" w:space="0" w:color="auto"/>
              <w:right w:val="single" w:sz="4" w:space="0" w:color="auto"/>
            </w:tcBorders>
            <w:shd w:val="clear" w:color="auto" w:fill="C6EFCE"/>
            <w:noWrap/>
            <w:vAlign w:val="center"/>
          </w:tcPr>
          <w:p w14:paraId="1E840D66" w14:textId="77777777" w:rsidR="003F5418" w:rsidRDefault="002A6C25">
            <w:pPr>
              <w:pStyle w:val="P68B1DB1-Normal9"/>
              <w:rPr>
                <w:noProof/>
              </w:rPr>
            </w:pPr>
            <w:r>
              <w:rPr>
                <w:noProof/>
              </w:rPr>
              <w:t>Reform: Új készségekre vonatkozó terv – Átállások</w:t>
            </w:r>
          </w:p>
        </w:tc>
        <w:tc>
          <w:tcPr>
            <w:tcW w:w="1418" w:type="dxa"/>
            <w:tcBorders>
              <w:top w:val="nil"/>
              <w:left w:val="nil"/>
              <w:bottom w:val="single" w:sz="4" w:space="0" w:color="auto"/>
              <w:right w:val="single" w:sz="4" w:space="0" w:color="auto"/>
            </w:tcBorders>
            <w:shd w:val="clear" w:color="auto" w:fill="C6EFCE"/>
            <w:noWrap/>
            <w:vAlign w:val="center"/>
          </w:tcPr>
          <w:p w14:paraId="4B02CFD4"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45EBE6AF" w14:textId="77777777" w:rsidR="003F5418" w:rsidRDefault="002A6C25">
            <w:pPr>
              <w:pStyle w:val="P68B1DB1-Normal9"/>
              <w:rPr>
                <w:noProof/>
              </w:rPr>
            </w:pPr>
            <w:r>
              <w:rPr>
                <w:noProof/>
              </w:rPr>
              <w:t xml:space="preserve">Az új készségfejlesztési terv elfogadása és közzététele – Átállások és </w:t>
            </w:r>
            <w:r>
              <w:rPr>
                <w:noProof/>
              </w:rPr>
              <w:t>a végrehajtási ütemterv</w:t>
            </w:r>
          </w:p>
        </w:tc>
      </w:tr>
      <w:tr w:rsidR="003F5418" w14:paraId="2A38F5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C6FE6D" w14:textId="77777777" w:rsidR="003F5418" w:rsidRDefault="002A6C25">
            <w:pPr>
              <w:pStyle w:val="P68B1DB1-Normal9"/>
              <w:jc w:val="center"/>
              <w:rPr>
                <w:noProof/>
              </w:rPr>
            </w:pPr>
            <w:r>
              <w:rPr>
                <w:noProof/>
              </w:rPr>
              <w:t>7–32. INTÉZKEDÉS</w:t>
            </w:r>
          </w:p>
        </w:tc>
        <w:tc>
          <w:tcPr>
            <w:tcW w:w="3118" w:type="dxa"/>
            <w:tcBorders>
              <w:top w:val="nil"/>
              <w:left w:val="nil"/>
              <w:bottom w:val="single" w:sz="4" w:space="0" w:color="auto"/>
              <w:right w:val="single" w:sz="4" w:space="0" w:color="auto"/>
            </w:tcBorders>
            <w:shd w:val="clear" w:color="auto" w:fill="C6EFCE"/>
            <w:noWrap/>
            <w:vAlign w:val="center"/>
          </w:tcPr>
          <w:p w14:paraId="401B853F" w14:textId="77777777" w:rsidR="003F5418" w:rsidRDefault="002A6C25">
            <w:pPr>
              <w:pStyle w:val="P68B1DB1-Normal9"/>
              <w:rPr>
                <w:noProof/>
              </w:rPr>
            </w:pPr>
            <w:r>
              <w:rPr>
                <w:noProof/>
              </w:rPr>
              <w:t>Beruházás: Támogatási program a nemzetközi, ipari és K+F vezető szerep fejlesztésére a kibocsátásmentes buszok terén</w:t>
            </w:r>
          </w:p>
        </w:tc>
        <w:tc>
          <w:tcPr>
            <w:tcW w:w="1418" w:type="dxa"/>
            <w:tcBorders>
              <w:top w:val="nil"/>
              <w:left w:val="nil"/>
              <w:bottom w:val="single" w:sz="4" w:space="0" w:color="auto"/>
              <w:right w:val="single" w:sz="4" w:space="0" w:color="auto"/>
            </w:tcBorders>
            <w:shd w:val="clear" w:color="auto" w:fill="C6EFCE"/>
            <w:noWrap/>
            <w:vAlign w:val="center"/>
          </w:tcPr>
          <w:p w14:paraId="7AD3A038"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23B6787C" w14:textId="77777777" w:rsidR="003F5418" w:rsidRDefault="002A6C25">
            <w:pPr>
              <w:pStyle w:val="P68B1DB1-Normal9"/>
              <w:rPr>
                <w:noProof/>
              </w:rPr>
            </w:pPr>
            <w:r>
              <w:rPr>
                <w:noProof/>
              </w:rPr>
              <w:t>Végrehajtási megállapodás</w:t>
            </w:r>
          </w:p>
        </w:tc>
      </w:tr>
      <w:tr w:rsidR="003F5418" w14:paraId="09D366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F2223" w14:textId="77777777" w:rsidR="003F5418" w:rsidRDefault="002A6C25">
            <w:pPr>
              <w:pStyle w:val="P68B1DB1-Normal9"/>
              <w:jc w:val="center"/>
              <w:rPr>
                <w:noProof/>
              </w:rPr>
            </w:pPr>
            <w:r>
              <w:rPr>
                <w:noProof/>
              </w:rPr>
              <w:t>M1C1–39</w:t>
            </w:r>
          </w:p>
        </w:tc>
        <w:tc>
          <w:tcPr>
            <w:tcW w:w="3118" w:type="dxa"/>
            <w:tcBorders>
              <w:top w:val="nil"/>
              <w:left w:val="nil"/>
              <w:bottom w:val="single" w:sz="4" w:space="0" w:color="auto"/>
              <w:right w:val="single" w:sz="4" w:space="0" w:color="auto"/>
            </w:tcBorders>
            <w:shd w:val="clear" w:color="auto" w:fill="C6EFCE"/>
            <w:noWrap/>
            <w:vAlign w:val="center"/>
          </w:tcPr>
          <w:p w14:paraId="393D9579" w14:textId="77777777" w:rsidR="003F5418" w:rsidRDefault="002A6C25">
            <w:pPr>
              <w:pStyle w:val="P68B1DB1-Normal9"/>
              <w:rPr>
                <w:noProof/>
              </w:rPr>
            </w:pPr>
            <w:r>
              <w:rPr>
                <w:noProof/>
              </w:rPr>
              <w:t xml:space="preserve">Beruházás: A polgári és büntetőbíróságok felvételi </w:t>
            </w:r>
            <w:r>
              <w:rPr>
                <w:noProof/>
              </w:rPr>
              <w:t>eljárásai</w:t>
            </w:r>
          </w:p>
        </w:tc>
        <w:tc>
          <w:tcPr>
            <w:tcW w:w="1418" w:type="dxa"/>
            <w:tcBorders>
              <w:top w:val="nil"/>
              <w:left w:val="nil"/>
              <w:bottom w:val="single" w:sz="4" w:space="0" w:color="auto"/>
              <w:right w:val="single" w:sz="4" w:space="0" w:color="auto"/>
            </w:tcBorders>
            <w:shd w:val="clear" w:color="auto" w:fill="C6EFCE"/>
            <w:noWrap/>
            <w:vAlign w:val="center"/>
          </w:tcPr>
          <w:p w14:paraId="0A9C06FF"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1EC5156B" w14:textId="77777777" w:rsidR="003F5418" w:rsidRDefault="002A6C25">
            <w:pPr>
              <w:pStyle w:val="P68B1DB1-Normal9"/>
              <w:rPr>
                <w:noProof/>
              </w:rPr>
            </w:pPr>
            <w:r>
              <w:rPr>
                <w:noProof/>
              </w:rPr>
              <w:t>A polgári és büntetőbíróságokra, valamint az Igazságügyi Minisztériumnak a helyreállítási és rezilienciaépítési terv végrehajtásáért felelős területi és központi szolgálataira vonatkozó felvételi eljárások lezárása</w:t>
            </w:r>
          </w:p>
        </w:tc>
      </w:tr>
      <w:tr w:rsidR="003F5418" w14:paraId="24CFED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1E0095" w14:textId="77777777" w:rsidR="003F5418" w:rsidRDefault="002A6C25">
            <w:pPr>
              <w:pStyle w:val="P68B1DB1-Normal9"/>
              <w:jc w:val="center"/>
              <w:rPr>
                <w:noProof/>
              </w:rPr>
            </w:pPr>
            <w:r>
              <w:rPr>
                <w:noProof/>
              </w:rPr>
              <w:t>M1C1–40</w:t>
            </w:r>
          </w:p>
        </w:tc>
        <w:tc>
          <w:tcPr>
            <w:tcW w:w="3118" w:type="dxa"/>
            <w:tcBorders>
              <w:top w:val="nil"/>
              <w:left w:val="nil"/>
              <w:bottom w:val="single" w:sz="4" w:space="0" w:color="auto"/>
              <w:right w:val="single" w:sz="4" w:space="0" w:color="auto"/>
            </w:tcBorders>
            <w:shd w:val="clear" w:color="auto" w:fill="C6EFCE"/>
            <w:noWrap/>
            <w:vAlign w:val="center"/>
          </w:tcPr>
          <w:p w14:paraId="300914DE" w14:textId="77777777" w:rsidR="003F5418" w:rsidRDefault="002A6C25">
            <w:pPr>
              <w:pStyle w:val="P68B1DB1-Normal9"/>
              <w:rPr>
                <w:noProof/>
              </w:rPr>
            </w:pPr>
            <w:r>
              <w:rPr>
                <w:noProof/>
              </w:rPr>
              <w:t xml:space="preserve">Beruházás: A </w:t>
            </w:r>
            <w:r>
              <w:rPr>
                <w:noProof/>
              </w:rPr>
              <w:t>közigazgatási bíróságok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67726016"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29DD2B39" w14:textId="77777777" w:rsidR="003F5418" w:rsidRDefault="002A6C25">
            <w:pPr>
              <w:pStyle w:val="P68B1DB1-Normal9"/>
              <w:rPr>
                <w:noProof/>
              </w:rPr>
            </w:pPr>
            <w:r>
              <w:rPr>
                <w:noProof/>
              </w:rPr>
              <w:t>A közigazgatási bíróságok felvételi eljárásainak lezárása</w:t>
            </w:r>
          </w:p>
        </w:tc>
      </w:tr>
      <w:tr w:rsidR="003F5418" w14:paraId="044137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D7C98D" w14:textId="77777777" w:rsidR="003F5418" w:rsidRDefault="002A6C25">
            <w:pPr>
              <w:pStyle w:val="P68B1DB1-Normal9"/>
              <w:jc w:val="center"/>
              <w:rPr>
                <w:noProof/>
              </w:rPr>
            </w:pPr>
            <w:r>
              <w:rPr>
                <w:noProof/>
              </w:rPr>
              <w:t>M1C1–41. INTÉZKEDÉS</w:t>
            </w:r>
          </w:p>
        </w:tc>
        <w:tc>
          <w:tcPr>
            <w:tcW w:w="3118" w:type="dxa"/>
            <w:tcBorders>
              <w:top w:val="nil"/>
              <w:left w:val="nil"/>
              <w:bottom w:val="single" w:sz="4" w:space="0" w:color="auto"/>
              <w:right w:val="single" w:sz="4" w:space="0" w:color="auto"/>
            </w:tcBorders>
            <w:shd w:val="clear" w:color="auto" w:fill="C6EFCE"/>
            <w:noWrap/>
            <w:vAlign w:val="center"/>
          </w:tcPr>
          <w:p w14:paraId="0C5C15F2" w14:textId="77777777" w:rsidR="003F5418" w:rsidRDefault="002A6C25">
            <w:pPr>
              <w:pStyle w:val="P68B1DB1-Normal9"/>
              <w:rPr>
                <w:noProof/>
              </w:rPr>
            </w:pPr>
            <w:r>
              <w:rPr>
                <w:noProof/>
              </w:rPr>
              <w:t>Beruházás: A közigazgatási bíróságok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43C291B9"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1A5D3183" w14:textId="77777777" w:rsidR="003F5418" w:rsidRDefault="002A6C25">
            <w:pPr>
              <w:pStyle w:val="P68B1DB1-Normal9"/>
              <w:rPr>
                <w:noProof/>
              </w:rPr>
            </w:pPr>
            <w:r>
              <w:rPr>
                <w:noProof/>
              </w:rPr>
              <w:t>A közigazgatási regionális bíróságok ügyhátralékának csökkentése</w:t>
            </w:r>
          </w:p>
        </w:tc>
      </w:tr>
      <w:tr w:rsidR="003F5418" w14:paraId="137A6B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EC7382" w14:textId="77777777" w:rsidR="003F5418" w:rsidRDefault="002A6C25">
            <w:pPr>
              <w:pStyle w:val="P68B1DB1-Normal9"/>
              <w:jc w:val="center"/>
              <w:rPr>
                <w:noProof/>
              </w:rPr>
            </w:pPr>
            <w:r>
              <w:rPr>
                <w:noProof/>
              </w:rPr>
              <w:t>M1C1–42.</w:t>
            </w:r>
          </w:p>
        </w:tc>
        <w:tc>
          <w:tcPr>
            <w:tcW w:w="3118" w:type="dxa"/>
            <w:tcBorders>
              <w:top w:val="nil"/>
              <w:left w:val="nil"/>
              <w:bottom w:val="single" w:sz="4" w:space="0" w:color="auto"/>
              <w:right w:val="single" w:sz="4" w:space="0" w:color="auto"/>
            </w:tcBorders>
            <w:shd w:val="clear" w:color="auto" w:fill="C6EFCE"/>
            <w:noWrap/>
            <w:vAlign w:val="center"/>
          </w:tcPr>
          <w:p w14:paraId="0E181480" w14:textId="77777777" w:rsidR="003F5418" w:rsidRDefault="002A6C25">
            <w:pPr>
              <w:pStyle w:val="P68B1DB1-Normal9"/>
              <w:rPr>
                <w:noProof/>
              </w:rPr>
            </w:pPr>
            <w:r>
              <w:rPr>
                <w:noProof/>
              </w:rPr>
              <w:t>Beruházás: A közigazgatási bíróságok felvételi eljárásai</w:t>
            </w:r>
          </w:p>
        </w:tc>
        <w:tc>
          <w:tcPr>
            <w:tcW w:w="1418" w:type="dxa"/>
            <w:tcBorders>
              <w:top w:val="nil"/>
              <w:left w:val="nil"/>
              <w:bottom w:val="single" w:sz="4" w:space="0" w:color="auto"/>
              <w:right w:val="single" w:sz="4" w:space="0" w:color="auto"/>
            </w:tcBorders>
            <w:shd w:val="clear" w:color="auto" w:fill="C6EFCE"/>
            <w:noWrap/>
            <w:vAlign w:val="center"/>
          </w:tcPr>
          <w:p w14:paraId="4CD736E9"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77625C43" w14:textId="77777777" w:rsidR="003F5418" w:rsidRDefault="002A6C25">
            <w:pPr>
              <w:pStyle w:val="P68B1DB1-Normal9"/>
              <w:rPr>
                <w:noProof/>
              </w:rPr>
            </w:pPr>
            <w:r>
              <w:rPr>
                <w:noProof/>
              </w:rPr>
              <w:t>Az Államtanács ügyhátralékának csökkentése</w:t>
            </w:r>
          </w:p>
        </w:tc>
      </w:tr>
      <w:tr w:rsidR="003F5418" w14:paraId="5DC8D0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791762" w14:textId="77777777" w:rsidR="003F5418" w:rsidRDefault="002A6C25">
            <w:pPr>
              <w:pStyle w:val="P68B1DB1-Normal9"/>
              <w:jc w:val="center"/>
              <w:rPr>
                <w:noProof/>
              </w:rPr>
            </w:pPr>
            <w:r>
              <w:rPr>
                <w:noProof/>
              </w:rPr>
              <w:t>M1C1–59A</w:t>
            </w:r>
          </w:p>
        </w:tc>
        <w:tc>
          <w:tcPr>
            <w:tcW w:w="3118" w:type="dxa"/>
            <w:tcBorders>
              <w:top w:val="nil"/>
              <w:left w:val="nil"/>
              <w:bottom w:val="single" w:sz="4" w:space="0" w:color="auto"/>
              <w:right w:val="single" w:sz="4" w:space="0" w:color="auto"/>
            </w:tcBorders>
            <w:shd w:val="clear" w:color="auto" w:fill="C6EFCE"/>
            <w:noWrap/>
            <w:vAlign w:val="center"/>
          </w:tcPr>
          <w:p w14:paraId="7282E70F" w14:textId="77777777" w:rsidR="003F5418" w:rsidRDefault="002A6C25">
            <w:pPr>
              <w:pStyle w:val="P68B1DB1-Normal9"/>
              <w:rPr>
                <w:noProof/>
              </w:rPr>
            </w:pPr>
            <w:r>
              <w:rPr>
                <w:noProof/>
              </w:rPr>
              <w:t xml:space="preserve">Reform: A közigazgatás reformja </w:t>
            </w:r>
          </w:p>
        </w:tc>
        <w:tc>
          <w:tcPr>
            <w:tcW w:w="1418" w:type="dxa"/>
            <w:tcBorders>
              <w:top w:val="nil"/>
              <w:left w:val="nil"/>
              <w:bottom w:val="single" w:sz="4" w:space="0" w:color="auto"/>
              <w:right w:val="single" w:sz="4" w:space="0" w:color="auto"/>
            </w:tcBorders>
            <w:shd w:val="clear" w:color="auto" w:fill="C6EFCE"/>
            <w:noWrap/>
            <w:vAlign w:val="center"/>
          </w:tcPr>
          <w:p w14:paraId="22E73033"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1A30D0D9" w14:textId="77777777" w:rsidR="003F5418" w:rsidRDefault="002A6C25">
            <w:pPr>
              <w:pStyle w:val="P68B1DB1-Normal9"/>
              <w:rPr>
                <w:noProof/>
              </w:rPr>
            </w:pPr>
            <w:r>
              <w:rPr>
                <w:noProof/>
              </w:rPr>
              <w:t>Stratégiai humánerőforrás-gazdálkodás végrehajtása a közigazgatásban</w:t>
            </w:r>
          </w:p>
        </w:tc>
      </w:tr>
      <w:tr w:rsidR="003F5418" w14:paraId="29B9C6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BFE21C1" w14:textId="77777777" w:rsidR="003F5418" w:rsidRDefault="002A6C25">
            <w:pPr>
              <w:pStyle w:val="P68B1DB1-Normal9"/>
              <w:jc w:val="center"/>
              <w:rPr>
                <w:noProof/>
              </w:rPr>
            </w:pPr>
            <w:r>
              <w:rPr>
                <w:noProof/>
              </w:rPr>
              <w:t>M1C1–73a</w:t>
            </w:r>
          </w:p>
        </w:tc>
        <w:tc>
          <w:tcPr>
            <w:tcW w:w="3118" w:type="dxa"/>
            <w:tcBorders>
              <w:top w:val="nil"/>
              <w:left w:val="nil"/>
              <w:bottom w:val="single" w:sz="4" w:space="0" w:color="auto"/>
              <w:right w:val="single" w:sz="4" w:space="0" w:color="auto"/>
            </w:tcBorders>
            <w:shd w:val="clear" w:color="auto" w:fill="C6EFCE"/>
            <w:noWrap/>
            <w:vAlign w:val="center"/>
          </w:tcPr>
          <w:p w14:paraId="5F61E38B" w14:textId="77777777" w:rsidR="003F5418" w:rsidRDefault="002A6C25">
            <w:pPr>
              <w:pStyle w:val="P68B1DB1-Normal9"/>
              <w:rPr>
                <w:noProof/>
              </w:rPr>
            </w:pPr>
            <w:r>
              <w:rPr>
                <w:noProof/>
              </w:rPr>
              <w:t xml:space="preserve">Reform: A </w:t>
            </w:r>
            <w:r>
              <w:rPr>
                <w:noProof/>
              </w:rPr>
              <w:t>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49634435"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003C70A3" w14:textId="77777777" w:rsidR="003F5418" w:rsidRDefault="002A6C25">
            <w:pPr>
              <w:pStyle w:val="P68B1DB1-Normal9"/>
              <w:rPr>
                <w:noProof/>
              </w:rPr>
            </w:pPr>
            <w:r>
              <w:rPr>
                <w:noProof/>
              </w:rPr>
              <w:t>Az ajánlatkérő szervek minősítési rendszerének végrehajtására vonatkozó iránymutatások elfogadása.</w:t>
            </w:r>
          </w:p>
        </w:tc>
      </w:tr>
      <w:tr w:rsidR="003F5418" w14:paraId="2F13FA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FB39D2" w14:textId="77777777" w:rsidR="003F5418" w:rsidRDefault="002A6C25">
            <w:pPr>
              <w:pStyle w:val="P68B1DB1-Normal9"/>
              <w:jc w:val="center"/>
              <w:rPr>
                <w:noProof/>
              </w:rPr>
            </w:pPr>
            <w:r>
              <w:rPr>
                <w:noProof/>
              </w:rPr>
              <w:t>M1C1–108.</w:t>
            </w:r>
          </w:p>
        </w:tc>
        <w:tc>
          <w:tcPr>
            <w:tcW w:w="3118" w:type="dxa"/>
            <w:tcBorders>
              <w:top w:val="nil"/>
              <w:left w:val="nil"/>
              <w:bottom w:val="single" w:sz="4" w:space="0" w:color="auto"/>
              <w:right w:val="single" w:sz="4" w:space="0" w:color="auto"/>
            </w:tcBorders>
            <w:shd w:val="clear" w:color="auto" w:fill="C6EFCE"/>
            <w:noWrap/>
            <w:vAlign w:val="center"/>
          </w:tcPr>
          <w:p w14:paraId="7EE60E51" w14:textId="77777777" w:rsidR="003F5418" w:rsidRDefault="002A6C25">
            <w:pPr>
              <w:pStyle w:val="P68B1DB1-Normal9"/>
              <w:rPr>
                <w:noProof/>
              </w:rPr>
            </w:pPr>
            <w:r>
              <w:rPr>
                <w:noProof/>
              </w:rPr>
              <w:t>Reform: Az államháztartási számviteli szabályok reformja</w:t>
            </w:r>
          </w:p>
        </w:tc>
        <w:tc>
          <w:tcPr>
            <w:tcW w:w="1418" w:type="dxa"/>
            <w:tcBorders>
              <w:top w:val="nil"/>
              <w:left w:val="nil"/>
              <w:bottom w:val="single" w:sz="4" w:space="0" w:color="auto"/>
              <w:right w:val="single" w:sz="4" w:space="0" w:color="auto"/>
            </w:tcBorders>
            <w:shd w:val="clear" w:color="auto" w:fill="C6EFCE"/>
            <w:noWrap/>
            <w:vAlign w:val="center"/>
          </w:tcPr>
          <w:p w14:paraId="5AC0423E"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1CBA3871" w14:textId="77777777" w:rsidR="003F5418" w:rsidRDefault="002A6C25">
            <w:pPr>
              <w:pStyle w:val="P68B1DB1-Normal9"/>
              <w:rPr>
                <w:noProof/>
              </w:rPr>
            </w:pPr>
            <w:r>
              <w:rPr>
                <w:noProof/>
              </w:rPr>
              <w:t>A koncepcionális keret, az eredmény</w:t>
            </w:r>
            <w:r>
              <w:rPr>
                <w:noProof/>
              </w:rPr>
              <w:t>szemléletű számviteli standardok és a többdimenziós számlaábra jóváhagyása</w:t>
            </w:r>
          </w:p>
        </w:tc>
      </w:tr>
      <w:tr w:rsidR="003F5418" w14:paraId="6531C5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BFED8" w14:textId="77777777" w:rsidR="003F5418" w:rsidRDefault="002A6C25">
            <w:pPr>
              <w:pStyle w:val="P68B1DB1-Normal9"/>
              <w:jc w:val="center"/>
              <w:rPr>
                <w:noProof/>
              </w:rPr>
            </w:pPr>
            <w:r>
              <w:rPr>
                <w:noProof/>
              </w:rPr>
              <w:t>M1C1–111</w:t>
            </w:r>
          </w:p>
        </w:tc>
        <w:tc>
          <w:tcPr>
            <w:tcW w:w="3118" w:type="dxa"/>
            <w:tcBorders>
              <w:top w:val="nil"/>
              <w:left w:val="nil"/>
              <w:bottom w:val="single" w:sz="4" w:space="0" w:color="auto"/>
              <w:right w:val="single" w:sz="4" w:space="0" w:color="auto"/>
            </w:tcBorders>
            <w:shd w:val="clear" w:color="auto" w:fill="C6EFCE"/>
            <w:noWrap/>
            <w:vAlign w:val="center"/>
          </w:tcPr>
          <w:p w14:paraId="2BEC81FB" w14:textId="77777777" w:rsidR="003F5418" w:rsidRDefault="002A6C25">
            <w:pPr>
              <w:pStyle w:val="P68B1DB1-Normal9"/>
              <w:rPr>
                <w:noProof/>
              </w:rPr>
            </w:pPr>
            <w:r>
              <w:rPr>
                <w:noProof/>
              </w:rPr>
              <w:t>Reform: A kiadások felülvizsgálatára vonatkozó keret reformja</w:t>
            </w:r>
          </w:p>
        </w:tc>
        <w:tc>
          <w:tcPr>
            <w:tcW w:w="1418" w:type="dxa"/>
            <w:tcBorders>
              <w:top w:val="nil"/>
              <w:left w:val="nil"/>
              <w:bottom w:val="single" w:sz="4" w:space="0" w:color="auto"/>
              <w:right w:val="single" w:sz="4" w:space="0" w:color="auto"/>
            </w:tcBorders>
            <w:shd w:val="clear" w:color="auto" w:fill="C6EFCE"/>
            <w:noWrap/>
            <w:vAlign w:val="center"/>
          </w:tcPr>
          <w:p w14:paraId="2B434809"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4F2F508B" w14:textId="77777777" w:rsidR="003F5418" w:rsidRDefault="002A6C25">
            <w:pPr>
              <w:pStyle w:val="P68B1DB1-Normal9"/>
              <w:rPr>
                <w:noProof/>
              </w:rPr>
            </w:pPr>
            <w:r>
              <w:rPr>
                <w:noProof/>
              </w:rPr>
              <w:t xml:space="preserve">A kiadások 2023-ra vonatkozó éves felülvizsgálatának lezárása, hivatkozva a 2022-ben 2023-ra </w:t>
            </w:r>
            <w:r>
              <w:rPr>
                <w:noProof/>
              </w:rPr>
              <w:t>kitűzött megtakarítási célra</w:t>
            </w:r>
          </w:p>
        </w:tc>
      </w:tr>
      <w:tr w:rsidR="003F5418" w14:paraId="3C9D97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626F46" w14:textId="77777777" w:rsidR="003F5418" w:rsidRDefault="002A6C25">
            <w:pPr>
              <w:pStyle w:val="P68B1DB1-Normal9"/>
              <w:jc w:val="center"/>
              <w:rPr>
                <w:noProof/>
              </w:rPr>
            </w:pPr>
            <w:r>
              <w:rPr>
                <w:noProof/>
              </w:rPr>
              <w:t>M1C1–112</w:t>
            </w:r>
          </w:p>
        </w:tc>
        <w:tc>
          <w:tcPr>
            <w:tcW w:w="3118" w:type="dxa"/>
            <w:tcBorders>
              <w:top w:val="nil"/>
              <w:left w:val="nil"/>
              <w:bottom w:val="single" w:sz="4" w:space="0" w:color="auto"/>
              <w:right w:val="single" w:sz="4" w:space="0" w:color="auto"/>
            </w:tcBorders>
            <w:shd w:val="clear" w:color="auto" w:fill="C6EFCE"/>
            <w:noWrap/>
            <w:vAlign w:val="center"/>
          </w:tcPr>
          <w:p w14:paraId="7853B68E" w14:textId="77777777" w:rsidR="003F5418" w:rsidRDefault="002A6C25">
            <w:pPr>
              <w:pStyle w:val="P68B1DB1-Normal9"/>
              <w:rPr>
                <w:noProof/>
              </w:rPr>
            </w:pPr>
            <w:r>
              <w:rPr>
                <w:noProof/>
              </w:rPr>
              <w:t>Reform: Az adóhatóság reformja</w:t>
            </w:r>
          </w:p>
        </w:tc>
        <w:tc>
          <w:tcPr>
            <w:tcW w:w="1418" w:type="dxa"/>
            <w:tcBorders>
              <w:top w:val="nil"/>
              <w:left w:val="nil"/>
              <w:bottom w:val="single" w:sz="4" w:space="0" w:color="auto"/>
              <w:right w:val="single" w:sz="4" w:space="0" w:color="auto"/>
            </w:tcBorders>
            <w:shd w:val="clear" w:color="auto" w:fill="C6EFCE"/>
            <w:noWrap/>
            <w:vAlign w:val="center"/>
          </w:tcPr>
          <w:p w14:paraId="3E8F5587"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1BD10445" w14:textId="77777777" w:rsidR="003F5418" w:rsidRDefault="002A6C25">
            <w:pPr>
              <w:pStyle w:val="P68B1DB1-Normal9"/>
              <w:rPr>
                <w:noProof/>
              </w:rPr>
            </w:pPr>
            <w:r>
              <w:rPr>
                <w:noProof/>
              </w:rPr>
              <w:t>Az adóhatóság működési kapacitásának javítása az Adóhivatal „2021–2023-as teljesítménytervében” foglaltak szerint</w:t>
            </w:r>
          </w:p>
        </w:tc>
      </w:tr>
      <w:tr w:rsidR="003F5418" w14:paraId="50FCC8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DAE055" w14:textId="77777777" w:rsidR="003F5418" w:rsidRDefault="002A6C25">
            <w:pPr>
              <w:pStyle w:val="P68B1DB1-Normal9"/>
              <w:jc w:val="center"/>
              <w:rPr>
                <w:noProof/>
              </w:rPr>
            </w:pPr>
            <w:r>
              <w:rPr>
                <w:noProof/>
              </w:rPr>
              <w:t>M1C2–2</w:t>
            </w:r>
          </w:p>
        </w:tc>
        <w:tc>
          <w:tcPr>
            <w:tcW w:w="3118" w:type="dxa"/>
            <w:tcBorders>
              <w:top w:val="nil"/>
              <w:left w:val="nil"/>
              <w:bottom w:val="single" w:sz="4" w:space="0" w:color="auto"/>
              <w:right w:val="single" w:sz="4" w:space="0" w:color="auto"/>
            </w:tcBorders>
            <w:shd w:val="clear" w:color="auto" w:fill="C6EFCE"/>
            <w:noWrap/>
            <w:vAlign w:val="center"/>
          </w:tcPr>
          <w:p w14:paraId="5BDCBFF2" w14:textId="77777777" w:rsidR="003F5418" w:rsidRDefault="002A6C25">
            <w:pPr>
              <w:pStyle w:val="P68B1DB1-Normal9"/>
              <w:rPr>
                <w:noProof/>
              </w:rPr>
            </w:pPr>
            <w:r>
              <w:rPr>
                <w:noProof/>
              </w:rPr>
              <w:t>Az 1. beruházást Átállás 4.0</w:t>
            </w:r>
          </w:p>
        </w:tc>
        <w:tc>
          <w:tcPr>
            <w:tcW w:w="1418" w:type="dxa"/>
            <w:tcBorders>
              <w:top w:val="nil"/>
              <w:left w:val="nil"/>
              <w:bottom w:val="single" w:sz="4" w:space="0" w:color="auto"/>
              <w:right w:val="single" w:sz="4" w:space="0" w:color="auto"/>
            </w:tcBorders>
            <w:shd w:val="clear" w:color="auto" w:fill="C6EFCE"/>
            <w:noWrap/>
            <w:vAlign w:val="center"/>
          </w:tcPr>
          <w:p w14:paraId="3EBC810E"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60AFBD44" w14:textId="77777777" w:rsidR="003F5418" w:rsidRDefault="002A6C25">
            <w:pPr>
              <w:pStyle w:val="P68B1DB1-Normal9"/>
              <w:rPr>
                <w:noProof/>
              </w:rPr>
            </w:pPr>
            <w:r>
              <w:rPr>
                <w:noProof/>
              </w:rPr>
              <w:t>Átmenet 4.0-ás adójóváíráso</w:t>
            </w:r>
            <w:r>
              <w:rPr>
                <w:noProof/>
              </w:rPr>
              <w:t>k a vállalkozásoknak a 2021–2022-ben benyújtott adóbevallások alapján</w:t>
            </w:r>
          </w:p>
        </w:tc>
      </w:tr>
      <w:tr w:rsidR="003F5418" w14:paraId="20E0FF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B6C82F" w14:textId="77777777" w:rsidR="003F5418" w:rsidRDefault="002A6C25">
            <w:pPr>
              <w:pStyle w:val="P68B1DB1-Normal9"/>
              <w:jc w:val="center"/>
              <w:rPr>
                <w:noProof/>
              </w:rPr>
            </w:pPr>
            <w:r>
              <w:rPr>
                <w:noProof/>
              </w:rPr>
              <w:t>M1C3–9</w:t>
            </w:r>
          </w:p>
        </w:tc>
        <w:tc>
          <w:tcPr>
            <w:tcW w:w="3118" w:type="dxa"/>
            <w:tcBorders>
              <w:top w:val="nil"/>
              <w:left w:val="nil"/>
              <w:bottom w:val="single" w:sz="4" w:space="0" w:color="auto"/>
              <w:right w:val="single" w:sz="4" w:space="0" w:color="auto"/>
            </w:tcBorders>
            <w:shd w:val="clear" w:color="auto" w:fill="C6EFCE"/>
            <w:noWrap/>
            <w:vAlign w:val="center"/>
          </w:tcPr>
          <w:p w14:paraId="5B2A70BD" w14:textId="77777777" w:rsidR="003F5418" w:rsidRDefault="002A6C25">
            <w:pPr>
              <w:pStyle w:val="P68B1DB1-Normal9"/>
              <w:rPr>
                <w:noProof/>
              </w:rPr>
            </w:pPr>
            <w:r>
              <w:rPr>
                <w:noProof/>
              </w:rPr>
              <w:t>Beruházás: Digitális turisztikai központ</w:t>
            </w:r>
          </w:p>
        </w:tc>
        <w:tc>
          <w:tcPr>
            <w:tcW w:w="1418" w:type="dxa"/>
            <w:tcBorders>
              <w:top w:val="nil"/>
              <w:left w:val="nil"/>
              <w:bottom w:val="single" w:sz="4" w:space="0" w:color="auto"/>
              <w:right w:val="single" w:sz="4" w:space="0" w:color="auto"/>
            </w:tcBorders>
            <w:shd w:val="clear" w:color="auto" w:fill="C6EFCE"/>
            <w:noWrap/>
            <w:vAlign w:val="center"/>
          </w:tcPr>
          <w:p w14:paraId="0633EF4F"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11706BB7" w14:textId="77777777" w:rsidR="003F5418" w:rsidRDefault="002A6C25">
            <w:pPr>
              <w:pStyle w:val="P68B1DB1-Normal9"/>
              <w:rPr>
                <w:noProof/>
              </w:rPr>
            </w:pPr>
            <w:r>
              <w:rPr>
                <w:noProof/>
              </w:rPr>
              <w:t>Idegenforgalmi szolgáltatók bevonása a Digitális Turisztikai Platformba</w:t>
            </w:r>
          </w:p>
        </w:tc>
      </w:tr>
      <w:tr w:rsidR="003F5418" w14:paraId="122823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C72CFE" w14:textId="77777777" w:rsidR="003F5418" w:rsidRDefault="002A6C25">
            <w:pPr>
              <w:pStyle w:val="P68B1DB1-Normal9"/>
              <w:jc w:val="center"/>
              <w:rPr>
                <w:noProof/>
              </w:rPr>
            </w:pPr>
            <w:r>
              <w:rPr>
                <w:noProof/>
              </w:rPr>
              <w:t>M1C3–10</w:t>
            </w:r>
          </w:p>
        </w:tc>
        <w:tc>
          <w:tcPr>
            <w:tcW w:w="3118" w:type="dxa"/>
            <w:tcBorders>
              <w:top w:val="nil"/>
              <w:left w:val="nil"/>
              <w:bottom w:val="single" w:sz="4" w:space="0" w:color="auto"/>
              <w:right w:val="single" w:sz="4" w:space="0" w:color="auto"/>
            </w:tcBorders>
            <w:shd w:val="clear" w:color="auto" w:fill="C6EFCE"/>
            <w:noWrap/>
            <w:vAlign w:val="center"/>
          </w:tcPr>
          <w:p w14:paraId="5E15FCD0" w14:textId="77777777" w:rsidR="003F5418" w:rsidRDefault="002A6C25">
            <w:pPr>
              <w:pStyle w:val="P68B1DB1-Normal9"/>
              <w:rPr>
                <w:noProof/>
              </w:rPr>
            </w:pPr>
            <w:r>
              <w:rPr>
                <w:noProof/>
              </w:rPr>
              <w:t xml:space="preserve">Reform: Rendelet az idegenvezetői szakmákról. </w:t>
            </w:r>
          </w:p>
        </w:tc>
        <w:tc>
          <w:tcPr>
            <w:tcW w:w="1418" w:type="dxa"/>
            <w:tcBorders>
              <w:top w:val="nil"/>
              <w:left w:val="nil"/>
              <w:bottom w:val="single" w:sz="4" w:space="0" w:color="auto"/>
              <w:right w:val="single" w:sz="4" w:space="0" w:color="auto"/>
            </w:tcBorders>
            <w:shd w:val="clear" w:color="auto" w:fill="C6EFCE"/>
            <w:noWrap/>
            <w:vAlign w:val="center"/>
          </w:tcPr>
          <w:p w14:paraId="0C90B12D"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25E9B742" w14:textId="77777777" w:rsidR="003F5418" w:rsidRDefault="002A6C25">
            <w:pPr>
              <w:pStyle w:val="P68B1DB1-Normal9"/>
              <w:rPr>
                <w:noProof/>
              </w:rPr>
            </w:pPr>
            <w:r>
              <w:rPr>
                <w:noProof/>
              </w:rPr>
              <w:t>Az idegenvezetőkre vonatkozó nemzeti szabvány meghatározása</w:t>
            </w:r>
          </w:p>
        </w:tc>
      </w:tr>
      <w:tr w:rsidR="003F5418" w14:paraId="03214B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E26096" w14:textId="77777777" w:rsidR="003F5418" w:rsidRDefault="002A6C25">
            <w:pPr>
              <w:pStyle w:val="P68B1DB1-Normal9"/>
              <w:jc w:val="center"/>
              <w:rPr>
                <w:noProof/>
              </w:rPr>
            </w:pPr>
            <w:r>
              <w:rPr>
                <w:noProof/>
              </w:rPr>
              <w:t>M2C1–6</w:t>
            </w:r>
          </w:p>
        </w:tc>
        <w:tc>
          <w:tcPr>
            <w:tcW w:w="3118" w:type="dxa"/>
            <w:tcBorders>
              <w:top w:val="nil"/>
              <w:left w:val="nil"/>
              <w:bottom w:val="single" w:sz="4" w:space="0" w:color="auto"/>
              <w:right w:val="single" w:sz="4" w:space="0" w:color="auto"/>
            </w:tcBorders>
            <w:shd w:val="clear" w:color="auto" w:fill="C6EFCE"/>
            <w:noWrap/>
            <w:vAlign w:val="center"/>
          </w:tcPr>
          <w:p w14:paraId="0FA0293F" w14:textId="77777777" w:rsidR="003F5418" w:rsidRDefault="002A6C25">
            <w:pPr>
              <w:pStyle w:val="P68B1DB1-Normal9"/>
              <w:rPr>
                <w:noProof/>
              </w:rPr>
            </w:pPr>
            <w:r>
              <w:rPr>
                <w:noProof/>
              </w:rPr>
              <w:t>Beruházás: Agrár-soláris park</w:t>
            </w:r>
          </w:p>
        </w:tc>
        <w:tc>
          <w:tcPr>
            <w:tcW w:w="1418" w:type="dxa"/>
            <w:tcBorders>
              <w:top w:val="nil"/>
              <w:left w:val="nil"/>
              <w:bottom w:val="single" w:sz="4" w:space="0" w:color="auto"/>
              <w:right w:val="single" w:sz="4" w:space="0" w:color="auto"/>
            </w:tcBorders>
            <w:shd w:val="clear" w:color="auto" w:fill="C6EFCE"/>
            <w:noWrap/>
            <w:vAlign w:val="center"/>
          </w:tcPr>
          <w:p w14:paraId="0E5B05B2"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54F62CCB" w14:textId="77777777" w:rsidR="003F5418" w:rsidRDefault="002A6C25">
            <w:pPr>
              <w:pStyle w:val="P68B1DB1-Normal9"/>
              <w:rPr>
                <w:noProof/>
              </w:rPr>
            </w:pPr>
            <w:r>
              <w:rPr>
                <w:noProof/>
              </w:rPr>
              <w:t>A források kedvezményezettek közötti elosztása a beruházáshoz rendelt összes pénzügyi forrás %-ában</w:t>
            </w:r>
          </w:p>
        </w:tc>
      </w:tr>
      <w:tr w:rsidR="003F5418" w14:paraId="133C88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50B87B" w14:textId="77777777" w:rsidR="003F5418" w:rsidRDefault="002A6C25">
            <w:pPr>
              <w:pStyle w:val="P68B1DB1-Normal9"/>
              <w:jc w:val="center"/>
              <w:rPr>
                <w:noProof/>
              </w:rPr>
            </w:pPr>
            <w:r>
              <w:rPr>
                <w:noProof/>
              </w:rPr>
              <w:t>M3C2–5</w:t>
            </w:r>
          </w:p>
        </w:tc>
        <w:tc>
          <w:tcPr>
            <w:tcW w:w="3118" w:type="dxa"/>
            <w:tcBorders>
              <w:top w:val="nil"/>
              <w:left w:val="nil"/>
              <w:bottom w:val="single" w:sz="4" w:space="0" w:color="auto"/>
              <w:right w:val="single" w:sz="4" w:space="0" w:color="auto"/>
            </w:tcBorders>
            <w:shd w:val="clear" w:color="auto" w:fill="C6EFCE"/>
            <w:noWrap/>
            <w:vAlign w:val="center"/>
          </w:tcPr>
          <w:p w14:paraId="46C2258C" w14:textId="77777777" w:rsidR="003F5418" w:rsidRDefault="002A6C25">
            <w:pPr>
              <w:pStyle w:val="P68B1DB1-Normal9"/>
              <w:rPr>
                <w:noProof/>
              </w:rPr>
            </w:pPr>
            <w:r>
              <w:rPr>
                <w:noProof/>
              </w:rPr>
              <w:t xml:space="preserve">Beruházás – A logisztikai lánc </w:t>
            </w:r>
            <w:r>
              <w:rPr>
                <w:noProof/>
              </w:rPr>
              <w:t>digitalizálása</w:t>
            </w:r>
          </w:p>
        </w:tc>
        <w:tc>
          <w:tcPr>
            <w:tcW w:w="1418" w:type="dxa"/>
            <w:tcBorders>
              <w:top w:val="nil"/>
              <w:left w:val="nil"/>
              <w:bottom w:val="single" w:sz="4" w:space="0" w:color="auto"/>
              <w:right w:val="single" w:sz="4" w:space="0" w:color="auto"/>
            </w:tcBorders>
            <w:shd w:val="clear" w:color="auto" w:fill="C6EFCE"/>
            <w:noWrap/>
            <w:vAlign w:val="center"/>
          </w:tcPr>
          <w:p w14:paraId="212734B1" w14:textId="77777777" w:rsidR="003F5418" w:rsidRDefault="002A6C25">
            <w:pPr>
              <w:pStyle w:val="P68B1DB1-Normal9"/>
              <w:rPr>
                <w:noProof/>
              </w:rPr>
            </w:pPr>
            <w:r>
              <w:rPr>
                <w:noProof/>
              </w:rPr>
              <w:t>Cél</w:t>
            </w:r>
          </w:p>
        </w:tc>
        <w:tc>
          <w:tcPr>
            <w:tcW w:w="4049" w:type="dxa"/>
            <w:tcBorders>
              <w:top w:val="nil"/>
              <w:left w:val="nil"/>
              <w:bottom w:val="single" w:sz="4" w:space="0" w:color="auto"/>
              <w:right w:val="single" w:sz="4" w:space="0" w:color="auto"/>
            </w:tcBorders>
            <w:shd w:val="clear" w:color="auto" w:fill="C6EFCE"/>
            <w:noWrap/>
            <w:vAlign w:val="center"/>
          </w:tcPr>
          <w:p w14:paraId="781D330E" w14:textId="77777777" w:rsidR="003F5418" w:rsidRDefault="002A6C25">
            <w:pPr>
              <w:pStyle w:val="P68B1DB1-Normal9"/>
              <w:rPr>
                <w:noProof/>
              </w:rPr>
            </w:pPr>
            <w:r>
              <w:rPr>
                <w:noProof/>
              </w:rPr>
              <w:t>A logisztikai lánc digitalizálása</w:t>
            </w:r>
          </w:p>
        </w:tc>
      </w:tr>
      <w:tr w:rsidR="003F5418" w14:paraId="33895B2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435239" w14:textId="77777777" w:rsidR="003F5418" w:rsidRDefault="002A6C25">
            <w:pPr>
              <w:pStyle w:val="P68B1DB1-Normal9"/>
              <w:jc w:val="center"/>
              <w:rPr>
                <w:noProof/>
              </w:rPr>
            </w:pPr>
            <w:r>
              <w:rPr>
                <w:noProof/>
              </w:rPr>
              <w:t>M5C2–2</w:t>
            </w:r>
          </w:p>
        </w:tc>
        <w:tc>
          <w:tcPr>
            <w:tcW w:w="3118" w:type="dxa"/>
            <w:tcBorders>
              <w:top w:val="nil"/>
              <w:left w:val="nil"/>
              <w:bottom w:val="single" w:sz="4" w:space="0" w:color="auto"/>
              <w:right w:val="single" w:sz="4" w:space="0" w:color="auto"/>
            </w:tcBorders>
            <w:shd w:val="clear" w:color="auto" w:fill="C6EFCE"/>
            <w:noWrap/>
            <w:vAlign w:val="center"/>
          </w:tcPr>
          <w:p w14:paraId="75B601D0" w14:textId="77777777" w:rsidR="003F5418" w:rsidRDefault="002A6C25">
            <w:pPr>
              <w:pStyle w:val="P68B1DB1-Normal9"/>
              <w:rPr>
                <w:noProof/>
              </w:rPr>
            </w:pPr>
            <w:r>
              <w:rPr>
                <w:noProof/>
              </w:rPr>
              <w:t>Reform – A fogyatékosságról szóló keretjogszabály</w:t>
            </w:r>
          </w:p>
        </w:tc>
        <w:tc>
          <w:tcPr>
            <w:tcW w:w="1418" w:type="dxa"/>
            <w:tcBorders>
              <w:top w:val="nil"/>
              <w:left w:val="nil"/>
              <w:bottom w:val="single" w:sz="4" w:space="0" w:color="auto"/>
              <w:right w:val="single" w:sz="4" w:space="0" w:color="auto"/>
            </w:tcBorders>
            <w:shd w:val="clear" w:color="auto" w:fill="C6EFCE"/>
            <w:noWrap/>
            <w:vAlign w:val="center"/>
          </w:tcPr>
          <w:p w14:paraId="62706FBD" w14:textId="77777777" w:rsidR="003F5418" w:rsidRDefault="002A6C25">
            <w:pPr>
              <w:pStyle w:val="P68B1DB1-Normal9"/>
              <w:rPr>
                <w:noProof/>
              </w:rPr>
            </w:pPr>
            <w:r>
              <w:rPr>
                <w:noProof/>
              </w:rPr>
              <w:t>Mérföldkő</w:t>
            </w:r>
          </w:p>
        </w:tc>
        <w:tc>
          <w:tcPr>
            <w:tcW w:w="4049" w:type="dxa"/>
            <w:tcBorders>
              <w:top w:val="nil"/>
              <w:left w:val="nil"/>
              <w:bottom w:val="single" w:sz="4" w:space="0" w:color="auto"/>
              <w:right w:val="single" w:sz="4" w:space="0" w:color="auto"/>
            </w:tcBorders>
            <w:shd w:val="clear" w:color="auto" w:fill="C6EFCE"/>
            <w:noWrap/>
            <w:vAlign w:val="center"/>
          </w:tcPr>
          <w:p w14:paraId="0E7B8426" w14:textId="77777777" w:rsidR="003F5418" w:rsidRDefault="002A6C25">
            <w:pPr>
              <w:pStyle w:val="P68B1DB1-Normal9"/>
              <w:rPr>
                <w:noProof/>
              </w:rPr>
            </w:pPr>
            <w:r>
              <w:rPr>
                <w:noProof/>
              </w:rPr>
              <w:t>A kerettörvény hatálybalépése és a fogyatékossággal élő személyek autonómiájának megerősítését célzó kerettörvény rendelkezéseit kidolg</w:t>
            </w:r>
            <w:r>
              <w:rPr>
                <w:noProof/>
              </w:rPr>
              <w:t>ozó törvényerejű rendeletek kormányzati elfogadása</w:t>
            </w:r>
          </w:p>
        </w:tc>
      </w:tr>
      <w:tr w:rsidR="003F5418" w14:paraId="7A03E54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7ACD99"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D2E25AB"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6E680F13" w14:textId="77777777" w:rsidR="003F5418" w:rsidRDefault="002A6C25">
            <w:pPr>
              <w:pStyle w:val="P68B1DB1-Normal9"/>
              <w:rPr>
                <w:noProof/>
              </w:rPr>
            </w:pPr>
            <w:r>
              <w:rPr>
                <w:noProof/>
              </w:rPr>
              <w:t>Részösszeg</w:t>
            </w:r>
          </w:p>
        </w:tc>
        <w:tc>
          <w:tcPr>
            <w:tcW w:w="4049" w:type="dxa"/>
            <w:tcBorders>
              <w:top w:val="single" w:sz="4" w:space="0" w:color="auto"/>
              <w:left w:val="nil"/>
              <w:bottom w:val="single" w:sz="4" w:space="0" w:color="auto"/>
              <w:right w:val="single" w:sz="4" w:space="0" w:color="auto"/>
            </w:tcBorders>
            <w:shd w:val="clear" w:color="auto" w:fill="C6EFCE"/>
            <w:noWrap/>
            <w:vAlign w:val="bottom"/>
          </w:tcPr>
          <w:p w14:paraId="291732C8" w14:textId="2FB791F9" w:rsidR="003F5418" w:rsidRDefault="002A6C25">
            <w:pPr>
              <w:pStyle w:val="P68B1DB1-Normal9"/>
              <w:rPr>
                <w:noProof/>
              </w:rPr>
            </w:pPr>
            <w:r>
              <w:rPr>
                <w:rFonts w:hAnsi="Arial Narrow"/>
                <w:noProof/>
              </w:rPr>
              <w:t>1</w:t>
            </w:r>
            <w:r>
              <w:rPr>
                <w:rFonts w:hAnsi="Arial Narrow"/>
                <w:noProof/>
              </w:rPr>
              <w:t> </w:t>
            </w:r>
            <w:r>
              <w:rPr>
                <w:rFonts w:hAnsi="Arial Narrow"/>
                <w:noProof/>
              </w:rPr>
              <w:t>943</w:t>
            </w:r>
            <w:r>
              <w:rPr>
                <w:rFonts w:hAnsi="Arial Narrow"/>
                <w:noProof/>
              </w:rPr>
              <w:t> </w:t>
            </w:r>
            <w:r>
              <w:rPr>
                <w:rFonts w:hAnsi="Arial Narrow"/>
                <w:noProof/>
              </w:rPr>
              <w:t>488</w:t>
            </w:r>
            <w:r>
              <w:rPr>
                <w:rFonts w:hAnsi="Arial Narrow"/>
                <w:noProof/>
              </w:rPr>
              <w:t> </w:t>
            </w:r>
            <w:r>
              <w:rPr>
                <w:rFonts w:hAnsi="Arial Narrow"/>
                <w:noProof/>
              </w:rPr>
              <w:t>219</w:t>
            </w:r>
            <w:r>
              <w:rPr>
                <w:rFonts w:hAnsi="Arial Narrow"/>
                <w:noProof/>
              </w:rPr>
              <w:t> </w:t>
            </w:r>
            <w:r>
              <w:rPr>
                <w:rFonts w:hAnsi="Arial Narrow"/>
                <w:noProof/>
              </w:rPr>
              <w:t xml:space="preserve">EUR </w:t>
            </w:r>
          </w:p>
        </w:tc>
      </w:tr>
    </w:tbl>
    <w:p w14:paraId="027F4DE7" w14:textId="77777777" w:rsidR="003F5418" w:rsidRDefault="002A6C25">
      <w:pPr>
        <w:pStyle w:val="P68B1DB1-Normal35"/>
        <w:numPr>
          <w:ilvl w:val="1"/>
          <w:numId w:val="6"/>
        </w:numPr>
        <w:spacing w:before="120" w:after="120"/>
        <w:jc w:val="both"/>
        <w:rPr>
          <w:noProof/>
        </w:rPr>
      </w:pPr>
      <w:r>
        <w:rPr>
          <w:noProof/>
        </w:rPr>
        <w:t>Hetedik részlet (vissza nem térítendő támogatás):</w:t>
      </w:r>
    </w:p>
    <w:tbl>
      <w:tblPr>
        <w:tblW w:w="9969" w:type="dxa"/>
        <w:tblInd w:w="113" w:type="dxa"/>
        <w:tblLook w:val="04A0" w:firstRow="1" w:lastRow="0" w:firstColumn="1" w:lastColumn="0" w:noHBand="0" w:noVBand="1"/>
      </w:tblPr>
      <w:tblGrid>
        <w:gridCol w:w="1438"/>
        <w:gridCol w:w="3118"/>
        <w:gridCol w:w="1418"/>
        <w:gridCol w:w="4020"/>
      </w:tblGrid>
      <w:tr w:rsidR="003F5418" w14:paraId="68A92D33"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DC557B"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7C84339" w14:textId="77777777" w:rsidR="003F5418" w:rsidRDefault="002A6C25">
            <w:pPr>
              <w:pStyle w:val="P68B1DB1-Normal36"/>
              <w:jc w:val="center"/>
              <w:rPr>
                <w:noProof/>
              </w:rPr>
            </w:pPr>
            <w:r>
              <w:rPr>
                <w:noProof/>
              </w:rPr>
              <w:t>Kapcsolódó intézkedés (reform vagy beruházás)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8C7D600" w14:textId="77777777" w:rsidR="003F5418" w:rsidRDefault="002A6C25">
            <w:pPr>
              <w:pStyle w:val="P68B1DB1-Normal36"/>
              <w:jc w:val="center"/>
              <w:rPr>
                <w:noProof/>
              </w:rPr>
            </w:pPr>
            <w:r>
              <w:rPr>
                <w:noProof/>
              </w:rPr>
              <w:t>Mérföldkő/cél</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696DE0" w14:textId="77777777" w:rsidR="003F5418" w:rsidRDefault="002A6C25">
            <w:pPr>
              <w:pStyle w:val="P68B1DB1-Normal36"/>
              <w:jc w:val="center"/>
              <w:rPr>
                <w:noProof/>
              </w:rPr>
            </w:pPr>
            <w:r>
              <w:rPr>
                <w:noProof/>
              </w:rPr>
              <w:t>Név</w:t>
            </w:r>
          </w:p>
        </w:tc>
      </w:tr>
      <w:tr w:rsidR="003F5418" w14:paraId="7511E47B"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D37DD10"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32878FE" w14:textId="77777777" w:rsidR="003F5418" w:rsidRDefault="003F5418">
            <w:pPr>
              <w:rPr>
                <w:b/>
                <w:noProof/>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B67B5E" w14:textId="77777777" w:rsidR="003F5418" w:rsidRDefault="003F5418">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0DA7AFDA" w14:textId="77777777" w:rsidR="003F5418" w:rsidRDefault="003F5418">
            <w:pPr>
              <w:rPr>
                <w:b/>
                <w:noProof/>
              </w:rPr>
            </w:pPr>
          </w:p>
        </w:tc>
      </w:tr>
      <w:tr w:rsidR="003F5418" w14:paraId="1BA5A21D"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773BEB" w14:textId="77777777" w:rsidR="003F5418" w:rsidRDefault="002A6C25">
            <w:pPr>
              <w:pStyle w:val="P68B1DB1-Normal9"/>
              <w:jc w:val="center"/>
              <w:rPr>
                <w:noProof/>
              </w:rPr>
            </w:pPr>
            <w:r>
              <w:rPr>
                <w:noProof/>
              </w:rPr>
              <w:t>M1C1–17</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B427C50" w14:textId="77777777" w:rsidR="003F5418" w:rsidRDefault="002A6C25">
            <w:pPr>
              <w:pStyle w:val="P68B1DB1-Normal9"/>
              <w:rPr>
                <w:noProof/>
              </w:rPr>
            </w:pPr>
            <w:r>
              <w:rPr>
                <w:noProof/>
              </w:rPr>
              <w:t>Beruházás: Digitális infrastruktúra</w:t>
            </w:r>
          </w:p>
        </w:tc>
        <w:tc>
          <w:tcPr>
            <w:tcW w:w="1418" w:type="dxa"/>
            <w:tcBorders>
              <w:top w:val="single" w:sz="4" w:space="0" w:color="auto"/>
              <w:left w:val="nil"/>
              <w:bottom w:val="single" w:sz="4" w:space="0" w:color="auto"/>
              <w:right w:val="single" w:sz="4" w:space="0" w:color="auto"/>
            </w:tcBorders>
            <w:shd w:val="clear" w:color="auto" w:fill="C6EFCE"/>
            <w:noWrap/>
            <w:vAlign w:val="center"/>
          </w:tcPr>
          <w:p w14:paraId="20A7F004" w14:textId="77777777" w:rsidR="003F5418" w:rsidRDefault="002A6C25">
            <w:pPr>
              <w:pStyle w:val="P68B1DB1-Normal9"/>
              <w:rPr>
                <w:noProof/>
              </w:rPr>
            </w:pPr>
            <w:r>
              <w:rPr>
                <w:noProof/>
              </w:rPr>
              <w:t>Cél</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65AF92F5" w14:textId="77777777" w:rsidR="003F5418" w:rsidRDefault="002A6C25">
            <w:pPr>
              <w:pStyle w:val="P68B1DB1-Normal9"/>
              <w:rPr>
                <w:noProof/>
              </w:rPr>
            </w:pPr>
            <w:r>
              <w:rPr>
                <w:noProof/>
              </w:rPr>
              <w:t>Átállás a Polo Strategico Nazionale T1-re</w:t>
            </w:r>
          </w:p>
        </w:tc>
      </w:tr>
      <w:tr w:rsidR="003F5418" w14:paraId="18F248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8F599" w14:textId="77777777" w:rsidR="003F5418" w:rsidRDefault="002A6C25">
            <w:pPr>
              <w:pStyle w:val="P68B1DB1-Normal9"/>
              <w:jc w:val="center"/>
              <w:rPr>
                <w:noProof/>
              </w:rPr>
            </w:pPr>
            <w:r>
              <w:rPr>
                <w:noProof/>
              </w:rPr>
              <w:t>M7–7</w:t>
            </w:r>
          </w:p>
        </w:tc>
        <w:tc>
          <w:tcPr>
            <w:tcW w:w="3118" w:type="dxa"/>
            <w:tcBorders>
              <w:top w:val="nil"/>
              <w:left w:val="nil"/>
              <w:bottom w:val="single" w:sz="4" w:space="0" w:color="auto"/>
              <w:right w:val="single" w:sz="4" w:space="0" w:color="auto"/>
            </w:tcBorders>
            <w:shd w:val="clear" w:color="auto" w:fill="C6EFCE"/>
            <w:noWrap/>
            <w:vAlign w:val="center"/>
          </w:tcPr>
          <w:p w14:paraId="5602B7DC" w14:textId="77777777" w:rsidR="003F5418" w:rsidRDefault="002A6C25">
            <w:pPr>
              <w:pStyle w:val="P68B1DB1-Normal9"/>
              <w:rPr>
                <w:noProof/>
              </w:rPr>
            </w:pPr>
            <w:r>
              <w:rPr>
                <w:noProof/>
              </w:rPr>
              <w:t>Reform: A megújuló energiavásárlási megállapodásokhoz (Power Purchase Agreement) kapcsolódó pénzügyi kockázat csökkentése</w:t>
            </w:r>
          </w:p>
        </w:tc>
        <w:tc>
          <w:tcPr>
            <w:tcW w:w="1418" w:type="dxa"/>
            <w:tcBorders>
              <w:top w:val="nil"/>
              <w:left w:val="nil"/>
              <w:bottom w:val="single" w:sz="4" w:space="0" w:color="auto"/>
              <w:right w:val="single" w:sz="4" w:space="0" w:color="auto"/>
            </w:tcBorders>
            <w:shd w:val="clear" w:color="auto" w:fill="C6EFCE"/>
            <w:noWrap/>
            <w:vAlign w:val="center"/>
          </w:tcPr>
          <w:p w14:paraId="4154657D"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5DC63BD5" w14:textId="77777777" w:rsidR="003F5418" w:rsidRDefault="002A6C25">
            <w:pPr>
              <w:pStyle w:val="P68B1DB1-Normal9"/>
              <w:rPr>
                <w:noProof/>
              </w:rPr>
            </w:pPr>
            <w:r>
              <w:rPr>
                <w:noProof/>
              </w:rPr>
              <w:t>Az elsődleges jog hatálybalépése</w:t>
            </w:r>
          </w:p>
        </w:tc>
      </w:tr>
      <w:tr w:rsidR="003F5418" w14:paraId="183F8F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E37653" w14:textId="77777777" w:rsidR="003F5418" w:rsidRDefault="002A6C25">
            <w:pPr>
              <w:pStyle w:val="P68B1DB1-Normal9"/>
              <w:jc w:val="center"/>
              <w:rPr>
                <w:noProof/>
              </w:rPr>
            </w:pPr>
            <w:r>
              <w:rPr>
                <w:noProof/>
              </w:rPr>
              <w:t>M7–14</w:t>
            </w:r>
          </w:p>
        </w:tc>
        <w:tc>
          <w:tcPr>
            <w:tcW w:w="3118" w:type="dxa"/>
            <w:tcBorders>
              <w:top w:val="nil"/>
              <w:left w:val="nil"/>
              <w:bottom w:val="single" w:sz="4" w:space="0" w:color="auto"/>
              <w:right w:val="single" w:sz="4" w:space="0" w:color="auto"/>
            </w:tcBorders>
            <w:shd w:val="clear" w:color="auto" w:fill="C6EFCE"/>
            <w:noWrap/>
            <w:vAlign w:val="center"/>
          </w:tcPr>
          <w:p w14:paraId="2E3F0EAB" w14:textId="77777777" w:rsidR="003F5418" w:rsidRDefault="002A6C25">
            <w:pPr>
              <w:pStyle w:val="P68B1DB1-Normal9"/>
              <w:rPr>
                <w:noProof/>
              </w:rPr>
            </w:pPr>
            <w:r>
              <w:rPr>
                <w:noProof/>
              </w:rPr>
              <w:t xml:space="preserve">Beruházás: Tirrén-féle </w:t>
            </w:r>
            <w:r>
              <w:rPr>
                <w:noProof/>
              </w:rPr>
              <w:t>kapcsolat</w:t>
            </w:r>
          </w:p>
        </w:tc>
        <w:tc>
          <w:tcPr>
            <w:tcW w:w="1418" w:type="dxa"/>
            <w:tcBorders>
              <w:top w:val="nil"/>
              <w:left w:val="nil"/>
              <w:bottom w:val="single" w:sz="4" w:space="0" w:color="auto"/>
              <w:right w:val="single" w:sz="4" w:space="0" w:color="auto"/>
            </w:tcBorders>
            <w:shd w:val="clear" w:color="auto" w:fill="C6EFCE"/>
            <w:noWrap/>
            <w:vAlign w:val="center"/>
          </w:tcPr>
          <w:p w14:paraId="442278A8"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97BAA42" w14:textId="77777777" w:rsidR="003F5418" w:rsidRDefault="002A6C25">
            <w:pPr>
              <w:pStyle w:val="P68B1DB1-Normal9"/>
              <w:rPr>
                <w:noProof/>
              </w:rPr>
            </w:pPr>
            <w:r>
              <w:rPr>
                <w:noProof/>
              </w:rPr>
              <w:t>Szerződések odaítélése</w:t>
            </w:r>
          </w:p>
        </w:tc>
      </w:tr>
      <w:tr w:rsidR="003F5418" w14:paraId="596982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5ECC7E" w14:textId="77777777" w:rsidR="003F5418" w:rsidRDefault="002A6C25">
            <w:pPr>
              <w:pStyle w:val="P68B1DB1-Normal9"/>
              <w:jc w:val="center"/>
              <w:rPr>
                <w:noProof/>
              </w:rPr>
            </w:pPr>
            <w:r>
              <w:rPr>
                <w:noProof/>
              </w:rPr>
              <w:t xml:space="preserve">M3C2–7 </w:t>
            </w:r>
          </w:p>
        </w:tc>
        <w:tc>
          <w:tcPr>
            <w:tcW w:w="3118" w:type="dxa"/>
            <w:tcBorders>
              <w:top w:val="nil"/>
              <w:left w:val="nil"/>
              <w:bottom w:val="single" w:sz="4" w:space="0" w:color="auto"/>
              <w:right w:val="single" w:sz="4" w:space="0" w:color="auto"/>
            </w:tcBorders>
            <w:shd w:val="clear" w:color="auto" w:fill="C6EFCE"/>
            <w:noWrap/>
            <w:vAlign w:val="center"/>
          </w:tcPr>
          <w:p w14:paraId="24D7EC85" w14:textId="77777777" w:rsidR="003F5418" w:rsidRDefault="002A6C25">
            <w:pPr>
              <w:pStyle w:val="P68B1DB1-Normal9"/>
              <w:rPr>
                <w:noProof/>
              </w:rPr>
            </w:pPr>
            <w:r>
              <w:rPr>
                <w:noProof/>
              </w:rPr>
              <w:t xml:space="preserve">Beruházás: Hideg vasalás </w:t>
            </w:r>
          </w:p>
        </w:tc>
        <w:tc>
          <w:tcPr>
            <w:tcW w:w="1418" w:type="dxa"/>
            <w:tcBorders>
              <w:top w:val="nil"/>
              <w:left w:val="nil"/>
              <w:bottom w:val="single" w:sz="4" w:space="0" w:color="auto"/>
              <w:right w:val="single" w:sz="4" w:space="0" w:color="auto"/>
            </w:tcBorders>
            <w:shd w:val="clear" w:color="auto" w:fill="C6EFCE"/>
            <w:noWrap/>
            <w:vAlign w:val="center"/>
          </w:tcPr>
          <w:p w14:paraId="0A996FA1" w14:textId="77777777" w:rsidR="003F5418" w:rsidRDefault="002A6C25">
            <w:pPr>
              <w:pStyle w:val="P68B1DB1-Normal9"/>
              <w:rPr>
                <w:noProof/>
              </w:rPr>
            </w:pPr>
            <w:r>
              <w:rPr>
                <w:noProof/>
              </w:rPr>
              <w:t xml:space="preserve">Mérföldkő </w:t>
            </w:r>
          </w:p>
        </w:tc>
        <w:tc>
          <w:tcPr>
            <w:tcW w:w="4020" w:type="dxa"/>
            <w:tcBorders>
              <w:top w:val="nil"/>
              <w:left w:val="nil"/>
              <w:bottom w:val="single" w:sz="4" w:space="0" w:color="auto"/>
              <w:right w:val="single" w:sz="4" w:space="0" w:color="auto"/>
            </w:tcBorders>
            <w:shd w:val="clear" w:color="auto" w:fill="C6EFCE"/>
            <w:noWrap/>
            <w:vAlign w:val="center"/>
          </w:tcPr>
          <w:p w14:paraId="3B5C27A4" w14:textId="77777777" w:rsidR="003F5418" w:rsidRDefault="002A6C25">
            <w:pPr>
              <w:pStyle w:val="P68B1DB1-Normal9"/>
              <w:rPr>
                <w:noProof/>
              </w:rPr>
            </w:pPr>
            <w:r>
              <w:rPr>
                <w:noProof/>
              </w:rPr>
              <w:t xml:space="preserve">Az összes közbeszerzési szerződés odaítélése </w:t>
            </w:r>
          </w:p>
        </w:tc>
      </w:tr>
      <w:tr w:rsidR="003F5418" w14:paraId="3D8947C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B638D3" w14:textId="77777777" w:rsidR="003F5418" w:rsidRDefault="002A6C25">
            <w:pPr>
              <w:pStyle w:val="P68B1DB1-Normal9"/>
              <w:jc w:val="center"/>
              <w:rPr>
                <w:noProof/>
              </w:rPr>
            </w:pPr>
            <w:r>
              <w:rPr>
                <w:noProof/>
              </w:rPr>
              <w:t>M1C1–18</w:t>
            </w:r>
          </w:p>
        </w:tc>
        <w:tc>
          <w:tcPr>
            <w:tcW w:w="3118" w:type="dxa"/>
            <w:tcBorders>
              <w:top w:val="nil"/>
              <w:left w:val="nil"/>
              <w:bottom w:val="single" w:sz="4" w:space="0" w:color="auto"/>
              <w:right w:val="single" w:sz="4" w:space="0" w:color="auto"/>
            </w:tcBorders>
            <w:shd w:val="clear" w:color="auto" w:fill="C6EFCE"/>
            <w:noWrap/>
            <w:vAlign w:val="center"/>
          </w:tcPr>
          <w:p w14:paraId="4CAEC840" w14:textId="77777777" w:rsidR="003F5418" w:rsidRDefault="002A6C25">
            <w:pPr>
              <w:pStyle w:val="P68B1DB1-Normal9"/>
              <w:rPr>
                <w:noProof/>
              </w:rPr>
            </w:pPr>
            <w:r>
              <w:rPr>
                <w:noProof/>
              </w:rPr>
              <w:t>Beruházás: Nemzeti digitális adatplatform</w:t>
            </w:r>
          </w:p>
        </w:tc>
        <w:tc>
          <w:tcPr>
            <w:tcW w:w="1418" w:type="dxa"/>
            <w:tcBorders>
              <w:top w:val="nil"/>
              <w:left w:val="nil"/>
              <w:bottom w:val="single" w:sz="4" w:space="0" w:color="auto"/>
              <w:right w:val="single" w:sz="4" w:space="0" w:color="auto"/>
            </w:tcBorders>
            <w:shd w:val="clear" w:color="auto" w:fill="C6EFCE"/>
            <w:noWrap/>
            <w:vAlign w:val="center"/>
          </w:tcPr>
          <w:p w14:paraId="684511AB"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3CC3C5D5" w14:textId="77777777" w:rsidR="003F5418" w:rsidRDefault="002A6C25">
            <w:pPr>
              <w:pStyle w:val="P68B1DB1-Normal9"/>
              <w:rPr>
                <w:noProof/>
              </w:rPr>
            </w:pPr>
            <w:r>
              <w:rPr>
                <w:noProof/>
              </w:rPr>
              <w:t>API-k a T1 nemzeti digitális adatplatformon</w:t>
            </w:r>
          </w:p>
        </w:tc>
      </w:tr>
      <w:tr w:rsidR="003F5418" w14:paraId="6DC975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2ACF9" w14:textId="77777777" w:rsidR="003F5418" w:rsidRDefault="002A6C25">
            <w:pPr>
              <w:pStyle w:val="P68B1DB1-Normal9"/>
              <w:jc w:val="center"/>
              <w:rPr>
                <w:noProof/>
              </w:rPr>
            </w:pPr>
            <w:r>
              <w:rPr>
                <w:noProof/>
              </w:rPr>
              <w:t>M1C1–19</w:t>
            </w:r>
          </w:p>
        </w:tc>
        <w:tc>
          <w:tcPr>
            <w:tcW w:w="3118" w:type="dxa"/>
            <w:tcBorders>
              <w:top w:val="nil"/>
              <w:left w:val="nil"/>
              <w:bottom w:val="single" w:sz="4" w:space="0" w:color="auto"/>
              <w:right w:val="single" w:sz="4" w:space="0" w:color="auto"/>
            </w:tcBorders>
            <w:shd w:val="clear" w:color="auto" w:fill="C6EFCE"/>
            <w:noWrap/>
            <w:vAlign w:val="center"/>
          </w:tcPr>
          <w:p w14:paraId="5402C1F2" w14:textId="77777777" w:rsidR="003F5418" w:rsidRDefault="002A6C25">
            <w:pPr>
              <w:pStyle w:val="P68B1DB1-Normal9"/>
              <w:rPr>
                <w:noProof/>
              </w:rPr>
            </w:pPr>
            <w:r>
              <w:rPr>
                <w:noProof/>
              </w:rPr>
              <w:t xml:space="preserve">Beruházás: </w:t>
            </w:r>
            <w:r>
              <w:rPr>
                <w:noProof/>
              </w:rPr>
              <w:t>Kiberbiztonság</w:t>
            </w:r>
          </w:p>
        </w:tc>
        <w:tc>
          <w:tcPr>
            <w:tcW w:w="1418" w:type="dxa"/>
            <w:tcBorders>
              <w:top w:val="nil"/>
              <w:left w:val="nil"/>
              <w:bottom w:val="single" w:sz="4" w:space="0" w:color="auto"/>
              <w:right w:val="single" w:sz="4" w:space="0" w:color="auto"/>
            </w:tcBorders>
            <w:shd w:val="clear" w:color="auto" w:fill="C6EFCE"/>
            <w:noWrap/>
            <w:vAlign w:val="center"/>
          </w:tcPr>
          <w:p w14:paraId="08D73390"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42E1DC33" w14:textId="77777777" w:rsidR="003F5418" w:rsidRDefault="002A6C25">
            <w:pPr>
              <w:pStyle w:val="P68B1DB1-Normal9"/>
              <w:rPr>
                <w:noProof/>
              </w:rPr>
            </w:pPr>
            <w:r>
              <w:rPr>
                <w:noProof/>
              </w:rPr>
              <w:t>A T2 biztonsági struktúrák korszerűsítésének támogatása</w:t>
            </w:r>
          </w:p>
        </w:tc>
      </w:tr>
      <w:tr w:rsidR="003F5418" w14:paraId="2258B5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BD15E7" w14:textId="77777777" w:rsidR="003F5418" w:rsidRDefault="002A6C25">
            <w:pPr>
              <w:pStyle w:val="P68B1DB1-Normal9"/>
              <w:jc w:val="center"/>
              <w:rPr>
                <w:noProof/>
              </w:rPr>
            </w:pPr>
            <w:r>
              <w:rPr>
                <w:noProof/>
              </w:rPr>
              <w:t>M1C1–20</w:t>
            </w:r>
          </w:p>
        </w:tc>
        <w:tc>
          <w:tcPr>
            <w:tcW w:w="3118" w:type="dxa"/>
            <w:tcBorders>
              <w:top w:val="nil"/>
              <w:left w:val="nil"/>
              <w:bottom w:val="single" w:sz="4" w:space="0" w:color="auto"/>
              <w:right w:val="single" w:sz="4" w:space="0" w:color="auto"/>
            </w:tcBorders>
            <w:shd w:val="clear" w:color="auto" w:fill="C6EFCE"/>
            <w:noWrap/>
            <w:vAlign w:val="center"/>
          </w:tcPr>
          <w:p w14:paraId="44FE29D7"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6597FEA9"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13118645" w14:textId="77777777" w:rsidR="003F5418" w:rsidRDefault="002A6C25">
            <w:pPr>
              <w:pStyle w:val="P68B1DB1-Normal9"/>
              <w:rPr>
                <w:noProof/>
              </w:rPr>
            </w:pPr>
            <w:r>
              <w:rPr>
                <w:noProof/>
              </w:rPr>
              <w:t>A nemzeti kiberbiztonsági szolgáltatások teljes körű kiépítése</w:t>
            </w:r>
          </w:p>
        </w:tc>
      </w:tr>
      <w:tr w:rsidR="003F5418" w14:paraId="02EAB05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03C6336" w14:textId="77777777" w:rsidR="003F5418" w:rsidRDefault="002A6C25">
            <w:pPr>
              <w:pStyle w:val="P68B1DB1-Normal9"/>
              <w:jc w:val="center"/>
              <w:rPr>
                <w:noProof/>
              </w:rPr>
            </w:pPr>
            <w:r>
              <w:rPr>
                <w:noProof/>
              </w:rPr>
              <w:t>M1C1–21</w:t>
            </w:r>
          </w:p>
        </w:tc>
        <w:tc>
          <w:tcPr>
            <w:tcW w:w="3118" w:type="dxa"/>
            <w:tcBorders>
              <w:top w:val="nil"/>
              <w:left w:val="nil"/>
              <w:bottom w:val="single" w:sz="4" w:space="0" w:color="auto"/>
              <w:right w:val="single" w:sz="4" w:space="0" w:color="auto"/>
            </w:tcBorders>
            <w:shd w:val="clear" w:color="auto" w:fill="C6EFCE"/>
            <w:noWrap/>
            <w:vAlign w:val="center"/>
          </w:tcPr>
          <w:p w14:paraId="67B6EF46"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70063668"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396215CA" w14:textId="77777777" w:rsidR="003F5418" w:rsidRDefault="002A6C25">
            <w:pPr>
              <w:pStyle w:val="P68B1DB1-Normal9"/>
              <w:rPr>
                <w:noProof/>
              </w:rPr>
            </w:pPr>
            <w:r>
              <w:rPr>
                <w:noProof/>
              </w:rPr>
              <w:t xml:space="preserve">A kiberbiztonsági szűrő- és </w:t>
            </w:r>
            <w:r>
              <w:rPr>
                <w:noProof/>
              </w:rPr>
              <w:t>tanúsító laboratóriumok hálózatának, értékelő központoknak a befejezése</w:t>
            </w:r>
          </w:p>
        </w:tc>
      </w:tr>
      <w:tr w:rsidR="003F5418" w14:paraId="56BB2D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7BB7CD" w14:textId="77777777" w:rsidR="003F5418" w:rsidRDefault="002A6C25">
            <w:pPr>
              <w:pStyle w:val="P68B1DB1-Normal9"/>
              <w:jc w:val="center"/>
              <w:rPr>
                <w:noProof/>
              </w:rPr>
            </w:pPr>
            <w:r>
              <w:rPr>
                <w:noProof/>
              </w:rPr>
              <w:t>M1C1–22</w:t>
            </w:r>
          </w:p>
        </w:tc>
        <w:tc>
          <w:tcPr>
            <w:tcW w:w="3118" w:type="dxa"/>
            <w:tcBorders>
              <w:top w:val="nil"/>
              <w:left w:val="nil"/>
              <w:bottom w:val="single" w:sz="4" w:space="0" w:color="auto"/>
              <w:right w:val="single" w:sz="4" w:space="0" w:color="auto"/>
            </w:tcBorders>
            <w:shd w:val="clear" w:color="auto" w:fill="C6EFCE"/>
            <w:noWrap/>
            <w:vAlign w:val="center"/>
          </w:tcPr>
          <w:p w14:paraId="2546DDD0" w14:textId="77777777" w:rsidR="003F5418" w:rsidRDefault="002A6C25">
            <w:pPr>
              <w:pStyle w:val="P68B1DB1-Normal9"/>
              <w:rPr>
                <w:noProof/>
              </w:rPr>
            </w:pPr>
            <w:r>
              <w:rPr>
                <w:noProof/>
              </w:rPr>
              <w:t>Beruházás: Kiberbiztonság</w:t>
            </w:r>
          </w:p>
        </w:tc>
        <w:tc>
          <w:tcPr>
            <w:tcW w:w="1418" w:type="dxa"/>
            <w:tcBorders>
              <w:top w:val="nil"/>
              <w:left w:val="nil"/>
              <w:bottom w:val="single" w:sz="4" w:space="0" w:color="auto"/>
              <w:right w:val="single" w:sz="4" w:space="0" w:color="auto"/>
            </w:tcBorders>
            <w:shd w:val="clear" w:color="auto" w:fill="C6EFCE"/>
            <w:noWrap/>
            <w:vAlign w:val="center"/>
          </w:tcPr>
          <w:p w14:paraId="2AB830BA"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73210CB" w14:textId="77777777" w:rsidR="003F5418" w:rsidRDefault="002A6C25">
            <w:pPr>
              <w:pStyle w:val="P68B1DB1-Normal9"/>
              <w:rPr>
                <w:noProof/>
              </w:rPr>
            </w:pPr>
            <w:r>
              <w:rPr>
                <w:noProof/>
              </w:rPr>
              <w:t>A PSNC és a hálózat- és információbiztonsági intézkedések központi ellenőrzési egységének teljes körű működése, legalább 30 ellenőrzés elvé</w:t>
            </w:r>
            <w:r>
              <w:rPr>
                <w:noProof/>
              </w:rPr>
              <w:t>gzése mellett</w:t>
            </w:r>
          </w:p>
        </w:tc>
      </w:tr>
      <w:tr w:rsidR="003F5418" w14:paraId="541E1C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C5B445" w14:textId="77777777" w:rsidR="003F5418" w:rsidRDefault="002A6C25">
            <w:pPr>
              <w:pStyle w:val="P68B1DB1-Normal9"/>
              <w:jc w:val="center"/>
              <w:rPr>
                <w:noProof/>
              </w:rPr>
            </w:pPr>
            <w:r>
              <w:rPr>
                <w:noProof/>
              </w:rPr>
              <w:t>M1C1–43</w:t>
            </w:r>
          </w:p>
        </w:tc>
        <w:tc>
          <w:tcPr>
            <w:tcW w:w="3118" w:type="dxa"/>
            <w:tcBorders>
              <w:top w:val="nil"/>
              <w:left w:val="nil"/>
              <w:bottom w:val="single" w:sz="4" w:space="0" w:color="auto"/>
              <w:right w:val="single" w:sz="4" w:space="0" w:color="auto"/>
            </w:tcBorders>
            <w:shd w:val="clear" w:color="auto" w:fill="C6EFCE"/>
            <w:noWrap/>
            <w:vAlign w:val="center"/>
          </w:tcPr>
          <w:p w14:paraId="6CA197FA" w14:textId="77777777" w:rsidR="003F5418" w:rsidRDefault="002A6C25">
            <w:pPr>
              <w:pStyle w:val="P68B1DB1-Normal9"/>
              <w:rPr>
                <w:noProof/>
              </w:rPr>
            </w:pPr>
            <w:r>
              <w:rPr>
                <w:noProof/>
              </w:rPr>
              <w:t>Reform: A polgári 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0E5034A7"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3600B4A0" w14:textId="77777777" w:rsidR="003F5418" w:rsidRDefault="002A6C25">
            <w:pPr>
              <w:pStyle w:val="P68B1DB1-Normal9"/>
              <w:rPr>
                <w:noProof/>
              </w:rPr>
            </w:pPr>
            <w:r>
              <w:rPr>
                <w:noProof/>
              </w:rPr>
              <w:t>A polgári rendes bíróságok ügyhátralékának csökkentése (első fokon)</w:t>
            </w:r>
          </w:p>
        </w:tc>
      </w:tr>
      <w:tr w:rsidR="003F5418" w14:paraId="53EAB83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312020" w14:textId="77777777" w:rsidR="003F5418" w:rsidRDefault="002A6C25">
            <w:pPr>
              <w:pStyle w:val="P68B1DB1-Normal9"/>
              <w:jc w:val="center"/>
              <w:rPr>
                <w:noProof/>
              </w:rPr>
            </w:pPr>
            <w:r>
              <w:rPr>
                <w:noProof/>
              </w:rPr>
              <w:t>M1C1–44. INTÉZKEDÉS</w:t>
            </w:r>
          </w:p>
        </w:tc>
        <w:tc>
          <w:tcPr>
            <w:tcW w:w="3118" w:type="dxa"/>
            <w:tcBorders>
              <w:top w:val="nil"/>
              <w:left w:val="nil"/>
              <w:bottom w:val="single" w:sz="4" w:space="0" w:color="auto"/>
              <w:right w:val="single" w:sz="4" w:space="0" w:color="auto"/>
            </w:tcBorders>
            <w:shd w:val="clear" w:color="auto" w:fill="C6EFCE"/>
            <w:noWrap/>
            <w:vAlign w:val="center"/>
          </w:tcPr>
          <w:p w14:paraId="51AA3727" w14:textId="77777777" w:rsidR="003F5418" w:rsidRDefault="002A6C25">
            <w:pPr>
              <w:pStyle w:val="P68B1DB1-Normal9"/>
              <w:rPr>
                <w:noProof/>
              </w:rPr>
            </w:pPr>
            <w:r>
              <w:rPr>
                <w:noProof/>
              </w:rPr>
              <w:t>Reform: A polgári igazságszolgáltatás reformja</w:t>
            </w:r>
          </w:p>
        </w:tc>
        <w:tc>
          <w:tcPr>
            <w:tcW w:w="1418" w:type="dxa"/>
            <w:tcBorders>
              <w:top w:val="nil"/>
              <w:left w:val="nil"/>
              <w:bottom w:val="single" w:sz="4" w:space="0" w:color="auto"/>
              <w:right w:val="single" w:sz="4" w:space="0" w:color="auto"/>
            </w:tcBorders>
            <w:shd w:val="clear" w:color="auto" w:fill="C6EFCE"/>
            <w:noWrap/>
            <w:vAlign w:val="center"/>
          </w:tcPr>
          <w:p w14:paraId="0A12B09B"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0A0DF132" w14:textId="77777777" w:rsidR="003F5418" w:rsidRDefault="002A6C25">
            <w:pPr>
              <w:pStyle w:val="P68B1DB1-Normal9"/>
              <w:rPr>
                <w:noProof/>
              </w:rPr>
            </w:pPr>
            <w:r>
              <w:rPr>
                <w:noProof/>
              </w:rPr>
              <w:t xml:space="preserve">A polgári fellebbviteli bíróság </w:t>
            </w:r>
            <w:r>
              <w:rPr>
                <w:noProof/>
              </w:rPr>
              <w:t>(másodfokú) ügyhátralékának csökkentése</w:t>
            </w:r>
          </w:p>
        </w:tc>
      </w:tr>
      <w:tr w:rsidR="003F5418" w14:paraId="4515B2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A9365F" w14:textId="77777777" w:rsidR="003F5418" w:rsidRDefault="002A6C25">
            <w:pPr>
              <w:pStyle w:val="P68B1DB1-Normal9"/>
              <w:jc w:val="center"/>
              <w:rPr>
                <w:noProof/>
              </w:rPr>
            </w:pPr>
            <w:r>
              <w:rPr>
                <w:noProof/>
              </w:rPr>
              <w:t>M1C1–60</w:t>
            </w:r>
          </w:p>
        </w:tc>
        <w:tc>
          <w:tcPr>
            <w:tcW w:w="3118" w:type="dxa"/>
            <w:tcBorders>
              <w:top w:val="nil"/>
              <w:left w:val="nil"/>
              <w:bottom w:val="single" w:sz="4" w:space="0" w:color="auto"/>
              <w:right w:val="single" w:sz="4" w:space="0" w:color="auto"/>
            </w:tcBorders>
            <w:shd w:val="clear" w:color="auto" w:fill="C6EFCE"/>
            <w:noWrap/>
            <w:vAlign w:val="center"/>
          </w:tcPr>
          <w:p w14:paraId="6C97BD0A" w14:textId="77777777" w:rsidR="003F5418" w:rsidRDefault="002A6C25">
            <w:pPr>
              <w:pStyle w:val="P68B1DB1-Normal9"/>
              <w:rPr>
                <w:noProof/>
              </w:rPr>
            </w:pPr>
            <w:r>
              <w:rPr>
                <w:noProof/>
              </w:rPr>
              <w:t>Reform: A közigazgatás reformja</w:t>
            </w:r>
          </w:p>
        </w:tc>
        <w:tc>
          <w:tcPr>
            <w:tcW w:w="1418" w:type="dxa"/>
            <w:tcBorders>
              <w:top w:val="nil"/>
              <w:left w:val="nil"/>
              <w:bottom w:val="single" w:sz="4" w:space="0" w:color="auto"/>
              <w:right w:val="single" w:sz="4" w:space="0" w:color="auto"/>
            </w:tcBorders>
            <w:shd w:val="clear" w:color="auto" w:fill="C6EFCE"/>
            <w:noWrap/>
            <w:vAlign w:val="center"/>
          </w:tcPr>
          <w:p w14:paraId="143C2371"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622874CC" w14:textId="77777777" w:rsidR="003F5418" w:rsidRDefault="002A6C25">
            <w:pPr>
              <w:pStyle w:val="P68B1DB1-Normal9"/>
              <w:rPr>
                <w:noProof/>
              </w:rPr>
            </w:pPr>
            <w:r>
              <w:rPr>
                <w:noProof/>
              </w:rPr>
              <w:t>A polgárokat és a vállalkozásokat érintő 200 kritikus eljárás egyszerűsítésének és/vagy digitalizálásának teljes körű végrehajtása (beleértve az összes felhatalmazás</w:t>
            </w:r>
            <w:r>
              <w:rPr>
                <w:noProof/>
              </w:rPr>
              <w:t>on alapuló jogi aktust)</w:t>
            </w:r>
          </w:p>
        </w:tc>
      </w:tr>
      <w:tr w:rsidR="003F5418" w14:paraId="2325AEA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731312" w14:textId="77777777" w:rsidR="003F5418" w:rsidRDefault="002A6C25">
            <w:pPr>
              <w:pStyle w:val="P68B1DB1-Normal9"/>
              <w:jc w:val="center"/>
              <w:rPr>
                <w:noProof/>
              </w:rPr>
            </w:pPr>
            <w:r>
              <w:rPr>
                <w:noProof/>
              </w:rPr>
              <w:t>M1C1–72ter</w:t>
            </w:r>
          </w:p>
        </w:tc>
        <w:tc>
          <w:tcPr>
            <w:tcW w:w="3118" w:type="dxa"/>
            <w:tcBorders>
              <w:top w:val="nil"/>
              <w:left w:val="nil"/>
              <w:bottom w:val="single" w:sz="4" w:space="0" w:color="auto"/>
              <w:right w:val="single" w:sz="4" w:space="0" w:color="auto"/>
            </w:tcBorders>
            <w:shd w:val="clear" w:color="auto" w:fill="C6EFCE"/>
            <w:noWrap/>
            <w:vAlign w:val="center"/>
          </w:tcPr>
          <w:p w14:paraId="15AF7D0C" w14:textId="77777777" w:rsidR="003F5418" w:rsidRDefault="002A6C25">
            <w:pPr>
              <w:pStyle w:val="P68B1DB1-Normal9"/>
              <w:rPr>
                <w:noProof/>
              </w:rPr>
            </w:pPr>
            <w:r>
              <w:rPr>
                <w:noProof/>
              </w:rPr>
              <w:t>Reform: A közigazgatási és egészségügyi hatóságok késedelmes kifizetéseinek csökkentése</w:t>
            </w:r>
          </w:p>
        </w:tc>
        <w:tc>
          <w:tcPr>
            <w:tcW w:w="1418" w:type="dxa"/>
            <w:tcBorders>
              <w:top w:val="nil"/>
              <w:left w:val="nil"/>
              <w:bottom w:val="single" w:sz="4" w:space="0" w:color="auto"/>
              <w:right w:val="single" w:sz="4" w:space="0" w:color="auto"/>
            </w:tcBorders>
            <w:shd w:val="clear" w:color="auto" w:fill="C6EFCE"/>
            <w:noWrap/>
            <w:vAlign w:val="center"/>
          </w:tcPr>
          <w:p w14:paraId="085CF13B"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09F1CED" w14:textId="77777777" w:rsidR="003F5418" w:rsidRDefault="002A6C25">
            <w:pPr>
              <w:pStyle w:val="P68B1DB1-Normal9"/>
              <w:rPr>
                <w:noProof/>
              </w:rPr>
            </w:pPr>
            <w:r>
              <w:rPr>
                <w:noProof/>
              </w:rPr>
              <w:t>A késedelmes kifizetésekkel foglalkozó emberi erőforrások növelése</w:t>
            </w:r>
          </w:p>
        </w:tc>
      </w:tr>
      <w:tr w:rsidR="003F5418" w14:paraId="43E5CF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AA0E90" w14:textId="77777777" w:rsidR="003F5418" w:rsidRDefault="002A6C25">
            <w:pPr>
              <w:pStyle w:val="P68B1DB1-Normal9"/>
              <w:jc w:val="center"/>
              <w:rPr>
                <w:noProof/>
              </w:rPr>
            </w:pPr>
            <w:r>
              <w:rPr>
                <w:noProof/>
              </w:rPr>
              <w:t>M1C1–72quater</w:t>
            </w:r>
          </w:p>
        </w:tc>
        <w:tc>
          <w:tcPr>
            <w:tcW w:w="3118" w:type="dxa"/>
            <w:tcBorders>
              <w:top w:val="nil"/>
              <w:left w:val="nil"/>
              <w:bottom w:val="single" w:sz="4" w:space="0" w:color="auto"/>
              <w:right w:val="single" w:sz="4" w:space="0" w:color="auto"/>
            </w:tcBorders>
            <w:shd w:val="clear" w:color="auto" w:fill="C6EFCE"/>
            <w:noWrap/>
            <w:vAlign w:val="center"/>
          </w:tcPr>
          <w:p w14:paraId="51FD989B" w14:textId="77777777" w:rsidR="003F5418" w:rsidRDefault="002A6C25">
            <w:pPr>
              <w:pStyle w:val="P68B1DB1-Normal9"/>
              <w:rPr>
                <w:noProof/>
              </w:rPr>
            </w:pPr>
            <w:r>
              <w:rPr>
                <w:noProof/>
              </w:rPr>
              <w:t xml:space="preserve">Reform: A közigazgatási és egészségügyi </w:t>
            </w:r>
            <w:r>
              <w:rPr>
                <w:noProof/>
              </w:rPr>
              <w:t>hatóságok késedelmes kifizetéseinek csökkentése</w:t>
            </w:r>
          </w:p>
        </w:tc>
        <w:tc>
          <w:tcPr>
            <w:tcW w:w="1418" w:type="dxa"/>
            <w:tcBorders>
              <w:top w:val="nil"/>
              <w:left w:val="nil"/>
              <w:bottom w:val="single" w:sz="4" w:space="0" w:color="auto"/>
              <w:right w:val="single" w:sz="4" w:space="0" w:color="auto"/>
            </w:tcBorders>
            <w:shd w:val="clear" w:color="auto" w:fill="C6EFCE"/>
            <w:noWrap/>
            <w:vAlign w:val="center"/>
          </w:tcPr>
          <w:p w14:paraId="08D45A8A"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55A206A5" w14:textId="77777777" w:rsidR="003F5418" w:rsidRDefault="002A6C25">
            <w:pPr>
              <w:pStyle w:val="P68B1DB1-Normal9"/>
              <w:rPr>
                <w:noProof/>
              </w:rPr>
            </w:pPr>
            <w:r>
              <w:rPr>
                <w:noProof/>
              </w:rPr>
              <w:t>Harmadik felekre történő engedményezés bevezetése</w:t>
            </w:r>
          </w:p>
        </w:tc>
      </w:tr>
      <w:tr w:rsidR="003F5418" w14:paraId="2B6C1C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B11181" w14:textId="77777777" w:rsidR="003F5418" w:rsidRDefault="002A6C25">
            <w:pPr>
              <w:pStyle w:val="P68B1DB1-Normal9"/>
              <w:jc w:val="center"/>
              <w:rPr>
                <w:noProof/>
              </w:rPr>
            </w:pPr>
            <w:r>
              <w:rPr>
                <w:noProof/>
              </w:rPr>
              <w:t>M1C1–73ter</w:t>
            </w:r>
          </w:p>
        </w:tc>
        <w:tc>
          <w:tcPr>
            <w:tcW w:w="3118" w:type="dxa"/>
            <w:tcBorders>
              <w:top w:val="nil"/>
              <w:left w:val="nil"/>
              <w:bottom w:val="single" w:sz="4" w:space="0" w:color="auto"/>
              <w:right w:val="single" w:sz="4" w:space="0" w:color="auto"/>
            </w:tcBorders>
            <w:shd w:val="clear" w:color="auto" w:fill="C6EFCE"/>
            <w:noWrap/>
            <w:vAlign w:val="center"/>
          </w:tcPr>
          <w:p w14:paraId="47F96E82"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471159C0"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FAD037F" w14:textId="77777777" w:rsidR="003F5418" w:rsidRDefault="002A6C25">
            <w:pPr>
              <w:pStyle w:val="P68B1DB1-Normal9"/>
              <w:rPr>
                <w:noProof/>
              </w:rPr>
            </w:pPr>
            <w:r>
              <w:rPr>
                <w:noProof/>
              </w:rPr>
              <w:t xml:space="preserve">Az ajánlatkérő szervek képesítésére és professzionalizálására irányuló ösztönzők. </w:t>
            </w:r>
          </w:p>
        </w:tc>
      </w:tr>
      <w:tr w:rsidR="003F5418" w14:paraId="44A6D11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9962BF" w14:textId="77777777" w:rsidR="003F5418" w:rsidRDefault="002A6C25">
            <w:pPr>
              <w:pStyle w:val="P68B1DB1-Normal9"/>
              <w:jc w:val="center"/>
              <w:rPr>
                <w:noProof/>
              </w:rPr>
            </w:pPr>
            <w:r>
              <w:rPr>
                <w:noProof/>
              </w:rPr>
              <w:t>M1C1–73quinquies</w:t>
            </w:r>
          </w:p>
        </w:tc>
        <w:tc>
          <w:tcPr>
            <w:tcW w:w="3118" w:type="dxa"/>
            <w:tcBorders>
              <w:top w:val="nil"/>
              <w:left w:val="nil"/>
              <w:bottom w:val="single" w:sz="4" w:space="0" w:color="auto"/>
              <w:right w:val="single" w:sz="4" w:space="0" w:color="auto"/>
            </w:tcBorders>
            <w:shd w:val="clear" w:color="auto" w:fill="C6EFCE"/>
            <w:noWrap/>
            <w:vAlign w:val="center"/>
          </w:tcPr>
          <w:p w14:paraId="306E32C6"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0E9E934D"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4859B61" w14:textId="77777777" w:rsidR="003F5418" w:rsidRDefault="002A6C25">
            <w:pPr>
              <w:pStyle w:val="P68B1DB1-Normal9"/>
              <w:rPr>
                <w:noProof/>
              </w:rPr>
            </w:pPr>
            <w:r>
              <w:rPr>
                <w:noProof/>
              </w:rPr>
              <w:t>A projektfinanszírozásra vonatkozó új jogi rendelkezések hatálybalépése</w:t>
            </w:r>
          </w:p>
        </w:tc>
      </w:tr>
      <w:tr w:rsidR="003F5418" w14:paraId="100E8C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B08579" w14:textId="77777777" w:rsidR="003F5418" w:rsidRDefault="002A6C25">
            <w:pPr>
              <w:pStyle w:val="P68B1DB1-Normal9"/>
              <w:jc w:val="center"/>
              <w:rPr>
                <w:noProof/>
              </w:rPr>
            </w:pPr>
            <w:r>
              <w:rPr>
                <w:noProof/>
              </w:rPr>
              <w:t>M1C1–75a</w:t>
            </w:r>
          </w:p>
        </w:tc>
        <w:tc>
          <w:tcPr>
            <w:tcW w:w="3118" w:type="dxa"/>
            <w:tcBorders>
              <w:top w:val="nil"/>
              <w:left w:val="nil"/>
              <w:bottom w:val="single" w:sz="4" w:space="0" w:color="auto"/>
              <w:right w:val="single" w:sz="4" w:space="0" w:color="auto"/>
            </w:tcBorders>
            <w:shd w:val="clear" w:color="auto" w:fill="C6EFCE"/>
            <w:noWrap/>
            <w:vAlign w:val="center"/>
          </w:tcPr>
          <w:p w14:paraId="64FD412E" w14:textId="77777777" w:rsidR="003F5418" w:rsidRDefault="002A6C25">
            <w:pPr>
              <w:pStyle w:val="P68B1DB1-Normal9"/>
              <w:rPr>
                <w:noProof/>
              </w:rPr>
            </w:pPr>
            <w:r>
              <w:rPr>
                <w:noProof/>
              </w:rPr>
              <w:t xml:space="preserve">Beruházás: A minősítés és az e-közbeszerzés támogatása </w:t>
            </w:r>
          </w:p>
        </w:tc>
        <w:tc>
          <w:tcPr>
            <w:tcW w:w="1418" w:type="dxa"/>
            <w:tcBorders>
              <w:top w:val="nil"/>
              <w:left w:val="nil"/>
              <w:bottom w:val="single" w:sz="4" w:space="0" w:color="auto"/>
              <w:right w:val="single" w:sz="4" w:space="0" w:color="auto"/>
            </w:tcBorders>
            <w:shd w:val="clear" w:color="auto" w:fill="C6EFCE"/>
            <w:noWrap/>
            <w:vAlign w:val="center"/>
          </w:tcPr>
          <w:p w14:paraId="62BA73D3"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25FA57FF" w14:textId="77777777" w:rsidR="003F5418" w:rsidRDefault="002A6C25">
            <w:pPr>
              <w:pStyle w:val="P68B1DB1-Normal9"/>
              <w:rPr>
                <w:noProof/>
              </w:rPr>
            </w:pPr>
            <w:r>
              <w:rPr>
                <w:noProof/>
              </w:rPr>
              <w:t xml:space="preserve">A minősítés és az e-közbeszerzés </w:t>
            </w:r>
            <w:r>
              <w:rPr>
                <w:noProof/>
              </w:rPr>
              <w:t>támogatása</w:t>
            </w:r>
          </w:p>
        </w:tc>
      </w:tr>
      <w:tr w:rsidR="003F5418" w14:paraId="50D10E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23AF0E" w14:textId="77777777" w:rsidR="003F5418" w:rsidRDefault="002A6C25">
            <w:pPr>
              <w:pStyle w:val="P68B1DB1-Normal9"/>
              <w:jc w:val="center"/>
              <w:rPr>
                <w:noProof/>
              </w:rPr>
            </w:pPr>
            <w:r>
              <w:rPr>
                <w:noProof/>
              </w:rPr>
              <w:t>M1C1–84bis</w:t>
            </w:r>
          </w:p>
        </w:tc>
        <w:tc>
          <w:tcPr>
            <w:tcW w:w="3118" w:type="dxa"/>
            <w:tcBorders>
              <w:top w:val="nil"/>
              <w:left w:val="nil"/>
              <w:bottom w:val="single" w:sz="4" w:space="0" w:color="auto"/>
              <w:right w:val="single" w:sz="4" w:space="0" w:color="auto"/>
            </w:tcBorders>
            <w:shd w:val="clear" w:color="auto" w:fill="C6EFCE"/>
            <w:noWrap/>
            <w:vAlign w:val="center"/>
          </w:tcPr>
          <w:p w14:paraId="08FF5B5F"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4760F03A"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6CECBB0F" w14:textId="77777777" w:rsidR="003F5418" w:rsidRDefault="002A6C25">
            <w:pPr>
              <w:pStyle w:val="P68B1DB1-Normal9"/>
              <w:rPr>
                <w:noProof/>
              </w:rPr>
            </w:pPr>
            <w:r>
              <w:rPr>
                <w:noProof/>
              </w:rPr>
              <w:t>Az ajánlatkérő szervek szerződés-odaítélése során a döntéshozatal gyorsaságának javítását célzó intézkedések</w:t>
            </w:r>
          </w:p>
        </w:tc>
      </w:tr>
      <w:tr w:rsidR="003F5418" w14:paraId="4091ED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152698" w14:textId="77777777" w:rsidR="003F5418" w:rsidRDefault="002A6C25">
            <w:pPr>
              <w:pStyle w:val="P68B1DB1-Normal9"/>
              <w:jc w:val="center"/>
              <w:rPr>
                <w:noProof/>
              </w:rPr>
            </w:pPr>
            <w:r>
              <w:rPr>
                <w:noProof/>
              </w:rPr>
              <w:t>M1C1–97</w:t>
            </w:r>
          </w:p>
        </w:tc>
        <w:tc>
          <w:tcPr>
            <w:tcW w:w="3118" w:type="dxa"/>
            <w:tcBorders>
              <w:top w:val="nil"/>
              <w:left w:val="nil"/>
              <w:bottom w:val="single" w:sz="4" w:space="0" w:color="auto"/>
              <w:right w:val="single" w:sz="4" w:space="0" w:color="auto"/>
            </w:tcBorders>
            <w:shd w:val="clear" w:color="auto" w:fill="C6EFCE"/>
            <w:noWrap/>
            <w:vAlign w:val="center"/>
          </w:tcPr>
          <w:p w14:paraId="69768A8E"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03AE54D0"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51F86044" w14:textId="77777777" w:rsidR="003F5418" w:rsidRDefault="002A6C25">
            <w:pPr>
              <w:pStyle w:val="P68B1DB1-Normal9"/>
              <w:rPr>
                <w:noProof/>
              </w:rPr>
            </w:pPr>
            <w:r>
              <w:rPr>
                <w:noProof/>
              </w:rPr>
              <w:t xml:space="preserve">A szerződés </w:t>
            </w:r>
            <w:r>
              <w:rPr>
                <w:noProof/>
              </w:rPr>
              <w:t>odaítélése és az infrastruktúra megvalósítása között eltelt átlagos idő</w:t>
            </w:r>
          </w:p>
        </w:tc>
      </w:tr>
      <w:tr w:rsidR="003F5418" w14:paraId="1FBF0E8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4163C6" w14:textId="77777777" w:rsidR="003F5418" w:rsidRDefault="002A6C25">
            <w:pPr>
              <w:pStyle w:val="P68B1DB1-Normal9"/>
              <w:jc w:val="center"/>
              <w:rPr>
                <w:noProof/>
              </w:rPr>
            </w:pPr>
            <w:r>
              <w:rPr>
                <w:noProof/>
              </w:rPr>
              <w:t>M1C1–98</w:t>
            </w:r>
          </w:p>
        </w:tc>
        <w:tc>
          <w:tcPr>
            <w:tcW w:w="3118" w:type="dxa"/>
            <w:tcBorders>
              <w:top w:val="nil"/>
              <w:left w:val="nil"/>
              <w:bottom w:val="single" w:sz="4" w:space="0" w:color="auto"/>
              <w:right w:val="single" w:sz="4" w:space="0" w:color="auto"/>
            </w:tcBorders>
            <w:shd w:val="clear" w:color="auto" w:fill="C6EFCE"/>
            <w:noWrap/>
            <w:vAlign w:val="center"/>
          </w:tcPr>
          <w:p w14:paraId="1C9D634C" w14:textId="77777777" w:rsidR="003F5418" w:rsidRDefault="002A6C25">
            <w:pPr>
              <w:pStyle w:val="P68B1DB1-Normal9"/>
              <w:rPr>
                <w:noProof/>
              </w:rPr>
            </w:pPr>
            <w:r>
              <w:rPr>
                <w:noProof/>
              </w:rPr>
              <w:t>Reform: A közbeszerzési jogi keret reformja</w:t>
            </w:r>
          </w:p>
        </w:tc>
        <w:tc>
          <w:tcPr>
            <w:tcW w:w="1418" w:type="dxa"/>
            <w:tcBorders>
              <w:top w:val="nil"/>
              <w:left w:val="nil"/>
              <w:bottom w:val="single" w:sz="4" w:space="0" w:color="auto"/>
              <w:right w:val="single" w:sz="4" w:space="0" w:color="auto"/>
            </w:tcBorders>
            <w:shd w:val="clear" w:color="auto" w:fill="C6EFCE"/>
            <w:noWrap/>
            <w:vAlign w:val="center"/>
          </w:tcPr>
          <w:p w14:paraId="5CF70F35"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0D0F51BA" w14:textId="77777777" w:rsidR="003F5418" w:rsidRDefault="002A6C25">
            <w:pPr>
              <w:pStyle w:val="P68B1DB1-Normal9"/>
              <w:rPr>
                <w:noProof/>
              </w:rPr>
            </w:pPr>
            <w:r>
              <w:rPr>
                <w:noProof/>
              </w:rPr>
              <w:t>A közbeszerzők professzionalizálási stratégiája keretében kiképzett köztisztviselők</w:t>
            </w:r>
          </w:p>
        </w:tc>
      </w:tr>
      <w:tr w:rsidR="003F5418" w14:paraId="0B0514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9C6511" w14:textId="77777777" w:rsidR="003F5418" w:rsidRDefault="002A6C25">
            <w:pPr>
              <w:pStyle w:val="P68B1DB1-Normal9"/>
              <w:jc w:val="center"/>
              <w:rPr>
                <w:noProof/>
              </w:rPr>
            </w:pPr>
            <w:r>
              <w:rPr>
                <w:noProof/>
              </w:rPr>
              <w:t>M1C1–99</w:t>
            </w:r>
          </w:p>
        </w:tc>
        <w:tc>
          <w:tcPr>
            <w:tcW w:w="3118" w:type="dxa"/>
            <w:tcBorders>
              <w:top w:val="nil"/>
              <w:left w:val="nil"/>
              <w:bottom w:val="single" w:sz="4" w:space="0" w:color="auto"/>
              <w:right w:val="single" w:sz="4" w:space="0" w:color="auto"/>
            </w:tcBorders>
            <w:shd w:val="clear" w:color="auto" w:fill="C6EFCE"/>
            <w:noWrap/>
            <w:vAlign w:val="center"/>
          </w:tcPr>
          <w:p w14:paraId="2DDE4732" w14:textId="77777777" w:rsidR="003F5418" w:rsidRDefault="002A6C25">
            <w:pPr>
              <w:pStyle w:val="P68B1DB1-Normal9"/>
              <w:rPr>
                <w:noProof/>
              </w:rPr>
            </w:pPr>
            <w:r>
              <w:rPr>
                <w:noProof/>
              </w:rPr>
              <w:t>Reform: A közbeszerzési jogi keret</w:t>
            </w:r>
            <w:r>
              <w:rPr>
                <w:noProof/>
              </w:rPr>
              <w:t xml:space="preserve"> reformja</w:t>
            </w:r>
          </w:p>
        </w:tc>
        <w:tc>
          <w:tcPr>
            <w:tcW w:w="1418" w:type="dxa"/>
            <w:tcBorders>
              <w:top w:val="nil"/>
              <w:left w:val="nil"/>
              <w:bottom w:val="single" w:sz="4" w:space="0" w:color="auto"/>
              <w:right w:val="single" w:sz="4" w:space="0" w:color="auto"/>
            </w:tcBorders>
            <w:shd w:val="clear" w:color="auto" w:fill="C6EFCE"/>
            <w:noWrap/>
            <w:vAlign w:val="center"/>
          </w:tcPr>
          <w:p w14:paraId="435E131E" w14:textId="77777777" w:rsidR="003F5418" w:rsidRDefault="002A6C25">
            <w:pPr>
              <w:pStyle w:val="P68B1DB1-Normal9"/>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0B104A75" w14:textId="77777777" w:rsidR="003F5418" w:rsidRDefault="002A6C25">
            <w:pPr>
              <w:pStyle w:val="P68B1DB1-Normal9"/>
              <w:rPr>
                <w:noProof/>
              </w:rPr>
            </w:pPr>
            <w:r>
              <w:rPr>
                <w:noProof/>
              </w:rPr>
              <w:t>Dinamikus beszerzési rendszereket alkalmazó ajánlatkérő szervek</w:t>
            </w:r>
          </w:p>
        </w:tc>
      </w:tr>
      <w:tr w:rsidR="003F5418" w14:paraId="43989BC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F98187" w14:textId="77777777" w:rsidR="003F5418" w:rsidRDefault="002A6C25">
            <w:pPr>
              <w:pStyle w:val="P68B1DB1-Normal9"/>
              <w:jc w:val="center"/>
              <w:rPr>
                <w:noProof/>
              </w:rPr>
            </w:pPr>
            <w:r>
              <w:rPr>
                <w:noProof/>
              </w:rPr>
              <w:t>M1C2–11</w:t>
            </w:r>
          </w:p>
        </w:tc>
        <w:tc>
          <w:tcPr>
            <w:tcW w:w="3118" w:type="dxa"/>
            <w:tcBorders>
              <w:top w:val="nil"/>
              <w:left w:val="nil"/>
              <w:bottom w:val="single" w:sz="4" w:space="0" w:color="auto"/>
              <w:right w:val="single" w:sz="4" w:space="0" w:color="auto"/>
            </w:tcBorders>
            <w:shd w:val="clear" w:color="auto" w:fill="C6EFCE"/>
            <w:noWrap/>
            <w:vAlign w:val="center"/>
          </w:tcPr>
          <w:p w14:paraId="47EB11F3"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201C856D" w14:textId="77777777" w:rsidR="003F5418" w:rsidRDefault="002A6C25">
            <w:pPr>
              <w:pStyle w:val="P68B1DB1-Normal9"/>
              <w:rPr>
                <w:noProof/>
                <w:color w:val="006600"/>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01375A87" w14:textId="77777777" w:rsidR="003F5418" w:rsidRDefault="002A6C25">
            <w:pPr>
              <w:pStyle w:val="P68B1DB1-Normal9"/>
              <w:rPr>
                <w:noProof/>
                <w:color w:val="006600"/>
              </w:rPr>
            </w:pPr>
            <w:r>
              <w:rPr>
                <w:noProof/>
              </w:rPr>
              <w:t>A 2023. évi éves versenyjogi törvény hatálybalépése</w:t>
            </w:r>
          </w:p>
        </w:tc>
      </w:tr>
      <w:tr w:rsidR="003F5418" w14:paraId="0E61B4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9DC823" w14:textId="77777777" w:rsidR="003F5418" w:rsidRDefault="002A6C25">
            <w:pPr>
              <w:pStyle w:val="P68B1DB1-Normal9"/>
              <w:jc w:val="center"/>
              <w:rPr>
                <w:noProof/>
              </w:rPr>
            </w:pPr>
            <w:r>
              <w:rPr>
                <w:noProof/>
              </w:rPr>
              <w:t>M1C2–12</w:t>
            </w:r>
          </w:p>
        </w:tc>
        <w:tc>
          <w:tcPr>
            <w:tcW w:w="3118" w:type="dxa"/>
            <w:tcBorders>
              <w:top w:val="nil"/>
              <w:left w:val="nil"/>
              <w:bottom w:val="single" w:sz="4" w:space="0" w:color="auto"/>
              <w:right w:val="single" w:sz="4" w:space="0" w:color="auto"/>
            </w:tcBorders>
            <w:shd w:val="clear" w:color="auto" w:fill="C6EFCE"/>
            <w:noWrap/>
            <w:vAlign w:val="center"/>
          </w:tcPr>
          <w:p w14:paraId="5013C2A7" w14:textId="77777777" w:rsidR="003F5418" w:rsidRDefault="002A6C25">
            <w:pPr>
              <w:pStyle w:val="P68B1DB1-Normal9"/>
              <w:rPr>
                <w:noProof/>
              </w:rPr>
            </w:pPr>
            <w:r>
              <w:rPr>
                <w:noProof/>
              </w:rPr>
              <w:t>Reform: Éves versenyjogi jogszabályok</w:t>
            </w:r>
          </w:p>
        </w:tc>
        <w:tc>
          <w:tcPr>
            <w:tcW w:w="1418" w:type="dxa"/>
            <w:tcBorders>
              <w:top w:val="nil"/>
              <w:left w:val="nil"/>
              <w:bottom w:val="single" w:sz="4" w:space="0" w:color="auto"/>
              <w:right w:val="single" w:sz="4" w:space="0" w:color="auto"/>
            </w:tcBorders>
            <w:shd w:val="clear" w:color="auto" w:fill="C6EFCE"/>
            <w:noWrap/>
            <w:vAlign w:val="center"/>
          </w:tcPr>
          <w:p w14:paraId="211F55A4" w14:textId="77777777" w:rsidR="003F5418" w:rsidRDefault="002A6C25">
            <w:pPr>
              <w:pStyle w:val="P68B1DB1-Normal9"/>
              <w:rPr>
                <w:noProof/>
                <w:color w:val="006600"/>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4A25274E" w14:textId="77777777" w:rsidR="003F5418" w:rsidRDefault="002A6C25">
            <w:pPr>
              <w:pStyle w:val="P68B1DB1-Normal9"/>
              <w:rPr>
                <w:noProof/>
                <w:color w:val="006600"/>
              </w:rPr>
            </w:pPr>
            <w:r>
              <w:rPr>
                <w:noProof/>
              </w:rPr>
              <w:t>Valamennyi végrehajtási intézkedés (szükség esetén beleértve a másodlagos jogszabályokat is) hatálybalépése a 2023. évi éves versenyjogi törvényből eredő intézkedések hatékony végrehajtása és alkalmazása érdekében</w:t>
            </w:r>
          </w:p>
        </w:tc>
      </w:tr>
      <w:tr w:rsidR="003F5418" w14:paraId="4275D0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4532F5" w14:textId="77777777" w:rsidR="003F5418" w:rsidRDefault="002A6C25">
            <w:pPr>
              <w:pStyle w:val="P68B1DB1-Normal9"/>
              <w:jc w:val="center"/>
              <w:rPr>
                <w:noProof/>
              </w:rPr>
            </w:pPr>
            <w:r>
              <w:rPr>
                <w:noProof/>
              </w:rPr>
              <w:t>M2C1–6bis</w:t>
            </w:r>
          </w:p>
        </w:tc>
        <w:tc>
          <w:tcPr>
            <w:tcW w:w="3118" w:type="dxa"/>
            <w:tcBorders>
              <w:top w:val="nil"/>
              <w:left w:val="nil"/>
              <w:bottom w:val="single" w:sz="4" w:space="0" w:color="auto"/>
              <w:right w:val="single" w:sz="4" w:space="0" w:color="auto"/>
            </w:tcBorders>
            <w:shd w:val="clear" w:color="auto" w:fill="C6EFCE"/>
            <w:noWrap/>
            <w:vAlign w:val="center"/>
          </w:tcPr>
          <w:p w14:paraId="5AC0D1D8" w14:textId="77777777" w:rsidR="003F5418" w:rsidRDefault="002A6C25">
            <w:pPr>
              <w:pStyle w:val="P68B1DB1-Normal9"/>
              <w:rPr>
                <w:noProof/>
              </w:rPr>
            </w:pPr>
            <w:r>
              <w:rPr>
                <w:noProof/>
              </w:rPr>
              <w:t>Beruházás: Agrár-soláris park</w:t>
            </w:r>
          </w:p>
        </w:tc>
        <w:tc>
          <w:tcPr>
            <w:tcW w:w="1418" w:type="dxa"/>
            <w:tcBorders>
              <w:top w:val="nil"/>
              <w:left w:val="nil"/>
              <w:bottom w:val="single" w:sz="4" w:space="0" w:color="auto"/>
              <w:right w:val="single" w:sz="4" w:space="0" w:color="auto"/>
            </w:tcBorders>
            <w:shd w:val="clear" w:color="auto" w:fill="C6EFCE"/>
            <w:noWrap/>
            <w:vAlign w:val="center"/>
          </w:tcPr>
          <w:p w14:paraId="323F3A70"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3EB1B4E7" w14:textId="77777777" w:rsidR="003F5418" w:rsidRDefault="002A6C25">
            <w:pPr>
              <w:pStyle w:val="P68B1DB1-Normal9"/>
              <w:rPr>
                <w:noProof/>
                <w:color w:val="006600"/>
              </w:rPr>
            </w:pPr>
            <w:r>
              <w:rPr>
                <w:noProof/>
              </w:rPr>
              <w:t>A források kedvezményezettek közötti elosztása a beruházáshoz rendelt összes pénzügyi forrás %-ában</w:t>
            </w:r>
          </w:p>
        </w:tc>
      </w:tr>
      <w:tr w:rsidR="003F5418" w14:paraId="73661A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BC0753" w14:textId="77777777" w:rsidR="003F5418" w:rsidRDefault="002A6C25">
            <w:pPr>
              <w:pStyle w:val="P68B1DB1-Normal9"/>
              <w:jc w:val="center"/>
              <w:rPr>
                <w:noProof/>
              </w:rPr>
            </w:pPr>
            <w:r>
              <w:rPr>
                <w:noProof/>
              </w:rPr>
              <w:t>M2C1–7</w:t>
            </w:r>
          </w:p>
        </w:tc>
        <w:tc>
          <w:tcPr>
            <w:tcW w:w="3118" w:type="dxa"/>
            <w:tcBorders>
              <w:top w:val="nil"/>
              <w:left w:val="nil"/>
              <w:bottom w:val="single" w:sz="4" w:space="0" w:color="auto"/>
              <w:right w:val="single" w:sz="4" w:space="0" w:color="auto"/>
            </w:tcBorders>
            <w:shd w:val="clear" w:color="auto" w:fill="C6EFCE"/>
            <w:noWrap/>
            <w:vAlign w:val="center"/>
          </w:tcPr>
          <w:p w14:paraId="1471CB41" w14:textId="77777777" w:rsidR="003F5418" w:rsidRDefault="002A6C25">
            <w:pPr>
              <w:pStyle w:val="P68B1DB1-Normal9"/>
              <w:rPr>
                <w:noProof/>
              </w:rPr>
            </w:pPr>
            <w:r>
              <w:rPr>
                <w:noProof/>
              </w:rPr>
              <w:t>Beruházás: Innováció és gépesítés a mezőgazdasági és élelmiszeripari ágazatban</w:t>
            </w:r>
          </w:p>
        </w:tc>
        <w:tc>
          <w:tcPr>
            <w:tcW w:w="1418" w:type="dxa"/>
            <w:tcBorders>
              <w:top w:val="nil"/>
              <w:left w:val="nil"/>
              <w:bottom w:val="single" w:sz="4" w:space="0" w:color="auto"/>
              <w:right w:val="single" w:sz="4" w:space="0" w:color="auto"/>
            </w:tcBorders>
            <w:shd w:val="clear" w:color="auto" w:fill="C6EFCE"/>
            <w:noWrap/>
            <w:vAlign w:val="center"/>
          </w:tcPr>
          <w:p w14:paraId="6C8F36C1"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4D348884" w14:textId="77777777" w:rsidR="003F5418" w:rsidRDefault="002A6C25">
            <w:pPr>
              <w:pStyle w:val="P68B1DB1-Normal9"/>
              <w:rPr>
                <w:noProof/>
                <w:color w:val="006600"/>
              </w:rPr>
            </w:pPr>
            <w:r>
              <w:rPr>
                <w:noProof/>
              </w:rPr>
              <w:t>A végső rangsorok közzététele a végső kedvezményezettek azono</w:t>
            </w:r>
            <w:r>
              <w:rPr>
                <w:noProof/>
              </w:rPr>
              <w:t>sításával.</w:t>
            </w:r>
          </w:p>
        </w:tc>
      </w:tr>
      <w:tr w:rsidR="003F5418" w14:paraId="137839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0AE5F8" w14:textId="77777777" w:rsidR="003F5418" w:rsidRDefault="002A6C25">
            <w:pPr>
              <w:pStyle w:val="P68B1DB1-Normal9"/>
              <w:jc w:val="center"/>
              <w:rPr>
                <w:noProof/>
              </w:rPr>
            </w:pPr>
            <w:r>
              <w:rPr>
                <w:noProof/>
              </w:rPr>
              <w:t>M2C2–28</w:t>
            </w:r>
          </w:p>
        </w:tc>
        <w:tc>
          <w:tcPr>
            <w:tcW w:w="3118" w:type="dxa"/>
            <w:tcBorders>
              <w:top w:val="nil"/>
              <w:left w:val="nil"/>
              <w:bottom w:val="single" w:sz="4" w:space="0" w:color="auto"/>
              <w:right w:val="single" w:sz="4" w:space="0" w:color="auto"/>
            </w:tcBorders>
            <w:shd w:val="clear" w:color="auto" w:fill="C6EFCE"/>
            <w:noWrap/>
            <w:vAlign w:val="center"/>
          </w:tcPr>
          <w:p w14:paraId="50251C5B" w14:textId="77777777" w:rsidR="003F5418" w:rsidRDefault="002A6C25">
            <w:pPr>
              <w:pStyle w:val="P68B1DB1-Normal9"/>
              <w:rPr>
                <w:noProof/>
              </w:rPr>
            </w:pPr>
            <w:r>
              <w:rPr>
                <w:noProof/>
              </w:rPr>
              <w:t>Beruházás: Töltő infrastruktúra létesítése</w:t>
            </w:r>
          </w:p>
        </w:tc>
        <w:tc>
          <w:tcPr>
            <w:tcW w:w="1418" w:type="dxa"/>
            <w:tcBorders>
              <w:top w:val="nil"/>
              <w:left w:val="nil"/>
              <w:bottom w:val="single" w:sz="4" w:space="0" w:color="auto"/>
              <w:right w:val="single" w:sz="4" w:space="0" w:color="auto"/>
            </w:tcBorders>
            <w:shd w:val="clear" w:color="auto" w:fill="C6EFCE"/>
            <w:noWrap/>
            <w:vAlign w:val="center"/>
          </w:tcPr>
          <w:p w14:paraId="3ABDB0EA" w14:textId="77777777" w:rsidR="003F5418" w:rsidRDefault="002A6C25">
            <w:pPr>
              <w:pStyle w:val="P68B1DB1-Normal9"/>
              <w:rPr>
                <w:noProof/>
                <w:color w:val="006600"/>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1A38E364" w14:textId="77777777" w:rsidR="003F5418" w:rsidRDefault="002A6C25">
            <w:pPr>
              <w:pStyle w:val="P68B1DB1-Normal9"/>
              <w:rPr>
                <w:noProof/>
                <w:color w:val="006600"/>
              </w:rPr>
            </w:pPr>
            <w:r>
              <w:rPr>
                <w:noProof/>
              </w:rPr>
              <w:t>Az M2 töltőinfrastruktúra kiépítésére vonatkozó valamennyi közbeszerzési szerződés odaítélése</w:t>
            </w:r>
          </w:p>
        </w:tc>
      </w:tr>
      <w:tr w:rsidR="003F5418" w14:paraId="5B2B490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4CBDCB" w14:textId="77777777" w:rsidR="003F5418" w:rsidRDefault="002A6C25">
            <w:pPr>
              <w:pStyle w:val="P68B1DB1-Normal9"/>
              <w:jc w:val="center"/>
              <w:rPr>
                <w:noProof/>
              </w:rPr>
            </w:pPr>
            <w:r>
              <w:rPr>
                <w:noProof/>
              </w:rPr>
              <w:t>M4C1–12</w:t>
            </w:r>
          </w:p>
        </w:tc>
        <w:tc>
          <w:tcPr>
            <w:tcW w:w="3118" w:type="dxa"/>
            <w:tcBorders>
              <w:top w:val="nil"/>
              <w:left w:val="nil"/>
              <w:bottom w:val="single" w:sz="4" w:space="0" w:color="auto"/>
              <w:right w:val="single" w:sz="4" w:space="0" w:color="auto"/>
            </w:tcBorders>
            <w:shd w:val="clear" w:color="auto" w:fill="C6EFCE"/>
            <w:noWrap/>
            <w:vAlign w:val="center"/>
          </w:tcPr>
          <w:p w14:paraId="4919C0F4" w14:textId="77777777" w:rsidR="003F5418" w:rsidRDefault="002A6C25">
            <w:pPr>
              <w:pStyle w:val="P68B1DB1-Normal9"/>
              <w:rPr>
                <w:noProof/>
              </w:rPr>
            </w:pPr>
            <w:r>
              <w:rPr>
                <w:noProof/>
              </w:rPr>
              <w:t>Beruházás: A PhD-k számának és karrierlehetőségeinek bővítése (kutatásorientált,</w:t>
            </w:r>
            <w:r>
              <w:rPr>
                <w:noProof/>
              </w:rPr>
              <w:t xml:space="preserve"> közigazgatás és kulturális örökség)</w:t>
            </w:r>
          </w:p>
        </w:tc>
        <w:tc>
          <w:tcPr>
            <w:tcW w:w="1418" w:type="dxa"/>
            <w:tcBorders>
              <w:top w:val="nil"/>
              <w:left w:val="nil"/>
              <w:bottom w:val="single" w:sz="4" w:space="0" w:color="auto"/>
              <w:right w:val="single" w:sz="4" w:space="0" w:color="auto"/>
            </w:tcBorders>
            <w:shd w:val="clear" w:color="auto" w:fill="C6EFCE"/>
            <w:noWrap/>
            <w:vAlign w:val="center"/>
          </w:tcPr>
          <w:p w14:paraId="7C0C30EC"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7ABDB73B" w14:textId="77777777" w:rsidR="003F5418" w:rsidRDefault="002A6C25">
            <w:pPr>
              <w:pStyle w:val="P68B1DB1-Normal9"/>
              <w:rPr>
                <w:noProof/>
                <w:color w:val="006600"/>
              </w:rPr>
            </w:pPr>
            <w:r>
              <w:rPr>
                <w:noProof/>
              </w:rPr>
              <w:t>PhD-ösztöndíjprogramok évente (három éven túl)</w:t>
            </w:r>
          </w:p>
        </w:tc>
      </w:tr>
      <w:tr w:rsidR="003F5418" w14:paraId="76708D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9E1984" w14:textId="77777777" w:rsidR="003F5418" w:rsidRDefault="002A6C25">
            <w:pPr>
              <w:pStyle w:val="P68B1DB1-Normal9"/>
              <w:jc w:val="center"/>
              <w:rPr>
                <w:noProof/>
              </w:rPr>
            </w:pPr>
            <w:r>
              <w:rPr>
                <w:noProof/>
              </w:rPr>
              <w:t>M4C1–14</w:t>
            </w:r>
          </w:p>
        </w:tc>
        <w:tc>
          <w:tcPr>
            <w:tcW w:w="3118" w:type="dxa"/>
            <w:tcBorders>
              <w:top w:val="nil"/>
              <w:left w:val="nil"/>
              <w:bottom w:val="single" w:sz="4" w:space="0" w:color="auto"/>
              <w:right w:val="single" w:sz="4" w:space="0" w:color="auto"/>
            </w:tcBorders>
            <w:shd w:val="clear" w:color="auto" w:fill="C6EFCE"/>
            <w:noWrap/>
            <w:vAlign w:val="center"/>
          </w:tcPr>
          <w:p w14:paraId="1A45B3B9" w14:textId="77777777" w:rsidR="003F5418" w:rsidRDefault="002A6C25">
            <w:pPr>
              <w:pStyle w:val="P68B1DB1-Normal9"/>
              <w:rPr>
                <w:noProof/>
              </w:rPr>
            </w:pPr>
            <w:r>
              <w:rPr>
                <w:noProof/>
              </w:rPr>
              <w:t xml:space="preserve">Reform: Tanárok felvétele </w:t>
            </w:r>
          </w:p>
        </w:tc>
        <w:tc>
          <w:tcPr>
            <w:tcW w:w="1418" w:type="dxa"/>
            <w:tcBorders>
              <w:top w:val="nil"/>
              <w:left w:val="nil"/>
              <w:bottom w:val="single" w:sz="4" w:space="0" w:color="auto"/>
              <w:right w:val="single" w:sz="4" w:space="0" w:color="auto"/>
            </w:tcBorders>
            <w:shd w:val="clear" w:color="auto" w:fill="C6EFCE"/>
            <w:noWrap/>
            <w:vAlign w:val="center"/>
          </w:tcPr>
          <w:p w14:paraId="7F0C80B7"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1DB2FBBF" w14:textId="77777777" w:rsidR="003F5418" w:rsidRDefault="002A6C25">
            <w:pPr>
              <w:pStyle w:val="P68B1DB1-Normal9"/>
              <w:rPr>
                <w:noProof/>
                <w:color w:val="006600"/>
              </w:rPr>
            </w:pPr>
            <w:r>
              <w:rPr>
                <w:noProof/>
              </w:rPr>
              <w:t>A megreformált munkaerő-felvételi rendszerrel felvett tanárok</w:t>
            </w:r>
          </w:p>
        </w:tc>
      </w:tr>
      <w:tr w:rsidR="003F5418" w14:paraId="0768D4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E7B94C" w14:textId="77777777" w:rsidR="003F5418" w:rsidRDefault="002A6C25">
            <w:pPr>
              <w:pStyle w:val="P68B1DB1-Normal9"/>
              <w:jc w:val="center"/>
              <w:rPr>
                <w:noProof/>
              </w:rPr>
            </w:pPr>
            <w:r>
              <w:rPr>
                <w:noProof/>
              </w:rPr>
              <w:t>M4C1–15</w:t>
            </w:r>
          </w:p>
        </w:tc>
        <w:tc>
          <w:tcPr>
            <w:tcW w:w="3118" w:type="dxa"/>
            <w:tcBorders>
              <w:top w:val="nil"/>
              <w:left w:val="nil"/>
              <w:bottom w:val="single" w:sz="4" w:space="0" w:color="auto"/>
              <w:right w:val="single" w:sz="4" w:space="0" w:color="auto"/>
            </w:tcBorders>
            <w:shd w:val="clear" w:color="auto" w:fill="C6EFCE"/>
            <w:noWrap/>
            <w:vAlign w:val="center"/>
          </w:tcPr>
          <w:p w14:paraId="12BC8BED" w14:textId="77777777" w:rsidR="003F5418" w:rsidRDefault="002A6C25">
            <w:pPr>
              <w:pStyle w:val="P68B1DB1-Normal9"/>
              <w:rPr>
                <w:noProof/>
              </w:rPr>
            </w:pPr>
            <w:r>
              <w:rPr>
                <w:noProof/>
              </w:rPr>
              <w:t>Beruházás: Egyetemi ösztöndíjak</w:t>
            </w:r>
          </w:p>
        </w:tc>
        <w:tc>
          <w:tcPr>
            <w:tcW w:w="1418" w:type="dxa"/>
            <w:tcBorders>
              <w:top w:val="nil"/>
              <w:left w:val="nil"/>
              <w:bottom w:val="single" w:sz="4" w:space="0" w:color="auto"/>
              <w:right w:val="single" w:sz="4" w:space="0" w:color="auto"/>
            </w:tcBorders>
            <w:shd w:val="clear" w:color="auto" w:fill="C6EFCE"/>
            <w:noWrap/>
            <w:vAlign w:val="center"/>
          </w:tcPr>
          <w:p w14:paraId="6650CB7A"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449AF2FE" w14:textId="77777777" w:rsidR="003F5418" w:rsidRDefault="002A6C25">
            <w:pPr>
              <w:pStyle w:val="P68B1DB1-Normal9"/>
              <w:rPr>
                <w:noProof/>
                <w:color w:val="006600"/>
              </w:rPr>
            </w:pPr>
            <w:r>
              <w:rPr>
                <w:noProof/>
              </w:rPr>
              <w:t xml:space="preserve">Egyetemi felvételi </w:t>
            </w:r>
            <w:r>
              <w:rPr>
                <w:noProof/>
              </w:rPr>
              <w:t>ösztöndíjak</w:t>
            </w:r>
          </w:p>
        </w:tc>
      </w:tr>
      <w:tr w:rsidR="003F5418" w14:paraId="497BFA03" w14:textId="77777777">
        <w:trPr>
          <w:trHeight w:val="1140"/>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B80D0B" w14:textId="77777777" w:rsidR="003F5418" w:rsidRDefault="002A6C25">
            <w:pPr>
              <w:pStyle w:val="P68B1DB1-Normal9"/>
              <w:jc w:val="center"/>
              <w:rPr>
                <w:noProof/>
              </w:rPr>
            </w:pPr>
            <w:r>
              <w:rPr>
                <w:noProof/>
              </w:rPr>
              <w:t>M4C2–3</w:t>
            </w:r>
          </w:p>
        </w:tc>
        <w:tc>
          <w:tcPr>
            <w:tcW w:w="3118" w:type="dxa"/>
            <w:tcBorders>
              <w:top w:val="nil"/>
              <w:left w:val="nil"/>
              <w:bottom w:val="single" w:sz="4" w:space="0" w:color="auto"/>
              <w:right w:val="single" w:sz="4" w:space="0" w:color="auto"/>
            </w:tcBorders>
            <w:shd w:val="clear" w:color="auto" w:fill="C6EFCE"/>
            <w:noWrap/>
            <w:vAlign w:val="center"/>
          </w:tcPr>
          <w:p w14:paraId="3ED939A9" w14:textId="77777777" w:rsidR="003F5418" w:rsidRDefault="002A6C25">
            <w:pPr>
              <w:pStyle w:val="P68B1DB1-Normal9"/>
              <w:rPr>
                <w:noProof/>
              </w:rPr>
            </w:pPr>
            <w:r>
              <w:rPr>
                <w:noProof/>
              </w:rPr>
              <w:t>Beruházás: Innovatív doktori állások bevezetése, amelyek megfelelnek a vállalkozások innovációs igényeinek, és előmozdítják a kutatók vállalatok általi felvételét</w:t>
            </w:r>
          </w:p>
        </w:tc>
        <w:tc>
          <w:tcPr>
            <w:tcW w:w="1418" w:type="dxa"/>
            <w:tcBorders>
              <w:top w:val="nil"/>
              <w:left w:val="nil"/>
              <w:bottom w:val="single" w:sz="4" w:space="0" w:color="auto"/>
              <w:right w:val="single" w:sz="4" w:space="0" w:color="auto"/>
            </w:tcBorders>
            <w:shd w:val="clear" w:color="auto" w:fill="C6EFCE"/>
            <w:noWrap/>
            <w:vAlign w:val="center"/>
          </w:tcPr>
          <w:p w14:paraId="2E85D9FE" w14:textId="77777777" w:rsidR="003F5418" w:rsidRDefault="002A6C25">
            <w:pPr>
              <w:pStyle w:val="P68B1DB1-Normal9"/>
              <w:rPr>
                <w:noProof/>
                <w:color w:val="006600"/>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6008B7B1" w14:textId="77777777" w:rsidR="003F5418" w:rsidRDefault="002A6C25">
            <w:pPr>
              <w:pStyle w:val="P68B1DB1-Normal9"/>
              <w:rPr>
                <w:noProof/>
                <w:color w:val="006600"/>
              </w:rPr>
            </w:pPr>
            <w:r>
              <w:rPr>
                <w:noProof/>
              </w:rPr>
              <w:t>Az innovatív PhD-ösztöndíjak száma</w:t>
            </w:r>
          </w:p>
        </w:tc>
      </w:tr>
      <w:tr w:rsidR="003F5418" w14:paraId="74FFF2C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331078" w14:textId="77777777" w:rsidR="003F5418" w:rsidRDefault="002A6C25">
            <w:pPr>
              <w:pStyle w:val="P68B1DB1-Normal9"/>
              <w:jc w:val="center"/>
              <w:rPr>
                <w:noProof/>
              </w:rPr>
            </w:pPr>
            <w:r>
              <w:rPr>
                <w:noProof/>
              </w:rPr>
              <w:t>M5C1–15a</w:t>
            </w:r>
          </w:p>
        </w:tc>
        <w:tc>
          <w:tcPr>
            <w:tcW w:w="3118" w:type="dxa"/>
            <w:tcBorders>
              <w:top w:val="nil"/>
              <w:left w:val="nil"/>
              <w:bottom w:val="single" w:sz="4" w:space="0" w:color="auto"/>
              <w:right w:val="single" w:sz="4" w:space="0" w:color="auto"/>
            </w:tcBorders>
            <w:shd w:val="clear" w:color="auto" w:fill="C6EFCE"/>
            <w:noWrap/>
            <w:vAlign w:val="center"/>
          </w:tcPr>
          <w:p w14:paraId="260B9B18" w14:textId="77777777" w:rsidR="003F5418" w:rsidRDefault="002A6C25">
            <w:pPr>
              <w:pStyle w:val="P68B1DB1-Normal9"/>
              <w:rPr>
                <w:noProof/>
              </w:rPr>
            </w:pPr>
            <w:r>
              <w:rPr>
                <w:noProof/>
              </w:rPr>
              <w:t xml:space="preserve">Beruházás – Egyetemes </w:t>
            </w:r>
            <w:r>
              <w:rPr>
                <w:noProof/>
              </w:rPr>
              <w:t>közszolgálat</w:t>
            </w:r>
          </w:p>
        </w:tc>
        <w:tc>
          <w:tcPr>
            <w:tcW w:w="1418" w:type="dxa"/>
            <w:tcBorders>
              <w:top w:val="nil"/>
              <w:left w:val="nil"/>
              <w:bottom w:val="single" w:sz="4" w:space="0" w:color="auto"/>
              <w:right w:val="single" w:sz="4" w:space="0" w:color="auto"/>
            </w:tcBorders>
            <w:shd w:val="clear" w:color="auto" w:fill="C6EFCE"/>
            <w:noWrap/>
            <w:vAlign w:val="center"/>
          </w:tcPr>
          <w:p w14:paraId="2649B6D8" w14:textId="77777777" w:rsidR="003F5418" w:rsidRDefault="002A6C25">
            <w:pPr>
              <w:pStyle w:val="P68B1DB1-Normal9"/>
              <w:rPr>
                <w:noProof/>
                <w:color w:val="006600"/>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4F84F1D" w14:textId="77777777" w:rsidR="003F5418" w:rsidRDefault="002A6C25">
            <w:pPr>
              <w:rPr>
                <w:noProof/>
                <w:color w:val="006600"/>
                <w:sz w:val="20"/>
              </w:rPr>
            </w:pPr>
            <w:r>
              <w:rPr>
                <w:noProof/>
                <w:color w:val="006100"/>
                <w:sz w:val="20"/>
              </w:rPr>
              <w:t>A 2019.</w:t>
            </w:r>
            <w:r>
              <w:rPr>
                <w:rStyle w:val="font111"/>
                <w:noProof/>
                <w:vertAlign w:val="superscript"/>
              </w:rPr>
              <w:t>január</w:t>
            </w:r>
            <w:r>
              <w:rPr>
                <w:noProof/>
                <w:color w:val="006100"/>
                <w:sz w:val="20"/>
              </w:rPr>
              <w:t>14-én dpcm-ben (decreto del Presidente del Consiglio dei ministri) elfogadott jelenlegi „Disposizioni concernenti la disciplina dei rapporti tra enti e operatori Volontari del servizio civile universale” normatív felülvi</w:t>
            </w:r>
            <w:r>
              <w:rPr>
                <w:noProof/>
                <w:color w:val="006100"/>
                <w:sz w:val="20"/>
              </w:rPr>
              <w:t>zsgálata az egyetemes közszolgálat megerősítése céljából</w:t>
            </w:r>
            <w:r>
              <w:rPr>
                <w:rStyle w:val="font81"/>
                <w:rFonts w:eastAsiaTheme="majorEastAsia"/>
                <w:noProof/>
              </w:rPr>
              <w:t xml:space="preserve"> </w:t>
            </w:r>
          </w:p>
        </w:tc>
      </w:tr>
      <w:tr w:rsidR="003F5418" w14:paraId="120496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11EE8D" w14:textId="77777777" w:rsidR="003F5418" w:rsidRDefault="002A6C25">
            <w:pPr>
              <w:pStyle w:val="P68B1DB1-Normal9"/>
              <w:jc w:val="center"/>
              <w:rPr>
                <w:noProof/>
              </w:rPr>
            </w:pPr>
            <w:r>
              <w:rPr>
                <w:noProof/>
              </w:rPr>
              <w:t>M7–1</w:t>
            </w:r>
          </w:p>
        </w:tc>
        <w:tc>
          <w:tcPr>
            <w:tcW w:w="3118" w:type="dxa"/>
            <w:tcBorders>
              <w:top w:val="nil"/>
              <w:left w:val="nil"/>
              <w:bottom w:val="single" w:sz="4" w:space="0" w:color="auto"/>
              <w:right w:val="single" w:sz="4" w:space="0" w:color="auto"/>
            </w:tcBorders>
            <w:shd w:val="clear" w:color="auto" w:fill="C6EFCE"/>
            <w:noWrap/>
            <w:vAlign w:val="center"/>
          </w:tcPr>
          <w:p w14:paraId="3CF94F7F" w14:textId="77777777" w:rsidR="003F5418" w:rsidRDefault="002A6C25">
            <w:pPr>
              <w:pStyle w:val="P68B1DB1-Normal9"/>
              <w:rPr>
                <w:noProof/>
              </w:rPr>
            </w:pPr>
            <w:r>
              <w:rPr>
                <w:noProof/>
              </w:rPr>
              <w:t>Az 1. reformot A megújuló energiára vonatkozó engedélyezési eljárások egyszerűsítése</w:t>
            </w:r>
          </w:p>
        </w:tc>
        <w:tc>
          <w:tcPr>
            <w:tcW w:w="1418" w:type="dxa"/>
            <w:tcBorders>
              <w:top w:val="nil"/>
              <w:left w:val="nil"/>
              <w:bottom w:val="single" w:sz="4" w:space="0" w:color="auto"/>
              <w:right w:val="single" w:sz="4" w:space="0" w:color="auto"/>
            </w:tcBorders>
            <w:shd w:val="clear" w:color="auto" w:fill="C6EFCE"/>
            <w:noWrap/>
            <w:vAlign w:val="center"/>
          </w:tcPr>
          <w:p w14:paraId="436B7E6C" w14:textId="77777777" w:rsidR="003F5418" w:rsidRDefault="002A6C25">
            <w:pPr>
              <w:pStyle w:val="P68B1DB1-Normal9"/>
              <w:rPr>
                <w:noProof/>
                <w:color w:val="006600"/>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0DDDD36C" w14:textId="77777777" w:rsidR="003F5418" w:rsidRDefault="002A6C25">
            <w:pPr>
              <w:pStyle w:val="P68B1DB1-Normal9"/>
              <w:rPr>
                <w:noProof/>
                <w:color w:val="006600"/>
              </w:rPr>
            </w:pPr>
            <w:r>
              <w:rPr>
                <w:noProof/>
              </w:rPr>
              <w:t>A „megújuló energiaforrások felgyorsítására alkalmas célterületek” meghatározása</w:t>
            </w:r>
          </w:p>
        </w:tc>
      </w:tr>
      <w:tr w:rsidR="003F5418" w14:paraId="5A4E3A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E2773" w14:textId="77777777" w:rsidR="003F5418" w:rsidRDefault="002A6C25">
            <w:pPr>
              <w:pStyle w:val="P68B1DB1-Normal9"/>
              <w:jc w:val="center"/>
              <w:rPr>
                <w:noProof/>
              </w:rPr>
            </w:pPr>
            <w:r>
              <w:rPr>
                <w:noProof/>
              </w:rPr>
              <w:t>M7–4</w:t>
            </w:r>
          </w:p>
        </w:tc>
        <w:tc>
          <w:tcPr>
            <w:tcW w:w="3118" w:type="dxa"/>
            <w:tcBorders>
              <w:top w:val="nil"/>
              <w:left w:val="nil"/>
              <w:bottom w:val="single" w:sz="4" w:space="0" w:color="auto"/>
              <w:right w:val="single" w:sz="4" w:space="0" w:color="auto"/>
            </w:tcBorders>
            <w:shd w:val="clear" w:color="auto" w:fill="C6EFCE"/>
            <w:noWrap/>
            <w:vAlign w:val="center"/>
          </w:tcPr>
          <w:p w14:paraId="353C4ABC" w14:textId="77777777" w:rsidR="003F5418" w:rsidRDefault="002A6C25">
            <w:pPr>
              <w:pStyle w:val="P68B1DB1-Normal9"/>
              <w:rPr>
                <w:noProof/>
              </w:rPr>
            </w:pPr>
            <w:r>
              <w:rPr>
                <w:noProof/>
              </w:rPr>
              <w:t xml:space="preserve">Reform: A </w:t>
            </w:r>
            <w:r>
              <w:rPr>
                <w:noProof/>
              </w:rPr>
              <w:t>környezetre káros támogatások csökkentése</w:t>
            </w:r>
          </w:p>
        </w:tc>
        <w:tc>
          <w:tcPr>
            <w:tcW w:w="1418" w:type="dxa"/>
            <w:tcBorders>
              <w:top w:val="nil"/>
              <w:left w:val="nil"/>
              <w:bottom w:val="single" w:sz="4" w:space="0" w:color="auto"/>
              <w:right w:val="single" w:sz="4" w:space="0" w:color="auto"/>
            </w:tcBorders>
            <w:shd w:val="clear" w:color="auto" w:fill="C6EFCE"/>
            <w:noWrap/>
            <w:vAlign w:val="center"/>
          </w:tcPr>
          <w:p w14:paraId="650BCD9C"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10DBC62C" w14:textId="77777777" w:rsidR="003F5418" w:rsidRDefault="002A6C25">
            <w:pPr>
              <w:pStyle w:val="P68B1DB1-Normal9"/>
              <w:rPr>
                <w:noProof/>
              </w:rPr>
            </w:pPr>
            <w:r>
              <w:rPr>
                <w:noProof/>
              </w:rPr>
              <w:t xml:space="preserve">Kormányzati jelentés elfogadása az érdekelt felekkel a környezeti szempontból káros támogatások 2030-ig történő csökkentésére vonatkozó ütemterv meghatározása érdekében folytatott kormányzati konzultáció </w:t>
            </w:r>
            <w:r>
              <w:rPr>
                <w:noProof/>
              </w:rPr>
              <w:t>eredményeire építve.</w:t>
            </w:r>
          </w:p>
        </w:tc>
      </w:tr>
      <w:tr w:rsidR="003F5418" w14:paraId="315FE6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163482" w14:textId="77777777" w:rsidR="003F5418" w:rsidRDefault="002A6C25">
            <w:pPr>
              <w:pStyle w:val="P68B1DB1-Normal9"/>
              <w:jc w:val="center"/>
              <w:rPr>
                <w:noProof/>
              </w:rPr>
            </w:pPr>
            <w:r>
              <w:rPr>
                <w:noProof/>
              </w:rPr>
              <w:t>M7–8</w:t>
            </w:r>
          </w:p>
        </w:tc>
        <w:tc>
          <w:tcPr>
            <w:tcW w:w="3118" w:type="dxa"/>
            <w:tcBorders>
              <w:top w:val="nil"/>
              <w:left w:val="nil"/>
              <w:bottom w:val="single" w:sz="4" w:space="0" w:color="auto"/>
              <w:right w:val="single" w:sz="4" w:space="0" w:color="auto"/>
            </w:tcBorders>
            <w:shd w:val="clear" w:color="auto" w:fill="C6EFCE"/>
            <w:noWrap/>
            <w:vAlign w:val="center"/>
          </w:tcPr>
          <w:p w14:paraId="1CE917A6" w14:textId="77777777" w:rsidR="003F5418" w:rsidRDefault="002A6C25">
            <w:pPr>
              <w:pStyle w:val="P68B1DB1-Normal9"/>
              <w:rPr>
                <w:noProof/>
              </w:rPr>
            </w:pPr>
            <w:r>
              <w:rPr>
                <w:noProof/>
              </w:rPr>
              <w:t>Reform: A megújuló energiavásárlási megállapodásokhoz (Power Purchase Agreement) kapcsolódó pénzügyi kockázat csökkentése</w:t>
            </w:r>
          </w:p>
        </w:tc>
        <w:tc>
          <w:tcPr>
            <w:tcW w:w="1418" w:type="dxa"/>
            <w:tcBorders>
              <w:top w:val="nil"/>
              <w:left w:val="nil"/>
              <w:bottom w:val="single" w:sz="4" w:space="0" w:color="auto"/>
              <w:right w:val="single" w:sz="4" w:space="0" w:color="auto"/>
            </w:tcBorders>
            <w:shd w:val="clear" w:color="auto" w:fill="C6EFCE"/>
            <w:noWrap/>
            <w:vAlign w:val="center"/>
          </w:tcPr>
          <w:p w14:paraId="353D0C87"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02166CFD" w14:textId="77777777" w:rsidR="003F5418" w:rsidRDefault="002A6C25">
            <w:pPr>
              <w:pStyle w:val="P68B1DB1-Normal9"/>
              <w:rPr>
                <w:noProof/>
              </w:rPr>
            </w:pPr>
            <w:r>
              <w:rPr>
                <w:noProof/>
              </w:rPr>
              <w:t>A másodlagos jog hatálybalépése</w:t>
            </w:r>
          </w:p>
        </w:tc>
      </w:tr>
      <w:tr w:rsidR="003F5418" w14:paraId="4D72D48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1A8602" w14:textId="77777777" w:rsidR="003F5418" w:rsidRDefault="002A6C25">
            <w:pPr>
              <w:pStyle w:val="P68B1DB1-Normal9"/>
              <w:jc w:val="center"/>
              <w:rPr>
                <w:noProof/>
              </w:rPr>
            </w:pPr>
            <w:r>
              <w:rPr>
                <w:noProof/>
              </w:rPr>
              <w:t>M7–16</w:t>
            </w:r>
          </w:p>
        </w:tc>
        <w:tc>
          <w:tcPr>
            <w:tcW w:w="3118" w:type="dxa"/>
            <w:tcBorders>
              <w:top w:val="nil"/>
              <w:left w:val="nil"/>
              <w:bottom w:val="single" w:sz="4" w:space="0" w:color="auto"/>
              <w:right w:val="single" w:sz="4" w:space="0" w:color="auto"/>
            </w:tcBorders>
            <w:shd w:val="clear" w:color="auto" w:fill="C6EFCE"/>
            <w:noWrap/>
            <w:vAlign w:val="center"/>
          </w:tcPr>
          <w:p w14:paraId="5F93CC79" w14:textId="77777777" w:rsidR="003F5418" w:rsidRDefault="002A6C25">
            <w:pPr>
              <w:pStyle w:val="P68B1DB1-Normal9"/>
              <w:rPr>
                <w:noProof/>
              </w:rPr>
            </w:pPr>
            <w:r>
              <w:rPr>
                <w:noProof/>
              </w:rPr>
              <w:t>Beruházás: SA.CO.I.3</w:t>
            </w:r>
          </w:p>
        </w:tc>
        <w:tc>
          <w:tcPr>
            <w:tcW w:w="1418" w:type="dxa"/>
            <w:tcBorders>
              <w:top w:val="nil"/>
              <w:left w:val="nil"/>
              <w:bottom w:val="single" w:sz="4" w:space="0" w:color="auto"/>
              <w:right w:val="single" w:sz="4" w:space="0" w:color="auto"/>
            </w:tcBorders>
            <w:shd w:val="clear" w:color="auto" w:fill="C6EFCE"/>
            <w:noWrap/>
            <w:vAlign w:val="center"/>
          </w:tcPr>
          <w:p w14:paraId="44181E51"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6C4FD387" w14:textId="77777777" w:rsidR="003F5418" w:rsidRDefault="002A6C25">
            <w:pPr>
              <w:pStyle w:val="P68B1DB1-Normal9"/>
              <w:rPr>
                <w:noProof/>
              </w:rPr>
            </w:pPr>
            <w:r>
              <w:rPr>
                <w:noProof/>
              </w:rPr>
              <w:t>Szerződések odaítélése</w:t>
            </w:r>
          </w:p>
        </w:tc>
      </w:tr>
      <w:tr w:rsidR="003F5418" w14:paraId="7395D9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50543A" w14:textId="77777777" w:rsidR="003F5418" w:rsidRDefault="002A6C25">
            <w:pPr>
              <w:pStyle w:val="P68B1DB1-Normal9"/>
              <w:jc w:val="center"/>
              <w:rPr>
                <w:noProof/>
              </w:rPr>
            </w:pPr>
            <w:r>
              <w:rPr>
                <w:noProof/>
              </w:rPr>
              <w:t>M4C1–10a</w:t>
            </w:r>
          </w:p>
        </w:tc>
        <w:tc>
          <w:tcPr>
            <w:tcW w:w="3118" w:type="dxa"/>
            <w:tcBorders>
              <w:top w:val="nil"/>
              <w:left w:val="nil"/>
              <w:bottom w:val="single" w:sz="4" w:space="0" w:color="auto"/>
              <w:right w:val="single" w:sz="4" w:space="0" w:color="auto"/>
            </w:tcBorders>
            <w:shd w:val="clear" w:color="auto" w:fill="C6EFCE"/>
            <w:noWrap/>
            <w:vAlign w:val="center"/>
          </w:tcPr>
          <w:p w14:paraId="29BC0159" w14:textId="77777777" w:rsidR="003F5418" w:rsidRDefault="002A6C25">
            <w:pPr>
              <w:pStyle w:val="P68B1DB1-Normal9"/>
              <w:rPr>
                <w:noProof/>
              </w:rPr>
            </w:pPr>
            <w:r>
              <w:rPr>
                <w:noProof/>
              </w:rPr>
              <w:t>Reform: A műszaki és szakmai intézetek reformja</w:t>
            </w:r>
          </w:p>
        </w:tc>
        <w:tc>
          <w:tcPr>
            <w:tcW w:w="1418" w:type="dxa"/>
            <w:tcBorders>
              <w:top w:val="nil"/>
              <w:left w:val="nil"/>
              <w:bottom w:val="single" w:sz="4" w:space="0" w:color="auto"/>
              <w:right w:val="single" w:sz="4" w:space="0" w:color="auto"/>
            </w:tcBorders>
            <w:shd w:val="clear" w:color="auto" w:fill="C6EFCE"/>
            <w:noWrap/>
            <w:vAlign w:val="center"/>
          </w:tcPr>
          <w:p w14:paraId="2C8C89BA" w14:textId="77777777" w:rsidR="003F5418" w:rsidRDefault="002A6C25">
            <w:pPr>
              <w:pStyle w:val="P68B1DB1-Normal9"/>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268C689B" w14:textId="77777777" w:rsidR="003F5418" w:rsidRDefault="002A6C25">
            <w:pPr>
              <w:pStyle w:val="P68B1DB1-Normal9"/>
              <w:rPr>
                <w:noProof/>
              </w:rPr>
            </w:pPr>
            <w:r>
              <w:rPr>
                <w:noProof/>
              </w:rPr>
              <w:t>A másodlagos jog hatálybalépése.</w:t>
            </w:r>
          </w:p>
        </w:tc>
      </w:tr>
      <w:tr w:rsidR="003F5418" w14:paraId="0CCFE40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C3F422"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367990CC" w14:textId="77777777" w:rsidR="003F5418" w:rsidRDefault="003F5418">
            <w:pPr>
              <w:rPr>
                <w:noProof/>
                <w:color w:val="006100"/>
                <w:sz w:val="20"/>
              </w:rPr>
            </w:pPr>
          </w:p>
        </w:tc>
        <w:tc>
          <w:tcPr>
            <w:tcW w:w="1418" w:type="dxa"/>
            <w:tcBorders>
              <w:top w:val="single" w:sz="4" w:space="0" w:color="auto"/>
              <w:left w:val="nil"/>
              <w:bottom w:val="single" w:sz="4" w:space="0" w:color="auto"/>
              <w:right w:val="single" w:sz="4" w:space="0" w:color="auto"/>
            </w:tcBorders>
            <w:shd w:val="clear" w:color="auto" w:fill="C6EFCE"/>
            <w:noWrap/>
            <w:vAlign w:val="bottom"/>
          </w:tcPr>
          <w:p w14:paraId="70B4B0C8" w14:textId="77777777" w:rsidR="003F5418" w:rsidRDefault="002A6C25">
            <w:pPr>
              <w:pStyle w:val="P68B1DB1-Normal9"/>
              <w:rPr>
                <w:noProof/>
              </w:rPr>
            </w:pPr>
            <w:r>
              <w:rPr>
                <w:noProof/>
              </w:rPr>
              <w:t>Részösszeg</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5EEEDE38" w14:textId="1F41EDC3" w:rsidR="003F5418" w:rsidRDefault="002A6C25">
            <w:pPr>
              <w:pStyle w:val="P68B1DB1-Normal9"/>
              <w:rPr>
                <w:noProof/>
              </w:rPr>
            </w:pPr>
            <w:r>
              <w:rPr>
                <w:rFonts w:hAnsi="Arial Narrow"/>
                <w:noProof/>
              </w:rPr>
              <w:t>5</w:t>
            </w:r>
            <w:r>
              <w:rPr>
                <w:rFonts w:hAnsi="Arial Narrow"/>
                <w:noProof/>
              </w:rPr>
              <w:t> </w:t>
            </w:r>
            <w:r>
              <w:rPr>
                <w:rFonts w:hAnsi="Arial Narrow"/>
                <w:noProof/>
              </w:rPr>
              <w:t>294</w:t>
            </w:r>
            <w:r>
              <w:rPr>
                <w:rFonts w:hAnsi="Arial Narrow"/>
                <w:noProof/>
              </w:rPr>
              <w:t> </w:t>
            </w:r>
            <w:r>
              <w:rPr>
                <w:rFonts w:hAnsi="Arial Narrow"/>
                <w:noProof/>
              </w:rPr>
              <w:t>563</w:t>
            </w:r>
            <w:r>
              <w:rPr>
                <w:rFonts w:hAnsi="Arial Narrow"/>
                <w:noProof/>
              </w:rPr>
              <w:t> </w:t>
            </w:r>
            <w:r>
              <w:rPr>
                <w:rFonts w:hAnsi="Arial Narrow"/>
                <w:noProof/>
              </w:rPr>
              <w:t>760</w:t>
            </w:r>
            <w:r>
              <w:rPr>
                <w:rFonts w:hAnsi="Arial Narrow"/>
                <w:noProof/>
              </w:rPr>
              <w:t> </w:t>
            </w:r>
            <w:r>
              <w:rPr>
                <w:rFonts w:hAnsi="Arial Narrow"/>
                <w:noProof/>
              </w:rPr>
              <w:t>EUR</w:t>
            </w:r>
            <w:r>
              <w:rPr>
                <w:rFonts w:ascii="Arial Narrow" w:hAnsi="Arial Narrow"/>
                <w:noProof/>
              </w:rPr>
              <w:t xml:space="preserve"> </w:t>
            </w:r>
          </w:p>
        </w:tc>
      </w:tr>
    </w:tbl>
    <w:p w14:paraId="1E6BF102" w14:textId="77777777" w:rsidR="003F5418" w:rsidRDefault="002A6C25">
      <w:pPr>
        <w:pStyle w:val="P68B1DB1-Normal35"/>
        <w:numPr>
          <w:ilvl w:val="1"/>
          <w:numId w:val="6"/>
        </w:numPr>
        <w:spacing w:before="120" w:after="120"/>
        <w:jc w:val="both"/>
        <w:rPr>
          <w:noProof/>
        </w:rPr>
      </w:pPr>
      <w:r>
        <w:rPr>
          <w:noProof/>
        </w:rPr>
        <w:t>Nyolcadik részlet (vissza nem térítendő támogatás):</w:t>
      </w:r>
    </w:p>
    <w:tbl>
      <w:tblPr>
        <w:tblW w:w="9991" w:type="dxa"/>
        <w:tblInd w:w="113" w:type="dxa"/>
        <w:tblLook w:val="04A0" w:firstRow="1" w:lastRow="0" w:firstColumn="1" w:lastColumn="0" w:noHBand="0" w:noVBand="1"/>
      </w:tblPr>
      <w:tblGrid>
        <w:gridCol w:w="1438"/>
        <w:gridCol w:w="3118"/>
        <w:gridCol w:w="1440"/>
        <w:gridCol w:w="4020"/>
      </w:tblGrid>
      <w:tr w:rsidR="003F5418" w14:paraId="5FC80086"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0994FF" w14:textId="77777777" w:rsidR="003F5418" w:rsidRDefault="002A6C25">
            <w:pPr>
              <w:pStyle w:val="P68B1DB1-Normal36"/>
              <w:jc w:val="center"/>
              <w:rPr>
                <w:noProof/>
              </w:rPr>
            </w:pPr>
            <w:r>
              <w:rPr>
                <w:noProof/>
              </w:rPr>
              <w:t>Sorszám</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A5C81D" w14:textId="77777777" w:rsidR="003F5418" w:rsidRDefault="002A6C25">
            <w:pPr>
              <w:pStyle w:val="P68B1DB1-Normal36"/>
              <w:jc w:val="center"/>
              <w:rPr>
                <w:noProof/>
              </w:rPr>
            </w:pPr>
            <w:r>
              <w:rPr>
                <w:noProof/>
              </w:rPr>
              <w:t>Kapcsolódó intézkedés (reform vagy beruházás)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2FAD355" w14:textId="77777777" w:rsidR="003F5418" w:rsidRDefault="002A6C25">
            <w:pPr>
              <w:pStyle w:val="P68B1DB1-Normal36"/>
              <w:jc w:val="center"/>
              <w:rPr>
                <w:noProof/>
              </w:rPr>
            </w:pPr>
            <w:r>
              <w:rPr>
                <w:noProof/>
              </w:rPr>
              <w:t>Mérföldkő/cél</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B8A32B4" w14:textId="77777777" w:rsidR="003F5418" w:rsidRDefault="002A6C25">
            <w:pPr>
              <w:pStyle w:val="P68B1DB1-Normal36"/>
              <w:jc w:val="center"/>
              <w:rPr>
                <w:noProof/>
              </w:rPr>
            </w:pPr>
            <w:r>
              <w:rPr>
                <w:noProof/>
              </w:rPr>
              <w:t>Név</w:t>
            </w:r>
          </w:p>
        </w:tc>
      </w:tr>
      <w:tr w:rsidR="003F5418" w14:paraId="72263895"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6C90C6B" w14:textId="77777777" w:rsidR="003F5418" w:rsidRDefault="003F5418">
            <w:pPr>
              <w:rPr>
                <w:b/>
                <w:noProof/>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9EE2263" w14:textId="77777777" w:rsidR="003F5418" w:rsidRDefault="003F5418">
            <w:pPr>
              <w:rPr>
                <w:b/>
                <w:noProof/>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FAA0EAC" w14:textId="77777777" w:rsidR="003F5418" w:rsidRDefault="003F5418">
            <w:pPr>
              <w:rPr>
                <w:b/>
                <w:noProof/>
              </w:rPr>
            </w:pPr>
          </w:p>
        </w:tc>
        <w:tc>
          <w:tcPr>
            <w:tcW w:w="4020" w:type="dxa"/>
            <w:vMerge/>
            <w:tcBorders>
              <w:top w:val="single" w:sz="4" w:space="0" w:color="auto"/>
              <w:left w:val="single" w:sz="4" w:space="0" w:color="auto"/>
              <w:bottom w:val="single" w:sz="4" w:space="0" w:color="auto"/>
              <w:right w:val="single" w:sz="4" w:space="0" w:color="auto"/>
            </w:tcBorders>
            <w:vAlign w:val="center"/>
            <w:hideMark/>
          </w:tcPr>
          <w:p w14:paraId="3A01CD1A" w14:textId="77777777" w:rsidR="003F5418" w:rsidRDefault="003F5418">
            <w:pPr>
              <w:rPr>
                <w:b/>
                <w:noProof/>
              </w:rPr>
            </w:pPr>
          </w:p>
        </w:tc>
      </w:tr>
      <w:tr w:rsidR="003F5418" w14:paraId="0EE3589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5599AD" w14:textId="77777777" w:rsidR="003F5418" w:rsidRDefault="002A6C25">
            <w:pPr>
              <w:pStyle w:val="P68B1DB1-Normal9"/>
              <w:jc w:val="center"/>
              <w:rPr>
                <w:noProof/>
              </w:rPr>
            </w:pPr>
            <w:r>
              <w:rPr>
                <w:noProof/>
              </w:rPr>
              <w:t>M1C1–23</w:t>
            </w:r>
          </w:p>
        </w:tc>
        <w:tc>
          <w:tcPr>
            <w:tcW w:w="3118" w:type="dxa"/>
            <w:tcBorders>
              <w:top w:val="single" w:sz="4" w:space="0" w:color="auto"/>
              <w:left w:val="nil"/>
              <w:bottom w:val="single" w:sz="4" w:space="0" w:color="auto"/>
              <w:right w:val="single" w:sz="4" w:space="0" w:color="auto"/>
            </w:tcBorders>
            <w:shd w:val="clear" w:color="auto" w:fill="C6EFCE"/>
            <w:noWrap/>
            <w:vAlign w:val="center"/>
          </w:tcPr>
          <w:p w14:paraId="51F54AE7" w14:textId="77777777" w:rsidR="003F5418" w:rsidRDefault="002A6C25">
            <w:pPr>
              <w:pStyle w:val="P68B1DB1-Normal9"/>
              <w:rPr>
                <w:noProof/>
              </w:rPr>
            </w:pPr>
            <w:r>
              <w:rPr>
                <w:noProof/>
              </w:rPr>
              <w:t>Beruházás: Mobilitás mint olaszországi szolgáltatás</w:t>
            </w:r>
          </w:p>
        </w:tc>
        <w:tc>
          <w:tcPr>
            <w:tcW w:w="1440" w:type="dxa"/>
            <w:tcBorders>
              <w:top w:val="single" w:sz="4" w:space="0" w:color="auto"/>
              <w:left w:val="nil"/>
              <w:bottom w:val="single" w:sz="4" w:space="0" w:color="auto"/>
              <w:right w:val="single" w:sz="4" w:space="0" w:color="auto"/>
            </w:tcBorders>
            <w:shd w:val="clear" w:color="auto" w:fill="C6EFCE"/>
            <w:noWrap/>
            <w:vAlign w:val="center"/>
          </w:tcPr>
          <w:p w14:paraId="4A475D94" w14:textId="77777777" w:rsidR="003F5418" w:rsidRDefault="002A6C25">
            <w:pPr>
              <w:pStyle w:val="P68B1DB1-Normal9"/>
              <w:jc w:val="center"/>
              <w:rPr>
                <w:noProof/>
              </w:rPr>
            </w:pPr>
            <w:r>
              <w:rPr>
                <w:noProof/>
              </w:rPr>
              <w:t>Mérföldkő</w:t>
            </w:r>
          </w:p>
        </w:tc>
        <w:tc>
          <w:tcPr>
            <w:tcW w:w="4020" w:type="dxa"/>
            <w:tcBorders>
              <w:top w:val="single" w:sz="4" w:space="0" w:color="auto"/>
              <w:left w:val="nil"/>
              <w:bottom w:val="single" w:sz="4" w:space="0" w:color="auto"/>
              <w:right w:val="single" w:sz="4" w:space="0" w:color="auto"/>
            </w:tcBorders>
            <w:shd w:val="clear" w:color="auto" w:fill="C6EFCE"/>
            <w:noWrap/>
            <w:vAlign w:val="center"/>
          </w:tcPr>
          <w:p w14:paraId="2EDDD28E" w14:textId="77777777" w:rsidR="003F5418" w:rsidRDefault="002A6C25">
            <w:pPr>
              <w:pStyle w:val="P68B1DB1-Normal9"/>
              <w:rPr>
                <w:noProof/>
              </w:rPr>
            </w:pPr>
            <w:r>
              <w:rPr>
                <w:noProof/>
              </w:rPr>
              <w:t>Mobilitás mint szolgáltatási megoldások M2</w:t>
            </w:r>
          </w:p>
        </w:tc>
      </w:tr>
      <w:tr w:rsidR="003F5418" w14:paraId="5D9CDB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CB86BB" w14:textId="77777777" w:rsidR="003F5418" w:rsidRDefault="002A6C25">
            <w:pPr>
              <w:pStyle w:val="P68B1DB1-Normal9"/>
              <w:jc w:val="center"/>
              <w:rPr>
                <w:noProof/>
              </w:rPr>
            </w:pPr>
            <w:r>
              <w:rPr>
                <w:noProof/>
              </w:rPr>
              <w:t>M1C1–76</w:t>
            </w:r>
          </w:p>
        </w:tc>
        <w:tc>
          <w:tcPr>
            <w:tcW w:w="3118" w:type="dxa"/>
            <w:tcBorders>
              <w:top w:val="nil"/>
              <w:left w:val="nil"/>
              <w:bottom w:val="single" w:sz="4" w:space="0" w:color="auto"/>
              <w:right w:val="single" w:sz="4" w:space="0" w:color="auto"/>
            </w:tcBorders>
            <w:shd w:val="clear" w:color="auto" w:fill="C6EFCE"/>
            <w:noWrap/>
            <w:vAlign w:val="center"/>
          </w:tcPr>
          <w:p w14:paraId="14FC8BE7"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378FD9D6"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24A4B412" w14:textId="77777777" w:rsidR="003F5418" w:rsidRDefault="002A6C25">
            <w:pPr>
              <w:pStyle w:val="P68B1DB1-Normal9"/>
              <w:rPr>
                <w:noProof/>
              </w:rPr>
            </w:pPr>
            <w:r>
              <w:rPr>
                <w:noProof/>
              </w:rPr>
              <w:t>Csökken a központi közigazgatási</w:t>
            </w:r>
            <w:r>
              <w:rPr>
                <w:noProof/>
              </w:rPr>
              <w:t xml:space="preserve"> szervek által a vállalkozásoknak fizetett napok átlagos száma</w:t>
            </w:r>
          </w:p>
        </w:tc>
      </w:tr>
      <w:tr w:rsidR="003F5418" w14:paraId="1B428D0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99AF1F" w14:textId="77777777" w:rsidR="003F5418" w:rsidRDefault="002A6C25">
            <w:pPr>
              <w:pStyle w:val="P68B1DB1-Normal9"/>
              <w:jc w:val="center"/>
              <w:rPr>
                <w:noProof/>
              </w:rPr>
            </w:pPr>
            <w:r>
              <w:rPr>
                <w:noProof/>
              </w:rPr>
              <w:t>M1C1–77</w:t>
            </w:r>
          </w:p>
        </w:tc>
        <w:tc>
          <w:tcPr>
            <w:tcW w:w="3118" w:type="dxa"/>
            <w:tcBorders>
              <w:top w:val="nil"/>
              <w:left w:val="nil"/>
              <w:bottom w:val="single" w:sz="4" w:space="0" w:color="auto"/>
              <w:right w:val="single" w:sz="4" w:space="0" w:color="auto"/>
            </w:tcBorders>
            <w:shd w:val="clear" w:color="auto" w:fill="C6EFCE"/>
            <w:noWrap/>
            <w:vAlign w:val="center"/>
          </w:tcPr>
          <w:p w14:paraId="53E014A6"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5684FCB8"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46E00592" w14:textId="77777777" w:rsidR="003F5418" w:rsidRDefault="002A6C25">
            <w:pPr>
              <w:pStyle w:val="P68B1DB1-Normal9"/>
              <w:rPr>
                <w:noProof/>
              </w:rPr>
            </w:pPr>
            <w:r>
              <w:rPr>
                <w:noProof/>
              </w:rPr>
              <w:t xml:space="preserve">A regionális közigazgatási szervek által a vállalkozások számára fizetett napok átlagos </w:t>
            </w:r>
            <w:r>
              <w:rPr>
                <w:noProof/>
              </w:rPr>
              <w:t>száma csökken</w:t>
            </w:r>
          </w:p>
        </w:tc>
      </w:tr>
      <w:tr w:rsidR="003F5418" w14:paraId="6A9C9B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82678" w14:textId="77777777" w:rsidR="003F5418" w:rsidRDefault="002A6C25">
            <w:pPr>
              <w:pStyle w:val="P68B1DB1-Normal9"/>
              <w:jc w:val="center"/>
              <w:rPr>
                <w:noProof/>
              </w:rPr>
            </w:pPr>
            <w:r>
              <w:rPr>
                <w:noProof/>
              </w:rPr>
              <w:t>M1C1–78</w:t>
            </w:r>
          </w:p>
        </w:tc>
        <w:tc>
          <w:tcPr>
            <w:tcW w:w="3118" w:type="dxa"/>
            <w:tcBorders>
              <w:top w:val="nil"/>
              <w:left w:val="nil"/>
              <w:bottom w:val="single" w:sz="4" w:space="0" w:color="auto"/>
              <w:right w:val="single" w:sz="4" w:space="0" w:color="auto"/>
            </w:tcBorders>
            <w:shd w:val="clear" w:color="auto" w:fill="C6EFCE"/>
            <w:noWrap/>
            <w:vAlign w:val="center"/>
          </w:tcPr>
          <w:p w14:paraId="1658B1E6"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63AD7209"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0FFCA6ED" w14:textId="77777777" w:rsidR="003F5418" w:rsidRDefault="002A6C25">
            <w:pPr>
              <w:pStyle w:val="P68B1DB1-Normal9"/>
              <w:rPr>
                <w:noProof/>
              </w:rPr>
            </w:pPr>
            <w:r>
              <w:rPr>
                <w:noProof/>
              </w:rPr>
              <w:t>A helyi közigazgatási szervek által a vállalkozásoknak fizetett napok átlagos száma csökken</w:t>
            </w:r>
          </w:p>
        </w:tc>
      </w:tr>
      <w:tr w:rsidR="003F5418" w14:paraId="665533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15C38A" w14:textId="77777777" w:rsidR="003F5418" w:rsidRDefault="002A6C25">
            <w:pPr>
              <w:pStyle w:val="P68B1DB1-Normal9"/>
              <w:jc w:val="center"/>
              <w:rPr>
                <w:noProof/>
              </w:rPr>
            </w:pPr>
            <w:r>
              <w:rPr>
                <w:noProof/>
              </w:rPr>
              <w:t>M1C1–79</w:t>
            </w:r>
          </w:p>
        </w:tc>
        <w:tc>
          <w:tcPr>
            <w:tcW w:w="3118" w:type="dxa"/>
            <w:tcBorders>
              <w:top w:val="nil"/>
              <w:left w:val="nil"/>
              <w:bottom w:val="single" w:sz="4" w:space="0" w:color="auto"/>
              <w:right w:val="single" w:sz="4" w:space="0" w:color="auto"/>
            </w:tcBorders>
            <w:shd w:val="clear" w:color="auto" w:fill="C6EFCE"/>
            <w:noWrap/>
            <w:vAlign w:val="center"/>
          </w:tcPr>
          <w:p w14:paraId="7EFB37B5" w14:textId="77777777" w:rsidR="003F5418" w:rsidRDefault="002A6C25">
            <w:pPr>
              <w:pStyle w:val="P68B1DB1-Normal9"/>
              <w:rPr>
                <w:noProof/>
              </w:rPr>
            </w:pPr>
            <w:r>
              <w:rPr>
                <w:noProof/>
              </w:rPr>
              <w:t xml:space="preserve">Reform: A közigazgatási és egészségügyi </w:t>
            </w:r>
            <w:r>
              <w:rPr>
                <w:noProof/>
              </w:rPr>
              <w:t>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06950BE6"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1EF634D3" w14:textId="77777777" w:rsidR="003F5418" w:rsidRDefault="002A6C25">
            <w:pPr>
              <w:pStyle w:val="P68B1DB1-Normal9"/>
              <w:rPr>
                <w:noProof/>
              </w:rPr>
            </w:pPr>
            <w:r>
              <w:rPr>
                <w:noProof/>
              </w:rPr>
              <w:t>A közegészségügyi hatóságok számára a vállalkozások fizetésére rendelkezésre álló napok átlagos száma csökken</w:t>
            </w:r>
          </w:p>
        </w:tc>
      </w:tr>
      <w:tr w:rsidR="003F5418" w14:paraId="25D7B9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B70568" w14:textId="77777777" w:rsidR="003F5418" w:rsidRDefault="002A6C25">
            <w:pPr>
              <w:pStyle w:val="P68B1DB1-Normal9"/>
              <w:jc w:val="center"/>
              <w:rPr>
                <w:noProof/>
              </w:rPr>
            </w:pPr>
            <w:r>
              <w:rPr>
                <w:noProof/>
              </w:rPr>
              <w:t>M1C1–80</w:t>
            </w:r>
          </w:p>
        </w:tc>
        <w:tc>
          <w:tcPr>
            <w:tcW w:w="3118" w:type="dxa"/>
            <w:tcBorders>
              <w:top w:val="nil"/>
              <w:left w:val="nil"/>
              <w:bottom w:val="single" w:sz="4" w:space="0" w:color="auto"/>
              <w:right w:val="single" w:sz="4" w:space="0" w:color="auto"/>
            </w:tcBorders>
            <w:shd w:val="clear" w:color="auto" w:fill="C6EFCE"/>
            <w:noWrap/>
            <w:vAlign w:val="center"/>
          </w:tcPr>
          <w:p w14:paraId="21576AF5" w14:textId="77777777" w:rsidR="003F5418" w:rsidRDefault="002A6C25">
            <w:pPr>
              <w:pStyle w:val="P68B1DB1-Normal9"/>
              <w:rPr>
                <w:noProof/>
              </w:rPr>
            </w:pPr>
            <w:r>
              <w:rPr>
                <w:noProof/>
              </w:rPr>
              <w:t xml:space="preserve">Reform: A közigazgatási és egészségügyi hatóságok késedelmes kifizetéseinek </w:t>
            </w:r>
            <w:r>
              <w:rPr>
                <w:noProof/>
              </w:rPr>
              <w:t>csökkentése</w:t>
            </w:r>
          </w:p>
        </w:tc>
        <w:tc>
          <w:tcPr>
            <w:tcW w:w="1440" w:type="dxa"/>
            <w:tcBorders>
              <w:top w:val="nil"/>
              <w:left w:val="nil"/>
              <w:bottom w:val="single" w:sz="4" w:space="0" w:color="auto"/>
              <w:right w:val="single" w:sz="4" w:space="0" w:color="auto"/>
            </w:tcBorders>
            <w:shd w:val="clear" w:color="auto" w:fill="C6EFCE"/>
            <w:noWrap/>
            <w:vAlign w:val="center"/>
          </w:tcPr>
          <w:p w14:paraId="31AEFC5E"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211460F1" w14:textId="77777777" w:rsidR="003F5418" w:rsidRDefault="002A6C25">
            <w:pPr>
              <w:pStyle w:val="P68B1DB1-Normal9"/>
              <w:rPr>
                <w:noProof/>
              </w:rPr>
            </w:pPr>
            <w:r>
              <w:rPr>
                <w:noProof/>
              </w:rPr>
              <w:t>Csökken a központi közigazgatási szervek által a vállalkozások fizetésére fordított napok átlagos száma</w:t>
            </w:r>
          </w:p>
        </w:tc>
      </w:tr>
      <w:tr w:rsidR="003F5418" w14:paraId="01BEBC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EB5CFD" w14:textId="77777777" w:rsidR="003F5418" w:rsidRDefault="002A6C25">
            <w:pPr>
              <w:pStyle w:val="P68B1DB1-Normal9"/>
              <w:jc w:val="center"/>
              <w:rPr>
                <w:noProof/>
              </w:rPr>
            </w:pPr>
            <w:r>
              <w:rPr>
                <w:noProof/>
              </w:rPr>
              <w:t>M1C1–81</w:t>
            </w:r>
          </w:p>
        </w:tc>
        <w:tc>
          <w:tcPr>
            <w:tcW w:w="3118" w:type="dxa"/>
            <w:tcBorders>
              <w:top w:val="nil"/>
              <w:left w:val="nil"/>
              <w:bottom w:val="single" w:sz="4" w:space="0" w:color="auto"/>
              <w:right w:val="single" w:sz="4" w:space="0" w:color="auto"/>
            </w:tcBorders>
            <w:shd w:val="clear" w:color="auto" w:fill="C6EFCE"/>
            <w:noWrap/>
            <w:vAlign w:val="center"/>
          </w:tcPr>
          <w:p w14:paraId="635B3657"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3D409F0B"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73223100" w14:textId="77777777" w:rsidR="003F5418" w:rsidRDefault="002A6C25">
            <w:pPr>
              <w:pStyle w:val="P68B1DB1-Normal9"/>
              <w:rPr>
                <w:noProof/>
              </w:rPr>
            </w:pPr>
            <w:r>
              <w:rPr>
                <w:noProof/>
              </w:rPr>
              <w:t xml:space="preserve">A regionális közigazgatási szervek </w:t>
            </w:r>
            <w:r>
              <w:rPr>
                <w:noProof/>
              </w:rPr>
              <w:t>számára a vállalkozások kifizetésével kapcsolatban eltelt napok átlagos száma csökken</w:t>
            </w:r>
          </w:p>
        </w:tc>
      </w:tr>
      <w:tr w:rsidR="003F5418" w14:paraId="4503E5A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4692EC" w14:textId="77777777" w:rsidR="003F5418" w:rsidRDefault="002A6C25">
            <w:pPr>
              <w:pStyle w:val="P68B1DB1-Normal9"/>
              <w:jc w:val="center"/>
              <w:rPr>
                <w:noProof/>
              </w:rPr>
            </w:pPr>
            <w:r>
              <w:rPr>
                <w:noProof/>
              </w:rPr>
              <w:t>M1C1–82</w:t>
            </w:r>
          </w:p>
        </w:tc>
        <w:tc>
          <w:tcPr>
            <w:tcW w:w="3118" w:type="dxa"/>
            <w:tcBorders>
              <w:top w:val="nil"/>
              <w:left w:val="nil"/>
              <w:bottom w:val="single" w:sz="4" w:space="0" w:color="auto"/>
              <w:right w:val="single" w:sz="4" w:space="0" w:color="auto"/>
            </w:tcBorders>
            <w:shd w:val="clear" w:color="auto" w:fill="C6EFCE"/>
            <w:noWrap/>
            <w:vAlign w:val="center"/>
          </w:tcPr>
          <w:p w14:paraId="677F2986"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1468D696"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14FCE5AD" w14:textId="77777777" w:rsidR="003F5418" w:rsidRDefault="002A6C25">
            <w:pPr>
              <w:pStyle w:val="P68B1DB1-Normal9"/>
              <w:rPr>
                <w:noProof/>
              </w:rPr>
            </w:pPr>
            <w:r>
              <w:rPr>
                <w:noProof/>
              </w:rPr>
              <w:t xml:space="preserve">A helyi közigazgatási szervek számára a vállalkozások kifizetésével </w:t>
            </w:r>
            <w:r>
              <w:rPr>
                <w:noProof/>
              </w:rPr>
              <w:t>kapcsolatban eltelt napok átlagos száma csökken</w:t>
            </w:r>
          </w:p>
        </w:tc>
      </w:tr>
      <w:tr w:rsidR="003F5418" w14:paraId="0D4886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D2BC7" w14:textId="77777777" w:rsidR="003F5418" w:rsidRDefault="002A6C25">
            <w:pPr>
              <w:pStyle w:val="P68B1DB1-Normal9"/>
              <w:jc w:val="center"/>
              <w:rPr>
                <w:noProof/>
              </w:rPr>
            </w:pPr>
            <w:r>
              <w:rPr>
                <w:noProof/>
              </w:rPr>
              <w:t>M1C1–83</w:t>
            </w:r>
          </w:p>
        </w:tc>
        <w:tc>
          <w:tcPr>
            <w:tcW w:w="3118" w:type="dxa"/>
            <w:tcBorders>
              <w:top w:val="nil"/>
              <w:left w:val="nil"/>
              <w:bottom w:val="single" w:sz="4" w:space="0" w:color="auto"/>
              <w:right w:val="single" w:sz="4" w:space="0" w:color="auto"/>
            </w:tcBorders>
            <w:shd w:val="clear" w:color="auto" w:fill="C6EFCE"/>
            <w:noWrap/>
            <w:vAlign w:val="center"/>
          </w:tcPr>
          <w:p w14:paraId="5FD54669" w14:textId="77777777" w:rsidR="003F5418" w:rsidRDefault="002A6C25">
            <w:pPr>
              <w:pStyle w:val="P68B1DB1-Normal9"/>
              <w:rPr>
                <w:noProof/>
              </w:rPr>
            </w:pPr>
            <w:r>
              <w:rPr>
                <w:noProof/>
              </w:rPr>
              <w:t>Reform: A közigazgatási és egészségügyi hatóságok késedelmes kifizetéseinek csökkentése</w:t>
            </w:r>
          </w:p>
        </w:tc>
        <w:tc>
          <w:tcPr>
            <w:tcW w:w="1440" w:type="dxa"/>
            <w:tcBorders>
              <w:top w:val="nil"/>
              <w:left w:val="nil"/>
              <w:bottom w:val="single" w:sz="4" w:space="0" w:color="auto"/>
              <w:right w:val="single" w:sz="4" w:space="0" w:color="auto"/>
            </w:tcBorders>
            <w:shd w:val="clear" w:color="auto" w:fill="C6EFCE"/>
            <w:noWrap/>
            <w:vAlign w:val="center"/>
          </w:tcPr>
          <w:p w14:paraId="13FB112D"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21CE9576" w14:textId="77777777" w:rsidR="003F5418" w:rsidRDefault="002A6C25">
            <w:pPr>
              <w:pStyle w:val="P68B1DB1-Normal9"/>
              <w:rPr>
                <w:noProof/>
              </w:rPr>
            </w:pPr>
            <w:r>
              <w:rPr>
                <w:noProof/>
              </w:rPr>
              <w:t>Csökken az egészségügyi közigazgatási szervek által a vállalkozások fizetésére fordított napok átlagos szám</w:t>
            </w:r>
            <w:r>
              <w:rPr>
                <w:noProof/>
              </w:rPr>
              <w:t>a</w:t>
            </w:r>
          </w:p>
        </w:tc>
      </w:tr>
      <w:tr w:rsidR="003F5418" w14:paraId="688927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5C5336" w14:textId="77777777" w:rsidR="003F5418" w:rsidRDefault="002A6C25">
            <w:pPr>
              <w:pStyle w:val="P68B1DB1-Normal9"/>
              <w:jc w:val="center"/>
              <w:rPr>
                <w:noProof/>
              </w:rPr>
            </w:pPr>
            <w:r>
              <w:rPr>
                <w:noProof/>
              </w:rPr>
              <w:t>M1C1–25</w:t>
            </w:r>
          </w:p>
        </w:tc>
        <w:tc>
          <w:tcPr>
            <w:tcW w:w="3118" w:type="dxa"/>
            <w:tcBorders>
              <w:top w:val="nil"/>
              <w:left w:val="nil"/>
              <w:bottom w:val="single" w:sz="4" w:space="0" w:color="auto"/>
              <w:right w:val="single" w:sz="4" w:space="0" w:color="auto"/>
            </w:tcBorders>
            <w:shd w:val="clear" w:color="auto" w:fill="C6EFCE"/>
            <w:noWrap/>
            <w:vAlign w:val="center"/>
          </w:tcPr>
          <w:p w14:paraId="1AF10461" w14:textId="77777777" w:rsidR="003F5418" w:rsidRDefault="002A6C25">
            <w:pPr>
              <w:pStyle w:val="P68B1DB1-Normal9"/>
              <w:rPr>
                <w:noProof/>
              </w:rPr>
            </w:pPr>
            <w:r>
              <w:rPr>
                <w:noProof/>
              </w:rPr>
              <w:t>Beruházás: A pénzügyi rendőrség digitalizálása</w:t>
            </w:r>
          </w:p>
        </w:tc>
        <w:tc>
          <w:tcPr>
            <w:tcW w:w="1440" w:type="dxa"/>
            <w:tcBorders>
              <w:top w:val="nil"/>
              <w:left w:val="nil"/>
              <w:bottom w:val="single" w:sz="4" w:space="0" w:color="auto"/>
              <w:right w:val="single" w:sz="4" w:space="0" w:color="auto"/>
            </w:tcBorders>
            <w:shd w:val="clear" w:color="auto" w:fill="C6EFCE"/>
            <w:noWrap/>
            <w:vAlign w:val="center"/>
          </w:tcPr>
          <w:p w14:paraId="2B41B4D6"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12C3470B" w14:textId="77777777" w:rsidR="003F5418" w:rsidRDefault="002A6C25">
            <w:pPr>
              <w:pStyle w:val="P68B1DB1-Normal9"/>
              <w:rPr>
                <w:noProof/>
              </w:rPr>
            </w:pPr>
            <w:r>
              <w:rPr>
                <w:noProof/>
              </w:rPr>
              <w:t>A gazdasági bűnözés elleni küzdelemben használt operatív információs rendszerek fejlesztése</w:t>
            </w:r>
          </w:p>
        </w:tc>
      </w:tr>
      <w:tr w:rsidR="003F5418" w14:paraId="53471FF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BEE253" w14:textId="77777777" w:rsidR="003F5418" w:rsidRDefault="002A6C25">
            <w:pPr>
              <w:pStyle w:val="P68B1DB1-Normal9"/>
              <w:jc w:val="center"/>
              <w:rPr>
                <w:noProof/>
              </w:rPr>
            </w:pPr>
            <w:r>
              <w:rPr>
                <w:noProof/>
              </w:rPr>
              <w:t>M1C1–61.</w:t>
            </w:r>
          </w:p>
        </w:tc>
        <w:tc>
          <w:tcPr>
            <w:tcW w:w="3118" w:type="dxa"/>
            <w:tcBorders>
              <w:top w:val="nil"/>
              <w:left w:val="nil"/>
              <w:bottom w:val="single" w:sz="4" w:space="0" w:color="auto"/>
              <w:right w:val="single" w:sz="4" w:space="0" w:color="auto"/>
            </w:tcBorders>
            <w:shd w:val="clear" w:color="auto" w:fill="C6EFCE"/>
            <w:noWrap/>
            <w:vAlign w:val="center"/>
          </w:tcPr>
          <w:p w14:paraId="65FD7A65" w14:textId="77777777" w:rsidR="003F5418" w:rsidRDefault="002A6C25">
            <w:pPr>
              <w:pStyle w:val="P68B1DB1-Normal9"/>
              <w:rPr>
                <w:noProof/>
              </w:rPr>
            </w:pPr>
            <w:r>
              <w:rPr>
                <w:noProof/>
              </w:rPr>
              <w:t>Reform: A közigazgatás reformja</w:t>
            </w:r>
          </w:p>
        </w:tc>
        <w:tc>
          <w:tcPr>
            <w:tcW w:w="1440" w:type="dxa"/>
            <w:tcBorders>
              <w:top w:val="nil"/>
              <w:left w:val="nil"/>
              <w:bottom w:val="single" w:sz="4" w:space="0" w:color="auto"/>
              <w:right w:val="single" w:sz="4" w:space="0" w:color="auto"/>
            </w:tcBorders>
            <w:shd w:val="clear" w:color="auto" w:fill="C6EFCE"/>
            <w:noWrap/>
            <w:vAlign w:val="center"/>
          </w:tcPr>
          <w:p w14:paraId="484D526D"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5960025A" w14:textId="77777777" w:rsidR="003F5418" w:rsidRDefault="002A6C25">
            <w:pPr>
              <w:pStyle w:val="P68B1DB1-Normal9"/>
              <w:rPr>
                <w:noProof/>
              </w:rPr>
            </w:pPr>
            <w:r>
              <w:rPr>
                <w:noProof/>
              </w:rPr>
              <w:t xml:space="preserve">A polgárokat közvetlenül érintő további 50 </w:t>
            </w:r>
            <w:r>
              <w:rPr>
                <w:noProof/>
              </w:rPr>
              <w:t>kritikus eljárás egyszerűsítése és/vagy digitalizálása (beleértve az összes felhatalmazáson alapuló jogi aktust) végrehajtásának befejezése</w:t>
            </w:r>
          </w:p>
        </w:tc>
      </w:tr>
      <w:tr w:rsidR="003F5418" w14:paraId="6EB876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A24ECC" w14:textId="77777777" w:rsidR="003F5418" w:rsidRDefault="002A6C25">
            <w:pPr>
              <w:pStyle w:val="P68B1DB1-Normal9"/>
              <w:jc w:val="center"/>
              <w:rPr>
                <w:noProof/>
              </w:rPr>
            </w:pPr>
            <w:r>
              <w:rPr>
                <w:noProof/>
              </w:rPr>
              <w:t>M1C1–62</w:t>
            </w:r>
          </w:p>
        </w:tc>
        <w:tc>
          <w:tcPr>
            <w:tcW w:w="3118" w:type="dxa"/>
            <w:tcBorders>
              <w:top w:val="nil"/>
              <w:left w:val="nil"/>
              <w:bottom w:val="single" w:sz="4" w:space="0" w:color="auto"/>
              <w:right w:val="single" w:sz="4" w:space="0" w:color="auto"/>
            </w:tcBorders>
            <w:shd w:val="clear" w:color="auto" w:fill="C6EFCE"/>
            <w:noWrap/>
            <w:vAlign w:val="center"/>
          </w:tcPr>
          <w:p w14:paraId="6FB5E2EA" w14:textId="77777777" w:rsidR="003F5418" w:rsidRDefault="002A6C25">
            <w:pPr>
              <w:pStyle w:val="P68B1DB1-Normal9"/>
              <w:rPr>
                <w:noProof/>
              </w:rPr>
            </w:pPr>
            <w:r>
              <w:rPr>
                <w:noProof/>
              </w:rPr>
              <w:t>Reform: A közigazgatás reformja</w:t>
            </w:r>
          </w:p>
        </w:tc>
        <w:tc>
          <w:tcPr>
            <w:tcW w:w="1440" w:type="dxa"/>
            <w:tcBorders>
              <w:top w:val="nil"/>
              <w:left w:val="nil"/>
              <w:bottom w:val="single" w:sz="4" w:space="0" w:color="auto"/>
              <w:right w:val="single" w:sz="4" w:space="0" w:color="auto"/>
            </w:tcBorders>
            <w:shd w:val="clear" w:color="auto" w:fill="C6EFCE"/>
            <w:noWrap/>
            <w:vAlign w:val="center"/>
          </w:tcPr>
          <w:p w14:paraId="2FCF200C"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380D3BB6" w14:textId="77777777" w:rsidR="003F5418" w:rsidRDefault="002A6C25">
            <w:pPr>
              <w:pStyle w:val="P68B1DB1-Normal9"/>
              <w:rPr>
                <w:noProof/>
              </w:rPr>
            </w:pPr>
            <w:r>
              <w:rPr>
                <w:noProof/>
              </w:rPr>
              <w:t>A beruházások felhasználásának növelése</w:t>
            </w:r>
          </w:p>
        </w:tc>
      </w:tr>
      <w:tr w:rsidR="003F5418" w14:paraId="3E9A8D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9F693A" w14:textId="77777777" w:rsidR="003F5418" w:rsidRDefault="002A6C25">
            <w:pPr>
              <w:pStyle w:val="P68B1DB1-Normal9"/>
              <w:jc w:val="center"/>
              <w:rPr>
                <w:noProof/>
              </w:rPr>
            </w:pPr>
            <w:r>
              <w:rPr>
                <w:noProof/>
              </w:rPr>
              <w:t>M1C1–115</w:t>
            </w:r>
          </w:p>
        </w:tc>
        <w:tc>
          <w:tcPr>
            <w:tcW w:w="3118" w:type="dxa"/>
            <w:tcBorders>
              <w:top w:val="nil"/>
              <w:left w:val="nil"/>
              <w:bottom w:val="single" w:sz="4" w:space="0" w:color="auto"/>
              <w:right w:val="single" w:sz="4" w:space="0" w:color="auto"/>
            </w:tcBorders>
            <w:shd w:val="clear" w:color="auto" w:fill="C6EFCE"/>
            <w:noWrap/>
            <w:vAlign w:val="center"/>
          </w:tcPr>
          <w:p w14:paraId="3F949649" w14:textId="77777777" w:rsidR="003F5418" w:rsidRDefault="002A6C25">
            <w:pPr>
              <w:pStyle w:val="P68B1DB1-Normal9"/>
              <w:rPr>
                <w:noProof/>
              </w:rPr>
            </w:pPr>
            <w:r>
              <w:rPr>
                <w:noProof/>
              </w:rPr>
              <w:t xml:space="preserve">Reform: A </w:t>
            </w:r>
            <w:r>
              <w:rPr>
                <w:noProof/>
              </w:rPr>
              <w:t>kiadások felülvizsgálatára vonatkozó keret reformja</w:t>
            </w:r>
          </w:p>
        </w:tc>
        <w:tc>
          <w:tcPr>
            <w:tcW w:w="1440" w:type="dxa"/>
            <w:tcBorders>
              <w:top w:val="nil"/>
              <w:left w:val="nil"/>
              <w:bottom w:val="single" w:sz="4" w:space="0" w:color="auto"/>
              <w:right w:val="single" w:sz="4" w:space="0" w:color="auto"/>
            </w:tcBorders>
            <w:shd w:val="clear" w:color="auto" w:fill="C6EFCE"/>
            <w:noWrap/>
            <w:vAlign w:val="center"/>
          </w:tcPr>
          <w:p w14:paraId="42563B8C"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01373936" w14:textId="77777777" w:rsidR="003F5418" w:rsidRDefault="002A6C25">
            <w:pPr>
              <w:pStyle w:val="P68B1DB1-Normal9"/>
              <w:rPr>
                <w:noProof/>
              </w:rPr>
            </w:pPr>
            <w:r>
              <w:rPr>
                <w:noProof/>
              </w:rPr>
              <w:t>A 2024. évi kiadások éves felülvizsgálatának lezárása, hivatkozással a 2022-ben és 2023-ban 2024-re kitűzött megtakarítási célra</w:t>
            </w:r>
          </w:p>
        </w:tc>
      </w:tr>
      <w:tr w:rsidR="003F5418" w14:paraId="2A7BEE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3EF2BA" w14:textId="77777777" w:rsidR="003F5418" w:rsidRDefault="002A6C25">
            <w:pPr>
              <w:pStyle w:val="P68B1DB1-Normal9"/>
              <w:jc w:val="center"/>
              <w:rPr>
                <w:noProof/>
              </w:rPr>
            </w:pPr>
            <w:r>
              <w:rPr>
                <w:noProof/>
              </w:rPr>
              <w:t>M1C2–3</w:t>
            </w:r>
          </w:p>
        </w:tc>
        <w:tc>
          <w:tcPr>
            <w:tcW w:w="3118" w:type="dxa"/>
            <w:tcBorders>
              <w:top w:val="nil"/>
              <w:left w:val="nil"/>
              <w:bottom w:val="single" w:sz="4" w:space="0" w:color="auto"/>
              <w:right w:val="single" w:sz="4" w:space="0" w:color="auto"/>
            </w:tcBorders>
            <w:shd w:val="clear" w:color="auto" w:fill="C6EFCE"/>
            <w:noWrap/>
            <w:vAlign w:val="center"/>
          </w:tcPr>
          <w:p w14:paraId="6BF2952C" w14:textId="77777777" w:rsidR="003F5418" w:rsidRDefault="002A6C25">
            <w:pPr>
              <w:pStyle w:val="P68B1DB1-Normal9"/>
              <w:rPr>
                <w:noProof/>
              </w:rPr>
            </w:pPr>
            <w:r>
              <w:rPr>
                <w:noProof/>
              </w:rPr>
              <w:t>Az 1. beruházást Átállás 4.0</w:t>
            </w:r>
          </w:p>
        </w:tc>
        <w:tc>
          <w:tcPr>
            <w:tcW w:w="1440" w:type="dxa"/>
            <w:tcBorders>
              <w:top w:val="nil"/>
              <w:left w:val="nil"/>
              <w:bottom w:val="single" w:sz="4" w:space="0" w:color="auto"/>
              <w:right w:val="single" w:sz="4" w:space="0" w:color="auto"/>
            </w:tcBorders>
            <w:shd w:val="clear" w:color="auto" w:fill="C6EFCE"/>
            <w:noWrap/>
            <w:vAlign w:val="center"/>
          </w:tcPr>
          <w:p w14:paraId="54519D63"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5A0FC817" w14:textId="77777777" w:rsidR="003F5418" w:rsidRDefault="002A6C25">
            <w:pPr>
              <w:pStyle w:val="P68B1DB1-Normal9"/>
              <w:rPr>
                <w:noProof/>
              </w:rPr>
            </w:pPr>
            <w:r>
              <w:rPr>
                <w:noProof/>
              </w:rPr>
              <w:t>Átmenet 4.0-ás adójóváír</w:t>
            </w:r>
            <w:r>
              <w:rPr>
                <w:noProof/>
              </w:rPr>
              <w:t>ások a vállalkozásoknak a 2021–2023-as időszakban benyújtott adóbevallások alapján</w:t>
            </w:r>
          </w:p>
        </w:tc>
      </w:tr>
      <w:tr w:rsidR="003F5418" w14:paraId="7D1573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B1E4F" w14:textId="77777777" w:rsidR="003F5418" w:rsidRDefault="002A6C25">
            <w:pPr>
              <w:pStyle w:val="P68B1DB1-Normal9"/>
              <w:jc w:val="center"/>
              <w:rPr>
                <w:noProof/>
              </w:rPr>
            </w:pPr>
            <w:r>
              <w:rPr>
                <w:noProof/>
              </w:rPr>
              <w:t>M4C1–16</w:t>
            </w:r>
          </w:p>
        </w:tc>
        <w:tc>
          <w:tcPr>
            <w:tcW w:w="3118" w:type="dxa"/>
            <w:tcBorders>
              <w:top w:val="nil"/>
              <w:left w:val="nil"/>
              <w:bottom w:val="single" w:sz="4" w:space="0" w:color="auto"/>
              <w:right w:val="single" w:sz="4" w:space="0" w:color="auto"/>
            </w:tcBorders>
            <w:shd w:val="clear" w:color="auto" w:fill="C6EFCE"/>
            <w:noWrap/>
            <w:vAlign w:val="center"/>
          </w:tcPr>
          <w:p w14:paraId="7B76B0FC" w14:textId="77777777" w:rsidR="003F5418" w:rsidRDefault="002A6C25">
            <w:pPr>
              <w:pStyle w:val="P68B1DB1-Normal9"/>
              <w:rPr>
                <w:noProof/>
              </w:rPr>
            </w:pPr>
            <w:r>
              <w:rPr>
                <w:noProof/>
              </w:rPr>
              <w:t>Beruházás: Új készségek és új nyelvek</w:t>
            </w:r>
          </w:p>
        </w:tc>
        <w:tc>
          <w:tcPr>
            <w:tcW w:w="1440" w:type="dxa"/>
            <w:tcBorders>
              <w:top w:val="nil"/>
              <w:left w:val="nil"/>
              <w:bottom w:val="single" w:sz="4" w:space="0" w:color="auto"/>
              <w:right w:val="single" w:sz="4" w:space="0" w:color="auto"/>
            </w:tcBorders>
            <w:shd w:val="clear" w:color="auto" w:fill="C6EFCE"/>
            <w:noWrap/>
            <w:vAlign w:val="center"/>
          </w:tcPr>
          <w:p w14:paraId="1370B028"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6522A4B4" w14:textId="77777777" w:rsidR="003F5418" w:rsidRDefault="002A6C25">
            <w:pPr>
              <w:pStyle w:val="P68B1DB1-Normal9"/>
              <w:rPr>
                <w:noProof/>
              </w:rPr>
            </w:pPr>
            <w:r>
              <w:rPr>
                <w:noProof/>
              </w:rPr>
              <w:t>A természettudományok, a technológia, a műszaki tudományok és a matematika (STEM) pályaorientációs projektjeit 2024/25-ben</w:t>
            </w:r>
            <w:r>
              <w:rPr>
                <w:noProof/>
              </w:rPr>
              <w:t xml:space="preserve"> aktiváló iskolák  </w:t>
            </w:r>
          </w:p>
        </w:tc>
      </w:tr>
      <w:tr w:rsidR="003F5418" w14:paraId="4517D0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061E82" w14:textId="77777777" w:rsidR="003F5418" w:rsidRDefault="002A6C25">
            <w:pPr>
              <w:pStyle w:val="P68B1DB1-Normal9"/>
              <w:jc w:val="center"/>
              <w:rPr>
                <w:noProof/>
              </w:rPr>
            </w:pPr>
            <w:r>
              <w:rPr>
                <w:noProof/>
              </w:rPr>
              <w:t>M4C1–17</w:t>
            </w:r>
          </w:p>
        </w:tc>
        <w:tc>
          <w:tcPr>
            <w:tcW w:w="3118" w:type="dxa"/>
            <w:tcBorders>
              <w:top w:val="nil"/>
              <w:left w:val="nil"/>
              <w:bottom w:val="single" w:sz="4" w:space="0" w:color="auto"/>
              <w:right w:val="single" w:sz="4" w:space="0" w:color="auto"/>
            </w:tcBorders>
            <w:shd w:val="clear" w:color="auto" w:fill="C6EFCE"/>
            <w:noWrap/>
            <w:vAlign w:val="center"/>
          </w:tcPr>
          <w:p w14:paraId="74CD3D03" w14:textId="77777777" w:rsidR="003F5418" w:rsidRDefault="002A6C25">
            <w:pPr>
              <w:pStyle w:val="P68B1DB1-Normal9"/>
              <w:rPr>
                <w:noProof/>
              </w:rPr>
            </w:pPr>
            <w:r>
              <w:rPr>
                <w:noProof/>
              </w:rPr>
              <w:t>Beruházás: Új készségek és új nyelvek</w:t>
            </w:r>
          </w:p>
        </w:tc>
        <w:tc>
          <w:tcPr>
            <w:tcW w:w="1440" w:type="dxa"/>
            <w:tcBorders>
              <w:top w:val="nil"/>
              <w:left w:val="nil"/>
              <w:bottom w:val="single" w:sz="4" w:space="0" w:color="auto"/>
              <w:right w:val="single" w:sz="4" w:space="0" w:color="auto"/>
            </w:tcBorders>
            <w:shd w:val="clear" w:color="auto" w:fill="C6EFCE"/>
            <w:noWrap/>
            <w:vAlign w:val="center"/>
          </w:tcPr>
          <w:p w14:paraId="00AA897D"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29693B61" w14:textId="77777777" w:rsidR="003F5418" w:rsidRDefault="002A6C25">
            <w:pPr>
              <w:pStyle w:val="P68B1DB1-Normal9"/>
              <w:rPr>
                <w:noProof/>
              </w:rPr>
            </w:pPr>
            <w:r>
              <w:rPr>
                <w:noProof/>
              </w:rPr>
              <w:t xml:space="preserve">A tanároknak nyújtott éves nyelv- és módszertani tanfolyamok      </w:t>
            </w:r>
          </w:p>
        </w:tc>
      </w:tr>
      <w:tr w:rsidR="003F5418" w14:paraId="5962E41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9B49AC" w14:textId="77777777" w:rsidR="003F5418" w:rsidRDefault="002A6C25">
            <w:pPr>
              <w:pStyle w:val="P68B1DB1-Normal9"/>
              <w:jc w:val="center"/>
              <w:rPr>
                <w:noProof/>
              </w:rPr>
            </w:pPr>
            <w:r>
              <w:rPr>
                <w:noProof/>
              </w:rPr>
              <w:t>M4C2–1a</w:t>
            </w:r>
          </w:p>
        </w:tc>
        <w:tc>
          <w:tcPr>
            <w:tcW w:w="3118" w:type="dxa"/>
            <w:tcBorders>
              <w:top w:val="nil"/>
              <w:left w:val="nil"/>
              <w:bottom w:val="single" w:sz="4" w:space="0" w:color="auto"/>
              <w:right w:val="single" w:sz="4" w:space="0" w:color="auto"/>
            </w:tcBorders>
            <w:shd w:val="clear" w:color="auto" w:fill="C6EFCE"/>
            <w:noWrap/>
            <w:vAlign w:val="center"/>
          </w:tcPr>
          <w:p w14:paraId="09662780" w14:textId="77777777" w:rsidR="003F5418" w:rsidRDefault="002A6C25">
            <w:pPr>
              <w:pStyle w:val="P68B1DB1-Normal9"/>
              <w:rPr>
                <w:noProof/>
              </w:rPr>
            </w:pPr>
            <w:r>
              <w:rPr>
                <w:noProof/>
              </w:rPr>
              <w:t xml:space="preserve">Beruházás: Fiatal kutatók által előterjesztett projektek finanszírozása </w:t>
            </w:r>
          </w:p>
        </w:tc>
        <w:tc>
          <w:tcPr>
            <w:tcW w:w="1440" w:type="dxa"/>
            <w:tcBorders>
              <w:top w:val="nil"/>
              <w:left w:val="nil"/>
              <w:bottom w:val="single" w:sz="4" w:space="0" w:color="auto"/>
              <w:right w:val="single" w:sz="4" w:space="0" w:color="auto"/>
            </w:tcBorders>
            <w:shd w:val="clear" w:color="auto" w:fill="C6EFCE"/>
            <w:noWrap/>
            <w:vAlign w:val="center"/>
          </w:tcPr>
          <w:p w14:paraId="2F060F13" w14:textId="77777777" w:rsidR="003F5418" w:rsidRDefault="002A6C25">
            <w:pPr>
              <w:pStyle w:val="P68B1DB1-Normal9"/>
              <w:jc w:val="center"/>
              <w:rPr>
                <w:noProof/>
              </w:rPr>
            </w:pPr>
            <w:r>
              <w:rPr>
                <w:noProof/>
              </w:rPr>
              <w:t xml:space="preserve">Cél </w:t>
            </w:r>
          </w:p>
        </w:tc>
        <w:tc>
          <w:tcPr>
            <w:tcW w:w="4020" w:type="dxa"/>
            <w:tcBorders>
              <w:top w:val="nil"/>
              <w:left w:val="nil"/>
              <w:bottom w:val="single" w:sz="4" w:space="0" w:color="auto"/>
              <w:right w:val="single" w:sz="4" w:space="0" w:color="auto"/>
            </w:tcBorders>
            <w:shd w:val="clear" w:color="auto" w:fill="C6EFCE"/>
            <w:noWrap/>
            <w:vAlign w:val="center"/>
          </w:tcPr>
          <w:p w14:paraId="167D20E0" w14:textId="77777777" w:rsidR="003F5418" w:rsidRDefault="002A6C25">
            <w:pPr>
              <w:pStyle w:val="P68B1DB1-Normal9"/>
              <w:rPr>
                <w:noProof/>
              </w:rPr>
            </w:pPr>
            <w:r>
              <w:rPr>
                <w:noProof/>
              </w:rPr>
              <w:t xml:space="preserve">Kutatási ösztöndíjban részesülő hallgatók száma </w:t>
            </w:r>
          </w:p>
        </w:tc>
      </w:tr>
      <w:tr w:rsidR="003F5418" w14:paraId="50274D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D59229" w14:textId="77777777" w:rsidR="003F5418" w:rsidRDefault="002A6C25">
            <w:pPr>
              <w:pStyle w:val="P68B1DB1-Normal9"/>
              <w:jc w:val="center"/>
              <w:rPr>
                <w:noProof/>
              </w:rPr>
            </w:pPr>
            <w:r>
              <w:rPr>
                <w:noProof/>
              </w:rPr>
              <w:t xml:space="preserve">M5C1–10 </w:t>
            </w:r>
          </w:p>
        </w:tc>
        <w:tc>
          <w:tcPr>
            <w:tcW w:w="3118" w:type="dxa"/>
            <w:tcBorders>
              <w:top w:val="nil"/>
              <w:left w:val="nil"/>
              <w:bottom w:val="single" w:sz="4" w:space="0" w:color="auto"/>
              <w:right w:val="single" w:sz="4" w:space="0" w:color="auto"/>
            </w:tcBorders>
            <w:shd w:val="clear" w:color="auto" w:fill="C6EFCE"/>
            <w:noWrap/>
            <w:vAlign w:val="center"/>
          </w:tcPr>
          <w:p w14:paraId="39550B22" w14:textId="77777777" w:rsidR="003F5418" w:rsidRDefault="002A6C25">
            <w:pPr>
              <w:pStyle w:val="P68B1DB1-Normal9"/>
              <w:rPr>
                <w:noProof/>
              </w:rPr>
            </w:pPr>
            <w:r>
              <w:rPr>
                <w:noProof/>
              </w:rPr>
              <w:t xml:space="preserve">Reform – Be nem jelentett munka </w:t>
            </w:r>
          </w:p>
        </w:tc>
        <w:tc>
          <w:tcPr>
            <w:tcW w:w="1440" w:type="dxa"/>
            <w:tcBorders>
              <w:top w:val="nil"/>
              <w:left w:val="nil"/>
              <w:bottom w:val="single" w:sz="4" w:space="0" w:color="auto"/>
              <w:right w:val="single" w:sz="4" w:space="0" w:color="auto"/>
            </w:tcBorders>
            <w:shd w:val="clear" w:color="auto" w:fill="C6EFCE"/>
            <w:noWrap/>
            <w:vAlign w:val="center"/>
          </w:tcPr>
          <w:p w14:paraId="0E98E1D5"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1A1C70FD" w14:textId="77777777" w:rsidR="003F5418" w:rsidRDefault="002A6C25">
            <w:pPr>
              <w:pStyle w:val="P68B1DB1-Normal9"/>
              <w:rPr>
                <w:noProof/>
              </w:rPr>
            </w:pPr>
            <w:r>
              <w:rPr>
                <w:noProof/>
              </w:rPr>
              <w:t>A munkaügyi ellenőrzések számának növekedése</w:t>
            </w:r>
          </w:p>
        </w:tc>
      </w:tr>
      <w:tr w:rsidR="003F5418" w14:paraId="14DC9C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DEFFFE" w14:textId="77777777" w:rsidR="003F5418" w:rsidRDefault="002A6C25">
            <w:pPr>
              <w:pStyle w:val="P68B1DB1-Normal9"/>
              <w:jc w:val="center"/>
              <w:rPr>
                <w:noProof/>
              </w:rPr>
            </w:pPr>
            <w:r>
              <w:rPr>
                <w:noProof/>
              </w:rPr>
              <w:t>M7–2</w:t>
            </w:r>
          </w:p>
        </w:tc>
        <w:tc>
          <w:tcPr>
            <w:tcW w:w="3118" w:type="dxa"/>
            <w:tcBorders>
              <w:top w:val="nil"/>
              <w:left w:val="nil"/>
              <w:bottom w:val="single" w:sz="4" w:space="0" w:color="auto"/>
              <w:right w:val="single" w:sz="4" w:space="0" w:color="auto"/>
            </w:tcBorders>
            <w:shd w:val="clear" w:color="auto" w:fill="C6EFCE"/>
            <w:noWrap/>
            <w:vAlign w:val="center"/>
          </w:tcPr>
          <w:p w14:paraId="1C0F780F" w14:textId="77777777" w:rsidR="003F5418" w:rsidRDefault="002A6C25">
            <w:pPr>
              <w:pStyle w:val="P68B1DB1-Normal9"/>
              <w:rPr>
                <w:noProof/>
              </w:rPr>
            </w:pPr>
            <w:r>
              <w:rPr>
                <w:noProof/>
              </w:rPr>
              <w:t>Az 1. reformot A megújuló energiára vonatkozó engedélyezési eljárások egyszerűsítése</w:t>
            </w:r>
          </w:p>
        </w:tc>
        <w:tc>
          <w:tcPr>
            <w:tcW w:w="1440" w:type="dxa"/>
            <w:tcBorders>
              <w:top w:val="nil"/>
              <w:left w:val="nil"/>
              <w:bottom w:val="single" w:sz="4" w:space="0" w:color="auto"/>
              <w:right w:val="single" w:sz="4" w:space="0" w:color="auto"/>
            </w:tcBorders>
            <w:shd w:val="clear" w:color="auto" w:fill="C6EFCE"/>
            <w:noWrap/>
            <w:vAlign w:val="center"/>
          </w:tcPr>
          <w:p w14:paraId="187DA78D"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2791865E" w14:textId="77777777" w:rsidR="003F5418" w:rsidRDefault="002A6C25">
            <w:pPr>
              <w:pStyle w:val="P68B1DB1-Normal9"/>
              <w:rPr>
                <w:noProof/>
              </w:rPr>
            </w:pPr>
            <w:r>
              <w:rPr>
                <w:noProof/>
              </w:rPr>
              <w:t xml:space="preserve">Az elsődleges jog hatálybalépése (Testo Unico) </w:t>
            </w:r>
          </w:p>
        </w:tc>
      </w:tr>
      <w:tr w:rsidR="003F5418" w14:paraId="754628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60C7AF" w14:textId="77777777" w:rsidR="003F5418" w:rsidRDefault="002A6C25">
            <w:pPr>
              <w:pStyle w:val="P68B1DB1-Normal9"/>
              <w:jc w:val="center"/>
              <w:rPr>
                <w:noProof/>
              </w:rPr>
            </w:pPr>
            <w:r>
              <w:rPr>
                <w:noProof/>
              </w:rPr>
              <w:t>M7–20</w:t>
            </w:r>
          </w:p>
        </w:tc>
        <w:tc>
          <w:tcPr>
            <w:tcW w:w="3118" w:type="dxa"/>
            <w:tcBorders>
              <w:top w:val="nil"/>
              <w:left w:val="nil"/>
              <w:bottom w:val="single" w:sz="4" w:space="0" w:color="auto"/>
              <w:right w:val="single" w:sz="4" w:space="0" w:color="auto"/>
            </w:tcBorders>
            <w:shd w:val="clear" w:color="auto" w:fill="C6EFCE"/>
            <w:noWrap/>
            <w:vAlign w:val="center"/>
          </w:tcPr>
          <w:p w14:paraId="11D97425" w14:textId="77777777" w:rsidR="003F5418" w:rsidRDefault="002A6C25">
            <w:pPr>
              <w:pStyle w:val="P68B1DB1-Normal9"/>
              <w:rPr>
                <w:noProof/>
              </w:rPr>
            </w:pPr>
            <w:r>
              <w:rPr>
                <w:noProof/>
              </w:rPr>
              <w:t>Beruházás: Határokon átnyúló villamosenergia-összeköttetési projektek Olaszország és a szomszédos országok között</w:t>
            </w:r>
          </w:p>
        </w:tc>
        <w:tc>
          <w:tcPr>
            <w:tcW w:w="1440" w:type="dxa"/>
            <w:tcBorders>
              <w:top w:val="nil"/>
              <w:left w:val="nil"/>
              <w:bottom w:val="single" w:sz="4" w:space="0" w:color="auto"/>
              <w:right w:val="single" w:sz="4" w:space="0" w:color="auto"/>
            </w:tcBorders>
            <w:shd w:val="clear" w:color="auto" w:fill="C6EFCE"/>
            <w:noWrap/>
            <w:vAlign w:val="center"/>
          </w:tcPr>
          <w:p w14:paraId="5E4974C0"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4310C443" w14:textId="77777777" w:rsidR="003F5418" w:rsidRDefault="002A6C25">
            <w:pPr>
              <w:pStyle w:val="P68B1DB1-Normal9"/>
              <w:rPr>
                <w:noProof/>
              </w:rPr>
            </w:pPr>
            <w:r>
              <w:rPr>
                <w:noProof/>
              </w:rPr>
              <w:t>Az Olaszország és Szlovénia közötti két rendszerösszekötő építésére vonatkozó</w:t>
            </w:r>
            <w:r>
              <w:rPr>
                <w:noProof/>
              </w:rPr>
              <w:t xml:space="preserve"> szerződések odaítélése: „Zaule – Dekani” és „Redipuglia – Vrtojba”  </w:t>
            </w:r>
          </w:p>
        </w:tc>
      </w:tr>
      <w:tr w:rsidR="003F5418" w14:paraId="232733C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75273" w14:textId="77777777" w:rsidR="003F5418" w:rsidRDefault="002A6C25">
            <w:pPr>
              <w:pStyle w:val="P68B1DB1-Normal9"/>
              <w:jc w:val="center"/>
              <w:rPr>
                <w:noProof/>
              </w:rPr>
            </w:pPr>
            <w:r>
              <w:rPr>
                <w:noProof/>
              </w:rPr>
              <w:t>M7–25 INTÉZKEDÉS</w:t>
            </w:r>
          </w:p>
        </w:tc>
        <w:tc>
          <w:tcPr>
            <w:tcW w:w="3118" w:type="dxa"/>
            <w:tcBorders>
              <w:top w:val="nil"/>
              <w:left w:val="nil"/>
              <w:bottom w:val="single" w:sz="4" w:space="0" w:color="auto"/>
              <w:right w:val="single" w:sz="4" w:space="0" w:color="auto"/>
            </w:tcBorders>
            <w:shd w:val="clear" w:color="auto" w:fill="C6EFCE"/>
            <w:noWrap/>
            <w:vAlign w:val="center"/>
          </w:tcPr>
          <w:p w14:paraId="2572D787" w14:textId="77777777" w:rsidR="003F5418" w:rsidRDefault="002A6C25">
            <w:pPr>
              <w:pStyle w:val="P68B1DB1-Normal9"/>
              <w:rPr>
                <w:noProof/>
              </w:rPr>
            </w:pPr>
            <w:r>
              <w:rPr>
                <w:noProof/>
              </w:rPr>
              <w:t>Beruházás: A kritikus fontosságú nyersanyagokkal való fenntartható, körforgásos és biztonságos ellátás</w:t>
            </w:r>
          </w:p>
        </w:tc>
        <w:tc>
          <w:tcPr>
            <w:tcW w:w="1440" w:type="dxa"/>
            <w:tcBorders>
              <w:top w:val="nil"/>
              <w:left w:val="nil"/>
              <w:bottom w:val="single" w:sz="4" w:space="0" w:color="auto"/>
              <w:right w:val="single" w:sz="4" w:space="0" w:color="auto"/>
            </w:tcBorders>
            <w:shd w:val="clear" w:color="auto" w:fill="C6EFCE"/>
            <w:noWrap/>
            <w:vAlign w:val="center"/>
          </w:tcPr>
          <w:p w14:paraId="41C3100A"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734B19BC" w14:textId="77777777" w:rsidR="003F5418" w:rsidRDefault="002A6C25">
            <w:pPr>
              <w:pStyle w:val="P68B1DB1-Normal9"/>
              <w:rPr>
                <w:noProof/>
              </w:rPr>
            </w:pPr>
            <w:r>
              <w:rPr>
                <w:noProof/>
              </w:rPr>
              <w:t xml:space="preserve">A kritikus fontosságú nyersanyagok iránti jövőbeli </w:t>
            </w:r>
            <w:r>
              <w:rPr>
                <w:noProof/>
              </w:rPr>
              <w:t>igényekről és a környezettudatos tervezésben rejlő, a kritikus fontosságú nyersanyagok iránti kereslet csökkentésére irányuló potenciálról szóló jelentés közzététele</w:t>
            </w:r>
          </w:p>
        </w:tc>
      </w:tr>
      <w:tr w:rsidR="003F5418" w14:paraId="00B6A48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FA94D7" w14:textId="77777777" w:rsidR="003F5418" w:rsidRDefault="002A6C25">
            <w:pPr>
              <w:pStyle w:val="P68B1DB1-Normal9"/>
              <w:jc w:val="center"/>
              <w:rPr>
                <w:noProof/>
              </w:rPr>
            </w:pPr>
            <w:r>
              <w:rPr>
                <w:noProof/>
              </w:rPr>
              <w:t>7–30. INTÉZKEDÉS</w:t>
            </w:r>
          </w:p>
        </w:tc>
        <w:tc>
          <w:tcPr>
            <w:tcW w:w="3118" w:type="dxa"/>
            <w:tcBorders>
              <w:top w:val="nil"/>
              <w:left w:val="nil"/>
              <w:bottom w:val="single" w:sz="4" w:space="0" w:color="auto"/>
              <w:right w:val="single" w:sz="4" w:space="0" w:color="auto"/>
            </w:tcBorders>
            <w:shd w:val="clear" w:color="auto" w:fill="C6EFCE"/>
            <w:noWrap/>
            <w:vAlign w:val="center"/>
          </w:tcPr>
          <w:p w14:paraId="752CC861" w14:textId="77777777" w:rsidR="003F5418" w:rsidRDefault="002A6C25">
            <w:pPr>
              <w:pStyle w:val="P68B1DB1-Normal9"/>
              <w:rPr>
                <w:noProof/>
              </w:rPr>
            </w:pPr>
            <w:r>
              <w:rPr>
                <w:noProof/>
              </w:rPr>
              <w:t xml:space="preserve">Beruházás: A készségekkel kapcsolatos kísérleti projektek – „Zöld </w:t>
            </w:r>
            <w:r>
              <w:rPr>
                <w:noProof/>
              </w:rPr>
              <w:t>Crescere Green”</w:t>
            </w:r>
          </w:p>
        </w:tc>
        <w:tc>
          <w:tcPr>
            <w:tcW w:w="1440" w:type="dxa"/>
            <w:tcBorders>
              <w:top w:val="nil"/>
              <w:left w:val="nil"/>
              <w:bottom w:val="single" w:sz="4" w:space="0" w:color="auto"/>
              <w:right w:val="single" w:sz="4" w:space="0" w:color="auto"/>
            </w:tcBorders>
            <w:shd w:val="clear" w:color="auto" w:fill="C6EFCE"/>
            <w:noWrap/>
            <w:vAlign w:val="center"/>
          </w:tcPr>
          <w:p w14:paraId="52102DFE" w14:textId="77777777" w:rsidR="003F5418" w:rsidRDefault="002A6C25">
            <w:pPr>
              <w:pStyle w:val="P68B1DB1-Normal9"/>
              <w:jc w:val="center"/>
              <w:rPr>
                <w:noProof/>
              </w:rPr>
            </w:pPr>
            <w:r>
              <w:rPr>
                <w:noProof/>
              </w:rPr>
              <w:t>Cél</w:t>
            </w:r>
          </w:p>
        </w:tc>
        <w:tc>
          <w:tcPr>
            <w:tcW w:w="4020" w:type="dxa"/>
            <w:tcBorders>
              <w:top w:val="nil"/>
              <w:left w:val="nil"/>
              <w:bottom w:val="single" w:sz="4" w:space="0" w:color="auto"/>
              <w:right w:val="single" w:sz="4" w:space="0" w:color="auto"/>
            </w:tcBorders>
            <w:shd w:val="clear" w:color="auto" w:fill="C6EFCE"/>
            <w:noWrap/>
            <w:vAlign w:val="center"/>
          </w:tcPr>
          <w:p w14:paraId="51C153BF" w14:textId="77777777" w:rsidR="003F5418" w:rsidRDefault="002A6C25">
            <w:pPr>
              <w:pStyle w:val="P68B1DB1-Normal9"/>
              <w:rPr>
                <w:noProof/>
              </w:rPr>
            </w:pPr>
            <w:r>
              <w:rPr>
                <w:noProof/>
              </w:rPr>
              <w:t>Képzés biztosítása 20000 személy számára</w:t>
            </w:r>
          </w:p>
        </w:tc>
      </w:tr>
      <w:tr w:rsidR="003F5418" w14:paraId="3AA85B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D17B5E" w14:textId="77777777" w:rsidR="003F5418" w:rsidRDefault="002A6C25">
            <w:pPr>
              <w:pStyle w:val="P68B1DB1-Normal9"/>
              <w:jc w:val="center"/>
              <w:rPr>
                <w:noProof/>
              </w:rPr>
            </w:pPr>
            <w:r>
              <w:rPr>
                <w:noProof/>
              </w:rPr>
              <w:t>M7–34. INTÉZKEDÉS</w:t>
            </w:r>
          </w:p>
        </w:tc>
        <w:tc>
          <w:tcPr>
            <w:tcW w:w="3118" w:type="dxa"/>
            <w:tcBorders>
              <w:top w:val="nil"/>
              <w:left w:val="nil"/>
              <w:bottom w:val="single" w:sz="4" w:space="0" w:color="auto"/>
              <w:right w:val="single" w:sz="4" w:space="0" w:color="auto"/>
            </w:tcBorders>
            <w:shd w:val="clear" w:color="auto" w:fill="C6EFCE"/>
            <w:noWrap/>
            <w:vAlign w:val="center"/>
          </w:tcPr>
          <w:p w14:paraId="7476C02E" w14:textId="77777777" w:rsidR="003F5418" w:rsidRDefault="002A6C25">
            <w:pPr>
              <w:pStyle w:val="P68B1DB1-Normal9"/>
              <w:rPr>
                <w:noProof/>
              </w:rPr>
            </w:pPr>
            <w:r>
              <w:rPr>
                <w:noProof/>
              </w:rPr>
              <w:t>Beruházás: Támogatási program a nemzetközi, ipari és K+F vezető szerep fejlesztésére a kibocsátásmentes buszok terén</w:t>
            </w:r>
          </w:p>
        </w:tc>
        <w:tc>
          <w:tcPr>
            <w:tcW w:w="1440" w:type="dxa"/>
            <w:tcBorders>
              <w:top w:val="nil"/>
              <w:left w:val="nil"/>
              <w:bottom w:val="single" w:sz="4" w:space="0" w:color="auto"/>
              <w:right w:val="single" w:sz="4" w:space="0" w:color="auto"/>
            </w:tcBorders>
            <w:shd w:val="clear" w:color="auto" w:fill="C6EFCE"/>
            <w:noWrap/>
            <w:vAlign w:val="center"/>
          </w:tcPr>
          <w:p w14:paraId="0AB793D5" w14:textId="77777777" w:rsidR="003F5418" w:rsidRDefault="002A6C25">
            <w:pPr>
              <w:pStyle w:val="P68B1DB1-Normal9"/>
              <w:jc w:val="center"/>
              <w:rPr>
                <w:noProof/>
              </w:rPr>
            </w:pPr>
            <w:r>
              <w:rPr>
                <w:noProof/>
              </w:rPr>
              <w:t>Mérföldkő</w:t>
            </w:r>
          </w:p>
        </w:tc>
        <w:tc>
          <w:tcPr>
            <w:tcW w:w="4020" w:type="dxa"/>
            <w:tcBorders>
              <w:top w:val="nil"/>
              <w:left w:val="nil"/>
              <w:bottom w:val="single" w:sz="4" w:space="0" w:color="auto"/>
              <w:right w:val="single" w:sz="4" w:space="0" w:color="auto"/>
            </w:tcBorders>
            <w:shd w:val="clear" w:color="auto" w:fill="C6EFCE"/>
            <w:noWrap/>
            <w:vAlign w:val="center"/>
          </w:tcPr>
          <w:p w14:paraId="3FAF143E" w14:textId="77777777" w:rsidR="003F5418" w:rsidRDefault="002A6C25">
            <w:pPr>
              <w:pStyle w:val="P68B1DB1-Normal9"/>
              <w:rPr>
                <w:noProof/>
              </w:rPr>
            </w:pPr>
            <w:r>
              <w:rPr>
                <w:noProof/>
              </w:rPr>
              <w:t>A minisztérium befejezte a beruházást</w:t>
            </w:r>
          </w:p>
        </w:tc>
      </w:tr>
      <w:tr w:rsidR="003F5418" w14:paraId="7703A8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73FD4" w14:textId="77777777" w:rsidR="003F5418" w:rsidRDefault="002A6C25">
            <w:pPr>
              <w:pStyle w:val="P68B1DB1-Normal9"/>
              <w:jc w:val="center"/>
              <w:rPr>
                <w:noProof/>
              </w:rPr>
            </w:pPr>
            <w:r>
              <w:rPr>
                <w:noProof/>
              </w:rPr>
              <w:t>M1C2–14a</w:t>
            </w:r>
          </w:p>
        </w:tc>
        <w:tc>
          <w:tcPr>
            <w:tcW w:w="3118" w:type="dxa"/>
            <w:tcBorders>
              <w:top w:val="nil"/>
              <w:left w:val="nil"/>
              <w:bottom w:val="single" w:sz="4" w:space="0" w:color="auto"/>
              <w:right w:val="single" w:sz="4" w:space="0" w:color="auto"/>
            </w:tcBorders>
            <w:shd w:val="clear" w:color="auto" w:fill="C6EFCE"/>
            <w:noWrap/>
            <w:vAlign w:val="center"/>
          </w:tcPr>
          <w:p w14:paraId="61E897CF" w14:textId="77777777" w:rsidR="003F5418" w:rsidRDefault="002A6C25">
            <w:pPr>
              <w:pStyle w:val="P68B1DB1-Normal9"/>
              <w:rPr>
                <w:noProof/>
              </w:rPr>
            </w:pPr>
            <w:r>
              <w:rPr>
                <w:noProof/>
              </w:rPr>
              <w:t>Reform:   a vállalkozásokat célzó ösztönzők észszerűsítése és egyszerűsítése.</w:t>
            </w:r>
          </w:p>
        </w:tc>
        <w:tc>
          <w:tcPr>
            <w:tcW w:w="1440" w:type="dxa"/>
            <w:tcBorders>
              <w:top w:val="nil"/>
              <w:left w:val="nil"/>
              <w:bottom w:val="single" w:sz="4" w:space="0" w:color="auto"/>
              <w:right w:val="single" w:sz="4" w:space="0" w:color="auto"/>
            </w:tcBorders>
            <w:shd w:val="clear" w:color="auto" w:fill="C6EFCE"/>
            <w:noWrap/>
            <w:vAlign w:val="center"/>
          </w:tcPr>
          <w:p w14:paraId="3314BA57" w14:textId="77777777" w:rsidR="003F5418" w:rsidRDefault="002A6C25">
            <w:pPr>
              <w:pStyle w:val="P68B1DB1-Normal9"/>
              <w:jc w:val="center"/>
              <w:rPr>
                <w:noProof/>
              </w:rPr>
            </w:pPr>
            <w:r>
              <w:rPr>
                <w:noProof/>
              </w:rPr>
              <w:t xml:space="preserve">Mérföldkő </w:t>
            </w:r>
          </w:p>
        </w:tc>
        <w:tc>
          <w:tcPr>
            <w:tcW w:w="4020" w:type="dxa"/>
            <w:tcBorders>
              <w:top w:val="nil"/>
              <w:left w:val="nil"/>
              <w:bottom w:val="single" w:sz="4" w:space="0" w:color="auto"/>
              <w:right w:val="single" w:sz="4" w:space="0" w:color="auto"/>
            </w:tcBorders>
            <w:shd w:val="clear" w:color="auto" w:fill="C6EFCE"/>
            <w:noWrap/>
            <w:vAlign w:val="center"/>
          </w:tcPr>
          <w:p w14:paraId="3D3D62CA" w14:textId="77777777" w:rsidR="003F5418" w:rsidRDefault="002A6C25">
            <w:pPr>
              <w:pStyle w:val="P68B1DB1-Normal9"/>
              <w:rPr>
                <w:noProof/>
              </w:rPr>
            </w:pPr>
            <w:r>
              <w:rPr>
                <w:noProof/>
              </w:rPr>
              <w:t>A jelentés értékelésének közzététele a vállalkozásoknak nyújtott valamennyi ösztönzőről</w:t>
            </w:r>
          </w:p>
        </w:tc>
      </w:tr>
      <w:tr w:rsidR="003F5418" w14:paraId="3B50F9B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5BEE9B" w14:textId="77777777" w:rsidR="003F5418" w:rsidRDefault="003F5418">
            <w:pPr>
              <w:jc w:val="center"/>
              <w:rPr>
                <w:noProof/>
                <w:color w:val="006100"/>
                <w:sz w:val="20"/>
              </w:rPr>
            </w:pPr>
          </w:p>
        </w:tc>
        <w:tc>
          <w:tcPr>
            <w:tcW w:w="3118" w:type="dxa"/>
            <w:tcBorders>
              <w:top w:val="single" w:sz="4" w:space="0" w:color="auto"/>
              <w:left w:val="nil"/>
              <w:bottom w:val="single" w:sz="4" w:space="0" w:color="auto"/>
              <w:right w:val="single" w:sz="4" w:space="0" w:color="auto"/>
            </w:tcBorders>
            <w:shd w:val="clear" w:color="auto" w:fill="C6EFCE"/>
            <w:noWrap/>
            <w:vAlign w:val="bottom"/>
          </w:tcPr>
          <w:p w14:paraId="7BDD9456" w14:textId="77777777" w:rsidR="003F5418" w:rsidRDefault="003F5418">
            <w:pPr>
              <w:rPr>
                <w:noProof/>
                <w:color w:val="006100"/>
                <w:sz w:val="20"/>
              </w:rPr>
            </w:pPr>
          </w:p>
        </w:tc>
        <w:tc>
          <w:tcPr>
            <w:tcW w:w="1440" w:type="dxa"/>
            <w:tcBorders>
              <w:top w:val="single" w:sz="4" w:space="0" w:color="auto"/>
              <w:left w:val="nil"/>
              <w:bottom w:val="single" w:sz="4" w:space="0" w:color="auto"/>
              <w:right w:val="single" w:sz="4" w:space="0" w:color="auto"/>
            </w:tcBorders>
            <w:shd w:val="clear" w:color="auto" w:fill="C6EFCE"/>
            <w:noWrap/>
            <w:vAlign w:val="bottom"/>
          </w:tcPr>
          <w:p w14:paraId="7E9093E2" w14:textId="77777777" w:rsidR="003F5418" w:rsidRDefault="002A6C25">
            <w:pPr>
              <w:pStyle w:val="P68B1DB1-Normal9"/>
              <w:rPr>
                <w:noProof/>
              </w:rPr>
            </w:pPr>
            <w:r>
              <w:rPr>
                <w:noProof/>
              </w:rPr>
              <w:t>Részösszeg</w:t>
            </w:r>
          </w:p>
        </w:tc>
        <w:tc>
          <w:tcPr>
            <w:tcW w:w="4020" w:type="dxa"/>
            <w:tcBorders>
              <w:top w:val="single" w:sz="4" w:space="0" w:color="auto"/>
              <w:left w:val="nil"/>
              <w:bottom w:val="single" w:sz="4" w:space="0" w:color="auto"/>
              <w:right w:val="single" w:sz="4" w:space="0" w:color="auto"/>
            </w:tcBorders>
            <w:shd w:val="clear" w:color="auto" w:fill="C6EFCE"/>
            <w:noWrap/>
            <w:vAlign w:val="bottom"/>
          </w:tcPr>
          <w:p w14:paraId="0B8653FE" w14:textId="77777777" w:rsidR="003F5418" w:rsidRDefault="002A6C25">
            <w:pPr>
              <w:pStyle w:val="P68B1DB1-Normal37"/>
              <w:rPr>
                <w:noProof/>
              </w:rPr>
            </w:pPr>
            <w:r>
              <w:rPr>
                <w:noProof/>
              </w:rPr>
              <w:t>3</w:t>
            </w:r>
            <w:r>
              <w:rPr>
                <w:noProof/>
              </w:rPr>
              <w:t> </w:t>
            </w:r>
            <w:r>
              <w:rPr>
                <w:noProof/>
              </w:rPr>
              <w:t>541</w:t>
            </w:r>
            <w:r>
              <w:rPr>
                <w:noProof/>
              </w:rPr>
              <w:t> </w:t>
            </w:r>
            <w:r>
              <w:rPr>
                <w:noProof/>
              </w:rPr>
              <w:t>589</w:t>
            </w:r>
            <w:r>
              <w:rPr>
                <w:noProof/>
              </w:rPr>
              <w:t> </w:t>
            </w:r>
            <w:r>
              <w:rPr>
                <w:noProof/>
              </w:rPr>
              <w:t>EUR</w:t>
            </w:r>
          </w:p>
        </w:tc>
      </w:tr>
    </w:tbl>
    <w:p w14:paraId="31EF57C2" w14:textId="77777777" w:rsidR="003F5418" w:rsidRDefault="002A6C25">
      <w:pPr>
        <w:pStyle w:val="P68B1DB1-Normal35"/>
        <w:spacing w:after="200" w:line="276" w:lineRule="auto"/>
        <w:rPr>
          <w:noProof/>
        </w:rPr>
      </w:pPr>
      <w:r>
        <w:rPr>
          <w:noProof/>
        </w:rPr>
        <w:br w:type="page"/>
      </w:r>
    </w:p>
    <w:p w14:paraId="460679E7" w14:textId="77777777" w:rsidR="003F5418" w:rsidRDefault="002A6C25">
      <w:pPr>
        <w:pStyle w:val="P68B1DB1-Normal35"/>
        <w:numPr>
          <w:ilvl w:val="1"/>
          <w:numId w:val="6"/>
        </w:numPr>
        <w:spacing w:before="120" w:after="120"/>
        <w:jc w:val="both"/>
        <w:rPr>
          <w:noProof/>
        </w:rPr>
      </w:pPr>
      <w:r>
        <w:rPr>
          <w:noProof/>
        </w:rPr>
        <w:t xml:space="preserve">Kilencedik kifizetés (vissza nem térítendő </w:t>
      </w:r>
      <w:r>
        <w:rPr>
          <w:noProof/>
        </w:rPr>
        <w:t>támogatás):</w:t>
      </w:r>
    </w:p>
    <w:tbl>
      <w:tblPr>
        <w:tblW w:w="9947" w:type="dxa"/>
        <w:tblInd w:w="113" w:type="dxa"/>
        <w:tblLook w:val="04A0" w:firstRow="1" w:lastRow="0" w:firstColumn="1" w:lastColumn="0" w:noHBand="0" w:noVBand="1"/>
      </w:tblPr>
      <w:tblGrid>
        <w:gridCol w:w="1438"/>
        <w:gridCol w:w="3150"/>
        <w:gridCol w:w="1425"/>
        <w:gridCol w:w="3959"/>
      </w:tblGrid>
      <w:tr w:rsidR="003F5418" w14:paraId="690D2AD9" w14:textId="77777777">
        <w:trPr>
          <w:trHeight w:val="1423"/>
          <w:tblHeader/>
        </w:trPr>
        <w:tc>
          <w:tcPr>
            <w:tcW w:w="1413"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17F7740" w14:textId="77777777" w:rsidR="003F5418" w:rsidRDefault="002A6C25">
            <w:pPr>
              <w:pStyle w:val="P68B1DB1-Normal36"/>
              <w:jc w:val="center"/>
              <w:rPr>
                <w:noProof/>
              </w:rPr>
            </w:pPr>
            <w:r>
              <w:rPr>
                <w:noProof/>
              </w:rPr>
              <w:t>Sorszám</w:t>
            </w:r>
          </w:p>
        </w:tc>
        <w:tc>
          <w:tcPr>
            <w:tcW w:w="315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120E8E0C" w14:textId="77777777" w:rsidR="003F5418" w:rsidRDefault="002A6C25">
            <w:pPr>
              <w:pStyle w:val="P68B1DB1-Normal36"/>
              <w:jc w:val="center"/>
              <w:rPr>
                <w:noProof/>
              </w:rPr>
            </w:pPr>
            <w:r>
              <w:rPr>
                <w:noProof/>
              </w:rPr>
              <w:t>Kapcsolódó intézkedés (reform vagy beruházás)</w:t>
            </w:r>
          </w:p>
        </w:tc>
        <w:tc>
          <w:tcPr>
            <w:tcW w:w="1425"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36C13E3" w14:textId="77777777" w:rsidR="003F5418" w:rsidRDefault="002A6C25">
            <w:pPr>
              <w:pStyle w:val="P68B1DB1-Normal36"/>
              <w:jc w:val="center"/>
              <w:rPr>
                <w:noProof/>
              </w:rPr>
            </w:pPr>
            <w:r>
              <w:rPr>
                <w:noProof/>
              </w:rPr>
              <w:t>Mérföldkő/cél</w:t>
            </w:r>
          </w:p>
        </w:tc>
        <w:tc>
          <w:tcPr>
            <w:tcW w:w="395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43D346" w14:textId="77777777" w:rsidR="003F5418" w:rsidRDefault="002A6C25">
            <w:pPr>
              <w:pStyle w:val="P68B1DB1-Normal36"/>
              <w:jc w:val="center"/>
              <w:rPr>
                <w:noProof/>
              </w:rPr>
            </w:pPr>
            <w:r>
              <w:rPr>
                <w:noProof/>
              </w:rPr>
              <w:t>Név</w:t>
            </w:r>
          </w:p>
        </w:tc>
      </w:tr>
      <w:tr w:rsidR="003F5418" w14:paraId="53F336F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931C1F1" w14:textId="77777777" w:rsidR="003F5418" w:rsidRDefault="002A6C25">
            <w:pPr>
              <w:pStyle w:val="P68B1DB1-Normal9"/>
              <w:jc w:val="center"/>
              <w:rPr>
                <w:noProof/>
              </w:rPr>
            </w:pPr>
            <w:r>
              <w:rPr>
                <w:noProof/>
              </w:rPr>
              <w:t>M4C1–7</w:t>
            </w:r>
          </w:p>
        </w:tc>
        <w:tc>
          <w:tcPr>
            <w:tcW w:w="3150" w:type="dxa"/>
            <w:tcBorders>
              <w:top w:val="single" w:sz="4" w:space="0" w:color="auto"/>
              <w:left w:val="nil"/>
              <w:bottom w:val="single" w:sz="4" w:space="0" w:color="auto"/>
              <w:right w:val="single" w:sz="4" w:space="0" w:color="auto"/>
            </w:tcBorders>
            <w:shd w:val="clear" w:color="auto" w:fill="C6EFCE"/>
            <w:noWrap/>
            <w:vAlign w:val="center"/>
          </w:tcPr>
          <w:p w14:paraId="44E9FEBC" w14:textId="77777777" w:rsidR="003F5418" w:rsidRDefault="002A6C25">
            <w:pPr>
              <w:pStyle w:val="P68B1DB1-Normal9"/>
              <w:rPr>
                <w:noProof/>
              </w:rPr>
            </w:pPr>
            <w:r>
              <w:rPr>
                <w:noProof/>
              </w:rPr>
              <w:t>Beruházás: Rendkívüli beavatkozás, amelynek célja a területi különbségek csökkentése a középiskola I. és II. ciklusaiban, valamint az iskolai lemorzsolódás kezelése</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5FDE5760" w14:textId="77777777" w:rsidR="003F5418" w:rsidRDefault="002A6C25">
            <w:pPr>
              <w:pStyle w:val="P68B1DB1-Normal9"/>
              <w:jc w:val="center"/>
              <w:rPr>
                <w:noProof/>
              </w:rPr>
            </w:pPr>
            <w:r>
              <w:rPr>
                <w:noProof/>
              </w:rPr>
              <w:t>Cél</w:t>
            </w:r>
          </w:p>
        </w:tc>
        <w:tc>
          <w:tcPr>
            <w:tcW w:w="3959" w:type="dxa"/>
            <w:tcBorders>
              <w:top w:val="single" w:sz="4" w:space="0" w:color="auto"/>
              <w:left w:val="nil"/>
              <w:bottom w:val="single" w:sz="4" w:space="0" w:color="auto"/>
              <w:right w:val="single" w:sz="4" w:space="0" w:color="auto"/>
            </w:tcBorders>
            <w:shd w:val="clear" w:color="auto" w:fill="C6EFCE"/>
            <w:noWrap/>
            <w:vAlign w:val="center"/>
          </w:tcPr>
          <w:p w14:paraId="6FCAD8FC" w14:textId="77777777" w:rsidR="003F5418" w:rsidRDefault="002A6C25">
            <w:pPr>
              <w:pStyle w:val="P68B1DB1-Normal9"/>
              <w:rPr>
                <w:noProof/>
              </w:rPr>
            </w:pPr>
            <w:r>
              <w:rPr>
                <w:noProof/>
              </w:rPr>
              <w:t>Mentorálási tevékenységekben vagy tanfolyamokon részt vevő diákok vagy fiatalok</w:t>
            </w:r>
          </w:p>
        </w:tc>
      </w:tr>
      <w:tr w:rsidR="003F5418" w14:paraId="7EFB63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900EC6" w14:textId="77777777" w:rsidR="003F5418" w:rsidRDefault="002A6C25">
            <w:pPr>
              <w:pStyle w:val="P68B1DB1-Normal9"/>
              <w:jc w:val="center"/>
              <w:rPr>
                <w:noProof/>
              </w:rPr>
            </w:pPr>
            <w:r>
              <w:rPr>
                <w:noProof/>
              </w:rPr>
              <w:t>M4C1–14a</w:t>
            </w:r>
          </w:p>
        </w:tc>
        <w:tc>
          <w:tcPr>
            <w:tcW w:w="3150" w:type="dxa"/>
            <w:tcBorders>
              <w:top w:val="nil"/>
              <w:left w:val="nil"/>
              <w:bottom w:val="single" w:sz="4" w:space="0" w:color="auto"/>
              <w:right w:val="single" w:sz="4" w:space="0" w:color="auto"/>
            </w:tcBorders>
            <w:shd w:val="clear" w:color="auto" w:fill="C6EFCE"/>
            <w:noWrap/>
            <w:vAlign w:val="center"/>
          </w:tcPr>
          <w:p w14:paraId="15939D7F" w14:textId="77777777" w:rsidR="003F5418" w:rsidRDefault="002A6C25">
            <w:pPr>
              <w:pStyle w:val="P68B1DB1-Normal9"/>
              <w:rPr>
                <w:noProof/>
              </w:rPr>
            </w:pPr>
            <w:r>
              <w:rPr>
                <w:noProof/>
              </w:rPr>
              <w:t xml:space="preserve">Reform: Tanárok felvétele   </w:t>
            </w:r>
          </w:p>
        </w:tc>
        <w:tc>
          <w:tcPr>
            <w:tcW w:w="1425" w:type="dxa"/>
            <w:tcBorders>
              <w:top w:val="nil"/>
              <w:left w:val="nil"/>
              <w:bottom w:val="single" w:sz="4" w:space="0" w:color="auto"/>
              <w:right w:val="single" w:sz="4" w:space="0" w:color="auto"/>
            </w:tcBorders>
            <w:shd w:val="clear" w:color="auto" w:fill="C6EFCE"/>
            <w:noWrap/>
            <w:vAlign w:val="center"/>
          </w:tcPr>
          <w:p w14:paraId="5B0DC343" w14:textId="77777777" w:rsidR="003F5418" w:rsidRDefault="002A6C25">
            <w:pPr>
              <w:pStyle w:val="P68B1DB1-Normal9"/>
              <w:jc w:val="center"/>
              <w:rPr>
                <w:noProof/>
              </w:rPr>
            </w:pPr>
            <w:r>
              <w:rPr>
                <w:noProof/>
              </w:rPr>
              <w:t xml:space="preserve">Cél </w:t>
            </w:r>
          </w:p>
        </w:tc>
        <w:tc>
          <w:tcPr>
            <w:tcW w:w="3959" w:type="dxa"/>
            <w:tcBorders>
              <w:top w:val="nil"/>
              <w:left w:val="nil"/>
              <w:bottom w:val="single" w:sz="4" w:space="0" w:color="auto"/>
              <w:right w:val="single" w:sz="4" w:space="0" w:color="auto"/>
            </w:tcBorders>
            <w:shd w:val="clear" w:color="auto" w:fill="C6EFCE"/>
            <w:noWrap/>
            <w:vAlign w:val="center"/>
          </w:tcPr>
          <w:p w14:paraId="3A08CF09" w14:textId="77777777" w:rsidR="003F5418" w:rsidRDefault="002A6C25">
            <w:pPr>
              <w:pStyle w:val="P68B1DB1-Normal9"/>
              <w:rPr>
                <w:noProof/>
              </w:rPr>
            </w:pPr>
            <w:r>
              <w:rPr>
                <w:noProof/>
              </w:rPr>
              <w:t>A megreformált munkaerő-felvételi rendszerrel felvett tanárok</w:t>
            </w:r>
          </w:p>
        </w:tc>
      </w:tr>
      <w:tr w:rsidR="003F5418" w14:paraId="44BC391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161705" w14:textId="77777777" w:rsidR="003F5418" w:rsidRDefault="002A6C25">
            <w:pPr>
              <w:pStyle w:val="P68B1DB1-Normal9"/>
              <w:jc w:val="center"/>
              <w:rPr>
                <w:noProof/>
              </w:rPr>
            </w:pPr>
            <w:r>
              <w:rPr>
                <w:noProof/>
              </w:rPr>
              <w:t>M7–6. INTÉZKEDÉS</w:t>
            </w:r>
          </w:p>
        </w:tc>
        <w:tc>
          <w:tcPr>
            <w:tcW w:w="3150" w:type="dxa"/>
            <w:tcBorders>
              <w:top w:val="nil"/>
              <w:left w:val="nil"/>
              <w:bottom w:val="single" w:sz="4" w:space="0" w:color="auto"/>
              <w:right w:val="single" w:sz="4" w:space="0" w:color="auto"/>
            </w:tcBorders>
            <w:shd w:val="clear" w:color="auto" w:fill="C6EFCE"/>
            <w:noWrap/>
            <w:vAlign w:val="center"/>
          </w:tcPr>
          <w:p w14:paraId="237DD962" w14:textId="77777777" w:rsidR="003F5418" w:rsidRDefault="002A6C25">
            <w:pPr>
              <w:pStyle w:val="P68B1DB1-Normal9"/>
              <w:rPr>
                <w:noProof/>
              </w:rPr>
            </w:pPr>
            <w:r>
              <w:rPr>
                <w:noProof/>
              </w:rPr>
              <w:t xml:space="preserve">Reform: A biometán gázhálózathoz való </w:t>
            </w:r>
            <w:r>
              <w:rPr>
                <w:noProof/>
              </w:rPr>
              <w:t>csatlakozás költségeinek csökkentése</w:t>
            </w:r>
          </w:p>
        </w:tc>
        <w:tc>
          <w:tcPr>
            <w:tcW w:w="1425" w:type="dxa"/>
            <w:tcBorders>
              <w:top w:val="nil"/>
              <w:left w:val="nil"/>
              <w:bottom w:val="single" w:sz="4" w:space="0" w:color="auto"/>
              <w:right w:val="single" w:sz="4" w:space="0" w:color="auto"/>
            </w:tcBorders>
            <w:shd w:val="clear" w:color="auto" w:fill="C6EFCE"/>
            <w:noWrap/>
            <w:vAlign w:val="center"/>
          </w:tcPr>
          <w:p w14:paraId="2E0951C7"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36931C94" w14:textId="77777777" w:rsidR="003F5418" w:rsidRDefault="002A6C25">
            <w:pPr>
              <w:pStyle w:val="P68B1DB1-Normal9"/>
              <w:rPr>
                <w:noProof/>
              </w:rPr>
            </w:pPr>
            <w:r>
              <w:rPr>
                <w:noProof/>
              </w:rPr>
              <w:t xml:space="preserve">A biometán-előállító üzemek gázhálózathoz való csatlakozási költségeinek csökkentésére irányuló jogszabály hatálybalépése </w:t>
            </w:r>
          </w:p>
        </w:tc>
      </w:tr>
      <w:tr w:rsidR="003F5418" w14:paraId="4900A3A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E6698B" w14:textId="77777777" w:rsidR="003F5418" w:rsidRDefault="002A6C25">
            <w:pPr>
              <w:pStyle w:val="P68B1DB1-Normal9"/>
              <w:jc w:val="center"/>
              <w:rPr>
                <w:noProof/>
              </w:rPr>
            </w:pPr>
            <w:r>
              <w:rPr>
                <w:noProof/>
              </w:rPr>
              <w:t>7–10. INTÉZKEDÉS</w:t>
            </w:r>
          </w:p>
        </w:tc>
        <w:tc>
          <w:tcPr>
            <w:tcW w:w="3150" w:type="dxa"/>
            <w:tcBorders>
              <w:top w:val="nil"/>
              <w:left w:val="nil"/>
              <w:bottom w:val="single" w:sz="4" w:space="0" w:color="auto"/>
              <w:right w:val="single" w:sz="4" w:space="0" w:color="auto"/>
            </w:tcBorders>
            <w:shd w:val="clear" w:color="auto" w:fill="C6EFCE"/>
            <w:noWrap/>
            <w:vAlign w:val="center"/>
          </w:tcPr>
          <w:p w14:paraId="396BB298" w14:textId="77777777" w:rsidR="003F5418" w:rsidRDefault="002A6C25">
            <w:pPr>
              <w:pStyle w:val="P68B1DB1-Normal9"/>
              <w:rPr>
                <w:noProof/>
              </w:rPr>
            </w:pPr>
            <w:r>
              <w:rPr>
                <w:noProof/>
              </w:rPr>
              <w:t>Reform: Új készségekre vonatkozó terv – Átállások</w:t>
            </w:r>
          </w:p>
        </w:tc>
        <w:tc>
          <w:tcPr>
            <w:tcW w:w="1425" w:type="dxa"/>
            <w:tcBorders>
              <w:top w:val="nil"/>
              <w:left w:val="nil"/>
              <w:bottom w:val="single" w:sz="4" w:space="0" w:color="auto"/>
              <w:right w:val="single" w:sz="4" w:space="0" w:color="auto"/>
            </w:tcBorders>
            <w:shd w:val="clear" w:color="auto" w:fill="C6EFCE"/>
            <w:noWrap/>
            <w:vAlign w:val="center"/>
          </w:tcPr>
          <w:p w14:paraId="73AF346D"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237B372E" w14:textId="77777777" w:rsidR="003F5418" w:rsidRDefault="002A6C25">
            <w:pPr>
              <w:pStyle w:val="P68B1DB1-Normal9"/>
              <w:rPr>
                <w:noProof/>
              </w:rPr>
            </w:pPr>
            <w:r>
              <w:rPr>
                <w:noProof/>
              </w:rPr>
              <w:t>A region</w:t>
            </w:r>
            <w:r>
              <w:rPr>
                <w:noProof/>
              </w:rPr>
              <w:t>ális jogszabályok hatálybalépése</w:t>
            </w:r>
          </w:p>
        </w:tc>
      </w:tr>
      <w:tr w:rsidR="003F5418" w14:paraId="517CF7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93CDA9" w14:textId="77777777" w:rsidR="003F5418" w:rsidRDefault="002A6C25">
            <w:pPr>
              <w:pStyle w:val="P68B1DB1-Normal9"/>
              <w:jc w:val="center"/>
              <w:rPr>
                <w:noProof/>
              </w:rPr>
            </w:pPr>
            <w:r>
              <w:rPr>
                <w:noProof/>
              </w:rPr>
              <w:t>M7–18. INTÉZKEDÉS</w:t>
            </w:r>
          </w:p>
        </w:tc>
        <w:tc>
          <w:tcPr>
            <w:tcW w:w="3150" w:type="dxa"/>
            <w:tcBorders>
              <w:top w:val="nil"/>
              <w:left w:val="nil"/>
              <w:bottom w:val="single" w:sz="4" w:space="0" w:color="auto"/>
              <w:right w:val="single" w:sz="4" w:space="0" w:color="auto"/>
            </w:tcBorders>
            <w:shd w:val="clear" w:color="auto" w:fill="C6EFCE"/>
            <w:noWrap/>
            <w:vAlign w:val="center"/>
          </w:tcPr>
          <w:p w14:paraId="19458D83" w14:textId="77777777" w:rsidR="003F5418" w:rsidRDefault="002A6C25">
            <w:pPr>
              <w:pStyle w:val="P68B1DB1-Normal9"/>
              <w:rPr>
                <w:noProof/>
              </w:rPr>
            </w:pPr>
            <w:r>
              <w:rPr>
                <w:noProof/>
              </w:rPr>
              <w:t>Beruházás: Határokon átnyúló villamosenergia-összeköttetési projektek Olaszország és a szomszédos országok között</w:t>
            </w:r>
          </w:p>
        </w:tc>
        <w:tc>
          <w:tcPr>
            <w:tcW w:w="1425" w:type="dxa"/>
            <w:tcBorders>
              <w:top w:val="nil"/>
              <w:left w:val="nil"/>
              <w:bottom w:val="single" w:sz="4" w:space="0" w:color="auto"/>
              <w:right w:val="single" w:sz="4" w:space="0" w:color="auto"/>
            </w:tcBorders>
            <w:shd w:val="clear" w:color="auto" w:fill="C6EFCE"/>
            <w:noWrap/>
            <w:vAlign w:val="center"/>
          </w:tcPr>
          <w:p w14:paraId="1C528826"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253DDE11" w14:textId="77777777" w:rsidR="003F5418" w:rsidRDefault="002A6C25">
            <w:pPr>
              <w:pStyle w:val="P68B1DB1-Normal9"/>
              <w:rPr>
                <w:noProof/>
              </w:rPr>
            </w:pPr>
            <w:r>
              <w:rPr>
                <w:noProof/>
              </w:rPr>
              <w:t xml:space="preserve">Az Olaszország-Ausztria „Somplago – Würmlach” rendszerösszekötő építésére </w:t>
            </w:r>
            <w:r>
              <w:rPr>
                <w:noProof/>
              </w:rPr>
              <w:t>vonatkozó szerződések odaítélése</w:t>
            </w:r>
          </w:p>
        </w:tc>
      </w:tr>
      <w:tr w:rsidR="003F5418" w14:paraId="3E36B6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D89EA" w14:textId="77777777" w:rsidR="003F5418" w:rsidRDefault="002A6C25">
            <w:pPr>
              <w:pStyle w:val="P68B1DB1-Normal9"/>
              <w:jc w:val="center"/>
              <w:rPr>
                <w:noProof/>
              </w:rPr>
            </w:pPr>
            <w:r>
              <w:rPr>
                <w:noProof/>
              </w:rPr>
              <w:t>M1C1–24</w:t>
            </w:r>
          </w:p>
        </w:tc>
        <w:tc>
          <w:tcPr>
            <w:tcW w:w="3150" w:type="dxa"/>
            <w:tcBorders>
              <w:top w:val="nil"/>
              <w:left w:val="nil"/>
              <w:bottom w:val="single" w:sz="4" w:space="0" w:color="auto"/>
              <w:right w:val="single" w:sz="4" w:space="0" w:color="auto"/>
            </w:tcBorders>
            <w:shd w:val="clear" w:color="auto" w:fill="C6EFCE"/>
            <w:noWrap/>
            <w:vAlign w:val="center"/>
          </w:tcPr>
          <w:p w14:paraId="4DE0AB6D" w14:textId="77777777" w:rsidR="003F5418" w:rsidRDefault="002A6C25">
            <w:pPr>
              <w:pStyle w:val="P68B1DB1-Normal9"/>
              <w:rPr>
                <w:noProof/>
              </w:rPr>
            </w:pPr>
            <w:r>
              <w:rPr>
                <w:noProof/>
              </w:rPr>
              <w:t>Sz. beruházás: Digitális közszolgálat</w:t>
            </w:r>
          </w:p>
        </w:tc>
        <w:tc>
          <w:tcPr>
            <w:tcW w:w="1425" w:type="dxa"/>
            <w:tcBorders>
              <w:top w:val="nil"/>
              <w:left w:val="nil"/>
              <w:bottom w:val="single" w:sz="4" w:space="0" w:color="auto"/>
              <w:right w:val="single" w:sz="4" w:space="0" w:color="auto"/>
            </w:tcBorders>
            <w:shd w:val="clear" w:color="auto" w:fill="C6EFCE"/>
            <w:noWrap/>
            <w:vAlign w:val="center"/>
          </w:tcPr>
          <w:p w14:paraId="3F1D5122"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62BE6BB4" w14:textId="77777777" w:rsidR="003F5418" w:rsidRDefault="002A6C25">
            <w:pPr>
              <w:pStyle w:val="P68B1DB1-Normal9"/>
              <w:rPr>
                <w:noProof/>
              </w:rPr>
            </w:pPr>
            <w:r>
              <w:rPr>
                <w:noProof/>
              </w:rPr>
              <w:t>Az egyetemes közszolgálati szervezetek nemzeti nyilvántartásába bejegyzett szervezetek által nyújtott digitális oktatási és/vagy könnyítési kezdeményezésekben részt vevő po</w:t>
            </w:r>
            <w:r>
              <w:rPr>
                <w:noProof/>
              </w:rPr>
              <w:t xml:space="preserve">lgárok </w:t>
            </w:r>
          </w:p>
        </w:tc>
      </w:tr>
      <w:tr w:rsidR="003F5418" w14:paraId="48C07D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128B16" w14:textId="77777777" w:rsidR="003F5418" w:rsidRDefault="002A6C25">
            <w:pPr>
              <w:pStyle w:val="P68B1DB1-Normal9"/>
              <w:jc w:val="center"/>
              <w:rPr>
                <w:noProof/>
              </w:rPr>
            </w:pPr>
            <w:r>
              <w:rPr>
                <w:noProof/>
              </w:rPr>
              <w:t>M1C1–96</w:t>
            </w:r>
          </w:p>
        </w:tc>
        <w:tc>
          <w:tcPr>
            <w:tcW w:w="3150" w:type="dxa"/>
            <w:tcBorders>
              <w:top w:val="nil"/>
              <w:left w:val="nil"/>
              <w:bottom w:val="single" w:sz="4" w:space="0" w:color="auto"/>
              <w:right w:val="single" w:sz="4" w:space="0" w:color="auto"/>
            </w:tcBorders>
            <w:shd w:val="clear" w:color="auto" w:fill="C6EFCE"/>
            <w:noWrap/>
            <w:vAlign w:val="center"/>
          </w:tcPr>
          <w:p w14:paraId="666EB16B" w14:textId="77777777" w:rsidR="003F5418" w:rsidRDefault="002A6C25">
            <w:pPr>
              <w:pStyle w:val="P68B1DB1-Normal9"/>
              <w:jc w:val="center"/>
              <w:rPr>
                <w:noProof/>
              </w:rPr>
            </w:pPr>
            <w:r>
              <w:rPr>
                <w:noProof/>
              </w:rPr>
              <w:t>Reform: A közbeszerzési jogi keret reformja</w:t>
            </w:r>
          </w:p>
        </w:tc>
        <w:tc>
          <w:tcPr>
            <w:tcW w:w="1425" w:type="dxa"/>
            <w:tcBorders>
              <w:top w:val="nil"/>
              <w:left w:val="nil"/>
              <w:bottom w:val="single" w:sz="4" w:space="0" w:color="auto"/>
              <w:right w:val="single" w:sz="4" w:space="0" w:color="auto"/>
            </w:tcBorders>
            <w:shd w:val="clear" w:color="auto" w:fill="C6EFCE"/>
            <w:noWrap/>
            <w:vAlign w:val="center"/>
          </w:tcPr>
          <w:p w14:paraId="3F993B53"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7485B6BE" w14:textId="77777777" w:rsidR="003F5418" w:rsidRDefault="002A6C25">
            <w:pPr>
              <w:pStyle w:val="P68B1DB1-Normal9"/>
              <w:rPr>
                <w:noProof/>
              </w:rPr>
            </w:pPr>
            <w:r>
              <w:rPr>
                <w:noProof/>
              </w:rPr>
              <w:t>A közzététel és a szerződés odaítélése között eltelt átlagos idő</w:t>
            </w:r>
          </w:p>
        </w:tc>
      </w:tr>
      <w:tr w:rsidR="003F5418" w14:paraId="4AB7F4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7E996" w14:textId="77777777" w:rsidR="003F5418" w:rsidRDefault="002A6C25">
            <w:pPr>
              <w:pStyle w:val="P68B1DB1-Normal9"/>
              <w:jc w:val="center"/>
              <w:rPr>
                <w:noProof/>
              </w:rPr>
            </w:pPr>
            <w:r>
              <w:rPr>
                <w:noProof/>
              </w:rPr>
              <w:t>M1C1–97bis</w:t>
            </w:r>
          </w:p>
        </w:tc>
        <w:tc>
          <w:tcPr>
            <w:tcW w:w="3150" w:type="dxa"/>
            <w:tcBorders>
              <w:top w:val="nil"/>
              <w:left w:val="nil"/>
              <w:bottom w:val="single" w:sz="4" w:space="0" w:color="auto"/>
              <w:right w:val="single" w:sz="4" w:space="0" w:color="auto"/>
            </w:tcBorders>
            <w:shd w:val="clear" w:color="auto" w:fill="C6EFCE"/>
            <w:noWrap/>
            <w:vAlign w:val="center"/>
          </w:tcPr>
          <w:p w14:paraId="13B8E27B" w14:textId="77777777" w:rsidR="003F5418" w:rsidRDefault="002A6C25">
            <w:pPr>
              <w:pStyle w:val="P68B1DB1-Normal9"/>
              <w:jc w:val="center"/>
              <w:rPr>
                <w:noProof/>
              </w:rPr>
            </w:pPr>
            <w:r>
              <w:rPr>
                <w:noProof/>
              </w:rPr>
              <w:t>Reform: A közbeszerzési jogi keret reformja</w:t>
            </w:r>
          </w:p>
        </w:tc>
        <w:tc>
          <w:tcPr>
            <w:tcW w:w="1425" w:type="dxa"/>
            <w:tcBorders>
              <w:top w:val="nil"/>
              <w:left w:val="nil"/>
              <w:bottom w:val="single" w:sz="4" w:space="0" w:color="auto"/>
              <w:right w:val="single" w:sz="4" w:space="0" w:color="auto"/>
            </w:tcBorders>
            <w:shd w:val="clear" w:color="auto" w:fill="C6EFCE"/>
            <w:noWrap/>
            <w:vAlign w:val="center"/>
          </w:tcPr>
          <w:p w14:paraId="36D54AF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2FAAE8F6" w14:textId="77777777" w:rsidR="003F5418" w:rsidRDefault="002A6C25">
            <w:pPr>
              <w:pStyle w:val="P68B1DB1-Normal9"/>
              <w:rPr>
                <w:noProof/>
              </w:rPr>
            </w:pPr>
            <w:r>
              <w:rPr>
                <w:noProof/>
              </w:rPr>
              <w:t xml:space="preserve">A szerződés odaítélése és az infrastruktúra megvalósítása között </w:t>
            </w:r>
            <w:r>
              <w:rPr>
                <w:noProof/>
              </w:rPr>
              <w:t>eltelt átlagos idő</w:t>
            </w:r>
          </w:p>
        </w:tc>
      </w:tr>
      <w:tr w:rsidR="003F5418" w14:paraId="5A9E82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28788D" w14:textId="77777777" w:rsidR="003F5418" w:rsidRDefault="002A6C25">
            <w:pPr>
              <w:pStyle w:val="P68B1DB1-Normal9"/>
              <w:jc w:val="center"/>
              <w:rPr>
                <w:noProof/>
              </w:rPr>
            </w:pPr>
            <w:r>
              <w:rPr>
                <w:noProof/>
              </w:rPr>
              <w:t>M1C1–98bis</w:t>
            </w:r>
          </w:p>
        </w:tc>
        <w:tc>
          <w:tcPr>
            <w:tcW w:w="3150" w:type="dxa"/>
            <w:tcBorders>
              <w:top w:val="nil"/>
              <w:left w:val="nil"/>
              <w:bottom w:val="single" w:sz="4" w:space="0" w:color="auto"/>
              <w:right w:val="single" w:sz="4" w:space="0" w:color="auto"/>
            </w:tcBorders>
            <w:shd w:val="clear" w:color="auto" w:fill="C6EFCE"/>
            <w:noWrap/>
            <w:vAlign w:val="center"/>
          </w:tcPr>
          <w:p w14:paraId="41A57E3B" w14:textId="77777777" w:rsidR="003F5418" w:rsidRDefault="002A6C25">
            <w:pPr>
              <w:pStyle w:val="P68B1DB1-Normal9"/>
              <w:jc w:val="center"/>
              <w:rPr>
                <w:noProof/>
              </w:rPr>
            </w:pPr>
            <w:r>
              <w:rPr>
                <w:noProof/>
              </w:rPr>
              <w:t>Reform: A közbeszerzési jogi keret reformja</w:t>
            </w:r>
          </w:p>
        </w:tc>
        <w:tc>
          <w:tcPr>
            <w:tcW w:w="1425" w:type="dxa"/>
            <w:tcBorders>
              <w:top w:val="nil"/>
              <w:left w:val="nil"/>
              <w:bottom w:val="single" w:sz="4" w:space="0" w:color="auto"/>
              <w:right w:val="single" w:sz="4" w:space="0" w:color="auto"/>
            </w:tcBorders>
            <w:shd w:val="clear" w:color="auto" w:fill="C6EFCE"/>
            <w:noWrap/>
            <w:vAlign w:val="center"/>
          </w:tcPr>
          <w:p w14:paraId="04E88271"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66E0D6D4" w14:textId="77777777" w:rsidR="003F5418" w:rsidRDefault="002A6C25">
            <w:pPr>
              <w:pStyle w:val="P68B1DB1-Normal9"/>
              <w:rPr>
                <w:noProof/>
              </w:rPr>
            </w:pPr>
            <w:r>
              <w:rPr>
                <w:noProof/>
              </w:rPr>
              <w:t>A közbeszerzők professzionalizálási stratégiája keretében kiképzett köztisztviselők</w:t>
            </w:r>
          </w:p>
        </w:tc>
      </w:tr>
      <w:tr w:rsidR="003F5418" w14:paraId="06F035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02EE2F" w14:textId="77777777" w:rsidR="003F5418" w:rsidRDefault="002A6C25">
            <w:pPr>
              <w:pStyle w:val="P68B1DB1-Normal9"/>
              <w:jc w:val="center"/>
              <w:rPr>
                <w:noProof/>
              </w:rPr>
            </w:pPr>
            <w:r>
              <w:rPr>
                <w:noProof/>
              </w:rPr>
              <w:t>M1C1–99a</w:t>
            </w:r>
          </w:p>
        </w:tc>
        <w:tc>
          <w:tcPr>
            <w:tcW w:w="3150" w:type="dxa"/>
            <w:tcBorders>
              <w:top w:val="nil"/>
              <w:left w:val="nil"/>
              <w:bottom w:val="single" w:sz="4" w:space="0" w:color="auto"/>
              <w:right w:val="single" w:sz="4" w:space="0" w:color="auto"/>
            </w:tcBorders>
            <w:shd w:val="clear" w:color="auto" w:fill="C6EFCE"/>
            <w:noWrap/>
            <w:vAlign w:val="center"/>
          </w:tcPr>
          <w:p w14:paraId="217832D4" w14:textId="77777777" w:rsidR="003F5418" w:rsidRDefault="002A6C25">
            <w:pPr>
              <w:pStyle w:val="P68B1DB1-Normal9"/>
              <w:rPr>
                <w:noProof/>
              </w:rPr>
            </w:pPr>
            <w:r>
              <w:rPr>
                <w:noProof/>
              </w:rPr>
              <w:t xml:space="preserve">Reform: A közbeszerzési jogi keret reformja, 1.10. beruházás: A képesítéshez és az </w:t>
            </w:r>
            <w:r>
              <w:rPr>
                <w:noProof/>
              </w:rPr>
              <w:t>e-közbeszerzéshez nyújtott támogatás</w:t>
            </w:r>
          </w:p>
        </w:tc>
        <w:tc>
          <w:tcPr>
            <w:tcW w:w="1425" w:type="dxa"/>
            <w:tcBorders>
              <w:top w:val="nil"/>
              <w:left w:val="nil"/>
              <w:bottom w:val="single" w:sz="4" w:space="0" w:color="auto"/>
              <w:right w:val="single" w:sz="4" w:space="0" w:color="auto"/>
            </w:tcBorders>
            <w:shd w:val="clear" w:color="auto" w:fill="C6EFCE"/>
            <w:noWrap/>
            <w:vAlign w:val="center"/>
          </w:tcPr>
          <w:p w14:paraId="1B42B9D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69E16518" w14:textId="77777777" w:rsidR="003F5418" w:rsidRDefault="002A6C25">
            <w:pPr>
              <w:pStyle w:val="P68B1DB1-Normal9"/>
              <w:rPr>
                <w:noProof/>
              </w:rPr>
            </w:pPr>
            <w:r>
              <w:rPr>
                <w:noProof/>
              </w:rPr>
              <w:t xml:space="preserve">Az ajánlatkérő szervek digitális kompetenciái </w:t>
            </w:r>
          </w:p>
        </w:tc>
      </w:tr>
      <w:tr w:rsidR="003F5418" w14:paraId="0EA723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489753" w14:textId="77777777" w:rsidR="003F5418" w:rsidRDefault="002A6C25">
            <w:pPr>
              <w:pStyle w:val="P68B1DB1-Normal9"/>
              <w:jc w:val="center"/>
              <w:rPr>
                <w:noProof/>
              </w:rPr>
            </w:pPr>
            <w:r>
              <w:rPr>
                <w:noProof/>
              </w:rPr>
              <w:t>M1C1–116</w:t>
            </w:r>
          </w:p>
        </w:tc>
        <w:tc>
          <w:tcPr>
            <w:tcW w:w="3150" w:type="dxa"/>
            <w:tcBorders>
              <w:top w:val="nil"/>
              <w:left w:val="nil"/>
              <w:bottom w:val="single" w:sz="4" w:space="0" w:color="auto"/>
              <w:right w:val="single" w:sz="4" w:space="0" w:color="auto"/>
            </w:tcBorders>
            <w:shd w:val="clear" w:color="auto" w:fill="C6EFCE"/>
            <w:noWrap/>
            <w:vAlign w:val="center"/>
          </w:tcPr>
          <w:p w14:paraId="23E224B2" w14:textId="77777777" w:rsidR="003F5418" w:rsidRDefault="002A6C25">
            <w:pPr>
              <w:pStyle w:val="P68B1DB1-Normal9"/>
              <w:rPr>
                <w:noProof/>
              </w:rPr>
            </w:pPr>
            <w:r>
              <w:rPr>
                <w:noProof/>
              </w:rPr>
              <w:t>Reform: Az adóhatóság reformja</w:t>
            </w:r>
          </w:p>
        </w:tc>
        <w:tc>
          <w:tcPr>
            <w:tcW w:w="1425" w:type="dxa"/>
            <w:tcBorders>
              <w:top w:val="nil"/>
              <w:left w:val="nil"/>
              <w:bottom w:val="single" w:sz="4" w:space="0" w:color="auto"/>
              <w:right w:val="single" w:sz="4" w:space="0" w:color="auto"/>
            </w:tcBorders>
            <w:shd w:val="clear" w:color="auto" w:fill="C6EFCE"/>
            <w:noWrap/>
            <w:vAlign w:val="center"/>
          </w:tcPr>
          <w:p w14:paraId="35A67677"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4E1B76BE" w14:textId="77777777" w:rsidR="003F5418" w:rsidRDefault="002A6C25">
            <w:pPr>
              <w:pStyle w:val="P68B1DB1-Normal9"/>
              <w:rPr>
                <w:noProof/>
              </w:rPr>
            </w:pPr>
            <w:r>
              <w:rPr>
                <w:noProof/>
              </w:rPr>
              <w:t>Az adókijátszás csökkentése az „elkerülésre való törekvés” mutató meghatározása szerint</w:t>
            </w:r>
          </w:p>
        </w:tc>
      </w:tr>
      <w:tr w:rsidR="003F5418" w14:paraId="0B54C0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135697" w14:textId="77777777" w:rsidR="003F5418" w:rsidRDefault="002A6C25">
            <w:pPr>
              <w:pStyle w:val="P68B1DB1-Normal9"/>
              <w:jc w:val="center"/>
              <w:rPr>
                <w:noProof/>
              </w:rPr>
            </w:pPr>
            <w:r>
              <w:rPr>
                <w:noProof/>
              </w:rPr>
              <w:t>M1C2–5</w:t>
            </w:r>
          </w:p>
        </w:tc>
        <w:tc>
          <w:tcPr>
            <w:tcW w:w="3150" w:type="dxa"/>
            <w:tcBorders>
              <w:top w:val="nil"/>
              <w:left w:val="nil"/>
              <w:bottom w:val="single" w:sz="4" w:space="0" w:color="auto"/>
              <w:right w:val="single" w:sz="4" w:space="0" w:color="auto"/>
            </w:tcBorders>
            <w:shd w:val="clear" w:color="auto" w:fill="C6EFCE"/>
            <w:noWrap/>
            <w:vAlign w:val="center"/>
          </w:tcPr>
          <w:p w14:paraId="29EDB087" w14:textId="77777777" w:rsidR="003F5418" w:rsidRDefault="002A6C25">
            <w:pPr>
              <w:pStyle w:val="P68B1DB1-Normal9"/>
              <w:rPr>
                <w:noProof/>
              </w:rPr>
            </w:pPr>
            <w:r>
              <w:rPr>
                <w:noProof/>
              </w:rPr>
              <w:t xml:space="preserve">Beruházás: Beruházás az </w:t>
            </w:r>
            <w:r>
              <w:rPr>
                <w:noProof/>
              </w:rPr>
              <w:t>ipari tulajdoni rendszerbe</w:t>
            </w:r>
          </w:p>
        </w:tc>
        <w:tc>
          <w:tcPr>
            <w:tcW w:w="1425" w:type="dxa"/>
            <w:tcBorders>
              <w:top w:val="nil"/>
              <w:left w:val="nil"/>
              <w:bottom w:val="single" w:sz="4" w:space="0" w:color="auto"/>
              <w:right w:val="single" w:sz="4" w:space="0" w:color="auto"/>
            </w:tcBorders>
            <w:shd w:val="clear" w:color="auto" w:fill="C6EFCE"/>
            <w:noWrap/>
            <w:vAlign w:val="center"/>
          </w:tcPr>
          <w:p w14:paraId="1E9A046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5A8E48D" w14:textId="77777777" w:rsidR="003F5418" w:rsidRDefault="002A6C25">
            <w:pPr>
              <w:pStyle w:val="P68B1DB1-Normal9"/>
              <w:rPr>
                <w:noProof/>
              </w:rPr>
            </w:pPr>
            <w:r>
              <w:rPr>
                <w:noProof/>
              </w:rPr>
              <w:t>Ipari tulajdonnal kapcsolatos finanszírozási lehetőségek által támogatott projektek</w:t>
            </w:r>
          </w:p>
        </w:tc>
      </w:tr>
      <w:tr w:rsidR="003F5418" w14:paraId="44B644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D7C02CC" w14:textId="77777777" w:rsidR="003F5418" w:rsidRDefault="002A6C25">
            <w:pPr>
              <w:pStyle w:val="P68B1DB1-Normal9"/>
              <w:jc w:val="center"/>
              <w:rPr>
                <w:noProof/>
              </w:rPr>
            </w:pPr>
            <w:r>
              <w:rPr>
                <w:noProof/>
              </w:rPr>
              <w:t>M1C2–13</w:t>
            </w:r>
          </w:p>
        </w:tc>
        <w:tc>
          <w:tcPr>
            <w:tcW w:w="3150" w:type="dxa"/>
            <w:tcBorders>
              <w:top w:val="nil"/>
              <w:left w:val="nil"/>
              <w:bottom w:val="single" w:sz="4" w:space="0" w:color="auto"/>
              <w:right w:val="single" w:sz="4" w:space="0" w:color="auto"/>
            </w:tcBorders>
            <w:shd w:val="clear" w:color="auto" w:fill="C6EFCE"/>
            <w:noWrap/>
            <w:vAlign w:val="center"/>
          </w:tcPr>
          <w:p w14:paraId="29842CFE" w14:textId="77777777" w:rsidR="003F5418" w:rsidRDefault="002A6C25">
            <w:pPr>
              <w:pStyle w:val="P68B1DB1-Normal9"/>
              <w:rPr>
                <w:noProof/>
              </w:rPr>
            </w:pPr>
            <w:r>
              <w:rPr>
                <w:noProof/>
              </w:rPr>
              <w:t>Reform: Éves versenyjogi jogszabályok</w:t>
            </w:r>
          </w:p>
        </w:tc>
        <w:tc>
          <w:tcPr>
            <w:tcW w:w="1425" w:type="dxa"/>
            <w:tcBorders>
              <w:top w:val="nil"/>
              <w:left w:val="nil"/>
              <w:bottom w:val="single" w:sz="4" w:space="0" w:color="auto"/>
              <w:right w:val="single" w:sz="4" w:space="0" w:color="auto"/>
            </w:tcBorders>
            <w:shd w:val="clear" w:color="auto" w:fill="C6EFCE"/>
            <w:noWrap/>
            <w:vAlign w:val="center"/>
          </w:tcPr>
          <w:p w14:paraId="4EBEE0CB"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0BC2A165" w14:textId="77777777" w:rsidR="003F5418" w:rsidRDefault="002A6C25">
            <w:pPr>
              <w:pStyle w:val="P68B1DB1-Normal9"/>
              <w:rPr>
                <w:noProof/>
              </w:rPr>
            </w:pPr>
            <w:r>
              <w:rPr>
                <w:noProof/>
              </w:rPr>
              <w:t>A 2024. évi éves versenyjogi törvény hatálybalépése</w:t>
            </w:r>
          </w:p>
        </w:tc>
      </w:tr>
      <w:tr w:rsidR="003F5418" w14:paraId="1AC5EB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6B23C6" w14:textId="77777777" w:rsidR="003F5418" w:rsidRDefault="002A6C25">
            <w:pPr>
              <w:pStyle w:val="P68B1DB1-Normal9"/>
              <w:jc w:val="center"/>
              <w:rPr>
                <w:noProof/>
              </w:rPr>
            </w:pPr>
            <w:r>
              <w:rPr>
                <w:noProof/>
              </w:rPr>
              <w:t>M1C2–14</w:t>
            </w:r>
          </w:p>
        </w:tc>
        <w:tc>
          <w:tcPr>
            <w:tcW w:w="3150" w:type="dxa"/>
            <w:tcBorders>
              <w:top w:val="nil"/>
              <w:left w:val="nil"/>
              <w:bottom w:val="single" w:sz="4" w:space="0" w:color="auto"/>
              <w:right w:val="single" w:sz="4" w:space="0" w:color="auto"/>
            </w:tcBorders>
            <w:shd w:val="clear" w:color="auto" w:fill="C6EFCE"/>
            <w:noWrap/>
            <w:vAlign w:val="center"/>
          </w:tcPr>
          <w:p w14:paraId="6C481C2C" w14:textId="77777777" w:rsidR="003F5418" w:rsidRDefault="002A6C25">
            <w:pPr>
              <w:pStyle w:val="P68B1DB1-Normal9"/>
              <w:rPr>
                <w:noProof/>
              </w:rPr>
            </w:pPr>
            <w:r>
              <w:rPr>
                <w:noProof/>
              </w:rPr>
              <w:t xml:space="preserve">Reform: Éves </w:t>
            </w:r>
            <w:r>
              <w:rPr>
                <w:noProof/>
              </w:rPr>
              <w:t>versenyjogi jogszabályok</w:t>
            </w:r>
          </w:p>
        </w:tc>
        <w:tc>
          <w:tcPr>
            <w:tcW w:w="1425" w:type="dxa"/>
            <w:tcBorders>
              <w:top w:val="nil"/>
              <w:left w:val="nil"/>
              <w:bottom w:val="single" w:sz="4" w:space="0" w:color="auto"/>
              <w:right w:val="single" w:sz="4" w:space="0" w:color="auto"/>
            </w:tcBorders>
            <w:shd w:val="clear" w:color="auto" w:fill="C6EFCE"/>
            <w:noWrap/>
            <w:vAlign w:val="center"/>
          </w:tcPr>
          <w:p w14:paraId="256DBB7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7DBEC62F" w14:textId="77777777" w:rsidR="003F5418" w:rsidRDefault="002A6C25">
            <w:pPr>
              <w:pStyle w:val="P68B1DB1-Normal9"/>
              <w:rPr>
                <w:noProof/>
              </w:rPr>
            </w:pPr>
            <w:r>
              <w:rPr>
                <w:noProof/>
              </w:rPr>
              <w:t>2G intelligens fogyasztásmérők millióit telepítették.</w:t>
            </w:r>
          </w:p>
        </w:tc>
      </w:tr>
      <w:tr w:rsidR="003F5418" w14:paraId="18BB090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D9A30F" w14:textId="77777777" w:rsidR="003F5418" w:rsidRDefault="002A6C25">
            <w:pPr>
              <w:pStyle w:val="P68B1DB1-Normal9"/>
              <w:jc w:val="center"/>
              <w:rPr>
                <w:noProof/>
              </w:rPr>
            </w:pPr>
            <w:r>
              <w:rPr>
                <w:noProof/>
              </w:rPr>
              <w:t>M1C3–1</w:t>
            </w:r>
          </w:p>
        </w:tc>
        <w:tc>
          <w:tcPr>
            <w:tcW w:w="3150" w:type="dxa"/>
            <w:tcBorders>
              <w:top w:val="nil"/>
              <w:left w:val="nil"/>
              <w:bottom w:val="single" w:sz="4" w:space="0" w:color="auto"/>
              <w:right w:val="single" w:sz="4" w:space="0" w:color="auto"/>
            </w:tcBorders>
            <w:shd w:val="clear" w:color="auto" w:fill="C6EFCE"/>
            <w:noWrap/>
            <w:vAlign w:val="center"/>
          </w:tcPr>
          <w:p w14:paraId="79514306" w14:textId="77777777" w:rsidR="003F5418" w:rsidRDefault="002A6C25">
            <w:pPr>
              <w:pStyle w:val="P68B1DB1-Normal9"/>
              <w:rPr>
                <w:noProof/>
              </w:rPr>
            </w:pPr>
            <w:r>
              <w:rPr>
                <w:noProof/>
              </w:rPr>
              <w:t>Beruházás: Digitális stratégia és a kulturális örökség platformjai</w:t>
            </w:r>
          </w:p>
        </w:tc>
        <w:tc>
          <w:tcPr>
            <w:tcW w:w="1425" w:type="dxa"/>
            <w:tcBorders>
              <w:top w:val="nil"/>
              <w:left w:val="nil"/>
              <w:bottom w:val="single" w:sz="4" w:space="0" w:color="auto"/>
              <w:right w:val="single" w:sz="4" w:space="0" w:color="auto"/>
            </w:tcBorders>
            <w:shd w:val="clear" w:color="auto" w:fill="C6EFCE"/>
            <w:noWrap/>
            <w:vAlign w:val="center"/>
          </w:tcPr>
          <w:p w14:paraId="3D852F72"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397A0267" w14:textId="77777777" w:rsidR="003F5418" w:rsidRDefault="002A6C25">
            <w:pPr>
              <w:pStyle w:val="P68B1DB1-Normal9"/>
              <w:rPr>
                <w:noProof/>
              </w:rPr>
            </w:pPr>
            <w:r>
              <w:rPr>
                <w:noProof/>
              </w:rPr>
              <w:t>A kulturális örökséggel kapcsolatos e-tanulási platformon keresztül kiképzett felhasználók</w:t>
            </w:r>
          </w:p>
        </w:tc>
      </w:tr>
      <w:tr w:rsidR="003F5418" w14:paraId="588090E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5622B0" w14:textId="77777777" w:rsidR="003F5418" w:rsidRDefault="002A6C25">
            <w:pPr>
              <w:pStyle w:val="P68B1DB1-Normal9"/>
              <w:jc w:val="center"/>
              <w:rPr>
                <w:noProof/>
              </w:rPr>
            </w:pPr>
            <w:r>
              <w:rPr>
                <w:noProof/>
              </w:rPr>
              <w:t>M1C3–2</w:t>
            </w:r>
          </w:p>
        </w:tc>
        <w:tc>
          <w:tcPr>
            <w:tcW w:w="3150" w:type="dxa"/>
            <w:tcBorders>
              <w:top w:val="nil"/>
              <w:left w:val="nil"/>
              <w:bottom w:val="single" w:sz="4" w:space="0" w:color="auto"/>
              <w:right w:val="single" w:sz="4" w:space="0" w:color="auto"/>
            </w:tcBorders>
            <w:shd w:val="clear" w:color="auto" w:fill="C6EFCE"/>
            <w:noWrap/>
            <w:vAlign w:val="center"/>
          </w:tcPr>
          <w:p w14:paraId="357DAF47" w14:textId="77777777" w:rsidR="003F5418" w:rsidRDefault="002A6C25">
            <w:pPr>
              <w:pStyle w:val="P68B1DB1-Normal9"/>
              <w:rPr>
                <w:noProof/>
              </w:rPr>
            </w:pPr>
            <w:r>
              <w:rPr>
                <w:noProof/>
              </w:rPr>
              <w:t>Beruházás – A kulturális örökség digitális stratégiája és platformjai</w:t>
            </w:r>
          </w:p>
        </w:tc>
        <w:tc>
          <w:tcPr>
            <w:tcW w:w="1425" w:type="dxa"/>
            <w:tcBorders>
              <w:top w:val="nil"/>
              <w:left w:val="nil"/>
              <w:bottom w:val="single" w:sz="4" w:space="0" w:color="auto"/>
              <w:right w:val="single" w:sz="4" w:space="0" w:color="auto"/>
            </w:tcBorders>
            <w:shd w:val="clear" w:color="auto" w:fill="C6EFCE"/>
            <w:noWrap/>
            <w:vAlign w:val="center"/>
          </w:tcPr>
          <w:p w14:paraId="31B9FB81"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46F24CFE" w14:textId="77777777" w:rsidR="003F5418" w:rsidRDefault="002A6C25">
            <w:pPr>
              <w:pStyle w:val="P68B1DB1-Normal9"/>
              <w:rPr>
                <w:noProof/>
              </w:rPr>
            </w:pPr>
            <w:r>
              <w:rPr>
                <w:noProof/>
              </w:rPr>
              <w:t xml:space="preserve">A Digitális Könyvtárban előállított és közzétett digitális erőforrások </w:t>
            </w:r>
          </w:p>
        </w:tc>
      </w:tr>
      <w:tr w:rsidR="003F5418" w14:paraId="6D110C6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3C595" w14:textId="77777777" w:rsidR="003F5418" w:rsidRDefault="002A6C25">
            <w:pPr>
              <w:pStyle w:val="P68B1DB1-Normal9"/>
              <w:jc w:val="center"/>
              <w:rPr>
                <w:noProof/>
              </w:rPr>
            </w:pPr>
            <w:r>
              <w:rPr>
                <w:noProof/>
              </w:rPr>
              <w:t>M1C3–5</w:t>
            </w:r>
          </w:p>
        </w:tc>
        <w:tc>
          <w:tcPr>
            <w:tcW w:w="3150" w:type="dxa"/>
            <w:tcBorders>
              <w:top w:val="nil"/>
              <w:left w:val="nil"/>
              <w:bottom w:val="single" w:sz="4" w:space="0" w:color="auto"/>
              <w:right w:val="single" w:sz="4" w:space="0" w:color="auto"/>
            </w:tcBorders>
            <w:shd w:val="clear" w:color="auto" w:fill="C6EFCE"/>
            <w:noWrap/>
            <w:vAlign w:val="center"/>
          </w:tcPr>
          <w:p w14:paraId="5DFFD2E6" w14:textId="77777777" w:rsidR="003F5418" w:rsidRDefault="002A6C25">
            <w:pPr>
              <w:pStyle w:val="P68B1DB1-Normal9"/>
              <w:rPr>
                <w:noProof/>
              </w:rPr>
            </w:pPr>
            <w:r>
              <w:rPr>
                <w:noProof/>
              </w:rPr>
              <w:t>Beruházás – A mozi, színházak és múzeumok energiahatékonyságának javítása</w:t>
            </w:r>
          </w:p>
        </w:tc>
        <w:tc>
          <w:tcPr>
            <w:tcW w:w="1425" w:type="dxa"/>
            <w:tcBorders>
              <w:top w:val="nil"/>
              <w:left w:val="nil"/>
              <w:bottom w:val="single" w:sz="4" w:space="0" w:color="auto"/>
              <w:right w:val="single" w:sz="4" w:space="0" w:color="auto"/>
            </w:tcBorders>
            <w:shd w:val="clear" w:color="auto" w:fill="C6EFCE"/>
            <w:noWrap/>
            <w:vAlign w:val="center"/>
          </w:tcPr>
          <w:p w14:paraId="3A4A9F5E"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5BD09C82" w14:textId="77777777" w:rsidR="003F5418" w:rsidRDefault="002A6C25">
            <w:pPr>
              <w:pStyle w:val="P68B1DB1-Normal9"/>
              <w:rPr>
                <w:noProof/>
              </w:rPr>
            </w:pPr>
            <w:r>
              <w:rPr>
                <w:noProof/>
              </w:rPr>
              <w:t>Állami múzeumokba</w:t>
            </w:r>
            <w:r>
              <w:rPr>
                <w:noProof/>
              </w:rPr>
              <w:t>n és kulturális helyszíneken, színházi csarnokokon és mozikban végrehajtott beavatkozások lezárultak (második tétel)</w:t>
            </w:r>
          </w:p>
        </w:tc>
      </w:tr>
      <w:tr w:rsidR="003F5418" w14:paraId="150E34D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14C752" w14:textId="77777777" w:rsidR="003F5418" w:rsidRDefault="002A6C25">
            <w:pPr>
              <w:pStyle w:val="P68B1DB1-Normal9"/>
              <w:jc w:val="center"/>
              <w:rPr>
                <w:noProof/>
              </w:rPr>
            </w:pPr>
            <w:r>
              <w:rPr>
                <w:noProof/>
              </w:rPr>
              <w:t>M2C2–29</w:t>
            </w:r>
          </w:p>
        </w:tc>
        <w:tc>
          <w:tcPr>
            <w:tcW w:w="3150" w:type="dxa"/>
            <w:tcBorders>
              <w:top w:val="nil"/>
              <w:left w:val="nil"/>
              <w:bottom w:val="single" w:sz="4" w:space="0" w:color="auto"/>
              <w:right w:val="single" w:sz="4" w:space="0" w:color="auto"/>
            </w:tcBorders>
            <w:shd w:val="clear" w:color="auto" w:fill="C6EFCE"/>
            <w:noWrap/>
            <w:vAlign w:val="center"/>
          </w:tcPr>
          <w:p w14:paraId="322F65CA" w14:textId="77777777" w:rsidR="003F5418" w:rsidRDefault="002A6C25">
            <w:pPr>
              <w:pStyle w:val="P68B1DB1-Normal9"/>
              <w:rPr>
                <w:noProof/>
              </w:rPr>
            </w:pPr>
            <w:r>
              <w:rPr>
                <w:noProof/>
              </w:rPr>
              <w:t>Beruházás: Töltő infrastruktúra létesítése</w:t>
            </w:r>
          </w:p>
        </w:tc>
        <w:tc>
          <w:tcPr>
            <w:tcW w:w="1425" w:type="dxa"/>
            <w:tcBorders>
              <w:top w:val="nil"/>
              <w:left w:val="nil"/>
              <w:bottom w:val="single" w:sz="4" w:space="0" w:color="auto"/>
              <w:right w:val="single" w:sz="4" w:space="0" w:color="auto"/>
            </w:tcBorders>
            <w:shd w:val="clear" w:color="auto" w:fill="C6EFCE"/>
            <w:noWrap/>
            <w:vAlign w:val="center"/>
          </w:tcPr>
          <w:p w14:paraId="5F60B76B"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C697730" w14:textId="77777777" w:rsidR="003F5418" w:rsidRDefault="002A6C25">
            <w:pPr>
              <w:pStyle w:val="P68B1DB1-Normal9"/>
              <w:rPr>
                <w:noProof/>
              </w:rPr>
            </w:pPr>
            <w:r>
              <w:rPr>
                <w:noProof/>
              </w:rPr>
              <w:t>Gyorstöltő állomások száma a szabadutakon</w:t>
            </w:r>
          </w:p>
        </w:tc>
      </w:tr>
      <w:tr w:rsidR="003F5418" w14:paraId="3D5E438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0D2199" w14:textId="77777777" w:rsidR="003F5418" w:rsidRDefault="002A6C25">
            <w:pPr>
              <w:pStyle w:val="P68B1DB1-Normal9"/>
              <w:jc w:val="center"/>
              <w:rPr>
                <w:noProof/>
              </w:rPr>
            </w:pPr>
            <w:r>
              <w:rPr>
                <w:noProof/>
              </w:rPr>
              <w:t>M2C2–29a</w:t>
            </w:r>
          </w:p>
        </w:tc>
        <w:tc>
          <w:tcPr>
            <w:tcW w:w="3150" w:type="dxa"/>
            <w:tcBorders>
              <w:top w:val="nil"/>
              <w:left w:val="nil"/>
              <w:bottom w:val="single" w:sz="4" w:space="0" w:color="auto"/>
              <w:right w:val="single" w:sz="4" w:space="0" w:color="auto"/>
            </w:tcBorders>
            <w:shd w:val="clear" w:color="auto" w:fill="C6EFCE"/>
            <w:noWrap/>
            <w:vAlign w:val="center"/>
          </w:tcPr>
          <w:p w14:paraId="5BCEC518" w14:textId="77777777" w:rsidR="003F5418" w:rsidRDefault="002A6C25">
            <w:pPr>
              <w:pStyle w:val="P68B1DB1-Normal9"/>
              <w:rPr>
                <w:noProof/>
              </w:rPr>
            </w:pPr>
            <w:r>
              <w:rPr>
                <w:noProof/>
              </w:rPr>
              <w:t>Beruházás: Töltő infrastruktúra</w:t>
            </w:r>
            <w:r>
              <w:rPr>
                <w:noProof/>
              </w:rPr>
              <w:t xml:space="preserve"> létesítése</w:t>
            </w:r>
          </w:p>
        </w:tc>
        <w:tc>
          <w:tcPr>
            <w:tcW w:w="1425" w:type="dxa"/>
            <w:tcBorders>
              <w:top w:val="nil"/>
              <w:left w:val="nil"/>
              <w:bottom w:val="single" w:sz="4" w:space="0" w:color="auto"/>
              <w:right w:val="single" w:sz="4" w:space="0" w:color="auto"/>
            </w:tcBorders>
            <w:shd w:val="clear" w:color="auto" w:fill="C6EFCE"/>
            <w:noWrap/>
            <w:vAlign w:val="center"/>
          </w:tcPr>
          <w:p w14:paraId="266C13B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B3E3AB0" w14:textId="77777777" w:rsidR="003F5418" w:rsidRDefault="002A6C25">
            <w:pPr>
              <w:pStyle w:val="P68B1DB1-Normal9"/>
              <w:rPr>
                <w:noProof/>
              </w:rPr>
            </w:pPr>
            <w:r>
              <w:rPr>
                <w:noProof/>
              </w:rPr>
              <w:t>Gyorstöltő állomások száma városi területeken</w:t>
            </w:r>
          </w:p>
        </w:tc>
      </w:tr>
      <w:tr w:rsidR="003F5418" w14:paraId="599F80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51B130" w14:textId="77777777" w:rsidR="003F5418" w:rsidRDefault="002A6C25">
            <w:pPr>
              <w:pStyle w:val="P68B1DB1-Normal9"/>
              <w:jc w:val="center"/>
              <w:rPr>
                <w:noProof/>
              </w:rPr>
            </w:pPr>
            <w:r>
              <w:rPr>
                <w:noProof/>
              </w:rPr>
              <w:t>M2C2–30</w:t>
            </w:r>
          </w:p>
        </w:tc>
        <w:tc>
          <w:tcPr>
            <w:tcW w:w="3150" w:type="dxa"/>
            <w:tcBorders>
              <w:top w:val="nil"/>
              <w:left w:val="nil"/>
              <w:bottom w:val="single" w:sz="4" w:space="0" w:color="auto"/>
              <w:right w:val="single" w:sz="4" w:space="0" w:color="auto"/>
            </w:tcBorders>
            <w:shd w:val="clear" w:color="auto" w:fill="C6EFCE"/>
            <w:noWrap/>
            <w:vAlign w:val="center"/>
          </w:tcPr>
          <w:p w14:paraId="2D077726" w14:textId="77777777" w:rsidR="003F5418" w:rsidRDefault="002A6C25">
            <w:pPr>
              <w:pStyle w:val="P68B1DB1-Normal9"/>
              <w:rPr>
                <w:noProof/>
              </w:rPr>
            </w:pPr>
            <w:r>
              <w:rPr>
                <w:noProof/>
              </w:rPr>
              <w:t>Beruházás: Töltőinfrastruktúra kiépítése</w:t>
            </w:r>
          </w:p>
        </w:tc>
        <w:tc>
          <w:tcPr>
            <w:tcW w:w="1425" w:type="dxa"/>
            <w:tcBorders>
              <w:top w:val="nil"/>
              <w:left w:val="nil"/>
              <w:bottom w:val="single" w:sz="4" w:space="0" w:color="auto"/>
              <w:right w:val="single" w:sz="4" w:space="0" w:color="auto"/>
            </w:tcBorders>
            <w:shd w:val="clear" w:color="auto" w:fill="C6EFCE"/>
            <w:noWrap/>
            <w:vAlign w:val="center"/>
          </w:tcPr>
          <w:p w14:paraId="1272B830"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5610B292" w14:textId="77777777" w:rsidR="003F5418" w:rsidRDefault="002A6C25">
            <w:pPr>
              <w:pStyle w:val="P68B1DB1-Normal9"/>
              <w:rPr>
                <w:noProof/>
              </w:rPr>
            </w:pPr>
            <w:r>
              <w:rPr>
                <w:noProof/>
              </w:rPr>
              <w:t>Gyorstöltő állomások száma a szabadutakon</w:t>
            </w:r>
          </w:p>
        </w:tc>
      </w:tr>
      <w:tr w:rsidR="003F5418" w14:paraId="7158E5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128DB0" w14:textId="77777777" w:rsidR="003F5418" w:rsidRDefault="002A6C25">
            <w:pPr>
              <w:pStyle w:val="P68B1DB1-Normal9"/>
              <w:jc w:val="center"/>
              <w:rPr>
                <w:noProof/>
              </w:rPr>
            </w:pPr>
            <w:r>
              <w:rPr>
                <w:noProof/>
              </w:rPr>
              <w:t>M2C2–30a</w:t>
            </w:r>
          </w:p>
        </w:tc>
        <w:tc>
          <w:tcPr>
            <w:tcW w:w="3150" w:type="dxa"/>
            <w:tcBorders>
              <w:top w:val="nil"/>
              <w:left w:val="nil"/>
              <w:bottom w:val="single" w:sz="4" w:space="0" w:color="auto"/>
              <w:right w:val="single" w:sz="4" w:space="0" w:color="auto"/>
            </w:tcBorders>
            <w:shd w:val="clear" w:color="auto" w:fill="C6EFCE"/>
            <w:noWrap/>
            <w:vAlign w:val="center"/>
          </w:tcPr>
          <w:p w14:paraId="7DD2802F" w14:textId="77777777" w:rsidR="003F5418" w:rsidRDefault="002A6C25">
            <w:pPr>
              <w:pStyle w:val="P68B1DB1-Normal9"/>
              <w:rPr>
                <w:noProof/>
              </w:rPr>
            </w:pPr>
            <w:r>
              <w:rPr>
                <w:noProof/>
              </w:rPr>
              <w:t>Beruházás: Töltőinfrastruktúra kiépítése</w:t>
            </w:r>
          </w:p>
        </w:tc>
        <w:tc>
          <w:tcPr>
            <w:tcW w:w="1425" w:type="dxa"/>
            <w:tcBorders>
              <w:top w:val="nil"/>
              <w:left w:val="nil"/>
              <w:bottom w:val="single" w:sz="4" w:space="0" w:color="auto"/>
              <w:right w:val="single" w:sz="4" w:space="0" w:color="auto"/>
            </w:tcBorders>
            <w:shd w:val="clear" w:color="auto" w:fill="C6EFCE"/>
            <w:noWrap/>
            <w:vAlign w:val="center"/>
          </w:tcPr>
          <w:p w14:paraId="0F8C96D2"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F82A0A0" w14:textId="77777777" w:rsidR="003F5418" w:rsidRDefault="002A6C25">
            <w:pPr>
              <w:pStyle w:val="P68B1DB1-Normal9"/>
              <w:rPr>
                <w:noProof/>
              </w:rPr>
            </w:pPr>
            <w:r>
              <w:rPr>
                <w:noProof/>
              </w:rPr>
              <w:t xml:space="preserve">Gyorstöltő állomások száma városi </w:t>
            </w:r>
            <w:r>
              <w:rPr>
                <w:noProof/>
              </w:rPr>
              <w:t>területeken</w:t>
            </w:r>
          </w:p>
        </w:tc>
      </w:tr>
      <w:tr w:rsidR="003F5418" w14:paraId="160803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6F151A" w14:textId="77777777" w:rsidR="003F5418" w:rsidRDefault="002A6C25">
            <w:pPr>
              <w:pStyle w:val="P68B1DB1-Normal9"/>
              <w:jc w:val="center"/>
              <w:rPr>
                <w:noProof/>
              </w:rPr>
            </w:pPr>
            <w:r>
              <w:rPr>
                <w:noProof/>
              </w:rPr>
              <w:t>M2C2–30ter</w:t>
            </w:r>
          </w:p>
        </w:tc>
        <w:tc>
          <w:tcPr>
            <w:tcW w:w="3150" w:type="dxa"/>
            <w:tcBorders>
              <w:top w:val="nil"/>
              <w:left w:val="nil"/>
              <w:bottom w:val="single" w:sz="4" w:space="0" w:color="auto"/>
              <w:right w:val="single" w:sz="4" w:space="0" w:color="auto"/>
            </w:tcBorders>
            <w:shd w:val="clear" w:color="auto" w:fill="C6EFCE"/>
            <w:noWrap/>
            <w:vAlign w:val="center"/>
          </w:tcPr>
          <w:p w14:paraId="128973C5" w14:textId="77777777" w:rsidR="003F5418" w:rsidRDefault="002A6C25">
            <w:pPr>
              <w:pStyle w:val="P68B1DB1-Normal9"/>
              <w:rPr>
                <w:noProof/>
              </w:rPr>
            </w:pPr>
            <w:r>
              <w:rPr>
                <w:noProof/>
              </w:rPr>
              <w:t>Beruházás: Töltőinfrastruktúra kiépítése</w:t>
            </w:r>
          </w:p>
        </w:tc>
        <w:tc>
          <w:tcPr>
            <w:tcW w:w="1425" w:type="dxa"/>
            <w:tcBorders>
              <w:top w:val="nil"/>
              <w:left w:val="nil"/>
              <w:bottom w:val="single" w:sz="4" w:space="0" w:color="auto"/>
              <w:right w:val="single" w:sz="4" w:space="0" w:color="auto"/>
            </w:tcBorders>
            <w:shd w:val="clear" w:color="auto" w:fill="C6EFCE"/>
            <w:noWrap/>
            <w:vAlign w:val="center"/>
          </w:tcPr>
          <w:p w14:paraId="3E2B00A4"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2C476A3" w14:textId="77777777" w:rsidR="003F5418" w:rsidRDefault="002A6C25">
            <w:pPr>
              <w:pStyle w:val="P68B1DB1-Normal9"/>
              <w:rPr>
                <w:noProof/>
              </w:rPr>
            </w:pPr>
            <w:r>
              <w:rPr>
                <w:noProof/>
              </w:rPr>
              <w:t>Gyorstöltő állomások száma</w:t>
            </w:r>
          </w:p>
        </w:tc>
      </w:tr>
      <w:tr w:rsidR="003F5418" w14:paraId="597DBA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805570" w14:textId="77777777" w:rsidR="003F5418" w:rsidRDefault="002A6C25">
            <w:pPr>
              <w:pStyle w:val="P68B1DB1-Normal9"/>
              <w:jc w:val="center"/>
              <w:rPr>
                <w:noProof/>
              </w:rPr>
            </w:pPr>
            <w:r>
              <w:rPr>
                <w:noProof/>
              </w:rPr>
              <w:t>M2C3–3</w:t>
            </w:r>
          </w:p>
        </w:tc>
        <w:tc>
          <w:tcPr>
            <w:tcW w:w="3150" w:type="dxa"/>
            <w:tcBorders>
              <w:top w:val="nil"/>
              <w:left w:val="nil"/>
              <w:bottom w:val="single" w:sz="4" w:space="0" w:color="auto"/>
              <w:right w:val="single" w:sz="4" w:space="0" w:color="auto"/>
            </w:tcBorders>
            <w:shd w:val="clear" w:color="auto" w:fill="C6EFCE"/>
            <w:noWrap/>
            <w:vAlign w:val="center"/>
          </w:tcPr>
          <w:p w14:paraId="725A7FA1" w14:textId="77777777" w:rsidR="003F5418" w:rsidRDefault="002A6C25">
            <w:pPr>
              <w:pStyle w:val="P68B1DB1-Normal9"/>
              <w:rPr>
                <w:noProof/>
              </w:rPr>
            </w:pPr>
            <w:r>
              <w:rPr>
                <w:noProof/>
              </w:rPr>
              <w:t xml:space="preserve">Beruházás – Az Ecobonus megerősítése az energiahatékonyság érdekében </w:t>
            </w:r>
          </w:p>
        </w:tc>
        <w:tc>
          <w:tcPr>
            <w:tcW w:w="1425" w:type="dxa"/>
            <w:tcBorders>
              <w:top w:val="nil"/>
              <w:left w:val="nil"/>
              <w:bottom w:val="single" w:sz="4" w:space="0" w:color="auto"/>
              <w:right w:val="single" w:sz="4" w:space="0" w:color="auto"/>
            </w:tcBorders>
            <w:shd w:val="clear" w:color="auto" w:fill="C6EFCE"/>
            <w:noWrap/>
            <w:vAlign w:val="center"/>
          </w:tcPr>
          <w:p w14:paraId="14DF2A71"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506BFAB4" w14:textId="77777777" w:rsidR="003F5418" w:rsidRDefault="002A6C25">
            <w:pPr>
              <w:pStyle w:val="P68B1DB1-Normal9"/>
              <w:rPr>
                <w:noProof/>
              </w:rPr>
            </w:pPr>
            <w:r>
              <w:rPr>
                <w:noProof/>
              </w:rPr>
              <w:t>A Superbonus T2 épületfelújítása</w:t>
            </w:r>
          </w:p>
        </w:tc>
      </w:tr>
      <w:tr w:rsidR="003F5418" w14:paraId="4E2B37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661582" w14:textId="77777777" w:rsidR="003F5418" w:rsidRDefault="002A6C25">
            <w:pPr>
              <w:pStyle w:val="P68B1DB1-Normal9"/>
              <w:jc w:val="center"/>
              <w:rPr>
                <w:noProof/>
              </w:rPr>
            </w:pPr>
            <w:r>
              <w:rPr>
                <w:noProof/>
              </w:rPr>
              <w:t>M4C1–13</w:t>
            </w:r>
          </w:p>
        </w:tc>
        <w:tc>
          <w:tcPr>
            <w:tcW w:w="3150" w:type="dxa"/>
            <w:tcBorders>
              <w:top w:val="nil"/>
              <w:left w:val="nil"/>
              <w:bottom w:val="single" w:sz="4" w:space="0" w:color="auto"/>
              <w:right w:val="single" w:sz="4" w:space="0" w:color="auto"/>
            </w:tcBorders>
            <w:shd w:val="clear" w:color="auto" w:fill="C6EFCE"/>
            <w:noWrap/>
            <w:vAlign w:val="center"/>
          </w:tcPr>
          <w:p w14:paraId="3253E642" w14:textId="77777777" w:rsidR="003F5418" w:rsidRDefault="002A6C25">
            <w:pPr>
              <w:pStyle w:val="P68B1DB1-Normal9"/>
              <w:rPr>
                <w:noProof/>
              </w:rPr>
            </w:pPr>
            <w:r>
              <w:rPr>
                <w:noProof/>
              </w:rPr>
              <w:t>Beruházás: Integrált digitális oktatás és képzés az iskolai személyzet digitális átalakulásáról;</w:t>
            </w:r>
          </w:p>
        </w:tc>
        <w:tc>
          <w:tcPr>
            <w:tcW w:w="1425" w:type="dxa"/>
            <w:tcBorders>
              <w:top w:val="nil"/>
              <w:left w:val="nil"/>
              <w:bottom w:val="single" w:sz="4" w:space="0" w:color="auto"/>
              <w:right w:val="single" w:sz="4" w:space="0" w:color="auto"/>
            </w:tcBorders>
            <w:shd w:val="clear" w:color="auto" w:fill="C6EFCE"/>
            <w:noWrap/>
            <w:vAlign w:val="center"/>
          </w:tcPr>
          <w:p w14:paraId="57B53722"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5E11064A" w14:textId="77777777" w:rsidR="003F5418" w:rsidRDefault="002A6C25">
            <w:pPr>
              <w:pStyle w:val="P68B1DB1-Normal9"/>
              <w:rPr>
                <w:noProof/>
              </w:rPr>
            </w:pPr>
            <w:r>
              <w:rPr>
                <w:noProof/>
              </w:rPr>
              <w:t xml:space="preserve">Az iskolavezetők, a tanárok és az adminisztratív személyzet képzése    </w:t>
            </w:r>
          </w:p>
        </w:tc>
      </w:tr>
      <w:tr w:rsidR="003F5418" w14:paraId="6114F6A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F86B7" w14:textId="77777777" w:rsidR="003F5418" w:rsidRDefault="002A6C25">
            <w:pPr>
              <w:pStyle w:val="P68B1DB1-Normal9"/>
              <w:jc w:val="center"/>
              <w:rPr>
                <w:noProof/>
              </w:rPr>
            </w:pPr>
            <w:r>
              <w:rPr>
                <w:noProof/>
              </w:rPr>
              <w:t>M4C1–15a</w:t>
            </w:r>
          </w:p>
        </w:tc>
        <w:tc>
          <w:tcPr>
            <w:tcW w:w="3150" w:type="dxa"/>
            <w:tcBorders>
              <w:top w:val="nil"/>
              <w:left w:val="nil"/>
              <w:bottom w:val="single" w:sz="4" w:space="0" w:color="auto"/>
              <w:right w:val="single" w:sz="4" w:space="0" w:color="auto"/>
            </w:tcBorders>
            <w:shd w:val="clear" w:color="auto" w:fill="C6EFCE"/>
            <w:noWrap/>
            <w:vAlign w:val="center"/>
          </w:tcPr>
          <w:p w14:paraId="0210197D" w14:textId="77777777" w:rsidR="003F5418" w:rsidRDefault="002A6C25">
            <w:pPr>
              <w:pStyle w:val="P68B1DB1-Normal9"/>
              <w:rPr>
                <w:noProof/>
              </w:rPr>
            </w:pPr>
            <w:r>
              <w:rPr>
                <w:noProof/>
              </w:rPr>
              <w:t>Beruházás: Egyetemi ösztöndíjak</w:t>
            </w:r>
          </w:p>
        </w:tc>
        <w:tc>
          <w:tcPr>
            <w:tcW w:w="1425" w:type="dxa"/>
            <w:tcBorders>
              <w:top w:val="nil"/>
              <w:left w:val="nil"/>
              <w:bottom w:val="single" w:sz="4" w:space="0" w:color="auto"/>
              <w:right w:val="single" w:sz="4" w:space="0" w:color="auto"/>
            </w:tcBorders>
            <w:shd w:val="clear" w:color="auto" w:fill="C6EFCE"/>
            <w:noWrap/>
            <w:vAlign w:val="center"/>
          </w:tcPr>
          <w:p w14:paraId="3EAE7F64"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4759F4E6" w14:textId="77777777" w:rsidR="003F5418" w:rsidRDefault="002A6C25">
            <w:pPr>
              <w:pStyle w:val="P68B1DB1-Normal9"/>
              <w:rPr>
                <w:noProof/>
              </w:rPr>
            </w:pPr>
            <w:r>
              <w:rPr>
                <w:noProof/>
              </w:rPr>
              <w:t>Egyetemi felvételi ösztöndíjak</w:t>
            </w:r>
          </w:p>
        </w:tc>
      </w:tr>
      <w:tr w:rsidR="003F5418" w14:paraId="3CF694B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47D329" w14:textId="77777777" w:rsidR="003F5418" w:rsidRDefault="002A6C25">
            <w:pPr>
              <w:pStyle w:val="P68B1DB1-Normal9"/>
              <w:jc w:val="center"/>
              <w:rPr>
                <w:noProof/>
              </w:rPr>
            </w:pPr>
            <w:r>
              <w:rPr>
                <w:noProof/>
              </w:rPr>
              <w:t>M4C1–</w:t>
            </w:r>
            <w:r>
              <w:rPr>
                <w:noProof/>
              </w:rPr>
              <w:t>19</w:t>
            </w:r>
          </w:p>
        </w:tc>
        <w:tc>
          <w:tcPr>
            <w:tcW w:w="3150" w:type="dxa"/>
            <w:tcBorders>
              <w:top w:val="nil"/>
              <w:left w:val="nil"/>
              <w:bottom w:val="single" w:sz="4" w:space="0" w:color="auto"/>
              <w:right w:val="single" w:sz="4" w:space="0" w:color="auto"/>
            </w:tcBorders>
            <w:shd w:val="clear" w:color="auto" w:fill="C6EFCE"/>
            <w:noWrap/>
            <w:vAlign w:val="center"/>
          </w:tcPr>
          <w:p w14:paraId="6A7CD250" w14:textId="77777777" w:rsidR="003F5418" w:rsidRDefault="002A6C25">
            <w:pPr>
              <w:pStyle w:val="P68B1DB1-Normal9"/>
              <w:rPr>
                <w:noProof/>
              </w:rPr>
            </w:pPr>
            <w:r>
              <w:rPr>
                <w:noProof/>
              </w:rPr>
              <w:t>Beruházás: Iskola 4.0: innovatív iskolák, vezetékek, új osztálytermek és műhelyek</w:t>
            </w:r>
          </w:p>
        </w:tc>
        <w:tc>
          <w:tcPr>
            <w:tcW w:w="1425" w:type="dxa"/>
            <w:tcBorders>
              <w:top w:val="nil"/>
              <w:left w:val="nil"/>
              <w:bottom w:val="single" w:sz="4" w:space="0" w:color="auto"/>
              <w:right w:val="single" w:sz="4" w:space="0" w:color="auto"/>
            </w:tcBorders>
            <w:shd w:val="clear" w:color="auto" w:fill="C6EFCE"/>
            <w:noWrap/>
            <w:vAlign w:val="center"/>
          </w:tcPr>
          <w:p w14:paraId="519D422B"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900562C" w14:textId="77777777" w:rsidR="003F5418" w:rsidRDefault="002A6C25">
            <w:pPr>
              <w:pStyle w:val="P68B1DB1-Normal9"/>
              <w:rPr>
                <w:noProof/>
              </w:rPr>
            </w:pPr>
            <w:r>
              <w:rPr>
                <w:noProof/>
              </w:rPr>
              <w:t>Az osztályokat az Iskola 4.0-ának köszönhetően innovatív tanulási környezetté alakítják át.</w:t>
            </w:r>
          </w:p>
        </w:tc>
      </w:tr>
      <w:tr w:rsidR="003F5418" w14:paraId="2AAB13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B37224" w14:textId="77777777" w:rsidR="003F5418" w:rsidRDefault="002A6C25">
            <w:pPr>
              <w:pStyle w:val="P68B1DB1-Normal9"/>
              <w:jc w:val="center"/>
              <w:rPr>
                <w:noProof/>
              </w:rPr>
            </w:pPr>
            <w:r>
              <w:rPr>
                <w:noProof/>
              </w:rPr>
              <w:t>M4C1–20</w:t>
            </w:r>
          </w:p>
        </w:tc>
        <w:tc>
          <w:tcPr>
            <w:tcW w:w="3150" w:type="dxa"/>
            <w:tcBorders>
              <w:top w:val="nil"/>
              <w:left w:val="nil"/>
              <w:bottom w:val="single" w:sz="4" w:space="0" w:color="auto"/>
              <w:right w:val="single" w:sz="4" w:space="0" w:color="auto"/>
            </w:tcBorders>
            <w:shd w:val="clear" w:color="auto" w:fill="C6EFCE"/>
            <w:noWrap/>
            <w:vAlign w:val="center"/>
          </w:tcPr>
          <w:p w14:paraId="312EA41F" w14:textId="77777777" w:rsidR="003F5418" w:rsidRDefault="002A6C25">
            <w:pPr>
              <w:pStyle w:val="P68B1DB1-Normal9"/>
              <w:rPr>
                <w:noProof/>
              </w:rPr>
            </w:pPr>
            <w:r>
              <w:rPr>
                <w:noProof/>
              </w:rPr>
              <w:t>Beruházás: A felsőfokú szakképzési rendszer (ITS) fejlesztése</w:t>
            </w:r>
          </w:p>
        </w:tc>
        <w:tc>
          <w:tcPr>
            <w:tcW w:w="1425" w:type="dxa"/>
            <w:tcBorders>
              <w:top w:val="nil"/>
              <w:left w:val="nil"/>
              <w:bottom w:val="single" w:sz="4" w:space="0" w:color="auto"/>
              <w:right w:val="single" w:sz="4" w:space="0" w:color="auto"/>
            </w:tcBorders>
            <w:shd w:val="clear" w:color="auto" w:fill="C6EFCE"/>
            <w:noWrap/>
            <w:vAlign w:val="center"/>
          </w:tcPr>
          <w:p w14:paraId="655B1951"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72E73361" w14:textId="77777777" w:rsidR="003F5418" w:rsidRDefault="002A6C25">
            <w:pPr>
              <w:pStyle w:val="P68B1DB1-Normal9"/>
              <w:rPr>
                <w:noProof/>
              </w:rPr>
            </w:pPr>
            <w:r>
              <w:rPr>
                <w:noProof/>
              </w:rPr>
              <w:t>A szakképzési rendszerbe (ITS) beiratkozott hallgatók száma</w:t>
            </w:r>
          </w:p>
        </w:tc>
      </w:tr>
      <w:tr w:rsidR="003F5418" w14:paraId="546EB5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CEBF1" w14:textId="77777777" w:rsidR="003F5418" w:rsidRDefault="002A6C25">
            <w:pPr>
              <w:pStyle w:val="P68B1DB1-Normal9"/>
              <w:jc w:val="center"/>
              <w:rPr>
                <w:noProof/>
              </w:rPr>
            </w:pPr>
            <w:r>
              <w:rPr>
                <w:noProof/>
              </w:rPr>
              <w:t>M4C1–20 bis</w:t>
            </w:r>
          </w:p>
        </w:tc>
        <w:tc>
          <w:tcPr>
            <w:tcW w:w="3150" w:type="dxa"/>
            <w:tcBorders>
              <w:top w:val="nil"/>
              <w:left w:val="nil"/>
              <w:bottom w:val="single" w:sz="4" w:space="0" w:color="auto"/>
              <w:right w:val="single" w:sz="4" w:space="0" w:color="auto"/>
            </w:tcBorders>
            <w:shd w:val="clear" w:color="auto" w:fill="C6EFCE"/>
            <w:noWrap/>
            <w:vAlign w:val="center"/>
          </w:tcPr>
          <w:p w14:paraId="0AC4308E" w14:textId="77777777" w:rsidR="003F5418" w:rsidRDefault="002A6C25">
            <w:pPr>
              <w:pStyle w:val="P68B1DB1-Normal9"/>
              <w:rPr>
                <w:noProof/>
              </w:rPr>
            </w:pPr>
            <w:r>
              <w:rPr>
                <w:noProof/>
              </w:rPr>
              <w:t xml:space="preserve">Beruházás: A felsőfokú szakképzési rendszer (ITS) fejlesztése </w:t>
            </w:r>
          </w:p>
        </w:tc>
        <w:tc>
          <w:tcPr>
            <w:tcW w:w="1425" w:type="dxa"/>
            <w:tcBorders>
              <w:top w:val="nil"/>
              <w:left w:val="nil"/>
              <w:bottom w:val="single" w:sz="4" w:space="0" w:color="auto"/>
              <w:right w:val="single" w:sz="4" w:space="0" w:color="auto"/>
            </w:tcBorders>
            <w:shd w:val="clear" w:color="auto" w:fill="C6EFCE"/>
            <w:noWrap/>
            <w:vAlign w:val="center"/>
          </w:tcPr>
          <w:p w14:paraId="23876D50"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1D796043" w14:textId="77777777" w:rsidR="003F5418" w:rsidRDefault="002A6C25">
            <w:pPr>
              <w:pStyle w:val="P68B1DB1-Normal9"/>
              <w:rPr>
                <w:noProof/>
              </w:rPr>
            </w:pPr>
            <w:r>
              <w:rPr>
                <w:noProof/>
              </w:rPr>
              <w:t xml:space="preserve">Az új nemzeti nyomonkövetési rendszer végrehajtása </w:t>
            </w:r>
          </w:p>
        </w:tc>
      </w:tr>
      <w:tr w:rsidR="003F5418" w14:paraId="3D2132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38639A" w14:textId="77777777" w:rsidR="003F5418" w:rsidRDefault="002A6C25">
            <w:pPr>
              <w:pStyle w:val="P68B1DB1-Normal9"/>
              <w:jc w:val="center"/>
              <w:rPr>
                <w:noProof/>
              </w:rPr>
            </w:pPr>
            <w:r>
              <w:rPr>
                <w:noProof/>
              </w:rPr>
              <w:t>M4C2–2bis</w:t>
            </w:r>
          </w:p>
        </w:tc>
        <w:tc>
          <w:tcPr>
            <w:tcW w:w="3150" w:type="dxa"/>
            <w:tcBorders>
              <w:top w:val="nil"/>
              <w:left w:val="nil"/>
              <w:bottom w:val="single" w:sz="4" w:space="0" w:color="auto"/>
              <w:right w:val="single" w:sz="4" w:space="0" w:color="auto"/>
            </w:tcBorders>
            <w:shd w:val="clear" w:color="auto" w:fill="C6EFCE"/>
            <w:noWrap/>
            <w:vAlign w:val="center"/>
          </w:tcPr>
          <w:p w14:paraId="2C51E250" w14:textId="77777777" w:rsidR="003F5418" w:rsidRDefault="002A6C25">
            <w:pPr>
              <w:pStyle w:val="P68B1DB1-Normal9"/>
              <w:rPr>
                <w:noProof/>
              </w:rPr>
            </w:pPr>
            <w:r>
              <w:rPr>
                <w:noProof/>
              </w:rPr>
              <w:t>Beruházás: Innovációs megállapodások</w:t>
            </w:r>
          </w:p>
        </w:tc>
        <w:tc>
          <w:tcPr>
            <w:tcW w:w="1425" w:type="dxa"/>
            <w:tcBorders>
              <w:top w:val="nil"/>
              <w:left w:val="nil"/>
              <w:bottom w:val="single" w:sz="4" w:space="0" w:color="auto"/>
              <w:right w:val="single" w:sz="4" w:space="0" w:color="auto"/>
            </w:tcBorders>
            <w:shd w:val="clear" w:color="auto" w:fill="C6EFCE"/>
            <w:noWrap/>
            <w:vAlign w:val="center"/>
          </w:tcPr>
          <w:p w14:paraId="5C63E8F5"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3F5864D6" w14:textId="54BE4445" w:rsidR="003F5418" w:rsidRDefault="002A6C25">
            <w:pPr>
              <w:pStyle w:val="P68B1DB1-Normal9"/>
              <w:rPr>
                <w:noProof/>
              </w:rPr>
            </w:pPr>
            <w:r>
              <w:rPr>
                <w:noProof/>
              </w:rPr>
              <w:t xml:space="preserve"> Megkötött innovációs megállapodások  </w:t>
            </w:r>
          </w:p>
        </w:tc>
      </w:tr>
      <w:tr w:rsidR="003F5418" w14:paraId="47664A0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A29F0C" w14:textId="77777777" w:rsidR="003F5418" w:rsidRDefault="002A6C25">
            <w:pPr>
              <w:pStyle w:val="P68B1DB1-Normal9"/>
              <w:jc w:val="center"/>
              <w:rPr>
                <w:noProof/>
              </w:rPr>
            </w:pPr>
            <w:r>
              <w:rPr>
                <w:noProof/>
              </w:rPr>
              <w:t xml:space="preserve">M5C1–3 </w:t>
            </w:r>
          </w:p>
        </w:tc>
        <w:tc>
          <w:tcPr>
            <w:tcW w:w="3150" w:type="dxa"/>
            <w:tcBorders>
              <w:top w:val="nil"/>
              <w:left w:val="nil"/>
              <w:bottom w:val="single" w:sz="4" w:space="0" w:color="auto"/>
              <w:right w:val="single" w:sz="4" w:space="0" w:color="auto"/>
            </w:tcBorders>
            <w:shd w:val="clear" w:color="auto" w:fill="C6EFCE"/>
            <w:noWrap/>
            <w:vAlign w:val="center"/>
          </w:tcPr>
          <w:p w14:paraId="22BC54AC" w14:textId="77777777" w:rsidR="003F5418" w:rsidRDefault="002A6C25">
            <w:pPr>
              <w:pStyle w:val="P68B1DB1-Normal9"/>
              <w:rPr>
                <w:noProof/>
              </w:rPr>
            </w:pPr>
            <w:r>
              <w:rPr>
                <w:noProof/>
              </w:rPr>
              <w:t>Reform – aktív munkaerőpiaci intézkedések és szakképzés</w:t>
            </w:r>
          </w:p>
        </w:tc>
        <w:tc>
          <w:tcPr>
            <w:tcW w:w="1425" w:type="dxa"/>
            <w:tcBorders>
              <w:top w:val="nil"/>
              <w:left w:val="nil"/>
              <w:bottom w:val="single" w:sz="4" w:space="0" w:color="auto"/>
              <w:right w:val="single" w:sz="4" w:space="0" w:color="auto"/>
            </w:tcBorders>
            <w:shd w:val="clear" w:color="auto" w:fill="C6EFCE"/>
            <w:noWrap/>
            <w:vAlign w:val="center"/>
          </w:tcPr>
          <w:p w14:paraId="2E08FEA3"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2A1D76E0" w14:textId="77777777" w:rsidR="003F5418" w:rsidRDefault="002A6C25">
            <w:pPr>
              <w:pStyle w:val="P68B1DB1-Normal9"/>
              <w:rPr>
                <w:noProof/>
              </w:rPr>
            </w:pPr>
            <w:r>
              <w:rPr>
                <w:noProof/>
              </w:rPr>
              <w:t xml:space="preserve">A munkavállalók garantált foglalkoztathatósága (GOL) program hatálya alá tartozó személyek </w:t>
            </w:r>
          </w:p>
        </w:tc>
      </w:tr>
      <w:tr w:rsidR="003F5418" w14:paraId="6B9900E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A33333B" w14:textId="77777777" w:rsidR="003F5418" w:rsidRDefault="002A6C25">
            <w:pPr>
              <w:pStyle w:val="P68B1DB1-Normal9"/>
              <w:jc w:val="center"/>
              <w:rPr>
                <w:noProof/>
              </w:rPr>
            </w:pPr>
            <w:r>
              <w:rPr>
                <w:noProof/>
              </w:rPr>
              <w:t xml:space="preserve">M5C1–4 </w:t>
            </w:r>
          </w:p>
        </w:tc>
        <w:tc>
          <w:tcPr>
            <w:tcW w:w="3150" w:type="dxa"/>
            <w:tcBorders>
              <w:top w:val="nil"/>
              <w:left w:val="nil"/>
              <w:bottom w:val="single" w:sz="4" w:space="0" w:color="auto"/>
              <w:right w:val="single" w:sz="4" w:space="0" w:color="auto"/>
            </w:tcBorders>
            <w:shd w:val="clear" w:color="auto" w:fill="C6EFCE"/>
            <w:noWrap/>
            <w:vAlign w:val="center"/>
          </w:tcPr>
          <w:p w14:paraId="594130DA" w14:textId="77777777" w:rsidR="003F5418" w:rsidRDefault="002A6C25">
            <w:pPr>
              <w:pStyle w:val="P68B1DB1-Normal9"/>
              <w:rPr>
                <w:noProof/>
              </w:rPr>
            </w:pPr>
            <w:r>
              <w:rPr>
                <w:noProof/>
              </w:rPr>
              <w:t>Reform – aktív munkaerőpiaci intézkedések és sz</w:t>
            </w:r>
            <w:r>
              <w:rPr>
                <w:noProof/>
              </w:rPr>
              <w:t xml:space="preserve">akképzés </w:t>
            </w:r>
          </w:p>
        </w:tc>
        <w:tc>
          <w:tcPr>
            <w:tcW w:w="1425" w:type="dxa"/>
            <w:tcBorders>
              <w:top w:val="nil"/>
              <w:left w:val="nil"/>
              <w:bottom w:val="single" w:sz="4" w:space="0" w:color="auto"/>
              <w:right w:val="single" w:sz="4" w:space="0" w:color="auto"/>
            </w:tcBorders>
            <w:shd w:val="clear" w:color="auto" w:fill="C6EFCE"/>
            <w:noWrap/>
            <w:vAlign w:val="center"/>
          </w:tcPr>
          <w:p w14:paraId="34FC13E8"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459476A9" w14:textId="77777777" w:rsidR="003F5418" w:rsidRDefault="002A6C25">
            <w:pPr>
              <w:pStyle w:val="P68B1DB1-Normal9"/>
              <w:rPr>
                <w:noProof/>
              </w:rPr>
            </w:pPr>
            <w:r>
              <w:rPr>
                <w:noProof/>
              </w:rPr>
              <w:t xml:space="preserve">A munkavállalók kedvezményezettjeinek garantált foglalkoztathatósága szakképzésben vett részt </w:t>
            </w:r>
          </w:p>
        </w:tc>
      </w:tr>
      <w:tr w:rsidR="003F5418" w14:paraId="35F35A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C42050" w14:textId="77777777" w:rsidR="003F5418" w:rsidRDefault="002A6C25">
            <w:pPr>
              <w:pStyle w:val="P68B1DB1-Normal9"/>
              <w:jc w:val="center"/>
              <w:rPr>
                <w:noProof/>
              </w:rPr>
            </w:pPr>
            <w:r>
              <w:rPr>
                <w:noProof/>
              </w:rPr>
              <w:t xml:space="preserve">M5C1–5 </w:t>
            </w:r>
          </w:p>
        </w:tc>
        <w:tc>
          <w:tcPr>
            <w:tcW w:w="3150" w:type="dxa"/>
            <w:tcBorders>
              <w:top w:val="nil"/>
              <w:left w:val="nil"/>
              <w:bottom w:val="single" w:sz="4" w:space="0" w:color="auto"/>
              <w:right w:val="single" w:sz="4" w:space="0" w:color="auto"/>
            </w:tcBorders>
            <w:shd w:val="clear" w:color="auto" w:fill="C6EFCE"/>
            <w:noWrap/>
            <w:vAlign w:val="center"/>
          </w:tcPr>
          <w:p w14:paraId="6A189612" w14:textId="77777777" w:rsidR="003F5418" w:rsidRDefault="002A6C25">
            <w:pPr>
              <w:pStyle w:val="P68B1DB1-Normal9"/>
              <w:rPr>
                <w:noProof/>
              </w:rPr>
            </w:pPr>
            <w:r>
              <w:rPr>
                <w:noProof/>
              </w:rPr>
              <w:t>Reform – aktív munkaerőpiaci intézkedések és szakképzés</w:t>
            </w:r>
          </w:p>
        </w:tc>
        <w:tc>
          <w:tcPr>
            <w:tcW w:w="1425" w:type="dxa"/>
            <w:tcBorders>
              <w:top w:val="nil"/>
              <w:left w:val="nil"/>
              <w:bottom w:val="single" w:sz="4" w:space="0" w:color="auto"/>
              <w:right w:val="single" w:sz="4" w:space="0" w:color="auto"/>
            </w:tcBorders>
            <w:shd w:val="clear" w:color="auto" w:fill="C6EFCE"/>
            <w:noWrap/>
            <w:vAlign w:val="center"/>
          </w:tcPr>
          <w:p w14:paraId="4C4217CA"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E9785C3" w14:textId="77777777" w:rsidR="003F5418" w:rsidRDefault="002A6C25">
            <w:pPr>
              <w:pStyle w:val="P68B1DB1-Normal9"/>
              <w:rPr>
                <w:noProof/>
              </w:rPr>
            </w:pPr>
            <w:r>
              <w:rPr>
                <w:noProof/>
              </w:rPr>
              <w:t>Az állami foglalkoztatási szolgálatok (ÁFSZ-ek) minden régióban megfeleltek az ÁFSZ-szolgáltatások alapvető szintjére vonatkozó kritériumoknak, amelyeket a munkavállalók garantált foglalkoztathatósága (GOL) program határoz meg</w:t>
            </w:r>
          </w:p>
        </w:tc>
      </w:tr>
      <w:tr w:rsidR="003F5418" w14:paraId="3204DF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E24BCA" w14:textId="77777777" w:rsidR="003F5418" w:rsidRDefault="002A6C25">
            <w:pPr>
              <w:pStyle w:val="P68B1DB1-Normal9"/>
              <w:jc w:val="center"/>
              <w:rPr>
                <w:noProof/>
              </w:rPr>
            </w:pPr>
            <w:r>
              <w:rPr>
                <w:noProof/>
              </w:rPr>
              <w:t>M5C1–7</w:t>
            </w:r>
          </w:p>
        </w:tc>
        <w:tc>
          <w:tcPr>
            <w:tcW w:w="3150" w:type="dxa"/>
            <w:tcBorders>
              <w:top w:val="nil"/>
              <w:left w:val="nil"/>
              <w:bottom w:val="single" w:sz="4" w:space="0" w:color="auto"/>
              <w:right w:val="single" w:sz="4" w:space="0" w:color="auto"/>
            </w:tcBorders>
            <w:shd w:val="clear" w:color="auto" w:fill="C6EFCE"/>
            <w:noWrap/>
            <w:vAlign w:val="center"/>
          </w:tcPr>
          <w:p w14:paraId="2B8265F1" w14:textId="77777777" w:rsidR="003F5418" w:rsidRDefault="002A6C25">
            <w:pPr>
              <w:pStyle w:val="P68B1DB1-Normal9"/>
              <w:rPr>
                <w:noProof/>
              </w:rPr>
            </w:pPr>
            <w:r>
              <w:rPr>
                <w:noProof/>
              </w:rPr>
              <w:t>Beruházás – Az állami</w:t>
            </w:r>
            <w:r>
              <w:rPr>
                <w:noProof/>
              </w:rPr>
              <w:t xml:space="preserve"> foglalkoztatási szolgálatok (ÁFSZ-ek) megerősítése </w:t>
            </w:r>
          </w:p>
        </w:tc>
        <w:tc>
          <w:tcPr>
            <w:tcW w:w="1425" w:type="dxa"/>
            <w:tcBorders>
              <w:top w:val="nil"/>
              <w:left w:val="nil"/>
              <w:bottom w:val="single" w:sz="4" w:space="0" w:color="auto"/>
              <w:right w:val="single" w:sz="4" w:space="0" w:color="auto"/>
            </w:tcBorders>
            <w:shd w:val="clear" w:color="auto" w:fill="C6EFCE"/>
            <w:noWrap/>
            <w:vAlign w:val="center"/>
          </w:tcPr>
          <w:p w14:paraId="448D950F"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069C375F" w14:textId="77777777" w:rsidR="003F5418" w:rsidRDefault="002A6C25">
            <w:pPr>
              <w:pStyle w:val="P68B1DB1-Normal9"/>
              <w:rPr>
                <w:noProof/>
              </w:rPr>
            </w:pPr>
            <w:r>
              <w:rPr>
                <w:noProof/>
              </w:rPr>
              <w:t>Az állami foglalkoztatási szolgálatok befejezték a megerősítési tervben előirányzott tevékenységeket</w:t>
            </w:r>
          </w:p>
        </w:tc>
      </w:tr>
      <w:tr w:rsidR="003F5418" w14:paraId="42CC47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02D13E" w14:textId="77777777" w:rsidR="003F5418" w:rsidRDefault="002A6C25">
            <w:pPr>
              <w:pStyle w:val="P68B1DB1-Normal9"/>
              <w:jc w:val="center"/>
              <w:rPr>
                <w:noProof/>
              </w:rPr>
            </w:pPr>
            <w:r>
              <w:rPr>
                <w:noProof/>
              </w:rPr>
              <w:t>M5C1–15</w:t>
            </w:r>
          </w:p>
        </w:tc>
        <w:tc>
          <w:tcPr>
            <w:tcW w:w="3150" w:type="dxa"/>
            <w:tcBorders>
              <w:top w:val="nil"/>
              <w:left w:val="nil"/>
              <w:bottom w:val="single" w:sz="4" w:space="0" w:color="auto"/>
              <w:right w:val="single" w:sz="4" w:space="0" w:color="auto"/>
            </w:tcBorders>
            <w:shd w:val="clear" w:color="auto" w:fill="C6EFCE"/>
            <w:noWrap/>
            <w:vAlign w:val="center"/>
          </w:tcPr>
          <w:p w14:paraId="0721F724" w14:textId="77777777" w:rsidR="003F5418" w:rsidRDefault="002A6C25">
            <w:pPr>
              <w:pStyle w:val="P68B1DB1-Normal9"/>
              <w:rPr>
                <w:noProof/>
              </w:rPr>
            </w:pPr>
            <w:r>
              <w:rPr>
                <w:noProof/>
              </w:rPr>
              <w:t>Beruházás – A kettős rendszer megerősítése</w:t>
            </w:r>
          </w:p>
        </w:tc>
        <w:tc>
          <w:tcPr>
            <w:tcW w:w="1425" w:type="dxa"/>
            <w:tcBorders>
              <w:top w:val="nil"/>
              <w:left w:val="nil"/>
              <w:bottom w:val="single" w:sz="4" w:space="0" w:color="auto"/>
              <w:right w:val="single" w:sz="4" w:space="0" w:color="auto"/>
            </w:tcBorders>
            <w:shd w:val="clear" w:color="auto" w:fill="C6EFCE"/>
            <w:noWrap/>
            <w:vAlign w:val="center"/>
          </w:tcPr>
          <w:p w14:paraId="3D12DBB9"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17841FFF" w14:textId="77777777" w:rsidR="003F5418" w:rsidRDefault="002A6C25">
            <w:pPr>
              <w:pStyle w:val="P68B1DB1-Normal9"/>
              <w:rPr>
                <w:noProof/>
              </w:rPr>
            </w:pPr>
            <w:r>
              <w:rPr>
                <w:noProof/>
              </w:rPr>
              <w:t>A kettős rendszerben részt vevő személyek,</w:t>
            </w:r>
            <w:r>
              <w:rPr>
                <w:noProof/>
              </w:rPr>
              <w:t xml:space="preserve"> akik a 2021–2025-ös ötéves időszakban megszerezték a vonatkozó tanúsítványt</w:t>
            </w:r>
          </w:p>
        </w:tc>
      </w:tr>
      <w:tr w:rsidR="003F5418" w14:paraId="013B46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E2358E" w14:textId="77777777" w:rsidR="003F5418" w:rsidRDefault="002A6C25">
            <w:pPr>
              <w:pStyle w:val="P68B1DB1-Normal9"/>
              <w:jc w:val="center"/>
              <w:rPr>
                <w:noProof/>
              </w:rPr>
            </w:pPr>
            <w:r>
              <w:rPr>
                <w:noProof/>
              </w:rPr>
              <w:t>M6C2–2</w:t>
            </w:r>
          </w:p>
        </w:tc>
        <w:tc>
          <w:tcPr>
            <w:tcW w:w="3150" w:type="dxa"/>
            <w:tcBorders>
              <w:top w:val="nil"/>
              <w:left w:val="nil"/>
              <w:bottom w:val="single" w:sz="4" w:space="0" w:color="auto"/>
              <w:right w:val="single" w:sz="4" w:space="0" w:color="auto"/>
            </w:tcBorders>
            <w:shd w:val="clear" w:color="auto" w:fill="C6EFCE"/>
            <w:noWrap/>
            <w:vAlign w:val="center"/>
          </w:tcPr>
          <w:p w14:paraId="4E2D650C" w14:textId="77777777" w:rsidR="003F5418" w:rsidRDefault="002A6C25">
            <w:pPr>
              <w:pStyle w:val="P68B1DB1-Normal9"/>
              <w:rPr>
                <w:noProof/>
              </w:rPr>
            </w:pPr>
            <w:r>
              <w:rPr>
                <w:noProof/>
              </w:rPr>
              <w:t>Beruházás: Az NHS orvosbiológiai kutatásának megerősítése és megerősítése</w:t>
            </w:r>
          </w:p>
        </w:tc>
        <w:tc>
          <w:tcPr>
            <w:tcW w:w="1425" w:type="dxa"/>
            <w:tcBorders>
              <w:top w:val="nil"/>
              <w:left w:val="nil"/>
              <w:bottom w:val="single" w:sz="4" w:space="0" w:color="auto"/>
              <w:right w:val="single" w:sz="4" w:space="0" w:color="auto"/>
            </w:tcBorders>
            <w:shd w:val="clear" w:color="auto" w:fill="C6EFCE"/>
            <w:noWrap/>
            <w:vAlign w:val="center"/>
          </w:tcPr>
          <w:p w14:paraId="3E8A5CBE"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5D14C7A1" w14:textId="77777777" w:rsidR="003F5418" w:rsidRDefault="002A6C25">
            <w:pPr>
              <w:pStyle w:val="P68B1DB1-Normal9"/>
              <w:rPr>
                <w:noProof/>
              </w:rPr>
            </w:pPr>
            <w:r>
              <w:rPr>
                <w:noProof/>
              </w:rPr>
              <w:t>Ritka rákokkal és betegségekkel kapcsolatos kutatási projektek</w:t>
            </w:r>
          </w:p>
        </w:tc>
      </w:tr>
      <w:tr w:rsidR="003F5418" w14:paraId="0B4F57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18F69A" w14:textId="77777777" w:rsidR="003F5418" w:rsidRDefault="002A6C25">
            <w:pPr>
              <w:pStyle w:val="P68B1DB1-Normal9"/>
              <w:jc w:val="center"/>
              <w:rPr>
                <w:noProof/>
              </w:rPr>
            </w:pPr>
            <w:r>
              <w:rPr>
                <w:noProof/>
              </w:rPr>
              <w:t>M6C2–3</w:t>
            </w:r>
          </w:p>
        </w:tc>
        <w:tc>
          <w:tcPr>
            <w:tcW w:w="3150" w:type="dxa"/>
            <w:tcBorders>
              <w:top w:val="nil"/>
              <w:left w:val="nil"/>
              <w:bottom w:val="single" w:sz="4" w:space="0" w:color="auto"/>
              <w:right w:val="single" w:sz="4" w:space="0" w:color="auto"/>
            </w:tcBorders>
            <w:shd w:val="clear" w:color="auto" w:fill="C6EFCE"/>
            <w:noWrap/>
            <w:vAlign w:val="center"/>
          </w:tcPr>
          <w:p w14:paraId="0AB945A5" w14:textId="77777777" w:rsidR="003F5418" w:rsidRDefault="002A6C25">
            <w:pPr>
              <w:pStyle w:val="P68B1DB1-Normal9"/>
              <w:rPr>
                <w:noProof/>
              </w:rPr>
            </w:pPr>
            <w:r>
              <w:rPr>
                <w:noProof/>
              </w:rPr>
              <w:t>Beruházás: Az NHS orvo</w:t>
            </w:r>
            <w:r>
              <w:rPr>
                <w:noProof/>
              </w:rPr>
              <w:t>sbiológiai kutatásának megerősítése és megerősítése</w:t>
            </w:r>
          </w:p>
        </w:tc>
        <w:tc>
          <w:tcPr>
            <w:tcW w:w="1425" w:type="dxa"/>
            <w:tcBorders>
              <w:top w:val="nil"/>
              <w:left w:val="nil"/>
              <w:bottom w:val="single" w:sz="4" w:space="0" w:color="auto"/>
              <w:right w:val="single" w:sz="4" w:space="0" w:color="auto"/>
            </w:tcBorders>
            <w:shd w:val="clear" w:color="auto" w:fill="C6EFCE"/>
            <w:noWrap/>
            <w:vAlign w:val="center"/>
          </w:tcPr>
          <w:p w14:paraId="00B185C4"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356553DF" w14:textId="77777777" w:rsidR="003F5418" w:rsidRDefault="002A6C25">
            <w:pPr>
              <w:pStyle w:val="P68B1DB1-Normal9"/>
              <w:rPr>
                <w:noProof/>
              </w:rPr>
            </w:pPr>
            <w:r>
              <w:rPr>
                <w:noProof/>
              </w:rPr>
              <w:t>Az egészségre nagy hatást gyakorló betegségekkel kapcsolatos kutatási projektek</w:t>
            </w:r>
          </w:p>
        </w:tc>
      </w:tr>
      <w:tr w:rsidR="003F5418" w14:paraId="15B04EE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D00B06" w14:textId="77777777" w:rsidR="003F5418" w:rsidRDefault="002A6C25">
            <w:pPr>
              <w:pStyle w:val="P68B1DB1-Normal9"/>
              <w:jc w:val="center"/>
              <w:rPr>
                <w:noProof/>
              </w:rPr>
            </w:pPr>
            <w:r>
              <w:rPr>
                <w:noProof/>
              </w:rPr>
              <w:t>M7–3</w:t>
            </w:r>
          </w:p>
        </w:tc>
        <w:tc>
          <w:tcPr>
            <w:tcW w:w="3150" w:type="dxa"/>
            <w:tcBorders>
              <w:top w:val="nil"/>
              <w:left w:val="nil"/>
              <w:bottom w:val="single" w:sz="4" w:space="0" w:color="auto"/>
              <w:right w:val="single" w:sz="4" w:space="0" w:color="auto"/>
            </w:tcBorders>
            <w:shd w:val="clear" w:color="auto" w:fill="C6EFCE"/>
            <w:noWrap/>
            <w:vAlign w:val="center"/>
          </w:tcPr>
          <w:p w14:paraId="3143CF6E" w14:textId="77777777" w:rsidR="003F5418" w:rsidRDefault="002A6C25">
            <w:pPr>
              <w:pStyle w:val="P68B1DB1-Normal9"/>
              <w:rPr>
                <w:noProof/>
              </w:rPr>
            </w:pPr>
            <w:r>
              <w:rPr>
                <w:noProof/>
              </w:rPr>
              <w:t xml:space="preserve">Az 1. reformot A megújuló energiára vonatkozó engedélyezési eljárások egyszerűsítése </w:t>
            </w:r>
          </w:p>
        </w:tc>
        <w:tc>
          <w:tcPr>
            <w:tcW w:w="1425" w:type="dxa"/>
            <w:tcBorders>
              <w:top w:val="nil"/>
              <w:left w:val="nil"/>
              <w:bottom w:val="single" w:sz="4" w:space="0" w:color="auto"/>
              <w:right w:val="single" w:sz="4" w:space="0" w:color="auto"/>
            </w:tcBorders>
            <w:shd w:val="clear" w:color="auto" w:fill="C6EFCE"/>
            <w:noWrap/>
            <w:vAlign w:val="center"/>
          </w:tcPr>
          <w:p w14:paraId="11797852"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7C098E98" w14:textId="77777777" w:rsidR="003F5418" w:rsidRDefault="002A6C25">
            <w:pPr>
              <w:pStyle w:val="P68B1DB1-Normal9"/>
              <w:rPr>
                <w:noProof/>
              </w:rPr>
            </w:pPr>
            <w:r>
              <w:rPr>
                <w:noProof/>
              </w:rPr>
              <w:t>A megújuló energiaforrásokkal kapcsolatos engedélyekre vonatkozó egységes digitális platform létrehozása és működőképessé tétele</w:t>
            </w:r>
          </w:p>
        </w:tc>
      </w:tr>
      <w:tr w:rsidR="003F5418" w14:paraId="0AC7E5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CF2312" w14:textId="77777777" w:rsidR="003F5418" w:rsidRDefault="002A6C25">
            <w:pPr>
              <w:pStyle w:val="P68B1DB1-Normal9"/>
              <w:jc w:val="center"/>
              <w:rPr>
                <w:noProof/>
              </w:rPr>
            </w:pPr>
            <w:r>
              <w:rPr>
                <w:noProof/>
              </w:rPr>
              <w:t>M7–05</w:t>
            </w:r>
          </w:p>
        </w:tc>
        <w:tc>
          <w:tcPr>
            <w:tcW w:w="3150" w:type="dxa"/>
            <w:tcBorders>
              <w:top w:val="nil"/>
              <w:left w:val="nil"/>
              <w:bottom w:val="single" w:sz="4" w:space="0" w:color="auto"/>
              <w:right w:val="single" w:sz="4" w:space="0" w:color="auto"/>
            </w:tcBorders>
            <w:shd w:val="clear" w:color="auto" w:fill="C6EFCE"/>
            <w:noWrap/>
            <w:vAlign w:val="center"/>
          </w:tcPr>
          <w:p w14:paraId="508143C1" w14:textId="77777777" w:rsidR="003F5418" w:rsidRDefault="002A6C25">
            <w:pPr>
              <w:pStyle w:val="P68B1DB1-Normal9"/>
              <w:rPr>
                <w:noProof/>
              </w:rPr>
            </w:pPr>
            <w:r>
              <w:rPr>
                <w:noProof/>
              </w:rPr>
              <w:t>Reform: A környezetre káros támogatások csökkentése</w:t>
            </w:r>
          </w:p>
        </w:tc>
        <w:tc>
          <w:tcPr>
            <w:tcW w:w="1425" w:type="dxa"/>
            <w:tcBorders>
              <w:top w:val="nil"/>
              <w:left w:val="nil"/>
              <w:bottom w:val="single" w:sz="4" w:space="0" w:color="auto"/>
              <w:right w:val="single" w:sz="4" w:space="0" w:color="auto"/>
            </w:tcBorders>
            <w:shd w:val="clear" w:color="auto" w:fill="C6EFCE"/>
            <w:noWrap/>
            <w:vAlign w:val="center"/>
          </w:tcPr>
          <w:p w14:paraId="0A111144"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4BD0227D" w14:textId="77777777" w:rsidR="003F5418" w:rsidRDefault="002A6C25">
            <w:pPr>
              <w:pStyle w:val="P68B1DB1-Normal9"/>
              <w:rPr>
                <w:noProof/>
              </w:rPr>
            </w:pPr>
            <w:r>
              <w:rPr>
                <w:noProof/>
              </w:rPr>
              <w:t>Az elsődleges és másodlagos jog hatálybalépése.</w:t>
            </w:r>
          </w:p>
        </w:tc>
      </w:tr>
      <w:tr w:rsidR="003F5418" w14:paraId="45B979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1BC8CBC" w14:textId="77777777" w:rsidR="003F5418" w:rsidRDefault="002A6C25">
            <w:pPr>
              <w:pStyle w:val="P68B1DB1-Normal9"/>
              <w:jc w:val="center"/>
              <w:rPr>
                <w:noProof/>
              </w:rPr>
            </w:pPr>
            <w:r>
              <w:rPr>
                <w:noProof/>
              </w:rPr>
              <w:t>7–21. INT</w:t>
            </w:r>
            <w:r>
              <w:rPr>
                <w:noProof/>
              </w:rPr>
              <w:t>ÉZKEDÉS</w:t>
            </w:r>
          </w:p>
        </w:tc>
        <w:tc>
          <w:tcPr>
            <w:tcW w:w="3150" w:type="dxa"/>
            <w:tcBorders>
              <w:top w:val="nil"/>
              <w:left w:val="nil"/>
              <w:bottom w:val="single" w:sz="4" w:space="0" w:color="auto"/>
              <w:right w:val="single" w:sz="4" w:space="0" w:color="auto"/>
            </w:tcBorders>
            <w:shd w:val="clear" w:color="auto" w:fill="C6EFCE"/>
            <w:noWrap/>
            <w:vAlign w:val="center"/>
          </w:tcPr>
          <w:p w14:paraId="296FE057" w14:textId="77777777" w:rsidR="003F5418" w:rsidRDefault="002A6C25">
            <w:pPr>
              <w:pStyle w:val="P68B1DB1-Normal9"/>
              <w:rPr>
                <w:noProof/>
              </w:rPr>
            </w:pPr>
            <w:r>
              <w:rPr>
                <w:noProof/>
              </w:rPr>
              <w:t>Beruházás: Határokon átnyúló villamosenergia-összeköttetési projektek Olaszország és a szomszédos országok között</w:t>
            </w:r>
          </w:p>
        </w:tc>
        <w:tc>
          <w:tcPr>
            <w:tcW w:w="1425" w:type="dxa"/>
            <w:tcBorders>
              <w:top w:val="nil"/>
              <w:left w:val="nil"/>
              <w:bottom w:val="single" w:sz="4" w:space="0" w:color="auto"/>
              <w:right w:val="single" w:sz="4" w:space="0" w:color="auto"/>
            </w:tcBorders>
            <w:shd w:val="clear" w:color="auto" w:fill="C6EFCE"/>
            <w:noWrap/>
            <w:vAlign w:val="center"/>
          </w:tcPr>
          <w:p w14:paraId="43FE2D7E"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092403FB" w14:textId="77777777" w:rsidR="003F5418" w:rsidRDefault="002A6C25">
            <w:pPr>
              <w:pStyle w:val="P68B1DB1-Normal9"/>
              <w:rPr>
                <w:noProof/>
              </w:rPr>
            </w:pPr>
            <w:r>
              <w:rPr>
                <w:noProof/>
              </w:rPr>
              <w:t>Az Olaszország és Szlovénia közötti névleges rendszerösszekötő kapacitás növelése a munkálatok befejezését követően</w:t>
            </w:r>
          </w:p>
        </w:tc>
      </w:tr>
      <w:tr w:rsidR="003F5418" w14:paraId="5337CD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73D16A" w14:textId="77777777" w:rsidR="003F5418" w:rsidRDefault="002A6C25">
            <w:pPr>
              <w:pStyle w:val="P68B1DB1-Normal9"/>
              <w:jc w:val="center"/>
              <w:rPr>
                <w:noProof/>
              </w:rPr>
            </w:pPr>
            <w:r>
              <w:rPr>
                <w:noProof/>
              </w:rPr>
              <w:t xml:space="preserve">M7–26. </w:t>
            </w:r>
            <w:r>
              <w:rPr>
                <w:noProof/>
              </w:rPr>
              <w:t>INTÉZKEDÉS</w:t>
            </w:r>
          </w:p>
        </w:tc>
        <w:tc>
          <w:tcPr>
            <w:tcW w:w="3150" w:type="dxa"/>
            <w:tcBorders>
              <w:top w:val="nil"/>
              <w:left w:val="nil"/>
              <w:bottom w:val="single" w:sz="4" w:space="0" w:color="auto"/>
              <w:right w:val="single" w:sz="4" w:space="0" w:color="auto"/>
            </w:tcBorders>
            <w:shd w:val="clear" w:color="auto" w:fill="C6EFCE"/>
            <w:noWrap/>
            <w:vAlign w:val="center"/>
          </w:tcPr>
          <w:p w14:paraId="3135BDA7" w14:textId="77777777" w:rsidR="003F5418" w:rsidRDefault="002A6C25">
            <w:pPr>
              <w:pStyle w:val="P68B1DB1-Normal9"/>
              <w:rPr>
                <w:noProof/>
              </w:rPr>
            </w:pPr>
            <w:r>
              <w:rPr>
                <w:noProof/>
              </w:rPr>
              <w:t>Beruházás: A kritikus fontosságú nyersanyagokkal való fenntartható, körforgásos és biztonságos ellátás</w:t>
            </w:r>
          </w:p>
        </w:tc>
        <w:tc>
          <w:tcPr>
            <w:tcW w:w="1425" w:type="dxa"/>
            <w:tcBorders>
              <w:top w:val="nil"/>
              <w:left w:val="nil"/>
              <w:bottom w:val="single" w:sz="4" w:space="0" w:color="auto"/>
              <w:right w:val="single" w:sz="4" w:space="0" w:color="auto"/>
            </w:tcBorders>
            <w:shd w:val="clear" w:color="auto" w:fill="C6EFCE"/>
            <w:noWrap/>
            <w:vAlign w:val="center"/>
          </w:tcPr>
          <w:p w14:paraId="75B98A1A" w14:textId="77777777" w:rsidR="003F5418" w:rsidRDefault="002A6C25">
            <w:pPr>
              <w:pStyle w:val="P68B1DB1-Normal9"/>
              <w:jc w:val="center"/>
              <w:rPr>
                <w:noProof/>
              </w:rPr>
            </w:pPr>
            <w:r>
              <w:rPr>
                <w:noProof/>
              </w:rPr>
              <w:t>Cél</w:t>
            </w:r>
          </w:p>
        </w:tc>
        <w:tc>
          <w:tcPr>
            <w:tcW w:w="3959" w:type="dxa"/>
            <w:tcBorders>
              <w:top w:val="nil"/>
              <w:left w:val="nil"/>
              <w:bottom w:val="single" w:sz="4" w:space="0" w:color="auto"/>
              <w:right w:val="single" w:sz="4" w:space="0" w:color="auto"/>
            </w:tcBorders>
            <w:shd w:val="clear" w:color="auto" w:fill="C6EFCE"/>
            <w:noWrap/>
            <w:vAlign w:val="center"/>
          </w:tcPr>
          <w:p w14:paraId="69F410DD" w14:textId="77777777" w:rsidR="003F5418" w:rsidRDefault="002A6C25">
            <w:pPr>
              <w:pStyle w:val="P68B1DB1-Normal9"/>
              <w:rPr>
                <w:noProof/>
              </w:rPr>
            </w:pPr>
            <w:r>
              <w:rPr>
                <w:noProof/>
              </w:rPr>
              <w:t>Az ásványinyersanyag-kitermelésből származó hulladékkal kapcsolatos földrajzi információs rendszer (GIS) a kritikus fontosságú nyersanyago</w:t>
            </w:r>
            <w:r>
              <w:rPr>
                <w:noProof/>
              </w:rPr>
              <w:t>kkal való fenntartható, körforgásos és biztonságos ellátás érdekében</w:t>
            </w:r>
          </w:p>
        </w:tc>
      </w:tr>
      <w:tr w:rsidR="003F5418" w14:paraId="3FE1804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C8BC81" w14:textId="77777777" w:rsidR="003F5418" w:rsidRDefault="002A6C25">
            <w:pPr>
              <w:pStyle w:val="P68B1DB1-Normal9"/>
              <w:jc w:val="center"/>
              <w:rPr>
                <w:noProof/>
              </w:rPr>
            </w:pPr>
            <w:r>
              <w:rPr>
                <w:noProof/>
              </w:rPr>
              <w:t>M1C1–38a. intézkedés</w:t>
            </w:r>
          </w:p>
        </w:tc>
        <w:tc>
          <w:tcPr>
            <w:tcW w:w="3150" w:type="dxa"/>
            <w:tcBorders>
              <w:top w:val="nil"/>
              <w:left w:val="nil"/>
              <w:bottom w:val="single" w:sz="4" w:space="0" w:color="auto"/>
              <w:right w:val="single" w:sz="4" w:space="0" w:color="auto"/>
            </w:tcBorders>
            <w:shd w:val="clear" w:color="auto" w:fill="C6EFCE"/>
            <w:noWrap/>
            <w:vAlign w:val="center"/>
          </w:tcPr>
          <w:p w14:paraId="15F46E91" w14:textId="77777777" w:rsidR="003F5418" w:rsidRDefault="002A6C25">
            <w:pPr>
              <w:pStyle w:val="P68B1DB1-Normal9"/>
              <w:jc w:val="center"/>
              <w:rPr>
                <w:noProof/>
              </w:rPr>
            </w:pPr>
            <w:r>
              <w:rPr>
                <w:noProof/>
              </w:rPr>
              <w:t xml:space="preserve">Reform: Az igazságszolgáltatás digitalizációja </w:t>
            </w:r>
          </w:p>
        </w:tc>
        <w:tc>
          <w:tcPr>
            <w:tcW w:w="1425" w:type="dxa"/>
            <w:tcBorders>
              <w:top w:val="nil"/>
              <w:left w:val="nil"/>
              <w:bottom w:val="single" w:sz="4" w:space="0" w:color="auto"/>
              <w:right w:val="single" w:sz="4" w:space="0" w:color="auto"/>
            </w:tcBorders>
            <w:shd w:val="clear" w:color="auto" w:fill="C6EFCE"/>
            <w:noWrap/>
            <w:vAlign w:val="center"/>
          </w:tcPr>
          <w:p w14:paraId="5D427203" w14:textId="77777777" w:rsidR="003F5418" w:rsidRDefault="002A6C25">
            <w:pPr>
              <w:pStyle w:val="P68B1DB1-Normal9"/>
              <w:jc w:val="center"/>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591CC5EA" w14:textId="77777777" w:rsidR="003F5418" w:rsidRDefault="002A6C25">
            <w:pPr>
              <w:pStyle w:val="P68B1DB1-Normal9"/>
              <w:rPr>
                <w:noProof/>
              </w:rPr>
            </w:pPr>
            <w:r>
              <w:rPr>
                <w:noProof/>
              </w:rPr>
              <w:t>Az igazságszolgáltatási rendszer digitalizálása</w:t>
            </w:r>
          </w:p>
        </w:tc>
      </w:tr>
      <w:tr w:rsidR="003F5418" w14:paraId="0E1E64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029DE0" w14:textId="77777777" w:rsidR="003F5418" w:rsidRDefault="002A6C25">
            <w:pPr>
              <w:pStyle w:val="P68B1DB1-Normal9"/>
              <w:jc w:val="center"/>
              <w:rPr>
                <w:noProof/>
              </w:rPr>
            </w:pPr>
            <w:r>
              <w:rPr>
                <w:noProof/>
              </w:rPr>
              <w:t>M1C1–72 quinquies</w:t>
            </w:r>
          </w:p>
        </w:tc>
        <w:tc>
          <w:tcPr>
            <w:tcW w:w="3150" w:type="dxa"/>
            <w:tcBorders>
              <w:top w:val="nil"/>
              <w:left w:val="nil"/>
              <w:bottom w:val="single" w:sz="4" w:space="0" w:color="auto"/>
              <w:right w:val="single" w:sz="4" w:space="0" w:color="auto"/>
            </w:tcBorders>
            <w:shd w:val="clear" w:color="auto" w:fill="C6EFCE"/>
            <w:noWrap/>
            <w:vAlign w:val="center"/>
          </w:tcPr>
          <w:p w14:paraId="046F66CE" w14:textId="77777777" w:rsidR="003F5418" w:rsidRDefault="002A6C25">
            <w:pPr>
              <w:pStyle w:val="P68B1DB1-Normal9"/>
              <w:rPr>
                <w:noProof/>
              </w:rPr>
            </w:pPr>
            <w:r>
              <w:rPr>
                <w:noProof/>
              </w:rPr>
              <w:t xml:space="preserve">Reform: A közigazgatási és egészségügyi </w:t>
            </w:r>
            <w:r>
              <w:rPr>
                <w:noProof/>
              </w:rPr>
              <w:t>hatóságok késedelmes kifizetéseinek csökkentése</w:t>
            </w:r>
          </w:p>
        </w:tc>
        <w:tc>
          <w:tcPr>
            <w:tcW w:w="1425" w:type="dxa"/>
            <w:tcBorders>
              <w:top w:val="nil"/>
              <w:left w:val="nil"/>
              <w:bottom w:val="single" w:sz="4" w:space="0" w:color="auto"/>
              <w:right w:val="single" w:sz="4" w:space="0" w:color="auto"/>
            </w:tcBorders>
            <w:shd w:val="clear" w:color="auto" w:fill="C6EFCE"/>
            <w:noWrap/>
            <w:vAlign w:val="center"/>
          </w:tcPr>
          <w:p w14:paraId="40C7AACD" w14:textId="77777777" w:rsidR="003F5418" w:rsidRDefault="002A6C25">
            <w:pPr>
              <w:pStyle w:val="P68B1DB1-Normal9"/>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46F05CA1" w14:textId="77777777" w:rsidR="003F5418" w:rsidRDefault="002A6C25">
            <w:pPr>
              <w:pStyle w:val="P68B1DB1-Normal9"/>
              <w:rPr>
                <w:noProof/>
              </w:rPr>
            </w:pPr>
            <w:r>
              <w:rPr>
                <w:noProof/>
              </w:rPr>
              <w:t xml:space="preserve">Kifizetések teljesítése az InIT-adatbázisban </w:t>
            </w:r>
          </w:p>
        </w:tc>
      </w:tr>
      <w:tr w:rsidR="003F5418" w14:paraId="495B953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EFDB98D" w14:textId="77777777" w:rsidR="003F5418" w:rsidRDefault="002A6C25">
            <w:pPr>
              <w:pStyle w:val="P68B1DB1-Normal9"/>
              <w:jc w:val="center"/>
              <w:rPr>
                <w:noProof/>
              </w:rPr>
            </w:pPr>
            <w:r>
              <w:rPr>
                <w:noProof/>
              </w:rPr>
              <w:t>M1C1–72szixek</w:t>
            </w:r>
          </w:p>
        </w:tc>
        <w:tc>
          <w:tcPr>
            <w:tcW w:w="3150" w:type="dxa"/>
            <w:tcBorders>
              <w:top w:val="nil"/>
              <w:left w:val="nil"/>
              <w:bottom w:val="single" w:sz="4" w:space="0" w:color="auto"/>
              <w:right w:val="single" w:sz="4" w:space="0" w:color="auto"/>
            </w:tcBorders>
            <w:shd w:val="clear" w:color="auto" w:fill="C6EFCE"/>
            <w:noWrap/>
            <w:vAlign w:val="center"/>
          </w:tcPr>
          <w:p w14:paraId="26C427AC" w14:textId="77777777" w:rsidR="003F5418" w:rsidRDefault="002A6C25">
            <w:pPr>
              <w:pStyle w:val="P68B1DB1-Normal9"/>
              <w:rPr>
                <w:noProof/>
              </w:rPr>
            </w:pPr>
            <w:r>
              <w:rPr>
                <w:noProof/>
              </w:rPr>
              <w:t>Reform: A közigazgatási és egészségügyi hatóságok késedelmes kifizetéseinek csökkentése</w:t>
            </w:r>
          </w:p>
        </w:tc>
        <w:tc>
          <w:tcPr>
            <w:tcW w:w="1425" w:type="dxa"/>
            <w:tcBorders>
              <w:top w:val="nil"/>
              <w:left w:val="nil"/>
              <w:bottom w:val="single" w:sz="4" w:space="0" w:color="auto"/>
              <w:right w:val="single" w:sz="4" w:space="0" w:color="auto"/>
            </w:tcBorders>
            <w:shd w:val="clear" w:color="auto" w:fill="C6EFCE"/>
            <w:noWrap/>
            <w:vAlign w:val="center"/>
          </w:tcPr>
          <w:p w14:paraId="4E32B5F8" w14:textId="77777777" w:rsidR="003F5418" w:rsidRDefault="002A6C25">
            <w:pPr>
              <w:pStyle w:val="P68B1DB1-Normal9"/>
              <w:rPr>
                <w:noProof/>
              </w:rPr>
            </w:pPr>
            <w:r>
              <w:rPr>
                <w:noProof/>
              </w:rPr>
              <w:t>Mérföldkő</w:t>
            </w:r>
          </w:p>
        </w:tc>
        <w:tc>
          <w:tcPr>
            <w:tcW w:w="3959" w:type="dxa"/>
            <w:tcBorders>
              <w:top w:val="nil"/>
              <w:left w:val="nil"/>
              <w:bottom w:val="single" w:sz="4" w:space="0" w:color="auto"/>
              <w:right w:val="single" w:sz="4" w:space="0" w:color="auto"/>
            </w:tcBorders>
            <w:shd w:val="clear" w:color="auto" w:fill="C6EFCE"/>
            <w:noWrap/>
            <w:vAlign w:val="center"/>
          </w:tcPr>
          <w:p w14:paraId="0A7BC5B0" w14:textId="77777777" w:rsidR="003F5418" w:rsidRDefault="002A6C25">
            <w:pPr>
              <w:pStyle w:val="P68B1DB1-Normal9"/>
              <w:rPr>
                <w:noProof/>
              </w:rPr>
            </w:pPr>
            <w:r>
              <w:rPr>
                <w:noProof/>
              </w:rPr>
              <w:t>Horizontális intézkedések a kifizető üg</w:t>
            </w:r>
            <w:r>
              <w:rPr>
                <w:noProof/>
              </w:rPr>
              <w:t>ynökség vállalkozásoknak történő késedelmes kifizetéseinek csökkentésére</w:t>
            </w:r>
          </w:p>
        </w:tc>
      </w:tr>
      <w:tr w:rsidR="003F5418" w14:paraId="54E5F521"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77C26E" w14:textId="77777777" w:rsidR="003F5418" w:rsidRDefault="003F5418">
            <w:pPr>
              <w:jc w:val="center"/>
              <w:rPr>
                <w:noProof/>
                <w:color w:val="006100"/>
                <w:sz w:val="20"/>
              </w:rPr>
            </w:pPr>
          </w:p>
        </w:tc>
        <w:tc>
          <w:tcPr>
            <w:tcW w:w="3150" w:type="dxa"/>
            <w:tcBorders>
              <w:top w:val="single" w:sz="4" w:space="0" w:color="auto"/>
              <w:left w:val="nil"/>
              <w:bottom w:val="single" w:sz="4" w:space="0" w:color="auto"/>
              <w:right w:val="single" w:sz="4" w:space="0" w:color="auto"/>
            </w:tcBorders>
            <w:shd w:val="clear" w:color="auto" w:fill="C6EFCE"/>
            <w:noWrap/>
            <w:vAlign w:val="bottom"/>
          </w:tcPr>
          <w:p w14:paraId="626AEE4B" w14:textId="77777777" w:rsidR="003F5418" w:rsidRDefault="003F5418">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3B44A882" w14:textId="77777777" w:rsidR="003F5418" w:rsidRDefault="002A6C25">
            <w:pPr>
              <w:pStyle w:val="P68B1DB1-Normal9"/>
              <w:rPr>
                <w:noProof/>
              </w:rPr>
            </w:pPr>
            <w:r>
              <w:rPr>
                <w:noProof/>
              </w:rPr>
              <w:t>Részösszeg</w:t>
            </w:r>
          </w:p>
        </w:tc>
        <w:tc>
          <w:tcPr>
            <w:tcW w:w="3959" w:type="dxa"/>
            <w:tcBorders>
              <w:top w:val="single" w:sz="4" w:space="0" w:color="auto"/>
              <w:left w:val="nil"/>
              <w:bottom w:val="single" w:sz="4" w:space="0" w:color="auto"/>
              <w:right w:val="single" w:sz="4" w:space="0" w:color="auto"/>
            </w:tcBorders>
            <w:shd w:val="clear" w:color="auto" w:fill="C6EFCE"/>
            <w:noWrap/>
            <w:vAlign w:val="bottom"/>
          </w:tcPr>
          <w:p w14:paraId="54016754" w14:textId="4D541C87" w:rsidR="003F5418" w:rsidRDefault="002A6C25">
            <w:pPr>
              <w:pStyle w:val="P68B1DB1-Normal9"/>
              <w:rPr>
                <w:noProof/>
              </w:rPr>
            </w:pPr>
            <w:r>
              <w:rPr>
                <w:noProof/>
              </w:rPr>
              <w:t xml:space="preserve">7 670 089 282 EUR </w:t>
            </w:r>
          </w:p>
        </w:tc>
      </w:tr>
    </w:tbl>
    <w:p w14:paraId="14F9D73F" w14:textId="77777777" w:rsidR="003F5418" w:rsidRDefault="002A6C25">
      <w:pPr>
        <w:pStyle w:val="P68B1DB1-Normal35"/>
        <w:numPr>
          <w:ilvl w:val="1"/>
          <w:numId w:val="6"/>
        </w:numPr>
        <w:spacing w:before="120" w:after="120"/>
        <w:jc w:val="both"/>
        <w:rPr>
          <w:noProof/>
        </w:rPr>
      </w:pPr>
      <w:r>
        <w:rPr>
          <w:noProof/>
        </w:rPr>
        <w:t>Tizedik részlet (vissza nem térítendő támogatás):</w:t>
      </w:r>
    </w:p>
    <w:tbl>
      <w:tblPr>
        <w:tblW w:w="10023" w:type="dxa"/>
        <w:tblInd w:w="113" w:type="dxa"/>
        <w:tblLook w:val="04A0" w:firstRow="1" w:lastRow="0" w:firstColumn="1" w:lastColumn="0" w:noHBand="0" w:noVBand="1"/>
      </w:tblPr>
      <w:tblGrid>
        <w:gridCol w:w="1438"/>
        <w:gridCol w:w="3195"/>
        <w:gridCol w:w="1416"/>
        <w:gridCol w:w="4035"/>
      </w:tblGrid>
      <w:tr w:rsidR="003F5418" w14:paraId="16A8996B"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FC340B6"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0966222" w14:textId="77777777" w:rsidR="003F5418" w:rsidRDefault="002A6C25">
            <w:pPr>
              <w:pStyle w:val="P68B1DB1-Normal36"/>
              <w:jc w:val="center"/>
              <w:rPr>
                <w:noProof/>
              </w:rPr>
            </w:pPr>
            <w:r>
              <w:rPr>
                <w:noProof/>
              </w:rPr>
              <w:t>Kapcsolódó intézkedés (reform vagy beruházás)</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43F67EC" w14:textId="77777777" w:rsidR="003F5418" w:rsidRDefault="002A6C25">
            <w:pPr>
              <w:pStyle w:val="P68B1DB1-Normal36"/>
              <w:jc w:val="center"/>
              <w:rPr>
                <w:noProof/>
              </w:rPr>
            </w:pPr>
            <w:r>
              <w:rPr>
                <w:noProof/>
              </w:rPr>
              <w:t>Mérföldkő/cél</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82C411" w14:textId="77777777" w:rsidR="003F5418" w:rsidRDefault="002A6C25">
            <w:pPr>
              <w:pStyle w:val="P68B1DB1-Normal36"/>
              <w:jc w:val="center"/>
              <w:rPr>
                <w:noProof/>
              </w:rPr>
            </w:pPr>
            <w:r>
              <w:rPr>
                <w:noProof/>
              </w:rPr>
              <w:t>Név</w:t>
            </w:r>
          </w:p>
        </w:tc>
      </w:tr>
      <w:tr w:rsidR="003F5418" w14:paraId="18136376"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D125E28"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24B31EE4" w14:textId="77777777" w:rsidR="003F5418" w:rsidRDefault="003F5418">
            <w:pPr>
              <w:rPr>
                <w:b/>
                <w:noProof/>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6B4DC0F" w14:textId="77777777" w:rsidR="003F5418" w:rsidRDefault="003F5418">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636AED02" w14:textId="77777777" w:rsidR="003F5418" w:rsidRDefault="003F5418">
            <w:pPr>
              <w:rPr>
                <w:b/>
                <w:noProof/>
              </w:rPr>
            </w:pPr>
          </w:p>
        </w:tc>
      </w:tr>
      <w:tr w:rsidR="003F5418" w14:paraId="46C17A6E"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DB5167" w14:textId="77777777" w:rsidR="003F5418" w:rsidRDefault="002A6C25">
            <w:pPr>
              <w:pStyle w:val="P68B1DB1-Normal9"/>
              <w:jc w:val="center"/>
              <w:rPr>
                <w:noProof/>
              </w:rPr>
            </w:pPr>
            <w:r>
              <w:rPr>
                <w:noProof/>
              </w:rPr>
              <w:t>M1C1–88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0ACEA45A" w14:textId="77777777" w:rsidR="003F5418" w:rsidRDefault="002A6C25">
            <w:pPr>
              <w:pStyle w:val="P68B1DB1-Normal9"/>
              <w:rPr>
                <w:noProof/>
              </w:rPr>
            </w:pPr>
            <w:r>
              <w:rPr>
                <w:noProof/>
              </w:rPr>
              <w:t xml:space="preserve">Reform: A </w:t>
            </w:r>
            <w:r>
              <w:rPr>
                <w:noProof/>
              </w:rPr>
              <w:t>közigazgatási és egészségügyi hatóságok késedelmes kifizetéseinek csökkentése</w:t>
            </w:r>
          </w:p>
        </w:tc>
        <w:tc>
          <w:tcPr>
            <w:tcW w:w="1380" w:type="dxa"/>
            <w:tcBorders>
              <w:top w:val="single" w:sz="4" w:space="0" w:color="auto"/>
              <w:left w:val="nil"/>
              <w:bottom w:val="single" w:sz="4" w:space="0" w:color="auto"/>
              <w:right w:val="single" w:sz="4" w:space="0" w:color="auto"/>
            </w:tcBorders>
            <w:shd w:val="clear" w:color="auto" w:fill="C6EFCE"/>
            <w:noWrap/>
            <w:vAlign w:val="center"/>
          </w:tcPr>
          <w:p w14:paraId="3483D28F" w14:textId="77777777" w:rsidR="003F5418" w:rsidRDefault="002A6C25">
            <w:pPr>
              <w:pStyle w:val="P68B1DB1-Normal9"/>
              <w:jc w:val="center"/>
              <w:rPr>
                <w:noProof/>
              </w:rPr>
            </w:pPr>
            <w:r>
              <w:rPr>
                <w:noProof/>
              </w:rPr>
              <w:t>Cél</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403184D3" w14:textId="77777777" w:rsidR="003F5418" w:rsidRDefault="002A6C25">
            <w:pPr>
              <w:pStyle w:val="P68B1DB1-Normal9"/>
              <w:rPr>
                <w:noProof/>
              </w:rPr>
            </w:pPr>
            <w:r>
              <w:rPr>
                <w:noProof/>
              </w:rPr>
              <w:t>Csökken a központi közigazgatási szervek által a vállalkozásoknak fizetett napok átlagos száma</w:t>
            </w:r>
          </w:p>
        </w:tc>
      </w:tr>
      <w:tr w:rsidR="003F5418" w14:paraId="400A8A4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829765" w14:textId="77777777" w:rsidR="003F5418" w:rsidRDefault="002A6C25">
            <w:pPr>
              <w:pStyle w:val="P68B1DB1-Normal9"/>
              <w:jc w:val="center"/>
              <w:rPr>
                <w:noProof/>
              </w:rPr>
            </w:pPr>
            <w:r>
              <w:rPr>
                <w:noProof/>
              </w:rPr>
              <w:t>M1C1–89.</w:t>
            </w:r>
          </w:p>
        </w:tc>
        <w:tc>
          <w:tcPr>
            <w:tcW w:w="3195" w:type="dxa"/>
            <w:tcBorders>
              <w:top w:val="nil"/>
              <w:left w:val="nil"/>
              <w:bottom w:val="single" w:sz="4" w:space="0" w:color="auto"/>
              <w:right w:val="single" w:sz="4" w:space="0" w:color="auto"/>
            </w:tcBorders>
            <w:shd w:val="clear" w:color="auto" w:fill="C6EFCE"/>
            <w:noWrap/>
            <w:vAlign w:val="center"/>
          </w:tcPr>
          <w:p w14:paraId="37F6B178" w14:textId="77777777" w:rsidR="003F5418" w:rsidRDefault="002A6C25">
            <w:pPr>
              <w:pStyle w:val="P68B1DB1-Normal9"/>
              <w:rPr>
                <w:noProof/>
              </w:rPr>
            </w:pPr>
            <w:r>
              <w:rPr>
                <w:noProof/>
              </w:rPr>
              <w:t>Reform: A közigazgatási és egészségügyi hatóságok késedelmes kifizeté</w:t>
            </w:r>
            <w:r>
              <w:rPr>
                <w:noProof/>
              </w:rPr>
              <w:t>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0E030FC7"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6810E33" w14:textId="77777777" w:rsidR="003F5418" w:rsidRDefault="002A6C25">
            <w:pPr>
              <w:pStyle w:val="P68B1DB1-Normal9"/>
              <w:rPr>
                <w:noProof/>
              </w:rPr>
            </w:pPr>
            <w:r>
              <w:rPr>
                <w:noProof/>
              </w:rPr>
              <w:t>A regionális közigazgatási szervek által a vállalkozások számára fizetett napok átlagos száma csökken</w:t>
            </w:r>
          </w:p>
        </w:tc>
      </w:tr>
      <w:tr w:rsidR="003F5418" w14:paraId="509FE3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669D47" w14:textId="77777777" w:rsidR="003F5418" w:rsidRDefault="002A6C25">
            <w:pPr>
              <w:pStyle w:val="P68B1DB1-Normal9"/>
              <w:jc w:val="center"/>
              <w:rPr>
                <w:noProof/>
              </w:rPr>
            </w:pPr>
            <w:r>
              <w:rPr>
                <w:noProof/>
              </w:rPr>
              <w:t>M1C1–90</w:t>
            </w:r>
          </w:p>
        </w:tc>
        <w:tc>
          <w:tcPr>
            <w:tcW w:w="3195" w:type="dxa"/>
            <w:tcBorders>
              <w:top w:val="nil"/>
              <w:left w:val="nil"/>
              <w:bottom w:val="single" w:sz="4" w:space="0" w:color="auto"/>
              <w:right w:val="single" w:sz="4" w:space="0" w:color="auto"/>
            </w:tcBorders>
            <w:shd w:val="clear" w:color="auto" w:fill="C6EFCE"/>
            <w:noWrap/>
            <w:vAlign w:val="center"/>
          </w:tcPr>
          <w:p w14:paraId="4EAC9970" w14:textId="77777777" w:rsidR="003F5418" w:rsidRDefault="002A6C25">
            <w:pPr>
              <w:pStyle w:val="P68B1DB1-Normal9"/>
              <w:rPr>
                <w:noProof/>
              </w:rPr>
            </w:pPr>
            <w:r>
              <w:rPr>
                <w:noProof/>
              </w:rPr>
              <w:t>Reform: A közigazgatási és egészségügyi hatóságok késedelmes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4E874636"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69D6E5E" w14:textId="77777777" w:rsidR="003F5418" w:rsidRDefault="002A6C25">
            <w:pPr>
              <w:pStyle w:val="P68B1DB1-Normal9"/>
              <w:rPr>
                <w:noProof/>
              </w:rPr>
            </w:pPr>
            <w:r>
              <w:rPr>
                <w:noProof/>
              </w:rPr>
              <w:t xml:space="preserve">A helyi közigazgatási szervek </w:t>
            </w:r>
            <w:r>
              <w:rPr>
                <w:noProof/>
              </w:rPr>
              <w:t>által a vállalkozásoknak fizetett napok átlagos száma csökken</w:t>
            </w:r>
          </w:p>
        </w:tc>
      </w:tr>
      <w:tr w:rsidR="003F5418" w14:paraId="5FAAC9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530FB" w14:textId="77777777" w:rsidR="003F5418" w:rsidRDefault="002A6C25">
            <w:pPr>
              <w:pStyle w:val="P68B1DB1-Normal9"/>
              <w:jc w:val="center"/>
              <w:rPr>
                <w:noProof/>
              </w:rPr>
            </w:pPr>
            <w:r>
              <w:rPr>
                <w:noProof/>
              </w:rPr>
              <w:t>M1C1–91</w:t>
            </w:r>
          </w:p>
        </w:tc>
        <w:tc>
          <w:tcPr>
            <w:tcW w:w="3195" w:type="dxa"/>
            <w:tcBorders>
              <w:top w:val="nil"/>
              <w:left w:val="nil"/>
              <w:bottom w:val="single" w:sz="4" w:space="0" w:color="auto"/>
              <w:right w:val="single" w:sz="4" w:space="0" w:color="auto"/>
            </w:tcBorders>
            <w:shd w:val="clear" w:color="auto" w:fill="C6EFCE"/>
            <w:noWrap/>
            <w:vAlign w:val="center"/>
          </w:tcPr>
          <w:p w14:paraId="1394D93D" w14:textId="77777777" w:rsidR="003F5418" w:rsidRDefault="002A6C25">
            <w:pPr>
              <w:pStyle w:val="P68B1DB1-Normal9"/>
              <w:rPr>
                <w:noProof/>
              </w:rPr>
            </w:pPr>
            <w:r>
              <w:rPr>
                <w:noProof/>
              </w:rPr>
              <w:t>Reform: A közigazgatási és egészségügyi hatóságok késedelmes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505EBAA6"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5D2B42B4" w14:textId="77777777" w:rsidR="003F5418" w:rsidRDefault="002A6C25">
            <w:pPr>
              <w:pStyle w:val="P68B1DB1-Normal9"/>
              <w:rPr>
                <w:noProof/>
              </w:rPr>
            </w:pPr>
            <w:r>
              <w:rPr>
                <w:noProof/>
              </w:rPr>
              <w:t>A közegészségügyi hatóságok számára a vállalkozások fizetésére rendelkezésre álló napok átlag</w:t>
            </w:r>
            <w:r>
              <w:rPr>
                <w:noProof/>
              </w:rPr>
              <w:t>os száma csökken</w:t>
            </w:r>
          </w:p>
        </w:tc>
      </w:tr>
      <w:tr w:rsidR="003F5418" w14:paraId="69EDF4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FD88B4" w14:textId="77777777" w:rsidR="003F5418" w:rsidRDefault="002A6C25">
            <w:pPr>
              <w:pStyle w:val="P68B1DB1-Normal9"/>
              <w:jc w:val="center"/>
              <w:rPr>
                <w:noProof/>
              </w:rPr>
            </w:pPr>
            <w:r>
              <w:rPr>
                <w:noProof/>
              </w:rPr>
              <w:t>M1C1–92</w:t>
            </w:r>
          </w:p>
        </w:tc>
        <w:tc>
          <w:tcPr>
            <w:tcW w:w="3195" w:type="dxa"/>
            <w:tcBorders>
              <w:top w:val="nil"/>
              <w:left w:val="nil"/>
              <w:bottom w:val="single" w:sz="4" w:space="0" w:color="auto"/>
              <w:right w:val="single" w:sz="4" w:space="0" w:color="auto"/>
            </w:tcBorders>
            <w:shd w:val="clear" w:color="auto" w:fill="C6EFCE"/>
            <w:noWrap/>
            <w:vAlign w:val="center"/>
          </w:tcPr>
          <w:p w14:paraId="5A7226C6" w14:textId="77777777" w:rsidR="003F5418" w:rsidRDefault="002A6C25">
            <w:pPr>
              <w:pStyle w:val="P68B1DB1-Normal9"/>
              <w:rPr>
                <w:noProof/>
              </w:rPr>
            </w:pPr>
            <w:r>
              <w:rPr>
                <w:noProof/>
              </w:rPr>
              <w:t>Reform: A közigazgatási és egészségügyi hatóságok késedelmes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68465B69"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E2DB10B" w14:textId="77777777" w:rsidR="003F5418" w:rsidRDefault="002A6C25">
            <w:pPr>
              <w:pStyle w:val="P68B1DB1-Normal9"/>
              <w:rPr>
                <w:noProof/>
              </w:rPr>
            </w:pPr>
            <w:r>
              <w:rPr>
                <w:noProof/>
              </w:rPr>
              <w:t>Csökken a központi közigazgatási szervek által a vállalkozások fizetésére fordított napok átlagos száma</w:t>
            </w:r>
          </w:p>
        </w:tc>
      </w:tr>
      <w:tr w:rsidR="003F5418" w14:paraId="79EE95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5BB34" w14:textId="77777777" w:rsidR="003F5418" w:rsidRDefault="002A6C25">
            <w:pPr>
              <w:pStyle w:val="P68B1DB1-Normal9"/>
              <w:jc w:val="center"/>
              <w:rPr>
                <w:noProof/>
              </w:rPr>
            </w:pPr>
            <w:r>
              <w:rPr>
                <w:noProof/>
              </w:rPr>
              <w:t>M1C1–93</w:t>
            </w:r>
          </w:p>
        </w:tc>
        <w:tc>
          <w:tcPr>
            <w:tcW w:w="3195" w:type="dxa"/>
            <w:tcBorders>
              <w:top w:val="nil"/>
              <w:left w:val="nil"/>
              <w:bottom w:val="single" w:sz="4" w:space="0" w:color="auto"/>
              <w:right w:val="single" w:sz="4" w:space="0" w:color="auto"/>
            </w:tcBorders>
            <w:shd w:val="clear" w:color="auto" w:fill="C6EFCE"/>
            <w:noWrap/>
            <w:vAlign w:val="center"/>
          </w:tcPr>
          <w:p w14:paraId="04ABA50B" w14:textId="77777777" w:rsidR="003F5418" w:rsidRDefault="002A6C25">
            <w:pPr>
              <w:pStyle w:val="P68B1DB1-Normal9"/>
              <w:rPr>
                <w:noProof/>
              </w:rPr>
            </w:pPr>
            <w:r>
              <w:rPr>
                <w:noProof/>
              </w:rPr>
              <w:t xml:space="preserve">Reform: A közigazgatási </w:t>
            </w:r>
            <w:r>
              <w:rPr>
                <w:noProof/>
              </w:rPr>
              <w:t>és egészségügyi hatóságok késedelmes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47E740BB"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DAB2672" w14:textId="77777777" w:rsidR="003F5418" w:rsidRDefault="002A6C25">
            <w:pPr>
              <w:pStyle w:val="P68B1DB1-Normal9"/>
              <w:rPr>
                <w:noProof/>
              </w:rPr>
            </w:pPr>
            <w:r>
              <w:rPr>
                <w:noProof/>
              </w:rPr>
              <w:t>A regionális közigazgatási szervek számára a vállalkozások kifizetésével kapcsolatban eltelt napok átlagos száma csökken</w:t>
            </w:r>
          </w:p>
        </w:tc>
      </w:tr>
      <w:tr w:rsidR="003F5418" w14:paraId="260770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DA7D9A" w14:textId="77777777" w:rsidR="003F5418" w:rsidRDefault="002A6C25">
            <w:pPr>
              <w:pStyle w:val="P68B1DB1-Normal9"/>
              <w:jc w:val="center"/>
              <w:rPr>
                <w:noProof/>
              </w:rPr>
            </w:pPr>
            <w:r>
              <w:rPr>
                <w:noProof/>
              </w:rPr>
              <w:t>M1C1–94</w:t>
            </w:r>
          </w:p>
        </w:tc>
        <w:tc>
          <w:tcPr>
            <w:tcW w:w="3195" w:type="dxa"/>
            <w:tcBorders>
              <w:top w:val="nil"/>
              <w:left w:val="nil"/>
              <w:bottom w:val="single" w:sz="4" w:space="0" w:color="auto"/>
              <w:right w:val="single" w:sz="4" w:space="0" w:color="auto"/>
            </w:tcBorders>
            <w:shd w:val="clear" w:color="auto" w:fill="C6EFCE"/>
            <w:noWrap/>
            <w:vAlign w:val="center"/>
          </w:tcPr>
          <w:p w14:paraId="69116CA9" w14:textId="77777777" w:rsidR="003F5418" w:rsidRDefault="002A6C25">
            <w:pPr>
              <w:pStyle w:val="P68B1DB1-Normal9"/>
              <w:rPr>
                <w:noProof/>
              </w:rPr>
            </w:pPr>
            <w:r>
              <w:rPr>
                <w:noProof/>
              </w:rPr>
              <w:t>Reform: A közigazgatási és egészségügyi hatóságok késedelm</w:t>
            </w:r>
            <w:r>
              <w:rPr>
                <w:noProof/>
              </w:rPr>
              <w:t>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5C8288ED"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6CBDDC4" w14:textId="77777777" w:rsidR="003F5418" w:rsidRDefault="002A6C25">
            <w:pPr>
              <w:pStyle w:val="P68B1DB1-Normal9"/>
              <w:rPr>
                <w:noProof/>
              </w:rPr>
            </w:pPr>
            <w:r>
              <w:rPr>
                <w:noProof/>
              </w:rPr>
              <w:t>A helyi közigazgatási szervek számára a vállalkozások kifizetésével kapcsolatban eltelt napok átlagos száma csökken</w:t>
            </w:r>
          </w:p>
        </w:tc>
      </w:tr>
      <w:tr w:rsidR="003F5418" w14:paraId="7005ED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7CAF8C" w14:textId="77777777" w:rsidR="003F5418" w:rsidRDefault="002A6C25">
            <w:pPr>
              <w:pStyle w:val="P68B1DB1-Normal9"/>
              <w:jc w:val="center"/>
              <w:rPr>
                <w:noProof/>
              </w:rPr>
            </w:pPr>
            <w:r>
              <w:rPr>
                <w:noProof/>
              </w:rPr>
              <w:t>M1C1–95</w:t>
            </w:r>
          </w:p>
        </w:tc>
        <w:tc>
          <w:tcPr>
            <w:tcW w:w="3195" w:type="dxa"/>
            <w:tcBorders>
              <w:top w:val="nil"/>
              <w:left w:val="nil"/>
              <w:bottom w:val="single" w:sz="4" w:space="0" w:color="auto"/>
              <w:right w:val="single" w:sz="4" w:space="0" w:color="auto"/>
            </w:tcBorders>
            <w:shd w:val="clear" w:color="auto" w:fill="C6EFCE"/>
            <w:noWrap/>
            <w:vAlign w:val="center"/>
          </w:tcPr>
          <w:p w14:paraId="786739C4" w14:textId="77777777" w:rsidR="003F5418" w:rsidRDefault="002A6C25">
            <w:pPr>
              <w:pStyle w:val="P68B1DB1-Normal9"/>
              <w:rPr>
                <w:noProof/>
              </w:rPr>
            </w:pPr>
            <w:r>
              <w:rPr>
                <w:noProof/>
              </w:rPr>
              <w:t>Reform: A közigazgatási és egészségügyi hatóságok késedelmes kifizetéseinek csökkentése</w:t>
            </w:r>
          </w:p>
        </w:tc>
        <w:tc>
          <w:tcPr>
            <w:tcW w:w="1380" w:type="dxa"/>
            <w:tcBorders>
              <w:top w:val="nil"/>
              <w:left w:val="nil"/>
              <w:bottom w:val="single" w:sz="4" w:space="0" w:color="auto"/>
              <w:right w:val="single" w:sz="4" w:space="0" w:color="auto"/>
            </w:tcBorders>
            <w:shd w:val="clear" w:color="auto" w:fill="C6EFCE"/>
            <w:noWrap/>
            <w:vAlign w:val="center"/>
          </w:tcPr>
          <w:p w14:paraId="2B1FFEF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5859085" w14:textId="77777777" w:rsidR="003F5418" w:rsidRDefault="002A6C25">
            <w:pPr>
              <w:pStyle w:val="P68B1DB1-Normal9"/>
              <w:rPr>
                <w:noProof/>
              </w:rPr>
            </w:pPr>
            <w:r>
              <w:rPr>
                <w:noProof/>
              </w:rPr>
              <w:t>Csökken az egészségügyi közigazgatási szervek által a vállalkozások fizetésére fordított napok átlagos száma</w:t>
            </w:r>
          </w:p>
        </w:tc>
      </w:tr>
      <w:tr w:rsidR="003F5418" w14:paraId="48BBD24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7BB188" w14:textId="77777777" w:rsidR="003F5418" w:rsidRDefault="002A6C25">
            <w:pPr>
              <w:pStyle w:val="P68B1DB1-Normal9"/>
              <w:jc w:val="center"/>
              <w:rPr>
                <w:noProof/>
              </w:rPr>
            </w:pPr>
            <w:r>
              <w:rPr>
                <w:noProof/>
              </w:rPr>
              <w:t>M1C1–117</w:t>
            </w:r>
          </w:p>
        </w:tc>
        <w:tc>
          <w:tcPr>
            <w:tcW w:w="3195" w:type="dxa"/>
            <w:tcBorders>
              <w:top w:val="nil"/>
              <w:left w:val="nil"/>
              <w:bottom w:val="single" w:sz="4" w:space="0" w:color="auto"/>
              <w:right w:val="single" w:sz="4" w:space="0" w:color="auto"/>
            </w:tcBorders>
            <w:shd w:val="clear" w:color="auto" w:fill="C6EFCE"/>
            <w:noWrap/>
            <w:vAlign w:val="center"/>
          </w:tcPr>
          <w:p w14:paraId="5A568459" w14:textId="77777777" w:rsidR="003F5418" w:rsidRDefault="002A6C25">
            <w:pPr>
              <w:pStyle w:val="P68B1DB1-Normal9"/>
              <w:rPr>
                <w:noProof/>
              </w:rPr>
            </w:pPr>
            <w:r>
              <w:rPr>
                <w:noProof/>
              </w:rPr>
              <w:t>Reform: Az államháztartási számviteli szabályok reformja</w:t>
            </w:r>
          </w:p>
        </w:tc>
        <w:tc>
          <w:tcPr>
            <w:tcW w:w="1380" w:type="dxa"/>
            <w:tcBorders>
              <w:top w:val="nil"/>
              <w:left w:val="nil"/>
              <w:bottom w:val="single" w:sz="4" w:space="0" w:color="auto"/>
              <w:right w:val="single" w:sz="4" w:space="0" w:color="auto"/>
            </w:tcBorders>
            <w:shd w:val="clear" w:color="auto" w:fill="C6EFCE"/>
            <w:noWrap/>
            <w:vAlign w:val="center"/>
          </w:tcPr>
          <w:p w14:paraId="44203149"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20F8707" w14:textId="77777777" w:rsidR="003F5418" w:rsidRDefault="002A6C25">
            <w:pPr>
              <w:pStyle w:val="P68B1DB1-Normal9"/>
              <w:rPr>
                <w:noProof/>
              </w:rPr>
            </w:pPr>
            <w:r>
              <w:rPr>
                <w:noProof/>
              </w:rPr>
              <w:t>Az új eredményszemléletű számviteli rendszerre való átállásra kiképzett közi</w:t>
            </w:r>
            <w:r>
              <w:rPr>
                <w:noProof/>
              </w:rPr>
              <w:t>ntézmények</w:t>
            </w:r>
          </w:p>
        </w:tc>
      </w:tr>
      <w:tr w:rsidR="003F5418" w14:paraId="4D76CE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7F23F1" w14:textId="77777777" w:rsidR="003F5418" w:rsidRDefault="002A6C25">
            <w:pPr>
              <w:pStyle w:val="P68B1DB1-Normal9"/>
              <w:jc w:val="center"/>
              <w:rPr>
                <w:noProof/>
              </w:rPr>
            </w:pPr>
            <w:r>
              <w:rPr>
                <w:noProof/>
              </w:rPr>
              <w:t>M1C1–119</w:t>
            </w:r>
          </w:p>
        </w:tc>
        <w:tc>
          <w:tcPr>
            <w:tcW w:w="3195" w:type="dxa"/>
            <w:tcBorders>
              <w:top w:val="nil"/>
              <w:left w:val="nil"/>
              <w:bottom w:val="single" w:sz="4" w:space="0" w:color="auto"/>
              <w:right w:val="single" w:sz="4" w:space="0" w:color="auto"/>
            </w:tcBorders>
            <w:shd w:val="clear" w:color="auto" w:fill="C6EFCE"/>
            <w:noWrap/>
            <w:vAlign w:val="center"/>
          </w:tcPr>
          <w:p w14:paraId="7092C431" w14:textId="77777777" w:rsidR="003F5418" w:rsidRDefault="002A6C25">
            <w:pPr>
              <w:pStyle w:val="P68B1DB1-Normal9"/>
              <w:rPr>
                <w:noProof/>
              </w:rPr>
            </w:pPr>
            <w:r>
              <w:rPr>
                <w:noProof/>
              </w:rPr>
              <w:t>Reform: A szubnacionális költségvetési keret reformja</w:t>
            </w:r>
          </w:p>
        </w:tc>
        <w:tc>
          <w:tcPr>
            <w:tcW w:w="1380" w:type="dxa"/>
            <w:tcBorders>
              <w:top w:val="nil"/>
              <w:left w:val="nil"/>
              <w:bottom w:val="single" w:sz="4" w:space="0" w:color="auto"/>
              <w:right w:val="single" w:sz="4" w:space="0" w:color="auto"/>
            </w:tcBorders>
            <w:shd w:val="clear" w:color="auto" w:fill="C6EFCE"/>
            <w:noWrap/>
            <w:vAlign w:val="center"/>
          </w:tcPr>
          <w:p w14:paraId="497D7E5E"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6E65ABA5" w14:textId="77777777" w:rsidR="003F5418" w:rsidRDefault="002A6C25">
            <w:pPr>
              <w:pStyle w:val="P68B1DB1-Normal9"/>
              <w:rPr>
                <w:noProof/>
              </w:rPr>
            </w:pPr>
            <w:r>
              <w:rPr>
                <w:noProof/>
              </w:rPr>
              <w:t>A regionális fiskális föderalizmus végrehajtását célzó elsődleges és másodlagos jogszabályok hatálybalépése</w:t>
            </w:r>
          </w:p>
        </w:tc>
      </w:tr>
      <w:tr w:rsidR="003F5418" w14:paraId="66E0C8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DA249B" w14:textId="77777777" w:rsidR="003F5418" w:rsidRDefault="002A6C25">
            <w:pPr>
              <w:pStyle w:val="P68B1DB1-Normal9"/>
              <w:jc w:val="center"/>
              <w:rPr>
                <w:noProof/>
              </w:rPr>
            </w:pPr>
            <w:r>
              <w:rPr>
                <w:noProof/>
              </w:rPr>
              <w:t>M1C1–120</w:t>
            </w:r>
          </w:p>
        </w:tc>
        <w:tc>
          <w:tcPr>
            <w:tcW w:w="3195" w:type="dxa"/>
            <w:tcBorders>
              <w:top w:val="nil"/>
              <w:left w:val="nil"/>
              <w:bottom w:val="single" w:sz="4" w:space="0" w:color="auto"/>
              <w:right w:val="single" w:sz="4" w:space="0" w:color="auto"/>
            </w:tcBorders>
            <w:shd w:val="clear" w:color="auto" w:fill="C6EFCE"/>
            <w:noWrap/>
            <w:vAlign w:val="center"/>
          </w:tcPr>
          <w:p w14:paraId="08BB3590" w14:textId="77777777" w:rsidR="003F5418" w:rsidRDefault="002A6C25">
            <w:pPr>
              <w:pStyle w:val="P68B1DB1-Normal9"/>
              <w:rPr>
                <w:noProof/>
              </w:rPr>
            </w:pPr>
            <w:r>
              <w:rPr>
                <w:noProof/>
              </w:rPr>
              <w:t>Reform: A szubnacionális költségvetési keret reformja</w:t>
            </w:r>
          </w:p>
        </w:tc>
        <w:tc>
          <w:tcPr>
            <w:tcW w:w="1380" w:type="dxa"/>
            <w:tcBorders>
              <w:top w:val="nil"/>
              <w:left w:val="nil"/>
              <w:bottom w:val="single" w:sz="4" w:space="0" w:color="auto"/>
              <w:right w:val="single" w:sz="4" w:space="0" w:color="auto"/>
            </w:tcBorders>
            <w:shd w:val="clear" w:color="auto" w:fill="C6EFCE"/>
            <w:noWrap/>
            <w:vAlign w:val="center"/>
          </w:tcPr>
          <w:p w14:paraId="11029455"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B012B24" w14:textId="77777777" w:rsidR="003F5418" w:rsidRDefault="002A6C25">
            <w:pPr>
              <w:pStyle w:val="P68B1DB1-Normal9"/>
              <w:rPr>
                <w:noProof/>
              </w:rPr>
            </w:pPr>
            <w:r>
              <w:rPr>
                <w:noProof/>
              </w:rPr>
              <w:t>A regionális fiskális föderalizmus végrehajtását célzó elsődleges és másodlagos jogszabályok hatálybalépése</w:t>
            </w:r>
          </w:p>
        </w:tc>
      </w:tr>
      <w:tr w:rsidR="003F5418" w14:paraId="6DC9C2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DF6C5" w14:textId="77777777" w:rsidR="003F5418" w:rsidRDefault="002A6C25">
            <w:pPr>
              <w:pStyle w:val="P68B1DB1-Normal9"/>
              <w:jc w:val="center"/>
              <w:rPr>
                <w:noProof/>
              </w:rPr>
            </w:pPr>
            <w:r>
              <w:rPr>
                <w:noProof/>
              </w:rPr>
              <w:t>M3C2–6</w:t>
            </w:r>
          </w:p>
        </w:tc>
        <w:tc>
          <w:tcPr>
            <w:tcW w:w="3195" w:type="dxa"/>
            <w:tcBorders>
              <w:top w:val="nil"/>
              <w:left w:val="nil"/>
              <w:bottom w:val="single" w:sz="4" w:space="0" w:color="auto"/>
              <w:right w:val="single" w:sz="4" w:space="0" w:color="auto"/>
            </w:tcBorders>
            <w:shd w:val="clear" w:color="auto" w:fill="C6EFCE"/>
            <w:noWrap/>
            <w:vAlign w:val="center"/>
          </w:tcPr>
          <w:p w14:paraId="7370D06F" w14:textId="77777777" w:rsidR="003F5418" w:rsidRDefault="002A6C25">
            <w:pPr>
              <w:pStyle w:val="P68B1DB1-Normal9"/>
              <w:rPr>
                <w:noProof/>
              </w:rPr>
            </w:pPr>
            <w:r>
              <w:rPr>
                <w:noProof/>
              </w:rPr>
              <w:t>Beruházás: A légiforgalmi szolgáltatás digitalizálása</w:t>
            </w:r>
          </w:p>
        </w:tc>
        <w:tc>
          <w:tcPr>
            <w:tcW w:w="1380" w:type="dxa"/>
            <w:tcBorders>
              <w:top w:val="nil"/>
              <w:left w:val="nil"/>
              <w:bottom w:val="single" w:sz="4" w:space="0" w:color="auto"/>
              <w:right w:val="single" w:sz="4" w:space="0" w:color="auto"/>
            </w:tcBorders>
            <w:shd w:val="clear" w:color="auto" w:fill="C6EFCE"/>
            <w:noWrap/>
            <w:vAlign w:val="center"/>
          </w:tcPr>
          <w:p w14:paraId="49F92F9B" w14:textId="0ADB3BB0"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77A41BC1" w14:textId="77777777" w:rsidR="003F5418" w:rsidRDefault="002A6C25">
            <w:pPr>
              <w:pStyle w:val="P68B1DB1-Normal9"/>
              <w:rPr>
                <w:noProof/>
              </w:rPr>
            </w:pPr>
            <w:r>
              <w:rPr>
                <w:noProof/>
              </w:rPr>
              <w:t xml:space="preserve">A légiforgalmi szolgáltatás digitalizálása: új eszközök üzembe </w:t>
            </w:r>
            <w:r>
              <w:rPr>
                <w:noProof/>
              </w:rPr>
              <w:t>helyezése</w:t>
            </w:r>
          </w:p>
        </w:tc>
      </w:tr>
      <w:tr w:rsidR="003F5418" w14:paraId="43EA23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29787A" w14:textId="77777777" w:rsidR="003F5418" w:rsidRDefault="002A6C25">
            <w:pPr>
              <w:pStyle w:val="P68B1DB1-Normal9"/>
              <w:jc w:val="center"/>
              <w:rPr>
                <w:noProof/>
              </w:rPr>
            </w:pPr>
            <w:r>
              <w:rPr>
                <w:noProof/>
              </w:rPr>
              <w:t xml:space="preserve">M5C1–11 </w:t>
            </w:r>
          </w:p>
        </w:tc>
        <w:tc>
          <w:tcPr>
            <w:tcW w:w="3195" w:type="dxa"/>
            <w:tcBorders>
              <w:top w:val="nil"/>
              <w:left w:val="nil"/>
              <w:bottom w:val="single" w:sz="4" w:space="0" w:color="auto"/>
              <w:right w:val="single" w:sz="4" w:space="0" w:color="auto"/>
            </w:tcBorders>
            <w:shd w:val="clear" w:color="auto" w:fill="C6EFCE"/>
            <w:noWrap/>
            <w:vAlign w:val="center"/>
          </w:tcPr>
          <w:p w14:paraId="01FFD058" w14:textId="77777777" w:rsidR="003F5418" w:rsidRDefault="002A6C25">
            <w:pPr>
              <w:pStyle w:val="P68B1DB1-Normal9"/>
              <w:rPr>
                <w:noProof/>
              </w:rPr>
            </w:pPr>
            <w:r>
              <w:rPr>
                <w:noProof/>
              </w:rPr>
              <w:t xml:space="preserve">Reform – Be nem jelentett munka </w:t>
            </w:r>
          </w:p>
        </w:tc>
        <w:tc>
          <w:tcPr>
            <w:tcW w:w="1380" w:type="dxa"/>
            <w:tcBorders>
              <w:top w:val="nil"/>
              <w:left w:val="nil"/>
              <w:bottom w:val="single" w:sz="4" w:space="0" w:color="auto"/>
              <w:right w:val="single" w:sz="4" w:space="0" w:color="auto"/>
            </w:tcBorders>
            <w:shd w:val="clear" w:color="auto" w:fill="C6EFCE"/>
            <w:noWrap/>
            <w:vAlign w:val="center"/>
          </w:tcPr>
          <w:p w14:paraId="4DE8625C"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7124B93" w14:textId="77777777" w:rsidR="003F5418" w:rsidRDefault="002A6C25">
            <w:pPr>
              <w:pStyle w:val="P68B1DB1-Normal9"/>
              <w:rPr>
                <w:noProof/>
              </w:rPr>
            </w:pPr>
            <w:r>
              <w:rPr>
                <w:noProof/>
              </w:rPr>
              <w:t>A be nem jelentett munkavégzés előfordulásának csökkenése</w:t>
            </w:r>
          </w:p>
        </w:tc>
      </w:tr>
      <w:tr w:rsidR="003F5418" w14:paraId="6D50ED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5996E6" w14:textId="77777777" w:rsidR="003F5418" w:rsidRDefault="002A6C25">
            <w:pPr>
              <w:pStyle w:val="P68B1DB1-Normal9"/>
              <w:jc w:val="center"/>
              <w:rPr>
                <w:noProof/>
              </w:rPr>
            </w:pPr>
            <w:r>
              <w:rPr>
                <w:noProof/>
              </w:rPr>
              <w:t>M5C2–6</w:t>
            </w:r>
          </w:p>
        </w:tc>
        <w:tc>
          <w:tcPr>
            <w:tcW w:w="3195" w:type="dxa"/>
            <w:tcBorders>
              <w:top w:val="nil"/>
              <w:left w:val="nil"/>
              <w:bottom w:val="single" w:sz="4" w:space="0" w:color="auto"/>
              <w:right w:val="single" w:sz="4" w:space="0" w:color="auto"/>
            </w:tcBorders>
            <w:shd w:val="clear" w:color="auto" w:fill="C6EFCE"/>
            <w:noWrap/>
            <w:vAlign w:val="center"/>
          </w:tcPr>
          <w:p w14:paraId="6FFE9911" w14:textId="77777777" w:rsidR="003F5418" w:rsidRDefault="002A6C25">
            <w:pPr>
              <w:pStyle w:val="P68B1DB1-Normal9"/>
              <w:rPr>
                <w:noProof/>
              </w:rPr>
            </w:pPr>
            <w:r>
              <w:rPr>
                <w:noProof/>
              </w:rPr>
              <w:t>Beruházás – A kiszolgáltatott személyek támogatása és az intézményesítés megelőzése</w:t>
            </w:r>
          </w:p>
        </w:tc>
        <w:tc>
          <w:tcPr>
            <w:tcW w:w="1380" w:type="dxa"/>
            <w:tcBorders>
              <w:top w:val="nil"/>
              <w:left w:val="nil"/>
              <w:bottom w:val="single" w:sz="4" w:space="0" w:color="auto"/>
              <w:right w:val="single" w:sz="4" w:space="0" w:color="auto"/>
            </w:tcBorders>
            <w:shd w:val="clear" w:color="auto" w:fill="C6EFCE"/>
            <w:noWrap/>
            <w:vAlign w:val="center"/>
          </w:tcPr>
          <w:p w14:paraId="15432521"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BF41185" w14:textId="77777777" w:rsidR="003F5418" w:rsidRDefault="002A6C25">
            <w:pPr>
              <w:pStyle w:val="P68B1DB1-Normal9"/>
              <w:rPr>
                <w:noProof/>
              </w:rPr>
            </w:pPr>
            <w:r>
              <w:rPr>
                <w:noProof/>
              </w:rPr>
              <w:t xml:space="preserve">A szociális körzetek az alábbi eredmények </w:t>
            </w:r>
            <w:r>
              <w:rPr>
                <w:noProof/>
              </w:rPr>
              <w:t>közül legalább egyet elérnek: i. a szülők támogatása, ii. az idősek autonómiája, iii. az idősek otthoni ellátása vagy iv. a szociális munkások támogatása a kiégés megelőzése érdekében</w:t>
            </w:r>
          </w:p>
        </w:tc>
      </w:tr>
      <w:tr w:rsidR="003F5418" w14:paraId="30AFAF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B1BE86" w14:textId="77777777" w:rsidR="003F5418" w:rsidRDefault="002A6C25">
            <w:pPr>
              <w:pStyle w:val="P68B1DB1-Normal9"/>
              <w:jc w:val="center"/>
              <w:rPr>
                <w:noProof/>
              </w:rPr>
            </w:pPr>
            <w:r>
              <w:rPr>
                <w:noProof/>
              </w:rPr>
              <w:t>M5C2–8</w:t>
            </w:r>
          </w:p>
        </w:tc>
        <w:tc>
          <w:tcPr>
            <w:tcW w:w="3195" w:type="dxa"/>
            <w:tcBorders>
              <w:top w:val="nil"/>
              <w:left w:val="nil"/>
              <w:bottom w:val="single" w:sz="4" w:space="0" w:color="auto"/>
              <w:right w:val="single" w:sz="4" w:space="0" w:color="auto"/>
            </w:tcBorders>
            <w:shd w:val="clear" w:color="auto" w:fill="C6EFCE"/>
            <w:noWrap/>
            <w:vAlign w:val="center"/>
          </w:tcPr>
          <w:p w14:paraId="41E6F69E" w14:textId="77777777" w:rsidR="003F5418" w:rsidRDefault="002A6C25">
            <w:pPr>
              <w:pStyle w:val="P68B1DB1-Normal9"/>
              <w:rPr>
                <w:noProof/>
              </w:rPr>
            </w:pPr>
            <w:r>
              <w:rPr>
                <w:noProof/>
              </w:rPr>
              <w:t>Beruházás – Autonómiai minták a fogyatékossággal élő személyek s</w:t>
            </w:r>
            <w:r>
              <w:rPr>
                <w:noProof/>
              </w:rPr>
              <w:t>zámára</w:t>
            </w:r>
          </w:p>
        </w:tc>
        <w:tc>
          <w:tcPr>
            <w:tcW w:w="1380" w:type="dxa"/>
            <w:tcBorders>
              <w:top w:val="nil"/>
              <w:left w:val="nil"/>
              <w:bottom w:val="single" w:sz="4" w:space="0" w:color="auto"/>
              <w:right w:val="single" w:sz="4" w:space="0" w:color="auto"/>
            </w:tcBorders>
            <w:shd w:val="clear" w:color="auto" w:fill="C6EFCE"/>
            <w:noWrap/>
            <w:vAlign w:val="center"/>
          </w:tcPr>
          <w:p w14:paraId="548FE05E"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E9F4F3D" w14:textId="77777777" w:rsidR="003F5418" w:rsidRDefault="002A6C25">
            <w:pPr>
              <w:pStyle w:val="P68B1DB1-Normal9"/>
              <w:rPr>
                <w:noProof/>
              </w:rPr>
            </w:pPr>
            <w:r>
              <w:rPr>
                <w:noProof/>
              </w:rPr>
              <w:t>A fogyatékossággal élő személyek otthoni tér felújításában és/vagy IKT-eszközökben részesültek. A szolgáltatásokat digitális készségekkel kapcsolatos képzésnek kell kísérnie.</w:t>
            </w:r>
          </w:p>
        </w:tc>
      </w:tr>
      <w:tr w:rsidR="003F5418" w14:paraId="0600E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FB009C" w14:textId="77777777" w:rsidR="003F5418" w:rsidRDefault="002A6C25">
            <w:pPr>
              <w:pStyle w:val="P68B1DB1-Normal9"/>
              <w:jc w:val="center"/>
              <w:rPr>
                <w:noProof/>
              </w:rPr>
            </w:pPr>
            <w:r>
              <w:rPr>
                <w:noProof/>
              </w:rPr>
              <w:t>M5C2–10</w:t>
            </w:r>
          </w:p>
        </w:tc>
        <w:tc>
          <w:tcPr>
            <w:tcW w:w="3195" w:type="dxa"/>
            <w:tcBorders>
              <w:top w:val="nil"/>
              <w:left w:val="nil"/>
              <w:bottom w:val="single" w:sz="4" w:space="0" w:color="auto"/>
              <w:right w:val="single" w:sz="4" w:space="0" w:color="auto"/>
            </w:tcBorders>
            <w:shd w:val="clear" w:color="auto" w:fill="C6EFCE"/>
            <w:noWrap/>
            <w:vAlign w:val="center"/>
          </w:tcPr>
          <w:p w14:paraId="5E535183" w14:textId="77777777" w:rsidR="003F5418" w:rsidRDefault="002A6C25">
            <w:pPr>
              <w:pStyle w:val="P68B1DB1-Normal9"/>
              <w:rPr>
                <w:noProof/>
              </w:rPr>
            </w:pPr>
            <w:r>
              <w:rPr>
                <w:noProof/>
              </w:rPr>
              <w:t>Beruházás – Az első és a későbbi állomások lakhatása</w:t>
            </w:r>
          </w:p>
        </w:tc>
        <w:tc>
          <w:tcPr>
            <w:tcW w:w="1380" w:type="dxa"/>
            <w:tcBorders>
              <w:top w:val="nil"/>
              <w:left w:val="nil"/>
              <w:bottom w:val="single" w:sz="4" w:space="0" w:color="auto"/>
              <w:right w:val="single" w:sz="4" w:space="0" w:color="auto"/>
            </w:tcBorders>
            <w:shd w:val="clear" w:color="auto" w:fill="C6EFCE"/>
            <w:noWrap/>
            <w:vAlign w:val="center"/>
          </w:tcPr>
          <w:p w14:paraId="3D6AFD8F"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C8E312A" w14:textId="77777777" w:rsidR="003F5418" w:rsidRDefault="002A6C25">
            <w:pPr>
              <w:pStyle w:val="P68B1DB1-Normal9"/>
              <w:rPr>
                <w:noProof/>
              </w:rPr>
            </w:pPr>
            <w:r>
              <w:rPr>
                <w:noProof/>
              </w:rPr>
              <w:t xml:space="preserve">A </w:t>
            </w:r>
            <w:r>
              <w:rPr>
                <w:noProof/>
              </w:rPr>
              <w:t>„Lakhatás mindenekelőtt” projektek által legalább hat hónapig és postaállomásokon átvett, súlyos anyagi nélkülözésben élők</w:t>
            </w:r>
          </w:p>
        </w:tc>
      </w:tr>
      <w:tr w:rsidR="003F5418" w14:paraId="53FA16A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B940EED" w14:textId="77777777" w:rsidR="003F5418" w:rsidRDefault="002A6C25">
            <w:pPr>
              <w:pStyle w:val="P68B1DB1-Normal9"/>
              <w:jc w:val="center"/>
              <w:rPr>
                <w:noProof/>
              </w:rPr>
            </w:pPr>
            <w:r>
              <w:rPr>
                <w:noProof/>
              </w:rPr>
              <w:t>M7–33</w:t>
            </w:r>
          </w:p>
        </w:tc>
        <w:tc>
          <w:tcPr>
            <w:tcW w:w="3195" w:type="dxa"/>
            <w:tcBorders>
              <w:top w:val="nil"/>
              <w:left w:val="nil"/>
              <w:bottom w:val="single" w:sz="4" w:space="0" w:color="auto"/>
              <w:right w:val="single" w:sz="4" w:space="0" w:color="auto"/>
            </w:tcBorders>
            <w:shd w:val="clear" w:color="auto" w:fill="C6EFCE"/>
            <w:noWrap/>
            <w:vAlign w:val="center"/>
          </w:tcPr>
          <w:p w14:paraId="2A0D9090" w14:textId="77777777" w:rsidR="003F5418" w:rsidRDefault="002A6C25">
            <w:pPr>
              <w:pStyle w:val="P68B1DB1-Normal9"/>
              <w:rPr>
                <w:noProof/>
              </w:rPr>
            </w:pPr>
            <w:r>
              <w:rPr>
                <w:noProof/>
              </w:rPr>
              <w:t>Beruházás: Támogatási program a nemzetközi, ipari és K+F vezető szerep fejlesztésére a kibocsátásmentes buszok terén</w:t>
            </w:r>
          </w:p>
        </w:tc>
        <w:tc>
          <w:tcPr>
            <w:tcW w:w="1380" w:type="dxa"/>
            <w:tcBorders>
              <w:top w:val="nil"/>
              <w:left w:val="nil"/>
              <w:bottom w:val="single" w:sz="4" w:space="0" w:color="auto"/>
              <w:right w:val="single" w:sz="4" w:space="0" w:color="auto"/>
            </w:tcBorders>
            <w:shd w:val="clear" w:color="auto" w:fill="C6EFCE"/>
            <w:noWrap/>
            <w:vAlign w:val="center"/>
          </w:tcPr>
          <w:p w14:paraId="656F9E88"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621A66B" w14:textId="77777777" w:rsidR="003F5418" w:rsidRDefault="002A6C25">
            <w:pPr>
              <w:pStyle w:val="P68B1DB1-Normal9"/>
              <w:rPr>
                <w:noProof/>
              </w:rPr>
            </w:pPr>
            <w:r>
              <w:rPr>
                <w:noProof/>
              </w:rPr>
              <w:t>A vég</w:t>
            </w:r>
            <w:r>
              <w:rPr>
                <w:noProof/>
              </w:rPr>
              <w:t>ső kedvezményezettekkel aláírt jogi megállapodások</w:t>
            </w:r>
          </w:p>
        </w:tc>
      </w:tr>
      <w:tr w:rsidR="003F5418" w14:paraId="3E71C2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4334CC" w14:textId="77777777" w:rsidR="003F5418" w:rsidRDefault="002A6C25">
            <w:pPr>
              <w:pStyle w:val="P68B1DB1-Normal9"/>
              <w:jc w:val="center"/>
              <w:rPr>
                <w:noProof/>
              </w:rPr>
            </w:pPr>
            <w:r>
              <w:rPr>
                <w:noProof/>
              </w:rPr>
              <w:t>M3C2–12</w:t>
            </w:r>
          </w:p>
        </w:tc>
        <w:tc>
          <w:tcPr>
            <w:tcW w:w="3195" w:type="dxa"/>
            <w:tcBorders>
              <w:top w:val="nil"/>
              <w:left w:val="nil"/>
              <w:bottom w:val="single" w:sz="4" w:space="0" w:color="auto"/>
              <w:right w:val="single" w:sz="4" w:space="0" w:color="auto"/>
            </w:tcBorders>
            <w:shd w:val="clear" w:color="auto" w:fill="C6EFCE"/>
            <w:noWrap/>
            <w:vAlign w:val="center"/>
          </w:tcPr>
          <w:p w14:paraId="794D37D1" w14:textId="77777777" w:rsidR="003F5418" w:rsidRDefault="002A6C25">
            <w:pPr>
              <w:pStyle w:val="P68B1DB1-Normal9"/>
              <w:rPr>
                <w:noProof/>
              </w:rPr>
            </w:pPr>
            <w:r>
              <w:rPr>
                <w:noProof/>
              </w:rPr>
              <w:t xml:space="preserve">Beruházás: Hideg vasalás </w:t>
            </w:r>
          </w:p>
        </w:tc>
        <w:tc>
          <w:tcPr>
            <w:tcW w:w="1380" w:type="dxa"/>
            <w:tcBorders>
              <w:top w:val="nil"/>
              <w:left w:val="nil"/>
              <w:bottom w:val="single" w:sz="4" w:space="0" w:color="auto"/>
              <w:right w:val="single" w:sz="4" w:space="0" w:color="auto"/>
            </w:tcBorders>
            <w:shd w:val="clear" w:color="auto" w:fill="C6EFCE"/>
            <w:noWrap/>
            <w:vAlign w:val="center"/>
          </w:tcPr>
          <w:p w14:paraId="22635898" w14:textId="77777777" w:rsidR="003F5418" w:rsidRDefault="002A6C25">
            <w:pPr>
              <w:pStyle w:val="P68B1DB1-Normal9"/>
              <w:jc w:val="center"/>
              <w:rPr>
                <w:noProof/>
              </w:rPr>
            </w:pPr>
            <w:r>
              <w:rPr>
                <w:noProof/>
              </w:rPr>
              <w:t xml:space="preserve">Cél </w:t>
            </w:r>
          </w:p>
        </w:tc>
        <w:tc>
          <w:tcPr>
            <w:tcW w:w="4035" w:type="dxa"/>
            <w:tcBorders>
              <w:top w:val="nil"/>
              <w:left w:val="nil"/>
              <w:bottom w:val="single" w:sz="4" w:space="0" w:color="auto"/>
              <w:right w:val="single" w:sz="4" w:space="0" w:color="auto"/>
            </w:tcBorders>
            <w:shd w:val="clear" w:color="auto" w:fill="C6EFCE"/>
            <w:noWrap/>
            <w:vAlign w:val="center"/>
          </w:tcPr>
          <w:p w14:paraId="584A88DF" w14:textId="77777777" w:rsidR="003F5418" w:rsidRDefault="002A6C25">
            <w:pPr>
              <w:pStyle w:val="P68B1DB1-Normal9"/>
              <w:rPr>
                <w:noProof/>
              </w:rPr>
            </w:pPr>
            <w:r>
              <w:rPr>
                <w:noProof/>
              </w:rPr>
              <w:t xml:space="preserve">A hideg vasaló-infrastruktúrák üzembe helyezése. </w:t>
            </w:r>
          </w:p>
        </w:tc>
      </w:tr>
      <w:tr w:rsidR="003F5418" w14:paraId="06C109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2E7445" w14:textId="77777777" w:rsidR="003F5418" w:rsidRDefault="002A6C25">
            <w:pPr>
              <w:pStyle w:val="P68B1DB1-Normal9"/>
              <w:jc w:val="center"/>
              <w:rPr>
                <w:noProof/>
              </w:rPr>
            </w:pPr>
            <w:r>
              <w:rPr>
                <w:noProof/>
              </w:rPr>
              <w:t>M1C1–26</w:t>
            </w:r>
          </w:p>
        </w:tc>
        <w:tc>
          <w:tcPr>
            <w:tcW w:w="3195" w:type="dxa"/>
            <w:tcBorders>
              <w:top w:val="nil"/>
              <w:left w:val="nil"/>
              <w:bottom w:val="single" w:sz="4" w:space="0" w:color="auto"/>
              <w:right w:val="single" w:sz="4" w:space="0" w:color="auto"/>
            </w:tcBorders>
            <w:shd w:val="clear" w:color="auto" w:fill="C6EFCE"/>
            <w:noWrap/>
            <w:vAlign w:val="center"/>
          </w:tcPr>
          <w:p w14:paraId="6A2F4518" w14:textId="77777777" w:rsidR="003F5418" w:rsidRDefault="002A6C25">
            <w:pPr>
              <w:pStyle w:val="P68B1DB1-Normal9"/>
              <w:rPr>
                <w:noProof/>
              </w:rPr>
            </w:pPr>
            <w:r>
              <w:rPr>
                <w:noProof/>
              </w:rPr>
              <w:t>Beruházás: Digitális infrastruktúra</w:t>
            </w:r>
          </w:p>
        </w:tc>
        <w:tc>
          <w:tcPr>
            <w:tcW w:w="1380" w:type="dxa"/>
            <w:tcBorders>
              <w:top w:val="nil"/>
              <w:left w:val="nil"/>
              <w:bottom w:val="single" w:sz="4" w:space="0" w:color="auto"/>
              <w:right w:val="single" w:sz="4" w:space="0" w:color="auto"/>
            </w:tcBorders>
            <w:shd w:val="clear" w:color="auto" w:fill="C6EFCE"/>
            <w:noWrap/>
            <w:vAlign w:val="center"/>
          </w:tcPr>
          <w:p w14:paraId="327A953E"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3BC381A" w14:textId="77777777" w:rsidR="003F5418" w:rsidRDefault="002A6C25">
            <w:pPr>
              <w:pStyle w:val="P68B1DB1-Normal9"/>
              <w:rPr>
                <w:noProof/>
              </w:rPr>
            </w:pPr>
            <w:r>
              <w:rPr>
                <w:noProof/>
              </w:rPr>
              <w:t>Migráció a Polo Strategico Nazionale T2 felé</w:t>
            </w:r>
          </w:p>
        </w:tc>
      </w:tr>
      <w:tr w:rsidR="003F5418" w14:paraId="2D8982F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90753F" w14:textId="77777777" w:rsidR="003F5418" w:rsidRDefault="002A6C25">
            <w:pPr>
              <w:pStyle w:val="P68B1DB1-Normal9"/>
              <w:jc w:val="center"/>
              <w:rPr>
                <w:noProof/>
              </w:rPr>
            </w:pPr>
            <w:r>
              <w:rPr>
                <w:noProof/>
              </w:rPr>
              <w:t>M1C1–27</w:t>
            </w:r>
          </w:p>
        </w:tc>
        <w:tc>
          <w:tcPr>
            <w:tcW w:w="3195" w:type="dxa"/>
            <w:tcBorders>
              <w:top w:val="nil"/>
              <w:left w:val="nil"/>
              <w:bottom w:val="single" w:sz="4" w:space="0" w:color="auto"/>
              <w:right w:val="single" w:sz="4" w:space="0" w:color="auto"/>
            </w:tcBorders>
            <w:shd w:val="clear" w:color="auto" w:fill="C6EFCE"/>
            <w:noWrap/>
            <w:vAlign w:val="center"/>
          </w:tcPr>
          <w:p w14:paraId="5EEECA86" w14:textId="77777777" w:rsidR="003F5418" w:rsidRDefault="002A6C25">
            <w:pPr>
              <w:pStyle w:val="P68B1DB1-Normal9"/>
              <w:rPr>
                <w:noProof/>
              </w:rPr>
            </w:pPr>
            <w:r>
              <w:rPr>
                <w:noProof/>
              </w:rPr>
              <w:t xml:space="preserve">Beruházás: </w:t>
            </w:r>
            <w:r>
              <w:rPr>
                <w:noProof/>
              </w:rPr>
              <w:t>Nemzeti digitális adatplatform</w:t>
            </w:r>
          </w:p>
        </w:tc>
        <w:tc>
          <w:tcPr>
            <w:tcW w:w="1380" w:type="dxa"/>
            <w:tcBorders>
              <w:top w:val="nil"/>
              <w:left w:val="nil"/>
              <w:bottom w:val="single" w:sz="4" w:space="0" w:color="auto"/>
              <w:right w:val="single" w:sz="4" w:space="0" w:color="auto"/>
            </w:tcBorders>
            <w:shd w:val="clear" w:color="auto" w:fill="C6EFCE"/>
            <w:noWrap/>
            <w:vAlign w:val="center"/>
          </w:tcPr>
          <w:p w14:paraId="09DC7251"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91A35A9" w14:textId="77777777" w:rsidR="003F5418" w:rsidRDefault="002A6C25">
            <w:pPr>
              <w:pStyle w:val="P68B1DB1-Normal9"/>
              <w:rPr>
                <w:noProof/>
              </w:rPr>
            </w:pPr>
            <w:r>
              <w:rPr>
                <w:noProof/>
              </w:rPr>
              <w:t>API-k a T2 nemzeti digitális adatplatformon</w:t>
            </w:r>
          </w:p>
        </w:tc>
      </w:tr>
      <w:tr w:rsidR="003F5418" w14:paraId="71F977A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F7301A6" w14:textId="77777777" w:rsidR="003F5418" w:rsidRDefault="002A6C25">
            <w:pPr>
              <w:pStyle w:val="P68B1DB1-Normal9"/>
              <w:jc w:val="center"/>
              <w:rPr>
                <w:noProof/>
              </w:rPr>
            </w:pPr>
            <w:r>
              <w:rPr>
                <w:noProof/>
              </w:rPr>
              <w:t>M1C1–28</w:t>
            </w:r>
          </w:p>
        </w:tc>
        <w:tc>
          <w:tcPr>
            <w:tcW w:w="3195" w:type="dxa"/>
            <w:tcBorders>
              <w:top w:val="nil"/>
              <w:left w:val="nil"/>
              <w:bottom w:val="single" w:sz="4" w:space="0" w:color="auto"/>
              <w:right w:val="single" w:sz="4" w:space="0" w:color="auto"/>
            </w:tcBorders>
            <w:shd w:val="clear" w:color="auto" w:fill="C6EFCE"/>
            <w:noWrap/>
            <w:vAlign w:val="center"/>
          </w:tcPr>
          <w:p w14:paraId="4A12F9B2" w14:textId="77777777" w:rsidR="003F5418" w:rsidRDefault="002A6C25">
            <w:pPr>
              <w:pStyle w:val="P68B1DB1-Normal9"/>
              <w:rPr>
                <w:noProof/>
              </w:rPr>
            </w:pPr>
            <w:r>
              <w:rPr>
                <w:noProof/>
              </w:rPr>
              <w:t>Beruházás: Digitális könnyítési szolgáltatások hálózata</w:t>
            </w:r>
          </w:p>
        </w:tc>
        <w:tc>
          <w:tcPr>
            <w:tcW w:w="1380" w:type="dxa"/>
            <w:tcBorders>
              <w:top w:val="nil"/>
              <w:left w:val="nil"/>
              <w:bottom w:val="single" w:sz="4" w:space="0" w:color="auto"/>
              <w:right w:val="single" w:sz="4" w:space="0" w:color="auto"/>
            </w:tcBorders>
            <w:shd w:val="clear" w:color="auto" w:fill="C6EFCE"/>
            <w:noWrap/>
            <w:vAlign w:val="center"/>
          </w:tcPr>
          <w:p w14:paraId="55020AF0"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A6A7AE5" w14:textId="77777777" w:rsidR="003F5418" w:rsidRDefault="002A6C25">
            <w:pPr>
              <w:pStyle w:val="P68B1DB1-Normal9"/>
              <w:rPr>
                <w:noProof/>
              </w:rPr>
            </w:pPr>
            <w:r>
              <w:rPr>
                <w:noProof/>
              </w:rPr>
              <w:t xml:space="preserve">A digitális könnyítési központok által biztosított új digitális oktatási és/vagy könnyítési </w:t>
            </w:r>
            <w:r>
              <w:rPr>
                <w:noProof/>
              </w:rPr>
              <w:t>kezdeményezésekben részt vevő polgárok száma</w:t>
            </w:r>
          </w:p>
        </w:tc>
      </w:tr>
      <w:tr w:rsidR="003F5418" w14:paraId="4672245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F76E5" w14:textId="77777777" w:rsidR="003F5418" w:rsidRDefault="002A6C25">
            <w:pPr>
              <w:pStyle w:val="P68B1DB1-Normal9"/>
              <w:jc w:val="center"/>
              <w:rPr>
                <w:noProof/>
              </w:rPr>
            </w:pPr>
            <w:r>
              <w:rPr>
                <w:noProof/>
              </w:rPr>
              <w:t>M1C1–45</w:t>
            </w:r>
          </w:p>
        </w:tc>
        <w:tc>
          <w:tcPr>
            <w:tcW w:w="3195" w:type="dxa"/>
            <w:tcBorders>
              <w:top w:val="nil"/>
              <w:left w:val="nil"/>
              <w:bottom w:val="single" w:sz="4" w:space="0" w:color="auto"/>
              <w:right w:val="single" w:sz="4" w:space="0" w:color="auto"/>
            </w:tcBorders>
            <w:shd w:val="clear" w:color="auto" w:fill="C6EFCE"/>
            <w:noWrap/>
            <w:vAlign w:val="center"/>
          </w:tcPr>
          <w:p w14:paraId="7130D82D" w14:textId="77777777" w:rsidR="003F5418" w:rsidRDefault="002A6C25">
            <w:pPr>
              <w:pStyle w:val="P68B1DB1-Normal9"/>
              <w:rPr>
                <w:noProof/>
              </w:rPr>
            </w:pPr>
            <w:r>
              <w:rPr>
                <w:noProof/>
              </w:rPr>
              <w:t>Reform: A polgári igazságszolgáltatás reformja</w:t>
            </w:r>
          </w:p>
        </w:tc>
        <w:tc>
          <w:tcPr>
            <w:tcW w:w="1380" w:type="dxa"/>
            <w:tcBorders>
              <w:top w:val="nil"/>
              <w:left w:val="nil"/>
              <w:bottom w:val="single" w:sz="4" w:space="0" w:color="auto"/>
              <w:right w:val="single" w:sz="4" w:space="0" w:color="auto"/>
            </w:tcBorders>
            <w:shd w:val="clear" w:color="auto" w:fill="C6EFCE"/>
            <w:noWrap/>
            <w:vAlign w:val="center"/>
          </w:tcPr>
          <w:p w14:paraId="79E21DE5"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72A1DB97" w14:textId="77777777" w:rsidR="003F5418" w:rsidRDefault="002A6C25">
            <w:pPr>
              <w:pStyle w:val="P68B1DB1-Normal9"/>
              <w:rPr>
                <w:noProof/>
              </w:rPr>
            </w:pPr>
            <w:r>
              <w:rPr>
                <w:noProof/>
              </w:rPr>
              <w:t>A polgári eljárások időtartamának csökkentése</w:t>
            </w:r>
          </w:p>
        </w:tc>
      </w:tr>
      <w:tr w:rsidR="003F5418" w14:paraId="51DF88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EA155F" w14:textId="77777777" w:rsidR="003F5418" w:rsidRDefault="002A6C25">
            <w:pPr>
              <w:pStyle w:val="P68B1DB1-Normal9"/>
              <w:jc w:val="center"/>
              <w:rPr>
                <w:noProof/>
              </w:rPr>
            </w:pPr>
            <w:r>
              <w:rPr>
                <w:noProof/>
              </w:rPr>
              <w:t>M1C1–46. INTÉZKEDÉS</w:t>
            </w:r>
          </w:p>
        </w:tc>
        <w:tc>
          <w:tcPr>
            <w:tcW w:w="3195" w:type="dxa"/>
            <w:tcBorders>
              <w:top w:val="nil"/>
              <w:left w:val="nil"/>
              <w:bottom w:val="single" w:sz="4" w:space="0" w:color="auto"/>
              <w:right w:val="single" w:sz="4" w:space="0" w:color="auto"/>
            </w:tcBorders>
            <w:shd w:val="clear" w:color="auto" w:fill="C6EFCE"/>
            <w:noWrap/>
            <w:vAlign w:val="center"/>
          </w:tcPr>
          <w:p w14:paraId="6642B494" w14:textId="77777777" w:rsidR="003F5418" w:rsidRDefault="002A6C25">
            <w:pPr>
              <w:pStyle w:val="P68B1DB1-Normal9"/>
              <w:rPr>
                <w:noProof/>
              </w:rPr>
            </w:pPr>
            <w:r>
              <w:rPr>
                <w:noProof/>
              </w:rPr>
              <w:t>Reform1.5.: A büntető igazságszolgáltatás reformja</w:t>
            </w:r>
          </w:p>
        </w:tc>
        <w:tc>
          <w:tcPr>
            <w:tcW w:w="1380" w:type="dxa"/>
            <w:tcBorders>
              <w:top w:val="nil"/>
              <w:left w:val="nil"/>
              <w:bottom w:val="single" w:sz="4" w:space="0" w:color="auto"/>
              <w:right w:val="single" w:sz="4" w:space="0" w:color="auto"/>
            </w:tcBorders>
            <w:shd w:val="clear" w:color="auto" w:fill="C6EFCE"/>
            <w:noWrap/>
            <w:vAlign w:val="center"/>
          </w:tcPr>
          <w:p w14:paraId="28166E27"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7F8CA694" w14:textId="77777777" w:rsidR="003F5418" w:rsidRDefault="002A6C25">
            <w:pPr>
              <w:pStyle w:val="P68B1DB1-Normal9"/>
              <w:rPr>
                <w:noProof/>
              </w:rPr>
            </w:pPr>
            <w:r>
              <w:rPr>
                <w:noProof/>
              </w:rPr>
              <w:t xml:space="preserve">A büntetőeljárások </w:t>
            </w:r>
            <w:r>
              <w:rPr>
                <w:noProof/>
              </w:rPr>
              <w:t>időtartamának csökkentése</w:t>
            </w:r>
          </w:p>
        </w:tc>
      </w:tr>
      <w:tr w:rsidR="003F5418" w14:paraId="2E31A4E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92149A" w14:textId="77777777" w:rsidR="003F5418" w:rsidRDefault="002A6C25">
            <w:pPr>
              <w:pStyle w:val="P68B1DB1-Normal9"/>
              <w:jc w:val="center"/>
              <w:rPr>
                <w:noProof/>
              </w:rPr>
            </w:pPr>
            <w:r>
              <w:rPr>
                <w:noProof/>
              </w:rPr>
              <w:t>M1C1–47</w:t>
            </w:r>
          </w:p>
        </w:tc>
        <w:tc>
          <w:tcPr>
            <w:tcW w:w="3195" w:type="dxa"/>
            <w:tcBorders>
              <w:top w:val="nil"/>
              <w:left w:val="nil"/>
              <w:bottom w:val="single" w:sz="4" w:space="0" w:color="auto"/>
              <w:right w:val="single" w:sz="4" w:space="0" w:color="auto"/>
            </w:tcBorders>
            <w:shd w:val="clear" w:color="auto" w:fill="C6EFCE"/>
            <w:noWrap/>
            <w:vAlign w:val="center"/>
          </w:tcPr>
          <w:p w14:paraId="0A2CFFA9" w14:textId="77777777" w:rsidR="003F5418" w:rsidRDefault="002A6C25">
            <w:pPr>
              <w:pStyle w:val="P68B1DB1-Normal9"/>
              <w:rPr>
                <w:noProof/>
              </w:rPr>
            </w:pPr>
            <w:r>
              <w:rPr>
                <w:noProof/>
              </w:rPr>
              <w:t>Reform: A polgári igazságszolgáltatás reformja</w:t>
            </w:r>
          </w:p>
        </w:tc>
        <w:tc>
          <w:tcPr>
            <w:tcW w:w="1380" w:type="dxa"/>
            <w:tcBorders>
              <w:top w:val="nil"/>
              <w:left w:val="nil"/>
              <w:bottom w:val="single" w:sz="4" w:space="0" w:color="auto"/>
              <w:right w:val="single" w:sz="4" w:space="0" w:color="auto"/>
            </w:tcBorders>
            <w:shd w:val="clear" w:color="auto" w:fill="C6EFCE"/>
            <w:noWrap/>
            <w:vAlign w:val="center"/>
          </w:tcPr>
          <w:p w14:paraId="7B58B435"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5064FD7" w14:textId="77777777" w:rsidR="003F5418" w:rsidRDefault="002A6C25">
            <w:pPr>
              <w:pStyle w:val="P68B1DB1-Normal9"/>
              <w:rPr>
                <w:noProof/>
              </w:rPr>
            </w:pPr>
            <w:r>
              <w:rPr>
                <w:noProof/>
              </w:rPr>
              <w:t>A polgári rendes bíróságok ügyhátralékának csökkentése (első fokon)</w:t>
            </w:r>
          </w:p>
        </w:tc>
      </w:tr>
      <w:tr w:rsidR="003F5418" w14:paraId="7195251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8F00F0" w14:textId="77777777" w:rsidR="003F5418" w:rsidRDefault="002A6C25">
            <w:pPr>
              <w:pStyle w:val="P68B1DB1-Normal9"/>
              <w:jc w:val="center"/>
              <w:rPr>
                <w:noProof/>
              </w:rPr>
            </w:pPr>
            <w:r>
              <w:rPr>
                <w:noProof/>
              </w:rPr>
              <w:t>M1C1–48.</w:t>
            </w:r>
          </w:p>
        </w:tc>
        <w:tc>
          <w:tcPr>
            <w:tcW w:w="3195" w:type="dxa"/>
            <w:tcBorders>
              <w:top w:val="nil"/>
              <w:left w:val="nil"/>
              <w:bottom w:val="single" w:sz="4" w:space="0" w:color="auto"/>
              <w:right w:val="single" w:sz="4" w:space="0" w:color="auto"/>
            </w:tcBorders>
            <w:shd w:val="clear" w:color="auto" w:fill="C6EFCE"/>
            <w:noWrap/>
            <w:vAlign w:val="center"/>
          </w:tcPr>
          <w:p w14:paraId="2623CFAE" w14:textId="77777777" w:rsidR="003F5418" w:rsidRDefault="002A6C25">
            <w:pPr>
              <w:pStyle w:val="P68B1DB1-Normal9"/>
              <w:rPr>
                <w:noProof/>
              </w:rPr>
            </w:pPr>
            <w:r>
              <w:rPr>
                <w:noProof/>
              </w:rPr>
              <w:t>Reform: A polgári igazságszolgáltatás reformja</w:t>
            </w:r>
          </w:p>
        </w:tc>
        <w:tc>
          <w:tcPr>
            <w:tcW w:w="1380" w:type="dxa"/>
            <w:tcBorders>
              <w:top w:val="nil"/>
              <w:left w:val="nil"/>
              <w:bottom w:val="single" w:sz="4" w:space="0" w:color="auto"/>
              <w:right w:val="single" w:sz="4" w:space="0" w:color="auto"/>
            </w:tcBorders>
            <w:shd w:val="clear" w:color="auto" w:fill="C6EFCE"/>
            <w:noWrap/>
            <w:vAlign w:val="center"/>
          </w:tcPr>
          <w:p w14:paraId="46E30D8B"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F8B6457" w14:textId="77777777" w:rsidR="003F5418" w:rsidRDefault="002A6C25">
            <w:pPr>
              <w:pStyle w:val="P68B1DB1-Normal9"/>
              <w:rPr>
                <w:noProof/>
              </w:rPr>
            </w:pPr>
            <w:r>
              <w:rPr>
                <w:noProof/>
              </w:rPr>
              <w:t>A polgári fellebbviteli bíróság (másodfok</w:t>
            </w:r>
            <w:r>
              <w:rPr>
                <w:noProof/>
              </w:rPr>
              <w:t>ú) ügyhátralékának csökkentése</w:t>
            </w:r>
          </w:p>
        </w:tc>
      </w:tr>
      <w:tr w:rsidR="003F5418" w14:paraId="7794C1F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BCA1C6" w14:textId="77777777" w:rsidR="003F5418" w:rsidRDefault="002A6C25">
            <w:pPr>
              <w:pStyle w:val="P68B1DB1-Normal9"/>
              <w:jc w:val="center"/>
              <w:rPr>
                <w:noProof/>
              </w:rPr>
            </w:pPr>
            <w:r>
              <w:rPr>
                <w:noProof/>
              </w:rPr>
              <w:t>M1C1–49</w:t>
            </w:r>
          </w:p>
        </w:tc>
        <w:tc>
          <w:tcPr>
            <w:tcW w:w="3195" w:type="dxa"/>
            <w:tcBorders>
              <w:top w:val="nil"/>
              <w:left w:val="nil"/>
              <w:bottom w:val="single" w:sz="4" w:space="0" w:color="auto"/>
              <w:right w:val="single" w:sz="4" w:space="0" w:color="auto"/>
            </w:tcBorders>
            <w:shd w:val="clear" w:color="auto" w:fill="C6EFCE"/>
            <w:noWrap/>
            <w:vAlign w:val="center"/>
          </w:tcPr>
          <w:p w14:paraId="3C96E83F" w14:textId="77777777" w:rsidR="003F5418" w:rsidRDefault="002A6C25">
            <w:pPr>
              <w:pStyle w:val="P68B1DB1-Normal9"/>
              <w:rPr>
                <w:noProof/>
              </w:rPr>
            </w:pPr>
            <w:r>
              <w:rPr>
                <w:noProof/>
              </w:rPr>
              <w:t>Beruházás: A közigazgatási bíróságok felvételi eljárásai</w:t>
            </w:r>
          </w:p>
        </w:tc>
        <w:tc>
          <w:tcPr>
            <w:tcW w:w="1380" w:type="dxa"/>
            <w:tcBorders>
              <w:top w:val="nil"/>
              <w:left w:val="nil"/>
              <w:bottom w:val="single" w:sz="4" w:space="0" w:color="auto"/>
              <w:right w:val="single" w:sz="4" w:space="0" w:color="auto"/>
            </w:tcBorders>
            <w:shd w:val="clear" w:color="auto" w:fill="C6EFCE"/>
            <w:noWrap/>
            <w:vAlign w:val="center"/>
          </w:tcPr>
          <w:p w14:paraId="04587F07"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520DD442" w14:textId="77777777" w:rsidR="003F5418" w:rsidRDefault="002A6C25">
            <w:pPr>
              <w:pStyle w:val="P68B1DB1-Normal9"/>
              <w:rPr>
                <w:noProof/>
              </w:rPr>
            </w:pPr>
            <w:r>
              <w:rPr>
                <w:noProof/>
              </w:rPr>
              <w:t>A regionális közigazgatási bíróságok ügyhátralékának csökkentése (első fokon)</w:t>
            </w:r>
          </w:p>
        </w:tc>
      </w:tr>
      <w:tr w:rsidR="003F5418" w14:paraId="2E4365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20057" w14:textId="77777777" w:rsidR="003F5418" w:rsidRDefault="002A6C25">
            <w:pPr>
              <w:pStyle w:val="P68B1DB1-Normal9"/>
              <w:jc w:val="center"/>
              <w:rPr>
                <w:noProof/>
              </w:rPr>
            </w:pPr>
            <w:r>
              <w:rPr>
                <w:noProof/>
              </w:rPr>
              <w:t>M1C1–50</w:t>
            </w:r>
          </w:p>
        </w:tc>
        <w:tc>
          <w:tcPr>
            <w:tcW w:w="3195" w:type="dxa"/>
            <w:tcBorders>
              <w:top w:val="nil"/>
              <w:left w:val="nil"/>
              <w:bottom w:val="single" w:sz="4" w:space="0" w:color="auto"/>
              <w:right w:val="single" w:sz="4" w:space="0" w:color="auto"/>
            </w:tcBorders>
            <w:shd w:val="clear" w:color="auto" w:fill="C6EFCE"/>
            <w:noWrap/>
            <w:vAlign w:val="center"/>
          </w:tcPr>
          <w:p w14:paraId="1933DAC1" w14:textId="77777777" w:rsidR="003F5418" w:rsidRDefault="002A6C25">
            <w:pPr>
              <w:pStyle w:val="P68B1DB1-Normal9"/>
              <w:rPr>
                <w:noProof/>
              </w:rPr>
            </w:pPr>
            <w:r>
              <w:rPr>
                <w:noProof/>
              </w:rPr>
              <w:t>Beruházás: A közigazgatási bíróságok felvételi eljárásai</w:t>
            </w:r>
          </w:p>
        </w:tc>
        <w:tc>
          <w:tcPr>
            <w:tcW w:w="1380" w:type="dxa"/>
            <w:tcBorders>
              <w:top w:val="nil"/>
              <w:left w:val="nil"/>
              <w:bottom w:val="single" w:sz="4" w:space="0" w:color="auto"/>
              <w:right w:val="single" w:sz="4" w:space="0" w:color="auto"/>
            </w:tcBorders>
            <w:shd w:val="clear" w:color="auto" w:fill="C6EFCE"/>
            <w:noWrap/>
            <w:vAlign w:val="center"/>
          </w:tcPr>
          <w:p w14:paraId="755BED16"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2A35010" w14:textId="77777777" w:rsidR="003F5418" w:rsidRDefault="002A6C25">
            <w:pPr>
              <w:pStyle w:val="P68B1DB1-Normal9"/>
              <w:rPr>
                <w:noProof/>
              </w:rPr>
            </w:pPr>
            <w:r>
              <w:rPr>
                <w:noProof/>
              </w:rPr>
              <w:t xml:space="preserve">Az </w:t>
            </w:r>
            <w:r>
              <w:rPr>
                <w:noProof/>
              </w:rPr>
              <w:t>Államtanács ügyhátralékának csökkentése</w:t>
            </w:r>
          </w:p>
        </w:tc>
      </w:tr>
      <w:tr w:rsidR="003F5418" w14:paraId="2E8AE13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9525D5" w14:textId="77777777" w:rsidR="003F5418" w:rsidRDefault="002A6C25">
            <w:pPr>
              <w:pStyle w:val="P68B1DB1-Normal9"/>
              <w:jc w:val="center"/>
              <w:rPr>
                <w:noProof/>
              </w:rPr>
            </w:pPr>
            <w:r>
              <w:rPr>
                <w:noProof/>
              </w:rPr>
              <w:t>M1C1–59ter</w:t>
            </w:r>
          </w:p>
        </w:tc>
        <w:tc>
          <w:tcPr>
            <w:tcW w:w="3195" w:type="dxa"/>
            <w:tcBorders>
              <w:top w:val="nil"/>
              <w:left w:val="nil"/>
              <w:bottom w:val="single" w:sz="4" w:space="0" w:color="auto"/>
              <w:right w:val="single" w:sz="4" w:space="0" w:color="auto"/>
            </w:tcBorders>
            <w:shd w:val="clear" w:color="auto" w:fill="C6EFCE"/>
            <w:noWrap/>
            <w:vAlign w:val="center"/>
          </w:tcPr>
          <w:p w14:paraId="76D95649" w14:textId="77777777" w:rsidR="003F5418" w:rsidRDefault="002A6C25">
            <w:pPr>
              <w:pStyle w:val="P68B1DB1-Normal9"/>
              <w:rPr>
                <w:noProof/>
              </w:rPr>
            </w:pPr>
            <w:r>
              <w:rPr>
                <w:noProof/>
              </w:rPr>
              <w:t>Reform: A közigazgatás reformja</w:t>
            </w:r>
          </w:p>
        </w:tc>
        <w:tc>
          <w:tcPr>
            <w:tcW w:w="1380" w:type="dxa"/>
            <w:tcBorders>
              <w:top w:val="nil"/>
              <w:left w:val="nil"/>
              <w:bottom w:val="single" w:sz="4" w:space="0" w:color="auto"/>
              <w:right w:val="single" w:sz="4" w:space="0" w:color="auto"/>
            </w:tcBorders>
            <w:shd w:val="clear" w:color="auto" w:fill="C6EFCE"/>
            <w:noWrap/>
            <w:vAlign w:val="center"/>
          </w:tcPr>
          <w:p w14:paraId="0AD01CAB"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6CE88032" w14:textId="77777777" w:rsidR="003F5418" w:rsidRDefault="002A6C25">
            <w:pPr>
              <w:pStyle w:val="P68B1DB1-Normal9"/>
              <w:rPr>
                <w:noProof/>
              </w:rPr>
            </w:pPr>
            <w:r>
              <w:rPr>
                <w:noProof/>
              </w:rPr>
              <w:t xml:space="preserve"> Stratégiai humánerőforrás-gazdálkodás végrehajtása a közigazgatásban  </w:t>
            </w:r>
          </w:p>
        </w:tc>
      </w:tr>
      <w:tr w:rsidR="003F5418" w14:paraId="52987E2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EF0048" w14:textId="77777777" w:rsidR="003F5418" w:rsidRDefault="002A6C25">
            <w:pPr>
              <w:pStyle w:val="P68B1DB1-Normal9"/>
              <w:jc w:val="center"/>
              <w:rPr>
                <w:noProof/>
              </w:rPr>
            </w:pPr>
            <w:r>
              <w:rPr>
                <w:noProof/>
              </w:rPr>
              <w:t>M1C1–63</w:t>
            </w:r>
          </w:p>
        </w:tc>
        <w:tc>
          <w:tcPr>
            <w:tcW w:w="3195" w:type="dxa"/>
            <w:tcBorders>
              <w:top w:val="nil"/>
              <w:left w:val="nil"/>
              <w:bottom w:val="single" w:sz="4" w:space="0" w:color="auto"/>
              <w:right w:val="single" w:sz="4" w:space="0" w:color="auto"/>
            </w:tcBorders>
            <w:shd w:val="clear" w:color="auto" w:fill="C6EFCE"/>
            <w:noWrap/>
            <w:vAlign w:val="center"/>
          </w:tcPr>
          <w:p w14:paraId="0BEA82F5" w14:textId="77777777" w:rsidR="003F5418" w:rsidRDefault="002A6C25">
            <w:pPr>
              <w:pStyle w:val="P68B1DB1-Normal9"/>
              <w:rPr>
                <w:noProof/>
              </w:rPr>
            </w:pPr>
            <w:r>
              <w:rPr>
                <w:noProof/>
              </w:rPr>
              <w:t>Reform: A közigazgatás reformja</w:t>
            </w:r>
          </w:p>
        </w:tc>
        <w:tc>
          <w:tcPr>
            <w:tcW w:w="1380" w:type="dxa"/>
            <w:tcBorders>
              <w:top w:val="nil"/>
              <w:left w:val="nil"/>
              <w:bottom w:val="single" w:sz="4" w:space="0" w:color="auto"/>
              <w:right w:val="single" w:sz="4" w:space="0" w:color="auto"/>
            </w:tcBorders>
            <w:shd w:val="clear" w:color="auto" w:fill="C6EFCE"/>
            <w:noWrap/>
            <w:vAlign w:val="center"/>
          </w:tcPr>
          <w:p w14:paraId="3EAE9857"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4B17294E" w14:textId="77777777" w:rsidR="003F5418" w:rsidRDefault="002A6C25">
            <w:pPr>
              <w:pStyle w:val="P68B1DB1-Normal9"/>
              <w:rPr>
                <w:noProof/>
              </w:rPr>
            </w:pPr>
            <w:r>
              <w:rPr>
                <w:noProof/>
              </w:rPr>
              <w:t>Az egyszerűsítés befejezése és az összes egyszerűsített eljárás és a megfelelő közigazgatási rendszerek adattárának létrehozása, amely az ország egész területén teljes körű jogi érvényességgel rendelkezik</w:t>
            </w:r>
          </w:p>
        </w:tc>
      </w:tr>
      <w:tr w:rsidR="003F5418" w14:paraId="539A32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2CC928" w14:textId="77777777" w:rsidR="003F5418" w:rsidRDefault="002A6C25">
            <w:pPr>
              <w:pStyle w:val="P68B1DB1-Normal9"/>
              <w:jc w:val="center"/>
              <w:rPr>
                <w:noProof/>
              </w:rPr>
            </w:pPr>
            <w:r>
              <w:rPr>
                <w:noProof/>
              </w:rPr>
              <w:t>M1C1–64</w:t>
            </w:r>
          </w:p>
        </w:tc>
        <w:tc>
          <w:tcPr>
            <w:tcW w:w="3195" w:type="dxa"/>
            <w:tcBorders>
              <w:top w:val="nil"/>
              <w:left w:val="nil"/>
              <w:bottom w:val="single" w:sz="4" w:space="0" w:color="auto"/>
              <w:right w:val="single" w:sz="4" w:space="0" w:color="auto"/>
            </w:tcBorders>
            <w:shd w:val="clear" w:color="auto" w:fill="C6EFCE"/>
            <w:noWrap/>
            <w:vAlign w:val="center"/>
          </w:tcPr>
          <w:p w14:paraId="342DCA57" w14:textId="77777777" w:rsidR="003F5418" w:rsidRDefault="002A6C25">
            <w:pPr>
              <w:pStyle w:val="P68B1DB1-Normal9"/>
              <w:rPr>
                <w:noProof/>
              </w:rPr>
            </w:pPr>
            <w:r>
              <w:rPr>
                <w:noProof/>
              </w:rPr>
              <w:t>Beruházás: Technikai segítségnyújtás és ka</w:t>
            </w:r>
            <w:r>
              <w:rPr>
                <w:noProof/>
              </w:rPr>
              <w:t>pacitásépítés megerősítése az olasz helyreállítási és rezilienciaépítési terv végrehajtásához</w:t>
            </w:r>
          </w:p>
        </w:tc>
        <w:tc>
          <w:tcPr>
            <w:tcW w:w="1380" w:type="dxa"/>
            <w:tcBorders>
              <w:top w:val="nil"/>
              <w:left w:val="nil"/>
              <w:bottom w:val="single" w:sz="4" w:space="0" w:color="auto"/>
              <w:right w:val="single" w:sz="4" w:space="0" w:color="auto"/>
            </w:tcBorders>
            <w:shd w:val="clear" w:color="auto" w:fill="C6EFCE"/>
            <w:noWrap/>
            <w:vAlign w:val="center"/>
          </w:tcPr>
          <w:p w14:paraId="5BB83808"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54A6F3C" w14:textId="77777777" w:rsidR="003F5418" w:rsidRDefault="002A6C25">
            <w:pPr>
              <w:pStyle w:val="P68B1DB1-Normal9"/>
              <w:rPr>
                <w:noProof/>
              </w:rPr>
            </w:pPr>
            <w:r>
              <w:rPr>
                <w:noProof/>
              </w:rPr>
              <w:t>Oktatás és képzés</w:t>
            </w:r>
          </w:p>
        </w:tc>
      </w:tr>
      <w:tr w:rsidR="003F5418" w14:paraId="3C8624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A19288" w14:textId="77777777" w:rsidR="003F5418" w:rsidRDefault="002A6C25">
            <w:pPr>
              <w:pStyle w:val="P68B1DB1-Normal9"/>
              <w:jc w:val="center"/>
              <w:rPr>
                <w:noProof/>
              </w:rPr>
            </w:pPr>
            <w:r>
              <w:rPr>
                <w:noProof/>
              </w:rPr>
              <w:t>M1C1–65</w:t>
            </w:r>
          </w:p>
        </w:tc>
        <w:tc>
          <w:tcPr>
            <w:tcW w:w="3195" w:type="dxa"/>
            <w:tcBorders>
              <w:top w:val="nil"/>
              <w:left w:val="nil"/>
              <w:bottom w:val="single" w:sz="4" w:space="0" w:color="auto"/>
              <w:right w:val="single" w:sz="4" w:space="0" w:color="auto"/>
            </w:tcBorders>
            <w:shd w:val="clear" w:color="auto" w:fill="C6EFCE"/>
            <w:noWrap/>
            <w:vAlign w:val="center"/>
          </w:tcPr>
          <w:p w14:paraId="1A7F47B8" w14:textId="77777777" w:rsidR="003F5418" w:rsidRDefault="002A6C25">
            <w:pPr>
              <w:pStyle w:val="P68B1DB1-Normal9"/>
              <w:rPr>
                <w:noProof/>
              </w:rPr>
            </w:pPr>
            <w:r>
              <w:rPr>
                <w:noProof/>
              </w:rPr>
              <w:t>Beruházás: Technikai segítségnyújtás és kapacitásépítés megerősítése az olasz helyreállítási és rezilienciaépítési terv végrehajtás</w:t>
            </w:r>
            <w:r>
              <w:rPr>
                <w:noProof/>
              </w:rPr>
              <w:t>ához</w:t>
            </w:r>
          </w:p>
        </w:tc>
        <w:tc>
          <w:tcPr>
            <w:tcW w:w="1380" w:type="dxa"/>
            <w:tcBorders>
              <w:top w:val="nil"/>
              <w:left w:val="nil"/>
              <w:bottom w:val="single" w:sz="4" w:space="0" w:color="auto"/>
              <w:right w:val="single" w:sz="4" w:space="0" w:color="auto"/>
            </w:tcBorders>
            <w:shd w:val="clear" w:color="auto" w:fill="C6EFCE"/>
            <w:noWrap/>
            <w:vAlign w:val="center"/>
          </w:tcPr>
          <w:p w14:paraId="1FEF2F4B"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5F614BB" w14:textId="77777777" w:rsidR="003F5418" w:rsidRDefault="002A6C25">
            <w:pPr>
              <w:pStyle w:val="P68B1DB1-Normal9"/>
              <w:rPr>
                <w:noProof/>
              </w:rPr>
            </w:pPr>
            <w:r>
              <w:rPr>
                <w:noProof/>
              </w:rPr>
              <w:t>Oktatás és képzés</w:t>
            </w:r>
          </w:p>
        </w:tc>
      </w:tr>
      <w:tr w:rsidR="003F5418" w14:paraId="541AE4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133F350" w14:textId="77777777" w:rsidR="003F5418" w:rsidRDefault="002A6C25">
            <w:pPr>
              <w:pStyle w:val="P68B1DB1-Normal9"/>
              <w:jc w:val="center"/>
              <w:rPr>
                <w:noProof/>
              </w:rPr>
            </w:pPr>
            <w:r>
              <w:rPr>
                <w:noProof/>
              </w:rPr>
              <w:t>M1C1–66</w:t>
            </w:r>
          </w:p>
        </w:tc>
        <w:tc>
          <w:tcPr>
            <w:tcW w:w="3195" w:type="dxa"/>
            <w:tcBorders>
              <w:top w:val="nil"/>
              <w:left w:val="nil"/>
              <w:bottom w:val="single" w:sz="4" w:space="0" w:color="auto"/>
              <w:right w:val="single" w:sz="4" w:space="0" w:color="auto"/>
            </w:tcBorders>
            <w:shd w:val="clear" w:color="auto" w:fill="C6EFCE"/>
            <w:noWrap/>
            <w:vAlign w:val="center"/>
          </w:tcPr>
          <w:p w14:paraId="4109F43E" w14:textId="77777777" w:rsidR="003F5418" w:rsidRDefault="002A6C25">
            <w:pPr>
              <w:pStyle w:val="P68B1DB1-Normal9"/>
              <w:rPr>
                <w:noProof/>
              </w:rPr>
            </w:pPr>
            <w:r>
              <w:rPr>
                <w:noProof/>
              </w:rPr>
              <w:t>Beruházás: Technikai segítségnyújtás és kapacitásépítés megerősítése az olasz helyreállítási és rezilienciaépítési terv végrehajtásához</w:t>
            </w:r>
          </w:p>
        </w:tc>
        <w:tc>
          <w:tcPr>
            <w:tcW w:w="1380" w:type="dxa"/>
            <w:tcBorders>
              <w:top w:val="nil"/>
              <w:left w:val="nil"/>
              <w:bottom w:val="single" w:sz="4" w:space="0" w:color="auto"/>
              <w:right w:val="single" w:sz="4" w:space="0" w:color="auto"/>
            </w:tcBorders>
            <w:shd w:val="clear" w:color="auto" w:fill="C6EFCE"/>
            <w:noWrap/>
            <w:vAlign w:val="center"/>
          </w:tcPr>
          <w:p w14:paraId="35EBC07F"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044A280" w14:textId="77777777" w:rsidR="003F5418" w:rsidRDefault="002A6C25">
            <w:pPr>
              <w:pStyle w:val="P68B1DB1-Normal9"/>
              <w:rPr>
                <w:noProof/>
              </w:rPr>
            </w:pPr>
            <w:r>
              <w:rPr>
                <w:noProof/>
              </w:rPr>
              <w:t>Oktatás és képzés</w:t>
            </w:r>
          </w:p>
        </w:tc>
      </w:tr>
      <w:tr w:rsidR="003F5418" w14:paraId="62953A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03166" w14:textId="77777777" w:rsidR="003F5418" w:rsidRDefault="002A6C25">
            <w:pPr>
              <w:pStyle w:val="P68B1DB1-Normal9"/>
              <w:jc w:val="center"/>
              <w:rPr>
                <w:noProof/>
              </w:rPr>
            </w:pPr>
            <w:r>
              <w:rPr>
                <w:noProof/>
              </w:rPr>
              <w:t>M1C1–67</w:t>
            </w:r>
          </w:p>
        </w:tc>
        <w:tc>
          <w:tcPr>
            <w:tcW w:w="3195" w:type="dxa"/>
            <w:tcBorders>
              <w:top w:val="nil"/>
              <w:left w:val="nil"/>
              <w:bottom w:val="single" w:sz="4" w:space="0" w:color="auto"/>
              <w:right w:val="single" w:sz="4" w:space="0" w:color="auto"/>
            </w:tcBorders>
            <w:shd w:val="clear" w:color="auto" w:fill="C6EFCE"/>
            <w:noWrap/>
            <w:vAlign w:val="center"/>
          </w:tcPr>
          <w:p w14:paraId="3633E6E7" w14:textId="77777777" w:rsidR="003F5418" w:rsidRDefault="002A6C25">
            <w:pPr>
              <w:pStyle w:val="P68B1DB1-Normal9"/>
              <w:rPr>
                <w:noProof/>
              </w:rPr>
            </w:pPr>
            <w:r>
              <w:rPr>
                <w:noProof/>
              </w:rPr>
              <w:t xml:space="preserve">Beruházás: Technikai segítségnyújtás és </w:t>
            </w:r>
            <w:r>
              <w:rPr>
                <w:noProof/>
              </w:rPr>
              <w:t>kapacitásépítés megerősítése az olasz helyreállítási és rezilienciaépítési terv végrehajtásához</w:t>
            </w:r>
          </w:p>
        </w:tc>
        <w:tc>
          <w:tcPr>
            <w:tcW w:w="1380" w:type="dxa"/>
            <w:tcBorders>
              <w:top w:val="nil"/>
              <w:left w:val="nil"/>
              <w:bottom w:val="single" w:sz="4" w:space="0" w:color="auto"/>
              <w:right w:val="single" w:sz="4" w:space="0" w:color="auto"/>
            </w:tcBorders>
            <w:shd w:val="clear" w:color="auto" w:fill="C6EFCE"/>
            <w:noWrap/>
            <w:vAlign w:val="center"/>
          </w:tcPr>
          <w:p w14:paraId="002E0563"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09155CD" w14:textId="77777777" w:rsidR="003F5418" w:rsidRDefault="002A6C25">
            <w:pPr>
              <w:pStyle w:val="P68B1DB1-Normal9"/>
              <w:rPr>
                <w:noProof/>
              </w:rPr>
            </w:pPr>
            <w:r>
              <w:rPr>
                <w:noProof/>
              </w:rPr>
              <w:t>Oktatás és képzés</w:t>
            </w:r>
          </w:p>
        </w:tc>
      </w:tr>
      <w:tr w:rsidR="003F5418" w14:paraId="46A2B4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FB65C0" w14:textId="77777777" w:rsidR="003F5418" w:rsidRDefault="002A6C25">
            <w:pPr>
              <w:pStyle w:val="P68B1DB1-Normal9"/>
              <w:jc w:val="center"/>
              <w:rPr>
                <w:noProof/>
              </w:rPr>
            </w:pPr>
            <w:r>
              <w:rPr>
                <w:noProof/>
              </w:rPr>
              <w:t>M1C1–118</w:t>
            </w:r>
          </w:p>
        </w:tc>
        <w:tc>
          <w:tcPr>
            <w:tcW w:w="3195" w:type="dxa"/>
            <w:tcBorders>
              <w:top w:val="nil"/>
              <w:left w:val="nil"/>
              <w:bottom w:val="single" w:sz="4" w:space="0" w:color="auto"/>
              <w:right w:val="single" w:sz="4" w:space="0" w:color="auto"/>
            </w:tcBorders>
            <w:shd w:val="clear" w:color="auto" w:fill="C6EFCE"/>
            <w:noWrap/>
            <w:vAlign w:val="center"/>
          </w:tcPr>
          <w:p w14:paraId="747B43EC" w14:textId="77777777" w:rsidR="003F5418" w:rsidRDefault="002A6C25">
            <w:pPr>
              <w:pStyle w:val="P68B1DB1-Normal9"/>
              <w:rPr>
                <w:noProof/>
              </w:rPr>
            </w:pPr>
            <w:r>
              <w:rPr>
                <w:noProof/>
              </w:rPr>
              <w:t>Reform: Az államháztartási számviteli szabályok reformja</w:t>
            </w:r>
          </w:p>
        </w:tc>
        <w:tc>
          <w:tcPr>
            <w:tcW w:w="1380" w:type="dxa"/>
            <w:tcBorders>
              <w:top w:val="nil"/>
              <w:left w:val="nil"/>
              <w:bottom w:val="single" w:sz="4" w:space="0" w:color="auto"/>
              <w:right w:val="single" w:sz="4" w:space="0" w:color="auto"/>
            </w:tcBorders>
            <w:shd w:val="clear" w:color="auto" w:fill="C6EFCE"/>
            <w:noWrap/>
            <w:vAlign w:val="center"/>
          </w:tcPr>
          <w:p w14:paraId="37E9B862"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1C5366FD" w14:textId="77777777" w:rsidR="003F5418" w:rsidRDefault="002A6C25">
            <w:pPr>
              <w:pStyle w:val="P68B1DB1-Normal9"/>
              <w:rPr>
                <w:noProof/>
              </w:rPr>
            </w:pPr>
            <w:r>
              <w:rPr>
                <w:noProof/>
              </w:rPr>
              <w:t>Az eredményszemléletre vonatkozó reform hatálybalépése, amely</w:t>
            </w:r>
            <w:r>
              <w:rPr>
                <w:noProof/>
              </w:rPr>
              <w:t xml:space="preserve"> a teljes közszektor legalább 90%-át teszi ki.</w:t>
            </w:r>
          </w:p>
        </w:tc>
      </w:tr>
      <w:tr w:rsidR="003F5418" w14:paraId="4B64BB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E61781" w14:textId="77777777" w:rsidR="003F5418" w:rsidRDefault="002A6C25">
            <w:pPr>
              <w:pStyle w:val="P68B1DB1-Normal9"/>
              <w:jc w:val="center"/>
              <w:rPr>
                <w:noProof/>
              </w:rPr>
            </w:pPr>
            <w:r>
              <w:rPr>
                <w:noProof/>
              </w:rPr>
              <w:t>M1C1–121</w:t>
            </w:r>
          </w:p>
        </w:tc>
        <w:tc>
          <w:tcPr>
            <w:tcW w:w="3195" w:type="dxa"/>
            <w:tcBorders>
              <w:top w:val="nil"/>
              <w:left w:val="nil"/>
              <w:bottom w:val="single" w:sz="4" w:space="0" w:color="auto"/>
              <w:right w:val="single" w:sz="4" w:space="0" w:color="auto"/>
            </w:tcBorders>
            <w:shd w:val="clear" w:color="auto" w:fill="C6EFCE"/>
            <w:noWrap/>
            <w:vAlign w:val="center"/>
          </w:tcPr>
          <w:p w14:paraId="182099D1" w14:textId="77777777" w:rsidR="003F5418" w:rsidRDefault="002A6C25">
            <w:pPr>
              <w:pStyle w:val="P68B1DB1-Normal9"/>
              <w:rPr>
                <w:noProof/>
              </w:rPr>
            </w:pPr>
            <w:r>
              <w:rPr>
                <w:noProof/>
              </w:rPr>
              <w:t>Reform: Az adóhatóság reformja</w:t>
            </w:r>
          </w:p>
        </w:tc>
        <w:tc>
          <w:tcPr>
            <w:tcW w:w="1380" w:type="dxa"/>
            <w:tcBorders>
              <w:top w:val="nil"/>
              <w:left w:val="nil"/>
              <w:bottom w:val="single" w:sz="4" w:space="0" w:color="auto"/>
              <w:right w:val="single" w:sz="4" w:space="0" w:color="auto"/>
            </w:tcBorders>
            <w:shd w:val="clear" w:color="auto" w:fill="C6EFCE"/>
            <w:noWrap/>
            <w:vAlign w:val="center"/>
          </w:tcPr>
          <w:p w14:paraId="35B99469"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B7F3D70" w14:textId="77777777" w:rsidR="003F5418" w:rsidRDefault="002A6C25">
            <w:pPr>
              <w:pStyle w:val="P68B1DB1-Normal9"/>
              <w:rPr>
                <w:noProof/>
              </w:rPr>
            </w:pPr>
            <w:r>
              <w:rPr>
                <w:noProof/>
              </w:rPr>
              <w:t>Az adókijátszás csökkentése az „elkerülésre való törekvés” mutató meghatározása szerint</w:t>
            </w:r>
          </w:p>
        </w:tc>
      </w:tr>
      <w:tr w:rsidR="003F5418" w14:paraId="34B000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79A763" w14:textId="77777777" w:rsidR="003F5418" w:rsidRDefault="002A6C25">
            <w:pPr>
              <w:pStyle w:val="P68B1DB1-Normal9"/>
              <w:jc w:val="center"/>
              <w:rPr>
                <w:noProof/>
              </w:rPr>
            </w:pPr>
            <w:r>
              <w:rPr>
                <w:noProof/>
              </w:rPr>
              <w:t>M1C1–122</w:t>
            </w:r>
          </w:p>
        </w:tc>
        <w:tc>
          <w:tcPr>
            <w:tcW w:w="3195" w:type="dxa"/>
            <w:tcBorders>
              <w:top w:val="nil"/>
              <w:left w:val="nil"/>
              <w:bottom w:val="single" w:sz="4" w:space="0" w:color="auto"/>
              <w:right w:val="single" w:sz="4" w:space="0" w:color="auto"/>
            </w:tcBorders>
            <w:shd w:val="clear" w:color="auto" w:fill="C6EFCE"/>
            <w:noWrap/>
            <w:vAlign w:val="center"/>
          </w:tcPr>
          <w:p w14:paraId="40178045" w14:textId="77777777" w:rsidR="003F5418" w:rsidRDefault="002A6C25">
            <w:pPr>
              <w:pStyle w:val="P68B1DB1-Normal9"/>
              <w:rPr>
                <w:noProof/>
              </w:rPr>
            </w:pPr>
            <w:r>
              <w:rPr>
                <w:noProof/>
              </w:rPr>
              <w:t>Reform: A kiadások felülvizsgálatára vonatkozó keret reformja</w:t>
            </w:r>
          </w:p>
        </w:tc>
        <w:tc>
          <w:tcPr>
            <w:tcW w:w="1380" w:type="dxa"/>
            <w:tcBorders>
              <w:top w:val="nil"/>
              <w:left w:val="nil"/>
              <w:bottom w:val="single" w:sz="4" w:space="0" w:color="auto"/>
              <w:right w:val="single" w:sz="4" w:space="0" w:color="auto"/>
            </w:tcBorders>
            <w:shd w:val="clear" w:color="auto" w:fill="C6EFCE"/>
            <w:noWrap/>
            <w:vAlign w:val="center"/>
          </w:tcPr>
          <w:p w14:paraId="60A0A1EB" w14:textId="77777777" w:rsidR="003F5418" w:rsidRDefault="002A6C25">
            <w:pPr>
              <w:pStyle w:val="P68B1DB1-Normal9"/>
              <w:jc w:val="center"/>
              <w:rPr>
                <w:noProof/>
              </w:rPr>
            </w:pPr>
            <w:r>
              <w:rPr>
                <w:noProof/>
              </w:rPr>
              <w:t>Mérf</w:t>
            </w:r>
            <w:r>
              <w:rPr>
                <w:noProof/>
              </w:rPr>
              <w:t>öldkő</w:t>
            </w:r>
          </w:p>
        </w:tc>
        <w:tc>
          <w:tcPr>
            <w:tcW w:w="4035" w:type="dxa"/>
            <w:tcBorders>
              <w:top w:val="nil"/>
              <w:left w:val="nil"/>
              <w:bottom w:val="single" w:sz="4" w:space="0" w:color="auto"/>
              <w:right w:val="single" w:sz="4" w:space="0" w:color="auto"/>
            </w:tcBorders>
            <w:shd w:val="clear" w:color="auto" w:fill="C6EFCE"/>
            <w:noWrap/>
            <w:vAlign w:val="center"/>
          </w:tcPr>
          <w:p w14:paraId="0D709FD2" w14:textId="77777777" w:rsidR="003F5418" w:rsidRDefault="002A6C25">
            <w:pPr>
              <w:pStyle w:val="P68B1DB1-Normal9"/>
              <w:rPr>
                <w:noProof/>
              </w:rPr>
            </w:pPr>
            <w:r>
              <w:rPr>
                <w:noProof/>
              </w:rPr>
              <w:t>A kiadások 2025-re vonatkozó éves felülvizsgálatának lezárása, hivatkozva a 2022-ben, 2023-ban és 2024-ben 2025-re kitűzött megtakarítási célra.</w:t>
            </w:r>
          </w:p>
        </w:tc>
      </w:tr>
      <w:tr w:rsidR="003F5418" w14:paraId="55772F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1F4794" w14:textId="77777777" w:rsidR="003F5418" w:rsidRDefault="002A6C25">
            <w:pPr>
              <w:pStyle w:val="P68B1DB1-Normal9"/>
              <w:jc w:val="center"/>
              <w:rPr>
                <w:noProof/>
              </w:rPr>
            </w:pPr>
            <w:r>
              <w:rPr>
                <w:noProof/>
              </w:rPr>
              <w:t>M1C3–3</w:t>
            </w:r>
          </w:p>
        </w:tc>
        <w:tc>
          <w:tcPr>
            <w:tcW w:w="3195" w:type="dxa"/>
            <w:tcBorders>
              <w:top w:val="nil"/>
              <w:left w:val="nil"/>
              <w:bottom w:val="single" w:sz="4" w:space="0" w:color="auto"/>
              <w:right w:val="single" w:sz="4" w:space="0" w:color="auto"/>
            </w:tcBorders>
            <w:shd w:val="clear" w:color="auto" w:fill="C6EFCE"/>
            <w:noWrap/>
            <w:vAlign w:val="center"/>
          </w:tcPr>
          <w:p w14:paraId="4E09D24E" w14:textId="77777777" w:rsidR="003F5418" w:rsidRDefault="002A6C25">
            <w:pPr>
              <w:pStyle w:val="P68B1DB1-Normal9"/>
              <w:rPr>
                <w:noProof/>
              </w:rPr>
            </w:pPr>
            <w:r>
              <w:rPr>
                <w:noProof/>
              </w:rPr>
              <w:t xml:space="preserve">Beruházás – 1.2. A múzeumokban, könyvtárakban és archívumokban található fizikai és kognitív </w:t>
            </w:r>
            <w:r>
              <w:rPr>
                <w:noProof/>
              </w:rPr>
              <w:t>akadályok eltávolítása a kultúrához való szélesebb körű hozzáférés és az abban való részvétel lehetővé tétele érdekében</w:t>
            </w:r>
          </w:p>
        </w:tc>
        <w:tc>
          <w:tcPr>
            <w:tcW w:w="1380" w:type="dxa"/>
            <w:tcBorders>
              <w:top w:val="nil"/>
              <w:left w:val="nil"/>
              <w:bottom w:val="single" w:sz="4" w:space="0" w:color="auto"/>
              <w:right w:val="single" w:sz="4" w:space="0" w:color="auto"/>
            </w:tcBorders>
            <w:shd w:val="clear" w:color="auto" w:fill="C6EFCE"/>
            <w:noWrap/>
            <w:vAlign w:val="center"/>
          </w:tcPr>
          <w:p w14:paraId="69D5D67F"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B92B003" w14:textId="77777777" w:rsidR="003F5418" w:rsidRDefault="002A6C25">
            <w:pPr>
              <w:pStyle w:val="P68B1DB1-Normal9"/>
              <w:rPr>
                <w:noProof/>
              </w:rPr>
            </w:pPr>
            <w:r>
              <w:rPr>
                <w:noProof/>
              </w:rPr>
              <w:t>A kulturális helyszínek fizikai és kognitív hozzáférhetőségének javítását célzó beavatkozások</w:t>
            </w:r>
          </w:p>
        </w:tc>
      </w:tr>
      <w:tr w:rsidR="003F5418" w14:paraId="675A68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723EC3" w14:textId="77777777" w:rsidR="003F5418" w:rsidRDefault="002A6C25">
            <w:pPr>
              <w:pStyle w:val="P68B1DB1-Normal9"/>
              <w:jc w:val="center"/>
              <w:rPr>
                <w:noProof/>
              </w:rPr>
            </w:pPr>
            <w:r>
              <w:rPr>
                <w:noProof/>
              </w:rPr>
              <w:t>M2C1–8</w:t>
            </w:r>
          </w:p>
        </w:tc>
        <w:tc>
          <w:tcPr>
            <w:tcW w:w="3195" w:type="dxa"/>
            <w:tcBorders>
              <w:top w:val="nil"/>
              <w:left w:val="nil"/>
              <w:bottom w:val="single" w:sz="4" w:space="0" w:color="auto"/>
              <w:right w:val="single" w:sz="4" w:space="0" w:color="auto"/>
            </w:tcBorders>
            <w:shd w:val="clear" w:color="auto" w:fill="C6EFCE"/>
            <w:noWrap/>
            <w:vAlign w:val="center"/>
          </w:tcPr>
          <w:p w14:paraId="31DEB6E0" w14:textId="77777777" w:rsidR="003F5418" w:rsidRDefault="002A6C25">
            <w:pPr>
              <w:pStyle w:val="P68B1DB1-Normal9"/>
              <w:rPr>
                <w:noProof/>
              </w:rPr>
            </w:pPr>
            <w:r>
              <w:rPr>
                <w:noProof/>
              </w:rPr>
              <w:t>Beruházás: Innováció és gépesí</w:t>
            </w:r>
            <w:r>
              <w:rPr>
                <w:noProof/>
              </w:rPr>
              <w:t>tés a mezőgazdasági és élelmiszeripari ágazatban</w:t>
            </w:r>
          </w:p>
        </w:tc>
        <w:tc>
          <w:tcPr>
            <w:tcW w:w="1380" w:type="dxa"/>
            <w:tcBorders>
              <w:top w:val="nil"/>
              <w:left w:val="nil"/>
              <w:bottom w:val="single" w:sz="4" w:space="0" w:color="auto"/>
              <w:right w:val="single" w:sz="4" w:space="0" w:color="auto"/>
            </w:tcBorders>
            <w:shd w:val="clear" w:color="auto" w:fill="C6EFCE"/>
            <w:noWrap/>
            <w:vAlign w:val="center"/>
          </w:tcPr>
          <w:p w14:paraId="481A88C4"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CFD956E" w14:textId="77777777" w:rsidR="003F5418" w:rsidRDefault="002A6C25">
            <w:pPr>
              <w:pStyle w:val="P68B1DB1-Normal9"/>
              <w:rPr>
                <w:noProof/>
              </w:rPr>
            </w:pPr>
            <w:r>
              <w:rPr>
                <w:noProof/>
              </w:rPr>
              <w:t>A körforgásos gazdaság és a biogazdaság innovációjára irányuló beruházások támogatása</w:t>
            </w:r>
          </w:p>
        </w:tc>
      </w:tr>
      <w:tr w:rsidR="003F5418" w14:paraId="1C975A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700076" w14:textId="77777777" w:rsidR="003F5418" w:rsidRDefault="002A6C25">
            <w:pPr>
              <w:pStyle w:val="P68B1DB1-Normal9"/>
              <w:jc w:val="center"/>
              <w:rPr>
                <w:noProof/>
              </w:rPr>
            </w:pPr>
            <w:r>
              <w:rPr>
                <w:noProof/>
              </w:rPr>
              <w:t>M2C1–9</w:t>
            </w:r>
          </w:p>
        </w:tc>
        <w:tc>
          <w:tcPr>
            <w:tcW w:w="3195" w:type="dxa"/>
            <w:tcBorders>
              <w:top w:val="nil"/>
              <w:left w:val="nil"/>
              <w:bottom w:val="single" w:sz="4" w:space="0" w:color="auto"/>
              <w:right w:val="single" w:sz="4" w:space="0" w:color="auto"/>
            </w:tcBorders>
            <w:shd w:val="clear" w:color="auto" w:fill="C6EFCE"/>
            <w:noWrap/>
            <w:vAlign w:val="center"/>
          </w:tcPr>
          <w:p w14:paraId="6DCE6962" w14:textId="77777777" w:rsidR="003F5418" w:rsidRDefault="002A6C25">
            <w:pPr>
              <w:pStyle w:val="P68B1DB1-Normal9"/>
              <w:rPr>
                <w:noProof/>
              </w:rPr>
            </w:pPr>
            <w:r>
              <w:rPr>
                <w:noProof/>
              </w:rPr>
              <w:t>Beruházás: Agrár-soláris park</w:t>
            </w:r>
          </w:p>
        </w:tc>
        <w:tc>
          <w:tcPr>
            <w:tcW w:w="1380" w:type="dxa"/>
            <w:tcBorders>
              <w:top w:val="nil"/>
              <w:left w:val="nil"/>
              <w:bottom w:val="single" w:sz="4" w:space="0" w:color="auto"/>
              <w:right w:val="single" w:sz="4" w:space="0" w:color="auto"/>
            </w:tcBorders>
            <w:shd w:val="clear" w:color="auto" w:fill="C6EFCE"/>
            <w:noWrap/>
            <w:vAlign w:val="center"/>
          </w:tcPr>
          <w:p w14:paraId="22ADCF7C"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00FD9DB2" w14:textId="77777777" w:rsidR="003F5418" w:rsidRDefault="002A6C25">
            <w:pPr>
              <w:pStyle w:val="P68B1DB1-Normal9"/>
              <w:rPr>
                <w:noProof/>
              </w:rPr>
            </w:pPr>
            <w:r>
              <w:rPr>
                <w:noProof/>
              </w:rPr>
              <w:t>Agrár-villamosenergia-termelés</w:t>
            </w:r>
          </w:p>
        </w:tc>
      </w:tr>
      <w:tr w:rsidR="003F5418" w14:paraId="5BEA8A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73153A" w14:textId="77777777" w:rsidR="003F5418" w:rsidRDefault="002A6C25">
            <w:pPr>
              <w:pStyle w:val="P68B1DB1-Normal9"/>
              <w:jc w:val="center"/>
              <w:rPr>
                <w:noProof/>
              </w:rPr>
            </w:pPr>
            <w:r>
              <w:rPr>
                <w:noProof/>
              </w:rPr>
              <w:t>M2C1–10</w:t>
            </w:r>
          </w:p>
        </w:tc>
        <w:tc>
          <w:tcPr>
            <w:tcW w:w="3195" w:type="dxa"/>
            <w:tcBorders>
              <w:top w:val="nil"/>
              <w:left w:val="nil"/>
              <w:bottom w:val="single" w:sz="4" w:space="0" w:color="auto"/>
              <w:right w:val="single" w:sz="4" w:space="0" w:color="auto"/>
            </w:tcBorders>
            <w:shd w:val="clear" w:color="auto" w:fill="C6EFCE"/>
            <w:noWrap/>
            <w:vAlign w:val="center"/>
          </w:tcPr>
          <w:p w14:paraId="5B023D2E" w14:textId="77777777" w:rsidR="003F5418" w:rsidRDefault="002A6C25">
            <w:pPr>
              <w:pStyle w:val="P68B1DB1-Normal9"/>
              <w:rPr>
                <w:noProof/>
              </w:rPr>
            </w:pPr>
            <w:r>
              <w:rPr>
                <w:noProof/>
              </w:rPr>
              <w:t xml:space="preserve">Beruházás: Az </w:t>
            </w:r>
            <w:r>
              <w:rPr>
                <w:noProof/>
              </w:rPr>
              <w:t>agrár-élelmiszeripari, halászati és akvakultúra-ágazat, az erdészet, a virágkertészet és a növényiskolák logisztikai terve</w:t>
            </w:r>
          </w:p>
        </w:tc>
        <w:tc>
          <w:tcPr>
            <w:tcW w:w="1380" w:type="dxa"/>
            <w:tcBorders>
              <w:top w:val="nil"/>
              <w:left w:val="nil"/>
              <w:bottom w:val="single" w:sz="4" w:space="0" w:color="auto"/>
              <w:right w:val="single" w:sz="4" w:space="0" w:color="auto"/>
            </w:tcBorders>
            <w:shd w:val="clear" w:color="auto" w:fill="C6EFCE"/>
            <w:noWrap/>
            <w:vAlign w:val="center"/>
          </w:tcPr>
          <w:p w14:paraId="7FF1ED8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7F32D38B" w14:textId="77777777" w:rsidR="003F5418" w:rsidRDefault="002A6C25">
            <w:pPr>
              <w:pStyle w:val="P68B1DB1-Normal9"/>
              <w:rPr>
                <w:noProof/>
              </w:rPr>
            </w:pPr>
            <w:r>
              <w:rPr>
                <w:noProof/>
              </w:rPr>
              <w:t>Az agrár-élelmiszeripari, halászati és akvakultúra-ágazat, az erdészeti, a virágkertészeti és a növényiskolai ágazat logisztikájá</w:t>
            </w:r>
            <w:r>
              <w:rPr>
                <w:noProof/>
              </w:rPr>
              <w:t>t javító beavatkozások</w:t>
            </w:r>
          </w:p>
        </w:tc>
      </w:tr>
      <w:tr w:rsidR="003F5418" w14:paraId="67101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E2B964" w14:textId="77777777" w:rsidR="003F5418" w:rsidRDefault="002A6C25">
            <w:pPr>
              <w:pStyle w:val="P68B1DB1-Normal9"/>
              <w:jc w:val="center"/>
              <w:rPr>
                <w:noProof/>
              </w:rPr>
            </w:pPr>
            <w:r>
              <w:rPr>
                <w:noProof/>
              </w:rPr>
              <w:t>M2C1–12</w:t>
            </w:r>
          </w:p>
        </w:tc>
        <w:tc>
          <w:tcPr>
            <w:tcW w:w="3195" w:type="dxa"/>
            <w:tcBorders>
              <w:top w:val="nil"/>
              <w:left w:val="nil"/>
              <w:bottom w:val="single" w:sz="4" w:space="0" w:color="auto"/>
              <w:right w:val="single" w:sz="4" w:space="0" w:color="auto"/>
            </w:tcBorders>
            <w:shd w:val="clear" w:color="auto" w:fill="C6EFCE"/>
            <w:noWrap/>
            <w:vAlign w:val="center"/>
          </w:tcPr>
          <w:p w14:paraId="47EF14FC" w14:textId="77777777" w:rsidR="003F5418" w:rsidRDefault="002A6C25">
            <w:pPr>
              <w:pStyle w:val="P68B1DB1-Normal9"/>
              <w:rPr>
                <w:noProof/>
              </w:rPr>
            </w:pPr>
            <w:r>
              <w:rPr>
                <w:noProof/>
              </w:rPr>
              <w:t>Beruházás: Kultúra és tudatosság a környezetvédelmi témákkal és kihívásokkal kapcsolatban</w:t>
            </w:r>
          </w:p>
        </w:tc>
        <w:tc>
          <w:tcPr>
            <w:tcW w:w="1380" w:type="dxa"/>
            <w:tcBorders>
              <w:top w:val="nil"/>
              <w:left w:val="nil"/>
              <w:bottom w:val="single" w:sz="4" w:space="0" w:color="auto"/>
              <w:right w:val="single" w:sz="4" w:space="0" w:color="auto"/>
            </w:tcBorders>
            <w:shd w:val="clear" w:color="auto" w:fill="C6EFCE"/>
            <w:noWrap/>
            <w:vAlign w:val="center"/>
          </w:tcPr>
          <w:p w14:paraId="3A04D15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5E0404F" w14:textId="77777777" w:rsidR="003F5418" w:rsidRDefault="002A6C25">
            <w:pPr>
              <w:pStyle w:val="P68B1DB1-Normal9"/>
              <w:rPr>
                <w:noProof/>
              </w:rPr>
            </w:pPr>
            <w:r>
              <w:rPr>
                <w:noProof/>
              </w:rPr>
              <w:t>Audiovizuális anyagok a környezeti átállásról</w:t>
            </w:r>
          </w:p>
        </w:tc>
      </w:tr>
      <w:tr w:rsidR="003F5418" w14:paraId="599013D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28EF24" w14:textId="77777777" w:rsidR="003F5418" w:rsidRDefault="002A6C25">
            <w:pPr>
              <w:pStyle w:val="P68B1DB1-Normal9"/>
              <w:jc w:val="center"/>
              <w:rPr>
                <w:noProof/>
              </w:rPr>
            </w:pPr>
            <w:r>
              <w:rPr>
                <w:noProof/>
              </w:rPr>
              <w:t>M2C2–23</w:t>
            </w:r>
          </w:p>
        </w:tc>
        <w:tc>
          <w:tcPr>
            <w:tcW w:w="3195" w:type="dxa"/>
            <w:tcBorders>
              <w:top w:val="nil"/>
              <w:left w:val="nil"/>
              <w:bottom w:val="single" w:sz="4" w:space="0" w:color="auto"/>
              <w:right w:val="single" w:sz="4" w:space="0" w:color="auto"/>
            </w:tcBorders>
            <w:shd w:val="clear" w:color="auto" w:fill="C6EFCE"/>
            <w:noWrap/>
            <w:vAlign w:val="center"/>
          </w:tcPr>
          <w:p w14:paraId="106B1C8F" w14:textId="77777777" w:rsidR="003F5418" w:rsidRDefault="002A6C25">
            <w:pPr>
              <w:pStyle w:val="P68B1DB1-Normal9"/>
              <w:rPr>
                <w:noProof/>
              </w:rPr>
            </w:pPr>
            <w:r>
              <w:rPr>
                <w:noProof/>
              </w:rPr>
              <w:t>Beruházás a puha mobilitásba (Nemzeti ciklusterv)</w:t>
            </w:r>
          </w:p>
        </w:tc>
        <w:tc>
          <w:tcPr>
            <w:tcW w:w="1380" w:type="dxa"/>
            <w:tcBorders>
              <w:top w:val="nil"/>
              <w:left w:val="nil"/>
              <w:bottom w:val="single" w:sz="4" w:space="0" w:color="auto"/>
              <w:right w:val="single" w:sz="4" w:space="0" w:color="auto"/>
            </w:tcBorders>
            <w:shd w:val="clear" w:color="auto" w:fill="C6EFCE"/>
            <w:noWrap/>
            <w:vAlign w:val="center"/>
          </w:tcPr>
          <w:p w14:paraId="783363C0"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686B9BA" w14:textId="77777777" w:rsidR="003F5418" w:rsidRDefault="002A6C25">
            <w:pPr>
              <w:pStyle w:val="P68B1DB1-Normal9"/>
              <w:rPr>
                <w:noProof/>
              </w:rPr>
            </w:pPr>
            <w:r>
              <w:rPr>
                <w:noProof/>
              </w:rPr>
              <w:t>T2 kerékpársávok</w:t>
            </w:r>
          </w:p>
        </w:tc>
      </w:tr>
      <w:tr w:rsidR="003F5418" w14:paraId="16C975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574328" w14:textId="77777777" w:rsidR="003F5418" w:rsidRDefault="002A6C25">
            <w:pPr>
              <w:pStyle w:val="P68B1DB1-Normal9"/>
              <w:jc w:val="center"/>
              <w:rPr>
                <w:noProof/>
              </w:rPr>
            </w:pPr>
            <w:r>
              <w:rPr>
                <w:noProof/>
              </w:rPr>
              <w:t>M4C1–18</w:t>
            </w:r>
          </w:p>
        </w:tc>
        <w:tc>
          <w:tcPr>
            <w:tcW w:w="3195" w:type="dxa"/>
            <w:tcBorders>
              <w:top w:val="nil"/>
              <w:left w:val="nil"/>
              <w:bottom w:val="single" w:sz="4" w:space="0" w:color="auto"/>
              <w:right w:val="single" w:sz="4" w:space="0" w:color="auto"/>
            </w:tcBorders>
            <w:shd w:val="clear" w:color="auto" w:fill="C6EFCE"/>
            <w:noWrap/>
            <w:vAlign w:val="center"/>
          </w:tcPr>
          <w:p w14:paraId="39B813A6" w14:textId="77777777" w:rsidR="003F5418" w:rsidRDefault="002A6C25">
            <w:pPr>
              <w:pStyle w:val="P68B1DB1-Normal9"/>
              <w:rPr>
                <w:noProof/>
              </w:rPr>
            </w:pPr>
            <w:r>
              <w:rPr>
                <w:noProof/>
              </w:rPr>
              <w:t>Beruházás: A bölcsődékre és az óvodákra, valamint a kora gyermekkori nevelésre és gondozásra vonatkozó terv</w:t>
            </w:r>
          </w:p>
        </w:tc>
        <w:tc>
          <w:tcPr>
            <w:tcW w:w="1380" w:type="dxa"/>
            <w:tcBorders>
              <w:top w:val="nil"/>
              <w:left w:val="nil"/>
              <w:bottom w:val="single" w:sz="4" w:space="0" w:color="auto"/>
              <w:right w:val="single" w:sz="4" w:space="0" w:color="auto"/>
            </w:tcBorders>
            <w:shd w:val="clear" w:color="auto" w:fill="C6EFCE"/>
            <w:noWrap/>
            <w:vAlign w:val="center"/>
          </w:tcPr>
          <w:p w14:paraId="65D69108"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7386D5EA" w14:textId="77777777" w:rsidR="003F5418" w:rsidRDefault="002A6C25">
            <w:pPr>
              <w:pStyle w:val="P68B1DB1-Normal9"/>
              <w:rPr>
                <w:noProof/>
              </w:rPr>
            </w:pPr>
            <w:r>
              <w:rPr>
                <w:noProof/>
              </w:rPr>
              <w:t>Oktatási és koragyermekkori gondozási szolgáltatásokra aktivált új helyek (nulla és hat év közöttiek)</w:t>
            </w:r>
          </w:p>
        </w:tc>
      </w:tr>
      <w:tr w:rsidR="003F5418" w14:paraId="72DD44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9AAEDE1" w14:textId="77777777" w:rsidR="003F5418" w:rsidRDefault="002A6C25">
            <w:pPr>
              <w:pStyle w:val="P68B1DB1-Normal9"/>
              <w:jc w:val="center"/>
              <w:rPr>
                <w:noProof/>
              </w:rPr>
            </w:pPr>
            <w:r>
              <w:rPr>
                <w:noProof/>
              </w:rPr>
              <w:t>M4C1–21</w:t>
            </w:r>
          </w:p>
        </w:tc>
        <w:tc>
          <w:tcPr>
            <w:tcW w:w="3195" w:type="dxa"/>
            <w:tcBorders>
              <w:top w:val="nil"/>
              <w:left w:val="nil"/>
              <w:bottom w:val="single" w:sz="4" w:space="0" w:color="auto"/>
              <w:right w:val="single" w:sz="4" w:space="0" w:color="auto"/>
            </w:tcBorders>
            <w:shd w:val="clear" w:color="auto" w:fill="C6EFCE"/>
            <w:noWrap/>
            <w:vAlign w:val="center"/>
          </w:tcPr>
          <w:p w14:paraId="3D74A050" w14:textId="77777777" w:rsidR="003F5418" w:rsidRDefault="002A6C25">
            <w:pPr>
              <w:pStyle w:val="P68B1DB1-Normal9"/>
              <w:rPr>
                <w:noProof/>
              </w:rPr>
            </w:pPr>
            <w:r>
              <w:rPr>
                <w:noProof/>
              </w:rPr>
              <w:t>Beruházás: A teljes munka</w:t>
            </w:r>
            <w:r>
              <w:rPr>
                <w:noProof/>
              </w:rPr>
              <w:t>idő meghosszabbítására vonatkozó terv</w:t>
            </w:r>
          </w:p>
        </w:tc>
        <w:tc>
          <w:tcPr>
            <w:tcW w:w="1380" w:type="dxa"/>
            <w:tcBorders>
              <w:top w:val="nil"/>
              <w:left w:val="nil"/>
              <w:bottom w:val="single" w:sz="4" w:space="0" w:color="auto"/>
              <w:right w:val="single" w:sz="4" w:space="0" w:color="auto"/>
            </w:tcBorders>
            <w:shd w:val="clear" w:color="auto" w:fill="C6EFCE"/>
            <w:noWrap/>
            <w:vAlign w:val="center"/>
          </w:tcPr>
          <w:p w14:paraId="3E36F328"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5D1B140E" w14:textId="77777777" w:rsidR="003F5418" w:rsidRDefault="002A6C25">
            <w:pPr>
              <w:pStyle w:val="P68B1DB1-Normal38"/>
              <w:rPr>
                <w:noProof/>
              </w:rPr>
            </w:pPr>
            <w:r>
              <w:rPr>
                <w:noProof/>
              </w:rPr>
              <w:t>A diákoknak az iskolai időn túli fogadására szolgáló struktúrák</w:t>
            </w:r>
          </w:p>
        </w:tc>
      </w:tr>
      <w:tr w:rsidR="003F5418" w14:paraId="3AAC91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A1DBFA" w14:textId="77777777" w:rsidR="003F5418" w:rsidRDefault="002A6C25">
            <w:pPr>
              <w:pStyle w:val="P68B1DB1-Normal9"/>
              <w:jc w:val="center"/>
              <w:rPr>
                <w:noProof/>
              </w:rPr>
            </w:pPr>
            <w:r>
              <w:rPr>
                <w:noProof/>
              </w:rPr>
              <w:t>M4C1–22</w:t>
            </w:r>
          </w:p>
        </w:tc>
        <w:tc>
          <w:tcPr>
            <w:tcW w:w="3195" w:type="dxa"/>
            <w:tcBorders>
              <w:top w:val="nil"/>
              <w:left w:val="nil"/>
              <w:bottom w:val="single" w:sz="4" w:space="0" w:color="auto"/>
              <w:right w:val="single" w:sz="4" w:space="0" w:color="auto"/>
            </w:tcBorders>
            <w:shd w:val="clear" w:color="auto" w:fill="C6EFCE"/>
            <w:noWrap/>
            <w:vAlign w:val="center"/>
          </w:tcPr>
          <w:p w14:paraId="3580C1FD" w14:textId="77777777" w:rsidR="003F5418" w:rsidRDefault="002A6C25">
            <w:pPr>
              <w:pStyle w:val="P68B1DB1-Normal9"/>
              <w:rPr>
                <w:noProof/>
              </w:rPr>
            </w:pPr>
            <w:r>
              <w:rPr>
                <w:noProof/>
              </w:rPr>
              <w:t>Beruházás: Iskolai sportinfrastruktúra-fejlesztési terv</w:t>
            </w:r>
          </w:p>
        </w:tc>
        <w:tc>
          <w:tcPr>
            <w:tcW w:w="1380" w:type="dxa"/>
            <w:tcBorders>
              <w:top w:val="nil"/>
              <w:left w:val="nil"/>
              <w:bottom w:val="single" w:sz="4" w:space="0" w:color="auto"/>
              <w:right w:val="single" w:sz="4" w:space="0" w:color="auto"/>
            </w:tcBorders>
            <w:shd w:val="clear" w:color="auto" w:fill="C6EFCE"/>
            <w:noWrap/>
            <w:vAlign w:val="center"/>
          </w:tcPr>
          <w:p w14:paraId="279EDB48"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44F20DE" w14:textId="77777777" w:rsidR="003F5418" w:rsidRDefault="002A6C25">
            <w:pPr>
              <w:pStyle w:val="P68B1DB1-Normal9"/>
              <w:rPr>
                <w:noProof/>
              </w:rPr>
            </w:pPr>
            <w:r>
              <w:rPr>
                <w:noProof/>
              </w:rPr>
              <w:t xml:space="preserve">Az épített vagy felújított sqm tornatermként vagy sportlétesítményként </w:t>
            </w:r>
            <w:r>
              <w:rPr>
                <w:noProof/>
              </w:rPr>
              <w:t>használható</w:t>
            </w:r>
          </w:p>
        </w:tc>
      </w:tr>
      <w:tr w:rsidR="003F5418" w14:paraId="59DE6D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5AC08D" w14:textId="77777777" w:rsidR="003F5418" w:rsidRDefault="002A6C25">
            <w:pPr>
              <w:pStyle w:val="P68B1DB1-Normal9"/>
              <w:jc w:val="center"/>
              <w:rPr>
                <w:noProof/>
              </w:rPr>
            </w:pPr>
            <w:r>
              <w:rPr>
                <w:noProof/>
              </w:rPr>
              <w:t>M4C1–23</w:t>
            </w:r>
          </w:p>
        </w:tc>
        <w:tc>
          <w:tcPr>
            <w:tcW w:w="3195" w:type="dxa"/>
            <w:tcBorders>
              <w:top w:val="nil"/>
              <w:left w:val="nil"/>
              <w:bottom w:val="single" w:sz="4" w:space="0" w:color="auto"/>
              <w:right w:val="single" w:sz="4" w:space="0" w:color="auto"/>
            </w:tcBorders>
            <w:shd w:val="clear" w:color="auto" w:fill="C6EFCE"/>
            <w:noWrap/>
            <w:vAlign w:val="center"/>
          </w:tcPr>
          <w:p w14:paraId="7999A182" w14:textId="77777777" w:rsidR="003F5418" w:rsidRDefault="002A6C25">
            <w:pPr>
              <w:pStyle w:val="P68B1DB1-Normal9"/>
              <w:rPr>
                <w:noProof/>
              </w:rPr>
            </w:pPr>
            <w:r>
              <w:rPr>
                <w:noProof/>
              </w:rPr>
              <w:t xml:space="preserve">Beruházás: Oktatás és magas szintű egyetemi készségek </w:t>
            </w:r>
          </w:p>
        </w:tc>
        <w:tc>
          <w:tcPr>
            <w:tcW w:w="1380" w:type="dxa"/>
            <w:tcBorders>
              <w:top w:val="nil"/>
              <w:left w:val="nil"/>
              <w:bottom w:val="single" w:sz="4" w:space="0" w:color="auto"/>
              <w:right w:val="single" w:sz="4" w:space="0" w:color="auto"/>
            </w:tcBorders>
            <w:shd w:val="clear" w:color="auto" w:fill="C6EFCE"/>
            <w:noWrap/>
            <w:vAlign w:val="center"/>
          </w:tcPr>
          <w:p w14:paraId="15D5F296"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BC82FCB" w14:textId="77777777" w:rsidR="003F5418" w:rsidRDefault="002A6C25">
            <w:pPr>
              <w:pStyle w:val="P68B1DB1-Normal9"/>
              <w:rPr>
                <w:noProof/>
              </w:rPr>
            </w:pPr>
            <w:r>
              <w:rPr>
                <w:noProof/>
              </w:rPr>
              <w:t xml:space="preserve">A digitális és környezeti átállással foglalkozó programokban három évre odaítélt új PhD-k  </w:t>
            </w:r>
          </w:p>
        </w:tc>
      </w:tr>
      <w:tr w:rsidR="003F5418" w14:paraId="1D7590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20FFD3" w14:textId="77777777" w:rsidR="003F5418" w:rsidRDefault="002A6C25">
            <w:pPr>
              <w:pStyle w:val="P68B1DB1-Normal9"/>
              <w:jc w:val="center"/>
              <w:rPr>
                <w:noProof/>
              </w:rPr>
            </w:pPr>
            <w:r>
              <w:rPr>
                <w:noProof/>
              </w:rPr>
              <w:t>M4C1–23a</w:t>
            </w:r>
          </w:p>
        </w:tc>
        <w:tc>
          <w:tcPr>
            <w:tcW w:w="3195" w:type="dxa"/>
            <w:tcBorders>
              <w:top w:val="nil"/>
              <w:left w:val="nil"/>
              <w:bottom w:val="single" w:sz="4" w:space="0" w:color="auto"/>
              <w:right w:val="single" w:sz="4" w:space="0" w:color="auto"/>
            </w:tcBorders>
            <w:shd w:val="clear" w:color="auto" w:fill="C6EFCE"/>
            <w:noWrap/>
            <w:vAlign w:val="center"/>
          </w:tcPr>
          <w:p w14:paraId="1E0313ED" w14:textId="77777777" w:rsidR="003F5418" w:rsidRDefault="002A6C25">
            <w:pPr>
              <w:pStyle w:val="P68B1DB1-Normal9"/>
              <w:rPr>
                <w:noProof/>
              </w:rPr>
            </w:pPr>
            <w:r>
              <w:rPr>
                <w:noProof/>
              </w:rPr>
              <w:t xml:space="preserve">Beruházás: Oktatás és magas szintű egyetemi készségek </w:t>
            </w:r>
          </w:p>
        </w:tc>
        <w:tc>
          <w:tcPr>
            <w:tcW w:w="1380" w:type="dxa"/>
            <w:tcBorders>
              <w:top w:val="nil"/>
              <w:left w:val="nil"/>
              <w:bottom w:val="single" w:sz="4" w:space="0" w:color="auto"/>
              <w:right w:val="single" w:sz="4" w:space="0" w:color="auto"/>
            </w:tcBorders>
            <w:shd w:val="clear" w:color="auto" w:fill="C6EFCE"/>
            <w:noWrap/>
            <w:vAlign w:val="center"/>
          </w:tcPr>
          <w:p w14:paraId="77202F81"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8CB61D9" w14:textId="77777777" w:rsidR="003F5418" w:rsidRDefault="002A6C25">
            <w:pPr>
              <w:pStyle w:val="P68B1DB1-Normal9"/>
              <w:rPr>
                <w:noProof/>
              </w:rPr>
            </w:pPr>
            <w:r>
              <w:rPr>
                <w:noProof/>
              </w:rPr>
              <w:t xml:space="preserve">A </w:t>
            </w:r>
            <w:r>
              <w:rPr>
                <w:noProof/>
              </w:rPr>
              <w:t>tanításra és a magas szintű egyetemi készségekre vonatkozó alintézkedések végrehajtásának befejezése</w:t>
            </w:r>
          </w:p>
        </w:tc>
      </w:tr>
      <w:tr w:rsidR="003F5418" w14:paraId="2158B5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387A4C" w14:textId="77777777" w:rsidR="003F5418" w:rsidRDefault="002A6C25">
            <w:pPr>
              <w:pStyle w:val="P68B1DB1-Normal9"/>
              <w:jc w:val="center"/>
              <w:rPr>
                <w:noProof/>
              </w:rPr>
            </w:pPr>
            <w:r>
              <w:rPr>
                <w:noProof/>
              </w:rPr>
              <w:t>M4C1–24</w:t>
            </w:r>
          </w:p>
        </w:tc>
        <w:tc>
          <w:tcPr>
            <w:tcW w:w="3195" w:type="dxa"/>
            <w:tcBorders>
              <w:top w:val="nil"/>
              <w:left w:val="nil"/>
              <w:bottom w:val="single" w:sz="4" w:space="0" w:color="auto"/>
              <w:right w:val="single" w:sz="4" w:space="0" w:color="auto"/>
            </w:tcBorders>
            <w:shd w:val="clear" w:color="auto" w:fill="C6EFCE"/>
            <w:noWrap/>
            <w:vAlign w:val="center"/>
          </w:tcPr>
          <w:p w14:paraId="0BB88B1B" w14:textId="77777777" w:rsidR="003F5418" w:rsidRDefault="002A6C25">
            <w:pPr>
              <w:pStyle w:val="P68B1DB1-Normal9"/>
              <w:rPr>
                <w:noProof/>
              </w:rPr>
            </w:pPr>
            <w:r>
              <w:rPr>
                <w:noProof/>
              </w:rPr>
              <w:t>Beruházás: Aktív orientáció az iskola és az egyetem közötti átmenet terén.</w:t>
            </w:r>
          </w:p>
        </w:tc>
        <w:tc>
          <w:tcPr>
            <w:tcW w:w="1380" w:type="dxa"/>
            <w:tcBorders>
              <w:top w:val="nil"/>
              <w:left w:val="nil"/>
              <w:bottom w:val="single" w:sz="4" w:space="0" w:color="auto"/>
              <w:right w:val="single" w:sz="4" w:space="0" w:color="auto"/>
            </w:tcBorders>
            <w:shd w:val="clear" w:color="auto" w:fill="C6EFCE"/>
            <w:noWrap/>
            <w:vAlign w:val="center"/>
          </w:tcPr>
          <w:p w14:paraId="41BD47F3"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57E1783" w14:textId="77777777" w:rsidR="003F5418" w:rsidRDefault="002A6C25">
            <w:pPr>
              <w:pStyle w:val="P68B1DB1-Normal9"/>
              <w:rPr>
                <w:noProof/>
              </w:rPr>
            </w:pPr>
            <w:r>
              <w:rPr>
                <w:noProof/>
              </w:rPr>
              <w:t>Iskolai-egyetemi átmeneti tanfolyamokon részt vevő diákok</w:t>
            </w:r>
          </w:p>
        </w:tc>
      </w:tr>
      <w:tr w:rsidR="003F5418" w14:paraId="4D14F3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7E52E" w14:textId="77777777" w:rsidR="003F5418" w:rsidRDefault="002A6C25">
            <w:pPr>
              <w:pStyle w:val="P68B1DB1-Normal9"/>
              <w:jc w:val="center"/>
              <w:rPr>
                <w:noProof/>
              </w:rPr>
            </w:pPr>
            <w:r>
              <w:rPr>
                <w:noProof/>
              </w:rPr>
              <w:t>M4C1–25</w:t>
            </w:r>
          </w:p>
        </w:tc>
        <w:tc>
          <w:tcPr>
            <w:tcW w:w="3195" w:type="dxa"/>
            <w:tcBorders>
              <w:top w:val="nil"/>
              <w:left w:val="nil"/>
              <w:bottom w:val="single" w:sz="4" w:space="0" w:color="auto"/>
              <w:right w:val="single" w:sz="4" w:space="0" w:color="auto"/>
            </w:tcBorders>
            <w:shd w:val="clear" w:color="auto" w:fill="C6EFCE"/>
            <w:noWrap/>
            <w:vAlign w:val="center"/>
          </w:tcPr>
          <w:p w14:paraId="0C900DE6" w14:textId="77777777" w:rsidR="003F5418" w:rsidRDefault="002A6C25">
            <w:pPr>
              <w:pStyle w:val="P68B1DB1-Normal9"/>
              <w:rPr>
                <w:noProof/>
              </w:rPr>
            </w:pPr>
            <w:r>
              <w:rPr>
                <w:noProof/>
              </w:rPr>
              <w:t>Beruházás: Rendkívüli beavatkozás, amelynek célja a területi különbségek csökkentése a középiskola I. és II. ciklusaiban, valamint az iskolai lemorzsolódás kezelése</w:t>
            </w:r>
          </w:p>
        </w:tc>
        <w:tc>
          <w:tcPr>
            <w:tcW w:w="1380" w:type="dxa"/>
            <w:tcBorders>
              <w:top w:val="nil"/>
              <w:left w:val="nil"/>
              <w:bottom w:val="single" w:sz="4" w:space="0" w:color="auto"/>
              <w:right w:val="single" w:sz="4" w:space="0" w:color="auto"/>
            </w:tcBorders>
            <w:shd w:val="clear" w:color="auto" w:fill="C6EFCE"/>
            <w:noWrap/>
            <w:vAlign w:val="center"/>
          </w:tcPr>
          <w:p w14:paraId="0D71F185"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74B414C" w14:textId="77777777" w:rsidR="003F5418" w:rsidRDefault="002A6C25">
            <w:pPr>
              <w:pStyle w:val="P68B1DB1-Normal9"/>
              <w:rPr>
                <w:noProof/>
              </w:rPr>
            </w:pPr>
            <w:r>
              <w:rPr>
                <w:noProof/>
              </w:rPr>
              <w:t>A középfokú oktatásban lemorzsolódók aránya közötti különbség</w:t>
            </w:r>
          </w:p>
        </w:tc>
      </w:tr>
      <w:tr w:rsidR="003F5418" w14:paraId="2CABF0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CD5441" w14:textId="77777777" w:rsidR="003F5418" w:rsidRDefault="002A6C25">
            <w:pPr>
              <w:pStyle w:val="P68B1DB1-Normal9"/>
              <w:jc w:val="center"/>
              <w:rPr>
                <w:noProof/>
              </w:rPr>
            </w:pPr>
            <w:r>
              <w:rPr>
                <w:noProof/>
              </w:rPr>
              <w:t>M4C1–26</w:t>
            </w:r>
          </w:p>
        </w:tc>
        <w:tc>
          <w:tcPr>
            <w:tcW w:w="3195" w:type="dxa"/>
            <w:tcBorders>
              <w:top w:val="nil"/>
              <w:left w:val="nil"/>
              <w:bottom w:val="single" w:sz="4" w:space="0" w:color="auto"/>
              <w:right w:val="single" w:sz="4" w:space="0" w:color="auto"/>
            </w:tcBorders>
            <w:shd w:val="clear" w:color="auto" w:fill="C6EFCE"/>
            <w:noWrap/>
            <w:vAlign w:val="center"/>
          </w:tcPr>
          <w:p w14:paraId="5B261FA6" w14:textId="77777777" w:rsidR="003F5418" w:rsidRDefault="002A6C25">
            <w:pPr>
              <w:pStyle w:val="P68B1DB1-Normal9"/>
              <w:rPr>
                <w:noProof/>
              </w:rPr>
            </w:pPr>
            <w:r>
              <w:rPr>
                <w:noProof/>
              </w:rPr>
              <w:t xml:space="preserve">Beruházás: </w:t>
            </w:r>
            <w:r>
              <w:rPr>
                <w:noProof/>
              </w:rPr>
              <w:t>Iskolaépület-biztonsági és strukturális rehabilitációs terv</w:t>
            </w:r>
          </w:p>
        </w:tc>
        <w:tc>
          <w:tcPr>
            <w:tcW w:w="1380" w:type="dxa"/>
            <w:tcBorders>
              <w:top w:val="nil"/>
              <w:left w:val="nil"/>
              <w:bottom w:val="single" w:sz="4" w:space="0" w:color="auto"/>
              <w:right w:val="single" w:sz="4" w:space="0" w:color="auto"/>
            </w:tcBorders>
            <w:shd w:val="clear" w:color="auto" w:fill="C6EFCE"/>
            <w:noWrap/>
            <w:vAlign w:val="center"/>
          </w:tcPr>
          <w:p w14:paraId="6098FB92"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7F7E8D4" w14:textId="77777777" w:rsidR="003F5418" w:rsidRDefault="002A6C25">
            <w:pPr>
              <w:pStyle w:val="P68B1DB1-Normal9"/>
              <w:rPr>
                <w:noProof/>
              </w:rPr>
            </w:pPr>
            <w:r>
              <w:rPr>
                <w:noProof/>
              </w:rPr>
              <w:t>Felújított iskolaépületek négyzetmétere</w:t>
            </w:r>
          </w:p>
        </w:tc>
      </w:tr>
      <w:tr w:rsidR="003F5418" w14:paraId="53D22D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2B8110" w14:textId="77777777" w:rsidR="003F5418" w:rsidRDefault="002A6C25">
            <w:pPr>
              <w:pStyle w:val="P68B1DB1-Normal9"/>
              <w:jc w:val="center"/>
              <w:rPr>
                <w:noProof/>
              </w:rPr>
            </w:pPr>
            <w:r>
              <w:rPr>
                <w:noProof/>
              </w:rPr>
              <w:t>M5C1–7a</w:t>
            </w:r>
          </w:p>
        </w:tc>
        <w:tc>
          <w:tcPr>
            <w:tcW w:w="3195" w:type="dxa"/>
            <w:tcBorders>
              <w:top w:val="nil"/>
              <w:left w:val="nil"/>
              <w:bottom w:val="single" w:sz="4" w:space="0" w:color="auto"/>
              <w:right w:val="single" w:sz="4" w:space="0" w:color="auto"/>
            </w:tcBorders>
            <w:shd w:val="clear" w:color="auto" w:fill="C6EFCE"/>
            <w:noWrap/>
            <w:vAlign w:val="center"/>
          </w:tcPr>
          <w:p w14:paraId="2F033228" w14:textId="77777777" w:rsidR="003F5418" w:rsidRDefault="002A6C25">
            <w:pPr>
              <w:pStyle w:val="P68B1DB1-Normal9"/>
              <w:rPr>
                <w:noProof/>
              </w:rPr>
            </w:pPr>
            <w:r>
              <w:rPr>
                <w:noProof/>
              </w:rPr>
              <w:t xml:space="preserve">Beruházás – Az állami foglalkoztatási szolgálatok (ÁFSZ-ek) megerősítése </w:t>
            </w:r>
          </w:p>
        </w:tc>
        <w:tc>
          <w:tcPr>
            <w:tcW w:w="1380" w:type="dxa"/>
            <w:tcBorders>
              <w:top w:val="nil"/>
              <w:left w:val="nil"/>
              <w:bottom w:val="single" w:sz="4" w:space="0" w:color="auto"/>
              <w:right w:val="single" w:sz="4" w:space="0" w:color="auto"/>
            </w:tcBorders>
            <w:shd w:val="clear" w:color="auto" w:fill="C6EFCE"/>
            <w:noWrap/>
            <w:vAlign w:val="center"/>
          </w:tcPr>
          <w:p w14:paraId="28A7FF3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FF70D9D" w14:textId="77777777" w:rsidR="003F5418" w:rsidRDefault="002A6C25">
            <w:pPr>
              <w:pStyle w:val="P68B1DB1-Normal9"/>
              <w:rPr>
                <w:noProof/>
              </w:rPr>
            </w:pPr>
            <w:r>
              <w:rPr>
                <w:noProof/>
              </w:rPr>
              <w:t>Az állami foglalkoztatási szolgálatok befejezték a megerősítési t</w:t>
            </w:r>
            <w:r>
              <w:rPr>
                <w:noProof/>
              </w:rPr>
              <w:t>ervben előirányzott tevékenységeket</w:t>
            </w:r>
          </w:p>
        </w:tc>
      </w:tr>
      <w:tr w:rsidR="003F5418" w14:paraId="1E6151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1756F1" w14:textId="77777777" w:rsidR="003F5418" w:rsidRDefault="002A6C25">
            <w:pPr>
              <w:pStyle w:val="P68B1DB1-Normal9"/>
              <w:jc w:val="center"/>
              <w:rPr>
                <w:noProof/>
              </w:rPr>
            </w:pPr>
            <w:r>
              <w:rPr>
                <w:noProof/>
              </w:rPr>
              <w:t xml:space="preserve">M5C1–13 </w:t>
            </w:r>
          </w:p>
        </w:tc>
        <w:tc>
          <w:tcPr>
            <w:tcW w:w="3195" w:type="dxa"/>
            <w:tcBorders>
              <w:top w:val="nil"/>
              <w:left w:val="nil"/>
              <w:bottom w:val="single" w:sz="4" w:space="0" w:color="auto"/>
              <w:right w:val="single" w:sz="4" w:space="0" w:color="auto"/>
            </w:tcBorders>
            <w:shd w:val="clear" w:color="auto" w:fill="C6EFCE"/>
            <w:noWrap/>
            <w:vAlign w:val="center"/>
          </w:tcPr>
          <w:p w14:paraId="376F21C2" w14:textId="77777777" w:rsidR="003F5418" w:rsidRDefault="002A6C25">
            <w:pPr>
              <w:pStyle w:val="P68B1DB1-Normal9"/>
              <w:rPr>
                <w:noProof/>
              </w:rPr>
            </w:pPr>
            <w:r>
              <w:rPr>
                <w:noProof/>
              </w:rPr>
              <w:t>Beruházás – A nemek közötti egyenlőség tanúsítási rendszere</w:t>
            </w:r>
          </w:p>
        </w:tc>
        <w:tc>
          <w:tcPr>
            <w:tcW w:w="1380" w:type="dxa"/>
            <w:tcBorders>
              <w:top w:val="nil"/>
              <w:left w:val="nil"/>
              <w:bottom w:val="single" w:sz="4" w:space="0" w:color="auto"/>
              <w:right w:val="single" w:sz="4" w:space="0" w:color="auto"/>
            </w:tcBorders>
            <w:shd w:val="clear" w:color="auto" w:fill="C6EFCE"/>
            <w:noWrap/>
            <w:vAlign w:val="center"/>
          </w:tcPr>
          <w:p w14:paraId="3D6EF0E2"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41BED09" w14:textId="77777777" w:rsidR="003F5418" w:rsidRDefault="002A6C25">
            <w:pPr>
              <w:pStyle w:val="P68B1DB1-Normal9"/>
              <w:rPr>
                <w:noProof/>
              </w:rPr>
            </w:pPr>
            <w:r>
              <w:rPr>
                <w:noProof/>
              </w:rPr>
              <w:t>A vállalatok megszerezték a nemek közötti egyenlőségről szóló tanúsítványt</w:t>
            </w:r>
          </w:p>
        </w:tc>
      </w:tr>
      <w:tr w:rsidR="003F5418" w14:paraId="5CBB69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67DB6AA" w14:textId="77777777" w:rsidR="003F5418" w:rsidRDefault="002A6C25">
            <w:pPr>
              <w:pStyle w:val="P68B1DB1-Normal9"/>
              <w:jc w:val="center"/>
              <w:rPr>
                <w:noProof/>
              </w:rPr>
            </w:pPr>
            <w:r>
              <w:rPr>
                <w:noProof/>
              </w:rPr>
              <w:t>M5C1–14</w:t>
            </w:r>
          </w:p>
        </w:tc>
        <w:tc>
          <w:tcPr>
            <w:tcW w:w="3195" w:type="dxa"/>
            <w:tcBorders>
              <w:top w:val="nil"/>
              <w:left w:val="nil"/>
              <w:bottom w:val="single" w:sz="4" w:space="0" w:color="auto"/>
              <w:right w:val="single" w:sz="4" w:space="0" w:color="auto"/>
            </w:tcBorders>
            <w:shd w:val="clear" w:color="auto" w:fill="C6EFCE"/>
            <w:noWrap/>
            <w:vAlign w:val="center"/>
          </w:tcPr>
          <w:p w14:paraId="6FD55918" w14:textId="77777777" w:rsidR="003F5418" w:rsidRDefault="002A6C25">
            <w:pPr>
              <w:pStyle w:val="P68B1DB1-Normal9"/>
              <w:rPr>
                <w:noProof/>
              </w:rPr>
            </w:pPr>
            <w:r>
              <w:rPr>
                <w:noProof/>
              </w:rPr>
              <w:t>Beruházás – A nemek közötti egyenlőség tanúsítási rendszere</w:t>
            </w:r>
          </w:p>
        </w:tc>
        <w:tc>
          <w:tcPr>
            <w:tcW w:w="1380" w:type="dxa"/>
            <w:tcBorders>
              <w:top w:val="nil"/>
              <w:left w:val="nil"/>
              <w:bottom w:val="single" w:sz="4" w:space="0" w:color="auto"/>
              <w:right w:val="single" w:sz="4" w:space="0" w:color="auto"/>
            </w:tcBorders>
            <w:shd w:val="clear" w:color="auto" w:fill="C6EFCE"/>
            <w:noWrap/>
            <w:vAlign w:val="center"/>
          </w:tcPr>
          <w:p w14:paraId="66C7D68B"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B7E70D5" w14:textId="77777777" w:rsidR="003F5418" w:rsidRDefault="002A6C25">
            <w:pPr>
              <w:pStyle w:val="P68B1DB1-Normal9"/>
              <w:rPr>
                <w:noProof/>
              </w:rPr>
            </w:pPr>
            <w:r>
              <w:rPr>
                <w:noProof/>
              </w:rPr>
              <w:t>A technikai segítségnyújtás révén támogatott vállalatok megkapták a nemek közötti egyenlőségre vonatkozó tanúsítványt</w:t>
            </w:r>
          </w:p>
        </w:tc>
      </w:tr>
      <w:tr w:rsidR="003F5418" w14:paraId="3CBC85E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BDEBD7" w14:textId="77777777" w:rsidR="003F5418" w:rsidRDefault="002A6C25">
            <w:pPr>
              <w:pStyle w:val="P68B1DB1-Normal9"/>
              <w:jc w:val="center"/>
              <w:rPr>
                <w:noProof/>
              </w:rPr>
            </w:pPr>
            <w:r>
              <w:rPr>
                <w:noProof/>
              </w:rPr>
              <w:t>M5C1–16</w:t>
            </w:r>
          </w:p>
        </w:tc>
        <w:tc>
          <w:tcPr>
            <w:tcW w:w="3195" w:type="dxa"/>
            <w:tcBorders>
              <w:top w:val="nil"/>
              <w:left w:val="nil"/>
              <w:bottom w:val="single" w:sz="4" w:space="0" w:color="auto"/>
              <w:right w:val="single" w:sz="4" w:space="0" w:color="auto"/>
            </w:tcBorders>
            <w:shd w:val="clear" w:color="auto" w:fill="C6EFCE"/>
            <w:noWrap/>
            <w:vAlign w:val="center"/>
          </w:tcPr>
          <w:p w14:paraId="3D0D5572" w14:textId="77777777" w:rsidR="003F5418" w:rsidRDefault="002A6C25">
            <w:pPr>
              <w:pStyle w:val="P68B1DB1-Normal9"/>
              <w:rPr>
                <w:noProof/>
              </w:rPr>
            </w:pPr>
            <w:r>
              <w:rPr>
                <w:noProof/>
              </w:rPr>
              <w:t>Beruházás – Egyetemes közszolgálat</w:t>
            </w:r>
          </w:p>
        </w:tc>
        <w:tc>
          <w:tcPr>
            <w:tcW w:w="1380" w:type="dxa"/>
            <w:tcBorders>
              <w:top w:val="nil"/>
              <w:left w:val="nil"/>
              <w:bottom w:val="single" w:sz="4" w:space="0" w:color="auto"/>
              <w:right w:val="single" w:sz="4" w:space="0" w:color="auto"/>
            </w:tcBorders>
            <w:shd w:val="clear" w:color="auto" w:fill="C6EFCE"/>
            <w:noWrap/>
            <w:vAlign w:val="center"/>
          </w:tcPr>
          <w:p w14:paraId="4393D50C"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9611703" w14:textId="77777777" w:rsidR="003F5418" w:rsidRDefault="002A6C25">
            <w:pPr>
              <w:pStyle w:val="P68B1DB1-Normal9"/>
              <w:rPr>
                <w:noProof/>
              </w:rPr>
            </w:pPr>
            <w:r>
              <w:rPr>
                <w:noProof/>
              </w:rPr>
              <w:t xml:space="preserve">Az emberek részt vettek az egyetemes közszolgálati programban, és megszerezték a </w:t>
            </w:r>
            <w:r>
              <w:rPr>
                <w:noProof/>
              </w:rPr>
              <w:t>vonatkozó tanúsítványt a 2021–2024-es négyéves időszakban</w:t>
            </w:r>
          </w:p>
        </w:tc>
      </w:tr>
      <w:tr w:rsidR="003F5418" w14:paraId="4FBF8C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6A21D9" w14:textId="77777777" w:rsidR="003F5418" w:rsidRDefault="002A6C25">
            <w:pPr>
              <w:pStyle w:val="P68B1DB1-Normal9"/>
              <w:jc w:val="center"/>
              <w:rPr>
                <w:noProof/>
              </w:rPr>
            </w:pPr>
            <w:r>
              <w:rPr>
                <w:noProof/>
              </w:rPr>
              <w:t>M5C3–4</w:t>
            </w:r>
          </w:p>
        </w:tc>
        <w:tc>
          <w:tcPr>
            <w:tcW w:w="3195" w:type="dxa"/>
            <w:tcBorders>
              <w:top w:val="nil"/>
              <w:left w:val="nil"/>
              <w:bottom w:val="single" w:sz="4" w:space="0" w:color="auto"/>
              <w:right w:val="single" w:sz="4" w:space="0" w:color="auto"/>
            </w:tcBorders>
            <w:shd w:val="clear" w:color="auto" w:fill="C6EFCE"/>
            <w:noWrap/>
            <w:vAlign w:val="center"/>
          </w:tcPr>
          <w:p w14:paraId="2DA15262" w14:textId="77777777" w:rsidR="003F5418" w:rsidRDefault="002A6C25">
            <w:pPr>
              <w:pStyle w:val="P68B1DB1-Normal9"/>
              <w:rPr>
                <w:noProof/>
              </w:rPr>
            </w:pPr>
            <w:r>
              <w:rPr>
                <w:noProof/>
              </w:rPr>
              <w:t>A 2. beruházást Területi közelségben lévő egészségügyi létesítmények</w:t>
            </w:r>
          </w:p>
        </w:tc>
        <w:tc>
          <w:tcPr>
            <w:tcW w:w="1380" w:type="dxa"/>
            <w:tcBorders>
              <w:top w:val="nil"/>
              <w:left w:val="nil"/>
              <w:bottom w:val="single" w:sz="4" w:space="0" w:color="auto"/>
              <w:right w:val="single" w:sz="4" w:space="0" w:color="auto"/>
            </w:tcBorders>
            <w:shd w:val="clear" w:color="auto" w:fill="C6EFCE"/>
            <w:noWrap/>
            <w:vAlign w:val="center"/>
          </w:tcPr>
          <w:p w14:paraId="20E23732"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16C387B" w14:textId="77777777" w:rsidR="003F5418" w:rsidRDefault="002A6C25">
            <w:pPr>
              <w:pStyle w:val="P68B1DB1-Normal9"/>
              <w:rPr>
                <w:noProof/>
              </w:rPr>
            </w:pPr>
            <w:r>
              <w:rPr>
                <w:noProof/>
              </w:rPr>
              <w:t>Az 5000 főnél kevesebb lakosú településeken, mocsarakban vagy településeken működő vidéki gyógyszertárak támogatása (</w:t>
            </w:r>
            <w:r>
              <w:rPr>
                <w:noProof/>
              </w:rPr>
              <w:t>második tétel)</w:t>
            </w:r>
          </w:p>
        </w:tc>
      </w:tr>
      <w:tr w:rsidR="003F5418" w14:paraId="2F1D58F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8A085E" w14:textId="77777777" w:rsidR="003F5418" w:rsidRDefault="002A6C25">
            <w:pPr>
              <w:pStyle w:val="P68B1DB1-Normal9"/>
              <w:jc w:val="center"/>
              <w:rPr>
                <w:noProof/>
              </w:rPr>
            </w:pPr>
            <w:r>
              <w:rPr>
                <w:noProof/>
              </w:rPr>
              <w:t>M5C3–9</w:t>
            </w:r>
          </w:p>
        </w:tc>
        <w:tc>
          <w:tcPr>
            <w:tcW w:w="3195" w:type="dxa"/>
            <w:tcBorders>
              <w:top w:val="nil"/>
              <w:left w:val="nil"/>
              <w:bottom w:val="single" w:sz="4" w:space="0" w:color="auto"/>
              <w:right w:val="single" w:sz="4" w:space="0" w:color="auto"/>
            </w:tcBorders>
            <w:shd w:val="clear" w:color="auto" w:fill="C6EFCE"/>
            <w:noWrap/>
            <w:vAlign w:val="center"/>
          </w:tcPr>
          <w:p w14:paraId="046FBAD8" w14:textId="77777777" w:rsidR="003F5418" w:rsidRDefault="002A6C25">
            <w:pPr>
              <w:pStyle w:val="P68B1DB1-Normal9"/>
              <w:rPr>
                <w:noProof/>
              </w:rPr>
            </w:pPr>
            <w:r>
              <w:rPr>
                <w:noProof/>
              </w:rPr>
              <w:t>Beruházás: Strukturált társadalmi-oktatási beavatkozások a déli oktatási szegénység elleni küzdelem érdekében, támogatva a harmadik szektort</w:t>
            </w:r>
          </w:p>
        </w:tc>
        <w:tc>
          <w:tcPr>
            <w:tcW w:w="1380" w:type="dxa"/>
            <w:tcBorders>
              <w:top w:val="nil"/>
              <w:left w:val="nil"/>
              <w:bottom w:val="single" w:sz="4" w:space="0" w:color="auto"/>
              <w:right w:val="single" w:sz="4" w:space="0" w:color="auto"/>
            </w:tcBorders>
            <w:shd w:val="clear" w:color="auto" w:fill="C6EFCE"/>
            <w:noWrap/>
            <w:vAlign w:val="center"/>
          </w:tcPr>
          <w:p w14:paraId="4D5FA8E4"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9DF1B0B" w14:textId="77777777" w:rsidR="003F5418" w:rsidRDefault="002A6C25">
            <w:pPr>
              <w:pStyle w:val="P68B1DB1-Normal9"/>
              <w:rPr>
                <w:noProof/>
              </w:rPr>
            </w:pPr>
            <w:r>
              <w:rPr>
                <w:noProof/>
              </w:rPr>
              <w:t>Oktatási támogatás kiskorúak számára (második csoport)</w:t>
            </w:r>
          </w:p>
        </w:tc>
      </w:tr>
      <w:tr w:rsidR="003F5418" w14:paraId="1AC4617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EA47F5" w14:textId="77777777" w:rsidR="003F5418" w:rsidRDefault="002A6C25">
            <w:pPr>
              <w:pStyle w:val="P68B1DB1-Normal9"/>
              <w:jc w:val="center"/>
              <w:rPr>
                <w:noProof/>
              </w:rPr>
            </w:pPr>
            <w:r>
              <w:rPr>
                <w:noProof/>
              </w:rPr>
              <w:t>7–11 INTÉZKEDÉS</w:t>
            </w:r>
          </w:p>
        </w:tc>
        <w:tc>
          <w:tcPr>
            <w:tcW w:w="3195" w:type="dxa"/>
            <w:tcBorders>
              <w:top w:val="nil"/>
              <w:left w:val="nil"/>
              <w:bottom w:val="single" w:sz="4" w:space="0" w:color="auto"/>
              <w:right w:val="single" w:sz="4" w:space="0" w:color="auto"/>
            </w:tcBorders>
            <w:shd w:val="clear" w:color="auto" w:fill="C6EFCE"/>
            <w:noWrap/>
            <w:vAlign w:val="center"/>
          </w:tcPr>
          <w:p w14:paraId="1DD74824" w14:textId="77777777" w:rsidR="003F5418" w:rsidRDefault="002A6C25">
            <w:pPr>
              <w:pStyle w:val="P68B1DB1-Normal9"/>
              <w:rPr>
                <w:noProof/>
              </w:rPr>
            </w:pPr>
            <w:r>
              <w:rPr>
                <w:noProof/>
              </w:rPr>
              <w:t>Az 1. beruházást</w:t>
            </w:r>
            <w:r>
              <w:rPr>
                <w:noProof/>
              </w:rPr>
              <w:t xml:space="preserve"> Növekedési intézkedés: Az intelligens hálózatok megerősítése</w:t>
            </w:r>
          </w:p>
        </w:tc>
        <w:tc>
          <w:tcPr>
            <w:tcW w:w="1380" w:type="dxa"/>
            <w:tcBorders>
              <w:top w:val="nil"/>
              <w:left w:val="nil"/>
              <w:bottom w:val="single" w:sz="4" w:space="0" w:color="auto"/>
              <w:right w:val="single" w:sz="4" w:space="0" w:color="auto"/>
            </w:tcBorders>
            <w:shd w:val="clear" w:color="auto" w:fill="C6EFCE"/>
            <w:noWrap/>
            <w:vAlign w:val="center"/>
          </w:tcPr>
          <w:p w14:paraId="66F74127"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68B5839" w14:textId="77777777" w:rsidR="003F5418" w:rsidRDefault="002A6C25">
            <w:pPr>
              <w:pStyle w:val="P68B1DB1-Normal9"/>
              <w:rPr>
                <w:noProof/>
              </w:rPr>
            </w:pPr>
            <w:r>
              <w:rPr>
                <w:noProof/>
              </w:rPr>
              <w:t>Intelligens hálózatok – az energiafogyasztás villamosítása</w:t>
            </w:r>
          </w:p>
        </w:tc>
      </w:tr>
      <w:tr w:rsidR="003F5418" w14:paraId="64E81C7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DCEFFE" w14:textId="77777777" w:rsidR="003F5418" w:rsidRDefault="002A6C25">
            <w:pPr>
              <w:pStyle w:val="P68B1DB1-Normal9"/>
              <w:jc w:val="center"/>
              <w:rPr>
                <w:noProof/>
              </w:rPr>
            </w:pPr>
            <w:r>
              <w:rPr>
                <w:noProof/>
              </w:rPr>
              <w:t>M7–12. INTÉZKEDÉS</w:t>
            </w:r>
          </w:p>
        </w:tc>
        <w:tc>
          <w:tcPr>
            <w:tcW w:w="3195" w:type="dxa"/>
            <w:tcBorders>
              <w:top w:val="nil"/>
              <w:left w:val="nil"/>
              <w:bottom w:val="single" w:sz="4" w:space="0" w:color="auto"/>
              <w:right w:val="single" w:sz="4" w:space="0" w:color="auto"/>
            </w:tcBorders>
            <w:shd w:val="clear" w:color="auto" w:fill="C6EFCE"/>
            <w:noWrap/>
            <w:vAlign w:val="center"/>
          </w:tcPr>
          <w:p w14:paraId="08EFDF95" w14:textId="77777777" w:rsidR="003F5418" w:rsidRDefault="002A6C25">
            <w:pPr>
              <w:pStyle w:val="P68B1DB1-Normal9"/>
              <w:rPr>
                <w:noProof/>
              </w:rPr>
            </w:pPr>
            <w:r>
              <w:rPr>
                <w:noProof/>
              </w:rPr>
              <w:t>A 2. beruházást Növekedési intézkedés: A villamosenergia-hálózat rezilienciájának növelését célzó beavatkozások</w:t>
            </w:r>
          </w:p>
        </w:tc>
        <w:tc>
          <w:tcPr>
            <w:tcW w:w="1380" w:type="dxa"/>
            <w:tcBorders>
              <w:top w:val="nil"/>
              <w:left w:val="nil"/>
              <w:bottom w:val="single" w:sz="4" w:space="0" w:color="auto"/>
              <w:right w:val="single" w:sz="4" w:space="0" w:color="auto"/>
            </w:tcBorders>
            <w:shd w:val="clear" w:color="auto" w:fill="C6EFCE"/>
            <w:noWrap/>
            <w:vAlign w:val="center"/>
          </w:tcPr>
          <w:p w14:paraId="756117C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8DA9739" w14:textId="77777777" w:rsidR="003F5418" w:rsidRDefault="002A6C25">
            <w:pPr>
              <w:pStyle w:val="P68B1DB1-Normal9"/>
              <w:rPr>
                <w:noProof/>
              </w:rPr>
            </w:pPr>
            <w:r>
              <w:rPr>
                <w:noProof/>
              </w:rPr>
              <w:t>A villamosenergia-rendszer rezilienciájának növelése</w:t>
            </w:r>
          </w:p>
        </w:tc>
      </w:tr>
      <w:tr w:rsidR="003F5418" w14:paraId="393F496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996C0E" w14:textId="77777777" w:rsidR="003F5418" w:rsidRDefault="002A6C25">
            <w:pPr>
              <w:pStyle w:val="P68B1DB1-Normal9"/>
              <w:jc w:val="center"/>
              <w:rPr>
                <w:noProof/>
              </w:rPr>
            </w:pPr>
            <w:r>
              <w:rPr>
                <w:noProof/>
              </w:rPr>
              <w:t>7–13. INTÉZKEDÉS</w:t>
            </w:r>
          </w:p>
        </w:tc>
        <w:tc>
          <w:tcPr>
            <w:tcW w:w="3195" w:type="dxa"/>
            <w:tcBorders>
              <w:top w:val="nil"/>
              <w:left w:val="nil"/>
              <w:bottom w:val="single" w:sz="4" w:space="0" w:color="auto"/>
              <w:right w:val="single" w:sz="4" w:space="0" w:color="auto"/>
            </w:tcBorders>
            <w:shd w:val="clear" w:color="auto" w:fill="C6EFCE"/>
            <w:noWrap/>
            <w:vAlign w:val="center"/>
          </w:tcPr>
          <w:p w14:paraId="13D338F8" w14:textId="77777777" w:rsidR="003F5418" w:rsidRDefault="002A6C25">
            <w:pPr>
              <w:pStyle w:val="P68B1DB1-Normal9"/>
              <w:rPr>
                <w:noProof/>
              </w:rPr>
            </w:pPr>
            <w:r>
              <w:rPr>
                <w:noProof/>
              </w:rPr>
              <w:t>Beruházás: Növekedési intézkedés: Hidrogén előállítása barnamezős területeken (hidrogénvölgyek)</w:t>
            </w:r>
          </w:p>
        </w:tc>
        <w:tc>
          <w:tcPr>
            <w:tcW w:w="1380" w:type="dxa"/>
            <w:tcBorders>
              <w:top w:val="nil"/>
              <w:left w:val="nil"/>
              <w:bottom w:val="single" w:sz="4" w:space="0" w:color="auto"/>
              <w:right w:val="single" w:sz="4" w:space="0" w:color="auto"/>
            </w:tcBorders>
            <w:shd w:val="clear" w:color="auto" w:fill="C6EFCE"/>
            <w:noWrap/>
            <w:vAlign w:val="center"/>
          </w:tcPr>
          <w:p w14:paraId="293D3A71"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CF7CB4E" w14:textId="77777777" w:rsidR="003F5418" w:rsidRDefault="002A6C25">
            <w:pPr>
              <w:pStyle w:val="P68B1DB1-Normal9"/>
              <w:rPr>
                <w:noProof/>
              </w:rPr>
            </w:pPr>
            <w:r>
              <w:rPr>
                <w:noProof/>
              </w:rPr>
              <w:t>Az ipari területeken történő hidrogéntermeléssel kapcsolatos projekt lezárása</w:t>
            </w:r>
          </w:p>
        </w:tc>
      </w:tr>
      <w:tr w:rsidR="003F5418" w14:paraId="597888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EFB4A2" w14:textId="77777777" w:rsidR="003F5418" w:rsidRDefault="002A6C25">
            <w:pPr>
              <w:pStyle w:val="P68B1DB1-Normal9"/>
              <w:jc w:val="center"/>
              <w:rPr>
                <w:noProof/>
              </w:rPr>
            </w:pPr>
            <w:r>
              <w:rPr>
                <w:noProof/>
              </w:rPr>
              <w:t>M7–15</w:t>
            </w:r>
          </w:p>
        </w:tc>
        <w:tc>
          <w:tcPr>
            <w:tcW w:w="3195" w:type="dxa"/>
            <w:tcBorders>
              <w:top w:val="nil"/>
              <w:left w:val="nil"/>
              <w:bottom w:val="single" w:sz="4" w:space="0" w:color="auto"/>
              <w:right w:val="single" w:sz="4" w:space="0" w:color="auto"/>
            </w:tcBorders>
            <w:shd w:val="clear" w:color="auto" w:fill="C6EFCE"/>
            <w:noWrap/>
            <w:vAlign w:val="center"/>
          </w:tcPr>
          <w:p w14:paraId="45F177E1" w14:textId="77777777" w:rsidR="003F5418" w:rsidRDefault="002A6C25">
            <w:pPr>
              <w:pStyle w:val="P68B1DB1-Normal9"/>
              <w:rPr>
                <w:noProof/>
              </w:rPr>
            </w:pPr>
            <w:r>
              <w:rPr>
                <w:noProof/>
              </w:rPr>
              <w:t>Beruházás: Tirrén-féle kapcsolat</w:t>
            </w:r>
          </w:p>
        </w:tc>
        <w:tc>
          <w:tcPr>
            <w:tcW w:w="1380" w:type="dxa"/>
            <w:tcBorders>
              <w:top w:val="nil"/>
              <w:left w:val="nil"/>
              <w:bottom w:val="single" w:sz="4" w:space="0" w:color="auto"/>
              <w:right w:val="single" w:sz="4" w:space="0" w:color="auto"/>
            </w:tcBorders>
            <w:shd w:val="clear" w:color="auto" w:fill="C6EFCE"/>
            <w:noWrap/>
            <w:vAlign w:val="center"/>
          </w:tcPr>
          <w:p w14:paraId="5B90C216"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5B72AD8B" w14:textId="77777777" w:rsidR="003F5418" w:rsidRDefault="002A6C25">
            <w:pPr>
              <w:pStyle w:val="P68B1DB1-Normal9"/>
              <w:rPr>
                <w:noProof/>
              </w:rPr>
            </w:pPr>
            <w:r>
              <w:rPr>
                <w:noProof/>
              </w:rPr>
              <w:t>514 km kábellel</w:t>
            </w:r>
          </w:p>
        </w:tc>
      </w:tr>
      <w:tr w:rsidR="003F5418" w14:paraId="7F6B38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014FE1C" w14:textId="77777777" w:rsidR="003F5418" w:rsidRDefault="002A6C25">
            <w:pPr>
              <w:pStyle w:val="P68B1DB1-Normal9"/>
              <w:jc w:val="center"/>
              <w:rPr>
                <w:noProof/>
              </w:rPr>
            </w:pPr>
            <w:r>
              <w:rPr>
                <w:noProof/>
              </w:rPr>
              <w:t>M7–17</w:t>
            </w:r>
          </w:p>
        </w:tc>
        <w:tc>
          <w:tcPr>
            <w:tcW w:w="3195" w:type="dxa"/>
            <w:tcBorders>
              <w:top w:val="nil"/>
              <w:left w:val="nil"/>
              <w:bottom w:val="single" w:sz="4" w:space="0" w:color="auto"/>
              <w:right w:val="single" w:sz="4" w:space="0" w:color="auto"/>
            </w:tcBorders>
            <w:shd w:val="clear" w:color="auto" w:fill="C6EFCE"/>
            <w:noWrap/>
            <w:vAlign w:val="center"/>
          </w:tcPr>
          <w:p w14:paraId="406517DE" w14:textId="77777777" w:rsidR="003F5418" w:rsidRDefault="002A6C25">
            <w:pPr>
              <w:pStyle w:val="P68B1DB1-Normal9"/>
              <w:rPr>
                <w:noProof/>
              </w:rPr>
            </w:pPr>
            <w:r>
              <w:rPr>
                <w:noProof/>
              </w:rPr>
              <w:t>Beruházás: SA.CO.I.3</w:t>
            </w:r>
          </w:p>
        </w:tc>
        <w:tc>
          <w:tcPr>
            <w:tcW w:w="1380" w:type="dxa"/>
            <w:tcBorders>
              <w:top w:val="nil"/>
              <w:left w:val="nil"/>
              <w:bottom w:val="single" w:sz="4" w:space="0" w:color="auto"/>
              <w:right w:val="single" w:sz="4" w:space="0" w:color="auto"/>
            </w:tcBorders>
            <w:shd w:val="clear" w:color="auto" w:fill="C6EFCE"/>
            <w:noWrap/>
            <w:vAlign w:val="center"/>
          </w:tcPr>
          <w:p w14:paraId="01517320" w14:textId="77777777" w:rsidR="003F5418" w:rsidRDefault="002A6C25">
            <w:pPr>
              <w:pStyle w:val="P68B1DB1-Normal9"/>
              <w:jc w:val="center"/>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CBA3AB7" w14:textId="77777777" w:rsidR="003F5418" w:rsidRDefault="002A6C25">
            <w:pPr>
              <w:pStyle w:val="P68B1DB1-Normal9"/>
              <w:rPr>
                <w:noProof/>
              </w:rPr>
            </w:pPr>
            <w:r>
              <w:rPr>
                <w:noProof/>
              </w:rPr>
              <w:t>A szardíniai (Codrongianos) és toszkánai (Suvereto) konvertáló állomások héjának befejezése</w:t>
            </w:r>
          </w:p>
        </w:tc>
      </w:tr>
      <w:tr w:rsidR="003F5418" w14:paraId="308C84C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DF568" w14:textId="77777777" w:rsidR="003F5418" w:rsidRDefault="002A6C25">
            <w:pPr>
              <w:pStyle w:val="P68B1DB1-Normal9"/>
              <w:jc w:val="center"/>
              <w:rPr>
                <w:noProof/>
              </w:rPr>
            </w:pPr>
            <w:r>
              <w:rPr>
                <w:noProof/>
              </w:rPr>
              <w:t>7–19. INTÉZKEDÉS</w:t>
            </w:r>
          </w:p>
        </w:tc>
        <w:tc>
          <w:tcPr>
            <w:tcW w:w="3195" w:type="dxa"/>
            <w:tcBorders>
              <w:top w:val="nil"/>
              <w:left w:val="nil"/>
              <w:bottom w:val="single" w:sz="4" w:space="0" w:color="auto"/>
              <w:right w:val="single" w:sz="4" w:space="0" w:color="auto"/>
            </w:tcBorders>
            <w:shd w:val="clear" w:color="auto" w:fill="C6EFCE"/>
            <w:noWrap/>
            <w:vAlign w:val="center"/>
          </w:tcPr>
          <w:p w14:paraId="486C878C" w14:textId="77777777" w:rsidR="003F5418" w:rsidRDefault="002A6C25">
            <w:pPr>
              <w:pStyle w:val="P68B1DB1-Normal9"/>
              <w:rPr>
                <w:noProof/>
              </w:rPr>
            </w:pPr>
            <w:r>
              <w:rPr>
                <w:noProof/>
              </w:rPr>
              <w:t>Beruházás: Határokon átnyúló villamosenergia-össz</w:t>
            </w:r>
            <w:r>
              <w:rPr>
                <w:noProof/>
              </w:rPr>
              <w:t>eköttetési projektek Olaszország és a szomszédos országok között</w:t>
            </w:r>
          </w:p>
        </w:tc>
        <w:tc>
          <w:tcPr>
            <w:tcW w:w="1380" w:type="dxa"/>
            <w:tcBorders>
              <w:top w:val="nil"/>
              <w:left w:val="nil"/>
              <w:bottom w:val="single" w:sz="4" w:space="0" w:color="auto"/>
              <w:right w:val="single" w:sz="4" w:space="0" w:color="auto"/>
            </w:tcBorders>
            <w:shd w:val="clear" w:color="auto" w:fill="C6EFCE"/>
            <w:noWrap/>
            <w:vAlign w:val="center"/>
          </w:tcPr>
          <w:p w14:paraId="0698EDDD"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3E9EF42" w14:textId="77777777" w:rsidR="003F5418" w:rsidRDefault="002A6C25">
            <w:pPr>
              <w:pStyle w:val="P68B1DB1-Normal9"/>
              <w:rPr>
                <w:noProof/>
              </w:rPr>
            </w:pPr>
            <w:r>
              <w:rPr>
                <w:noProof/>
              </w:rPr>
              <w:t>Az Olaszország és Ausztria közötti rendszerösszekötő névleges kapacitásának növekedése a rendszerösszekötő befejezésének eredményeként</w:t>
            </w:r>
          </w:p>
        </w:tc>
      </w:tr>
      <w:tr w:rsidR="003F5418" w14:paraId="009585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CDA86C" w14:textId="77777777" w:rsidR="003F5418" w:rsidRDefault="002A6C25">
            <w:pPr>
              <w:pStyle w:val="P68B1DB1-Normal9"/>
              <w:jc w:val="center"/>
              <w:rPr>
                <w:noProof/>
              </w:rPr>
            </w:pPr>
            <w:r>
              <w:rPr>
                <w:noProof/>
              </w:rPr>
              <w:t>7–22. INTÉZKEDÉS</w:t>
            </w:r>
          </w:p>
        </w:tc>
        <w:tc>
          <w:tcPr>
            <w:tcW w:w="3195" w:type="dxa"/>
            <w:tcBorders>
              <w:top w:val="nil"/>
              <w:left w:val="nil"/>
              <w:bottom w:val="single" w:sz="4" w:space="0" w:color="auto"/>
              <w:right w:val="single" w:sz="4" w:space="0" w:color="auto"/>
            </w:tcBorders>
            <w:shd w:val="clear" w:color="auto" w:fill="C6EFCE"/>
            <w:noWrap/>
            <w:vAlign w:val="center"/>
          </w:tcPr>
          <w:p w14:paraId="01C2F594" w14:textId="77777777" w:rsidR="003F5418" w:rsidRDefault="002A6C25">
            <w:pPr>
              <w:pStyle w:val="P68B1DB1-Normal9"/>
              <w:rPr>
                <w:noProof/>
              </w:rPr>
            </w:pPr>
            <w:r>
              <w:rPr>
                <w:noProof/>
              </w:rPr>
              <w:t xml:space="preserve">Beruházás: Intelligens nemzeti </w:t>
            </w:r>
            <w:r>
              <w:rPr>
                <w:noProof/>
              </w:rPr>
              <w:t>átviteli hálózat</w:t>
            </w:r>
          </w:p>
        </w:tc>
        <w:tc>
          <w:tcPr>
            <w:tcW w:w="1380" w:type="dxa"/>
            <w:tcBorders>
              <w:top w:val="nil"/>
              <w:left w:val="nil"/>
              <w:bottom w:val="single" w:sz="4" w:space="0" w:color="auto"/>
              <w:right w:val="single" w:sz="4" w:space="0" w:color="auto"/>
            </w:tcBorders>
            <w:shd w:val="clear" w:color="auto" w:fill="C6EFCE"/>
            <w:noWrap/>
            <w:vAlign w:val="center"/>
          </w:tcPr>
          <w:p w14:paraId="2F53E70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0D32DEC" w14:textId="77777777" w:rsidR="003F5418" w:rsidRDefault="002A6C25">
            <w:pPr>
              <w:pStyle w:val="P68B1DB1-Normal9"/>
              <w:rPr>
                <w:noProof/>
              </w:rPr>
            </w:pPr>
            <w:r>
              <w:rPr>
                <w:noProof/>
              </w:rPr>
              <w:t>5G berendezések vagy IKT-architektúrák állomásokon történő telepítése</w:t>
            </w:r>
          </w:p>
        </w:tc>
      </w:tr>
      <w:tr w:rsidR="003F5418" w14:paraId="5DF65B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319C17" w14:textId="77777777" w:rsidR="003F5418" w:rsidRDefault="002A6C25">
            <w:pPr>
              <w:pStyle w:val="P68B1DB1-Normal9"/>
              <w:jc w:val="center"/>
              <w:rPr>
                <w:noProof/>
              </w:rPr>
            </w:pPr>
            <w:r>
              <w:rPr>
                <w:noProof/>
              </w:rPr>
              <w:t>7–23. INTÉZKEDÉS</w:t>
            </w:r>
          </w:p>
        </w:tc>
        <w:tc>
          <w:tcPr>
            <w:tcW w:w="3195" w:type="dxa"/>
            <w:tcBorders>
              <w:top w:val="nil"/>
              <w:left w:val="nil"/>
              <w:bottom w:val="single" w:sz="4" w:space="0" w:color="auto"/>
              <w:right w:val="single" w:sz="4" w:space="0" w:color="auto"/>
            </w:tcBorders>
            <w:shd w:val="clear" w:color="auto" w:fill="C6EFCE"/>
            <w:noWrap/>
            <w:vAlign w:val="center"/>
          </w:tcPr>
          <w:p w14:paraId="213DC95E" w14:textId="77777777" w:rsidR="003F5418" w:rsidRDefault="002A6C25">
            <w:pPr>
              <w:pStyle w:val="P68B1DB1-Normal9"/>
              <w:rPr>
                <w:noProof/>
              </w:rPr>
            </w:pPr>
            <w:r>
              <w:rPr>
                <w:noProof/>
              </w:rPr>
              <w:t>Beruházás: Intelligens nemzeti átviteli hálózat</w:t>
            </w:r>
          </w:p>
        </w:tc>
        <w:tc>
          <w:tcPr>
            <w:tcW w:w="1380" w:type="dxa"/>
            <w:tcBorders>
              <w:top w:val="nil"/>
              <w:left w:val="nil"/>
              <w:bottom w:val="single" w:sz="4" w:space="0" w:color="auto"/>
              <w:right w:val="single" w:sz="4" w:space="0" w:color="auto"/>
            </w:tcBorders>
            <w:shd w:val="clear" w:color="auto" w:fill="C6EFCE"/>
            <w:noWrap/>
            <w:vAlign w:val="center"/>
          </w:tcPr>
          <w:p w14:paraId="5A62E42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1ED7F59D" w14:textId="77777777" w:rsidR="003F5418" w:rsidRDefault="002A6C25">
            <w:pPr>
              <w:pStyle w:val="P68B1DB1-Normal9"/>
              <w:rPr>
                <w:noProof/>
              </w:rPr>
            </w:pPr>
            <w:r>
              <w:rPr>
                <w:noProof/>
              </w:rPr>
              <w:t>Új hálózatirányítási és -ellenőrzési rendszer</w:t>
            </w:r>
          </w:p>
        </w:tc>
      </w:tr>
      <w:tr w:rsidR="003F5418" w14:paraId="4839E5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2CCA86" w14:textId="77777777" w:rsidR="003F5418" w:rsidRDefault="002A6C25">
            <w:pPr>
              <w:pStyle w:val="P68B1DB1-Normal9"/>
              <w:jc w:val="center"/>
              <w:rPr>
                <w:noProof/>
              </w:rPr>
            </w:pPr>
            <w:r>
              <w:rPr>
                <w:noProof/>
              </w:rPr>
              <w:t>M7–24</w:t>
            </w:r>
          </w:p>
        </w:tc>
        <w:tc>
          <w:tcPr>
            <w:tcW w:w="3195" w:type="dxa"/>
            <w:tcBorders>
              <w:top w:val="nil"/>
              <w:left w:val="nil"/>
              <w:bottom w:val="single" w:sz="4" w:space="0" w:color="auto"/>
              <w:right w:val="single" w:sz="4" w:space="0" w:color="auto"/>
            </w:tcBorders>
            <w:shd w:val="clear" w:color="auto" w:fill="C6EFCE"/>
            <w:noWrap/>
            <w:vAlign w:val="center"/>
          </w:tcPr>
          <w:p w14:paraId="0462449C" w14:textId="77777777" w:rsidR="003F5418" w:rsidRDefault="002A6C25">
            <w:pPr>
              <w:pStyle w:val="P68B1DB1-Normal9"/>
              <w:rPr>
                <w:noProof/>
              </w:rPr>
            </w:pPr>
            <w:r>
              <w:rPr>
                <w:noProof/>
              </w:rPr>
              <w:t xml:space="preserve">Beruházás: Intelligens nemzeti átviteli </w:t>
            </w:r>
            <w:r>
              <w:rPr>
                <w:noProof/>
              </w:rPr>
              <w:t>hálózat</w:t>
            </w:r>
          </w:p>
        </w:tc>
        <w:tc>
          <w:tcPr>
            <w:tcW w:w="1380" w:type="dxa"/>
            <w:tcBorders>
              <w:top w:val="nil"/>
              <w:left w:val="nil"/>
              <w:bottom w:val="single" w:sz="4" w:space="0" w:color="auto"/>
              <w:right w:val="single" w:sz="4" w:space="0" w:color="auto"/>
            </w:tcBorders>
            <w:shd w:val="clear" w:color="auto" w:fill="C6EFCE"/>
            <w:noWrap/>
            <w:vAlign w:val="center"/>
          </w:tcPr>
          <w:p w14:paraId="48EEC48D" w14:textId="77777777" w:rsidR="003F5418" w:rsidRDefault="002A6C25">
            <w:pPr>
              <w:pStyle w:val="P68B1DB1-Normal9"/>
              <w:jc w:val="center"/>
              <w:rPr>
                <w:noProof/>
              </w:rPr>
            </w:pPr>
            <w:r>
              <w:rPr>
                <w:noProof/>
              </w:rPr>
              <w:t xml:space="preserve">Cél </w:t>
            </w:r>
          </w:p>
        </w:tc>
        <w:tc>
          <w:tcPr>
            <w:tcW w:w="4035" w:type="dxa"/>
            <w:tcBorders>
              <w:top w:val="nil"/>
              <w:left w:val="nil"/>
              <w:bottom w:val="single" w:sz="4" w:space="0" w:color="auto"/>
              <w:right w:val="single" w:sz="4" w:space="0" w:color="auto"/>
            </w:tcBorders>
            <w:shd w:val="clear" w:color="auto" w:fill="C6EFCE"/>
            <w:noWrap/>
            <w:vAlign w:val="center"/>
          </w:tcPr>
          <w:p w14:paraId="0AF731B0" w14:textId="77777777" w:rsidR="003F5418" w:rsidRDefault="002A6C25">
            <w:pPr>
              <w:pStyle w:val="P68B1DB1-Normal9"/>
              <w:rPr>
                <w:noProof/>
              </w:rPr>
            </w:pPr>
            <w:r>
              <w:rPr>
                <w:noProof/>
              </w:rPr>
              <w:t>Ipari dolgok</w:t>
            </w:r>
          </w:p>
        </w:tc>
      </w:tr>
      <w:tr w:rsidR="003F5418" w14:paraId="09A0501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37CA9B" w14:textId="77777777" w:rsidR="003F5418" w:rsidRDefault="002A6C25">
            <w:pPr>
              <w:pStyle w:val="P68B1DB1-Normal9"/>
              <w:jc w:val="center"/>
              <w:rPr>
                <w:noProof/>
              </w:rPr>
            </w:pPr>
            <w:r>
              <w:rPr>
                <w:noProof/>
              </w:rPr>
              <w:t>M7–27. INTÉZKEDÉS</w:t>
            </w:r>
          </w:p>
        </w:tc>
        <w:tc>
          <w:tcPr>
            <w:tcW w:w="3195" w:type="dxa"/>
            <w:tcBorders>
              <w:top w:val="nil"/>
              <w:left w:val="nil"/>
              <w:bottom w:val="single" w:sz="4" w:space="0" w:color="auto"/>
              <w:right w:val="single" w:sz="4" w:space="0" w:color="auto"/>
            </w:tcBorders>
            <w:shd w:val="clear" w:color="auto" w:fill="C6EFCE"/>
            <w:noWrap/>
            <w:vAlign w:val="center"/>
          </w:tcPr>
          <w:p w14:paraId="27649E03" w14:textId="77777777" w:rsidR="003F5418" w:rsidRDefault="002A6C25">
            <w:pPr>
              <w:pStyle w:val="P68B1DB1-Normal9"/>
              <w:rPr>
                <w:noProof/>
              </w:rPr>
            </w:pPr>
            <w:r>
              <w:rPr>
                <w:noProof/>
              </w:rPr>
              <w:t>Beruházás: A kritikus fontosságú nyersanyagokkal való fenntartható, körforgásos és biztonságos ellátás</w:t>
            </w:r>
          </w:p>
        </w:tc>
        <w:tc>
          <w:tcPr>
            <w:tcW w:w="1380" w:type="dxa"/>
            <w:tcBorders>
              <w:top w:val="nil"/>
              <w:left w:val="nil"/>
              <w:bottom w:val="single" w:sz="4" w:space="0" w:color="auto"/>
              <w:right w:val="single" w:sz="4" w:space="0" w:color="auto"/>
            </w:tcBorders>
            <w:shd w:val="clear" w:color="auto" w:fill="C6EFCE"/>
            <w:noWrap/>
            <w:vAlign w:val="center"/>
          </w:tcPr>
          <w:p w14:paraId="5A0E9CC0" w14:textId="77777777" w:rsidR="003F5418" w:rsidRDefault="002A6C25">
            <w:pPr>
              <w:pStyle w:val="P68B1DB1-Normal9"/>
              <w:jc w:val="center"/>
              <w:rPr>
                <w:noProof/>
              </w:rPr>
            </w:pPr>
            <w:r>
              <w:rPr>
                <w:noProof/>
              </w:rPr>
              <w:t xml:space="preserve">Cél </w:t>
            </w:r>
          </w:p>
        </w:tc>
        <w:tc>
          <w:tcPr>
            <w:tcW w:w="4035" w:type="dxa"/>
            <w:tcBorders>
              <w:top w:val="nil"/>
              <w:left w:val="nil"/>
              <w:bottom w:val="single" w:sz="4" w:space="0" w:color="auto"/>
              <w:right w:val="single" w:sz="4" w:space="0" w:color="auto"/>
            </w:tcBorders>
            <w:shd w:val="clear" w:color="auto" w:fill="C6EFCE"/>
            <w:noWrap/>
            <w:vAlign w:val="center"/>
          </w:tcPr>
          <w:p w14:paraId="7DA04C69" w14:textId="77777777" w:rsidR="003F5418" w:rsidRDefault="002A6C25">
            <w:pPr>
              <w:pStyle w:val="P68B1DB1-Normal9"/>
              <w:rPr>
                <w:noProof/>
              </w:rPr>
            </w:pPr>
            <w:r>
              <w:rPr>
                <w:noProof/>
              </w:rPr>
              <w:t>A környezettudatos tervezéssel és a városi bányászattal kapcsolatos K+F projektek lezárása a kritikus f</w:t>
            </w:r>
            <w:r>
              <w:rPr>
                <w:noProof/>
              </w:rPr>
              <w:t>ontosságú nyersanyagok fenntartható, körforgásos és biztonságos ellátása érdekében</w:t>
            </w:r>
          </w:p>
        </w:tc>
      </w:tr>
      <w:tr w:rsidR="003F5418" w14:paraId="17DD33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2DEE4D" w14:textId="77777777" w:rsidR="003F5418" w:rsidRDefault="002A6C25">
            <w:pPr>
              <w:pStyle w:val="P68B1DB1-Normal9"/>
              <w:jc w:val="center"/>
              <w:rPr>
                <w:noProof/>
              </w:rPr>
            </w:pPr>
            <w:r>
              <w:rPr>
                <w:noProof/>
              </w:rPr>
              <w:t>7–28. INTÉZKEDÉS</w:t>
            </w:r>
          </w:p>
        </w:tc>
        <w:tc>
          <w:tcPr>
            <w:tcW w:w="3195" w:type="dxa"/>
            <w:tcBorders>
              <w:top w:val="nil"/>
              <w:left w:val="nil"/>
              <w:bottom w:val="single" w:sz="4" w:space="0" w:color="auto"/>
              <w:right w:val="single" w:sz="4" w:space="0" w:color="auto"/>
            </w:tcBorders>
            <w:shd w:val="clear" w:color="auto" w:fill="C6EFCE"/>
            <w:noWrap/>
            <w:vAlign w:val="center"/>
          </w:tcPr>
          <w:p w14:paraId="0B1BFFA7" w14:textId="77777777" w:rsidR="003F5418" w:rsidRDefault="002A6C25">
            <w:pPr>
              <w:pStyle w:val="P68B1DB1-Normal9"/>
              <w:rPr>
                <w:noProof/>
              </w:rPr>
            </w:pPr>
            <w:r>
              <w:rPr>
                <w:noProof/>
              </w:rPr>
              <w:t>Beruházás: A kritikus fontosságú nyersanyagokkal való fenntartható, körforgásos és biztonságos ellátás</w:t>
            </w:r>
          </w:p>
        </w:tc>
        <w:tc>
          <w:tcPr>
            <w:tcW w:w="1380" w:type="dxa"/>
            <w:tcBorders>
              <w:top w:val="nil"/>
              <w:left w:val="nil"/>
              <w:bottom w:val="single" w:sz="4" w:space="0" w:color="auto"/>
              <w:right w:val="single" w:sz="4" w:space="0" w:color="auto"/>
            </w:tcBorders>
            <w:shd w:val="clear" w:color="auto" w:fill="C6EFCE"/>
            <w:noWrap/>
            <w:vAlign w:val="center"/>
          </w:tcPr>
          <w:p w14:paraId="4C2B70ED"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399803F9" w14:textId="77777777" w:rsidR="003F5418" w:rsidRDefault="002A6C25">
            <w:pPr>
              <w:pStyle w:val="P68B1DB1-Normal9"/>
              <w:rPr>
                <w:noProof/>
              </w:rPr>
            </w:pPr>
            <w:r>
              <w:rPr>
                <w:noProof/>
              </w:rPr>
              <w:t xml:space="preserve">A városi bányászati és környezetbarát tervezési </w:t>
            </w:r>
            <w:r>
              <w:rPr>
                <w:noProof/>
              </w:rPr>
              <w:t>technológiai központhoz tartozó laboratóriumok berendezései</w:t>
            </w:r>
          </w:p>
        </w:tc>
      </w:tr>
      <w:tr w:rsidR="003F5418" w14:paraId="62E7902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FCAADB" w14:textId="77777777" w:rsidR="003F5418" w:rsidRDefault="002A6C25">
            <w:pPr>
              <w:pStyle w:val="P68B1DB1-Normal9"/>
              <w:jc w:val="center"/>
              <w:rPr>
                <w:noProof/>
              </w:rPr>
            </w:pPr>
            <w:r>
              <w:rPr>
                <w:noProof/>
              </w:rPr>
              <w:t>M7–29</w:t>
            </w:r>
          </w:p>
        </w:tc>
        <w:tc>
          <w:tcPr>
            <w:tcW w:w="3195" w:type="dxa"/>
            <w:tcBorders>
              <w:top w:val="nil"/>
              <w:left w:val="nil"/>
              <w:bottom w:val="single" w:sz="4" w:space="0" w:color="auto"/>
              <w:right w:val="single" w:sz="4" w:space="0" w:color="auto"/>
            </w:tcBorders>
            <w:shd w:val="clear" w:color="auto" w:fill="C6EFCE"/>
            <w:noWrap/>
            <w:vAlign w:val="center"/>
          </w:tcPr>
          <w:p w14:paraId="47335652" w14:textId="77777777" w:rsidR="003F5418" w:rsidRDefault="002A6C25">
            <w:pPr>
              <w:pStyle w:val="P68B1DB1-Normal9"/>
              <w:rPr>
                <w:noProof/>
              </w:rPr>
            </w:pPr>
            <w:r>
              <w:rPr>
                <w:noProof/>
              </w:rPr>
              <w:t>Beruházás: Növekedési intézkedés: Technikai segítségnyújtás és kapacitásépítés megerősítése az olasz helyreállítási és rezilienciaépítési terv végrehajtásához</w:t>
            </w:r>
          </w:p>
        </w:tc>
        <w:tc>
          <w:tcPr>
            <w:tcW w:w="1380" w:type="dxa"/>
            <w:tcBorders>
              <w:top w:val="nil"/>
              <w:left w:val="nil"/>
              <w:bottom w:val="single" w:sz="4" w:space="0" w:color="auto"/>
              <w:right w:val="single" w:sz="4" w:space="0" w:color="auto"/>
            </w:tcBorders>
            <w:shd w:val="clear" w:color="auto" w:fill="C6EFCE"/>
            <w:noWrap/>
            <w:vAlign w:val="center"/>
          </w:tcPr>
          <w:p w14:paraId="17835B90"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255C59A3" w14:textId="77777777" w:rsidR="003F5418" w:rsidRDefault="002A6C25">
            <w:pPr>
              <w:pStyle w:val="P68B1DB1-Normal9"/>
              <w:rPr>
                <w:noProof/>
              </w:rPr>
            </w:pPr>
            <w:r>
              <w:rPr>
                <w:noProof/>
              </w:rPr>
              <w:t>Oktatás és képzés</w:t>
            </w:r>
          </w:p>
        </w:tc>
      </w:tr>
      <w:tr w:rsidR="003F5418" w14:paraId="2C6227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918B52" w14:textId="77777777" w:rsidR="003F5418" w:rsidRDefault="002A6C25">
            <w:pPr>
              <w:pStyle w:val="P68B1DB1-Normal9"/>
              <w:jc w:val="center"/>
              <w:rPr>
                <w:noProof/>
              </w:rPr>
            </w:pPr>
            <w:r>
              <w:rPr>
                <w:noProof/>
              </w:rPr>
              <w:t>M7–31</w:t>
            </w:r>
          </w:p>
        </w:tc>
        <w:tc>
          <w:tcPr>
            <w:tcW w:w="3195" w:type="dxa"/>
            <w:tcBorders>
              <w:top w:val="nil"/>
              <w:left w:val="nil"/>
              <w:bottom w:val="single" w:sz="4" w:space="0" w:color="auto"/>
              <w:right w:val="single" w:sz="4" w:space="0" w:color="auto"/>
            </w:tcBorders>
            <w:shd w:val="clear" w:color="auto" w:fill="C6EFCE"/>
            <w:noWrap/>
            <w:vAlign w:val="center"/>
          </w:tcPr>
          <w:p w14:paraId="329AA540" w14:textId="77777777" w:rsidR="003F5418" w:rsidRDefault="002A6C25">
            <w:pPr>
              <w:pStyle w:val="P68B1DB1-Normal9"/>
              <w:rPr>
                <w:noProof/>
              </w:rPr>
            </w:pPr>
            <w:r>
              <w:rPr>
                <w:noProof/>
              </w:rPr>
              <w:t>B</w:t>
            </w:r>
            <w:r>
              <w:rPr>
                <w:noProof/>
              </w:rPr>
              <w:t>eruházás:  A regionális tömegközlekedési vasúti flotta kibocsátásmentes vonatokkal és egyetemes szolgáltatással történő megerősítése</w:t>
            </w:r>
          </w:p>
        </w:tc>
        <w:tc>
          <w:tcPr>
            <w:tcW w:w="1380" w:type="dxa"/>
            <w:tcBorders>
              <w:top w:val="nil"/>
              <w:left w:val="nil"/>
              <w:bottom w:val="single" w:sz="4" w:space="0" w:color="auto"/>
              <w:right w:val="single" w:sz="4" w:space="0" w:color="auto"/>
            </w:tcBorders>
            <w:shd w:val="clear" w:color="auto" w:fill="C6EFCE"/>
            <w:noWrap/>
            <w:vAlign w:val="center"/>
          </w:tcPr>
          <w:p w14:paraId="71C267A2"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4A0E9475" w14:textId="77777777" w:rsidR="003F5418" w:rsidRDefault="002A6C25">
            <w:pPr>
              <w:pStyle w:val="P68B1DB1-Normal9"/>
              <w:rPr>
                <w:noProof/>
              </w:rPr>
            </w:pPr>
            <w:r>
              <w:rPr>
                <w:noProof/>
              </w:rPr>
              <w:t xml:space="preserve">A kibocsátásmentes vonatok száma és az egyetemes szolgáltatáshoz szükséges szállítások száma </w:t>
            </w:r>
          </w:p>
        </w:tc>
      </w:tr>
      <w:tr w:rsidR="003F5418" w14:paraId="182F4E9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C9F4D0E" w14:textId="77777777" w:rsidR="003F5418" w:rsidRDefault="002A6C25">
            <w:pPr>
              <w:pStyle w:val="P68B1DB1-Normal9"/>
              <w:jc w:val="center"/>
              <w:rPr>
                <w:noProof/>
              </w:rPr>
            </w:pPr>
            <w:r>
              <w:rPr>
                <w:noProof/>
              </w:rPr>
              <w:t>M1C2–14ter</w:t>
            </w:r>
          </w:p>
        </w:tc>
        <w:tc>
          <w:tcPr>
            <w:tcW w:w="3195" w:type="dxa"/>
            <w:tcBorders>
              <w:top w:val="nil"/>
              <w:left w:val="nil"/>
              <w:bottom w:val="single" w:sz="4" w:space="0" w:color="auto"/>
              <w:right w:val="single" w:sz="4" w:space="0" w:color="auto"/>
            </w:tcBorders>
            <w:shd w:val="clear" w:color="auto" w:fill="C6EFCE"/>
            <w:noWrap/>
            <w:vAlign w:val="center"/>
          </w:tcPr>
          <w:p w14:paraId="165BE5C9" w14:textId="77777777" w:rsidR="003F5418" w:rsidRDefault="002A6C25">
            <w:pPr>
              <w:pStyle w:val="P68B1DB1-Normal9"/>
              <w:jc w:val="center"/>
              <w:rPr>
                <w:noProof/>
              </w:rPr>
            </w:pPr>
            <w:r>
              <w:rPr>
                <w:noProof/>
              </w:rPr>
              <w:t xml:space="preserve">Reform: a </w:t>
            </w:r>
            <w:r>
              <w:rPr>
                <w:noProof/>
              </w:rPr>
              <w:t>vállalkozásokat célzó ösztönzők észszerűsítése és egyszerűsítése.</w:t>
            </w:r>
          </w:p>
        </w:tc>
        <w:tc>
          <w:tcPr>
            <w:tcW w:w="1380" w:type="dxa"/>
            <w:tcBorders>
              <w:top w:val="nil"/>
              <w:left w:val="nil"/>
              <w:bottom w:val="single" w:sz="4" w:space="0" w:color="auto"/>
              <w:right w:val="single" w:sz="4" w:space="0" w:color="auto"/>
            </w:tcBorders>
            <w:shd w:val="clear" w:color="auto" w:fill="C6EFCE"/>
            <w:noWrap/>
            <w:vAlign w:val="center"/>
          </w:tcPr>
          <w:p w14:paraId="5E8AFF5F" w14:textId="77777777" w:rsidR="003F5418" w:rsidRDefault="002A6C25">
            <w:pPr>
              <w:pStyle w:val="P68B1DB1-Normal9"/>
              <w:jc w:val="center"/>
              <w:rPr>
                <w:noProof/>
              </w:rPr>
            </w:pPr>
            <w:r>
              <w:rPr>
                <w:noProof/>
              </w:rPr>
              <w:t xml:space="preserve">Mérföldkő </w:t>
            </w:r>
          </w:p>
        </w:tc>
        <w:tc>
          <w:tcPr>
            <w:tcW w:w="4035" w:type="dxa"/>
            <w:tcBorders>
              <w:top w:val="nil"/>
              <w:left w:val="nil"/>
              <w:bottom w:val="single" w:sz="4" w:space="0" w:color="auto"/>
              <w:right w:val="single" w:sz="4" w:space="0" w:color="auto"/>
            </w:tcBorders>
            <w:shd w:val="clear" w:color="auto" w:fill="C6EFCE"/>
            <w:noWrap/>
            <w:vAlign w:val="center"/>
          </w:tcPr>
          <w:p w14:paraId="1573D7ED" w14:textId="77777777" w:rsidR="003F5418" w:rsidRDefault="002A6C25">
            <w:pPr>
              <w:pStyle w:val="P68B1DB1-Normal9"/>
              <w:rPr>
                <w:noProof/>
              </w:rPr>
            </w:pPr>
            <w:r>
              <w:rPr>
                <w:noProof/>
              </w:rPr>
              <w:t>A határozott ösztönzők racionalizálására vonatkozó elsődleges jogszabályok hatálybalépése</w:t>
            </w:r>
          </w:p>
        </w:tc>
      </w:tr>
      <w:tr w:rsidR="003F5418" w14:paraId="778D81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E749ED" w14:textId="77777777" w:rsidR="003F5418" w:rsidRDefault="002A6C25">
            <w:pPr>
              <w:pStyle w:val="P68B1DB1-Normal9"/>
              <w:jc w:val="center"/>
              <w:rPr>
                <w:noProof/>
              </w:rPr>
            </w:pPr>
            <w:r>
              <w:rPr>
                <w:noProof/>
              </w:rPr>
              <w:t>M4C1–14ter</w:t>
            </w:r>
          </w:p>
        </w:tc>
        <w:tc>
          <w:tcPr>
            <w:tcW w:w="3195" w:type="dxa"/>
            <w:tcBorders>
              <w:top w:val="nil"/>
              <w:left w:val="nil"/>
              <w:bottom w:val="single" w:sz="4" w:space="0" w:color="auto"/>
              <w:right w:val="single" w:sz="4" w:space="0" w:color="auto"/>
            </w:tcBorders>
            <w:shd w:val="clear" w:color="auto" w:fill="C6EFCE"/>
            <w:noWrap/>
            <w:vAlign w:val="center"/>
          </w:tcPr>
          <w:p w14:paraId="690BFD16" w14:textId="77777777" w:rsidR="003F5418" w:rsidRDefault="002A6C25">
            <w:pPr>
              <w:pStyle w:val="P68B1DB1-Normal9"/>
              <w:jc w:val="center"/>
              <w:rPr>
                <w:noProof/>
              </w:rPr>
            </w:pPr>
            <w:r>
              <w:rPr>
                <w:noProof/>
              </w:rPr>
              <w:t>Reform: Tanárok felvétele</w:t>
            </w:r>
          </w:p>
        </w:tc>
        <w:tc>
          <w:tcPr>
            <w:tcW w:w="1380" w:type="dxa"/>
            <w:tcBorders>
              <w:top w:val="nil"/>
              <w:left w:val="nil"/>
              <w:bottom w:val="single" w:sz="4" w:space="0" w:color="auto"/>
              <w:right w:val="single" w:sz="4" w:space="0" w:color="auto"/>
            </w:tcBorders>
            <w:shd w:val="clear" w:color="auto" w:fill="C6EFCE"/>
            <w:noWrap/>
            <w:vAlign w:val="center"/>
          </w:tcPr>
          <w:p w14:paraId="0BF915BA" w14:textId="77777777" w:rsidR="003F5418" w:rsidRDefault="002A6C25">
            <w:pPr>
              <w:pStyle w:val="P68B1DB1-Normal9"/>
              <w:jc w:val="center"/>
              <w:rPr>
                <w:noProof/>
              </w:rPr>
            </w:pPr>
            <w:r>
              <w:rPr>
                <w:noProof/>
              </w:rPr>
              <w:t>Cél</w:t>
            </w:r>
          </w:p>
        </w:tc>
        <w:tc>
          <w:tcPr>
            <w:tcW w:w="4035" w:type="dxa"/>
            <w:tcBorders>
              <w:top w:val="nil"/>
              <w:left w:val="nil"/>
              <w:bottom w:val="single" w:sz="4" w:space="0" w:color="auto"/>
              <w:right w:val="single" w:sz="4" w:space="0" w:color="auto"/>
            </w:tcBorders>
            <w:shd w:val="clear" w:color="auto" w:fill="C6EFCE"/>
            <w:noWrap/>
            <w:vAlign w:val="center"/>
          </w:tcPr>
          <w:p w14:paraId="6DC34726" w14:textId="77777777" w:rsidR="003F5418" w:rsidRDefault="002A6C25">
            <w:pPr>
              <w:pStyle w:val="P68B1DB1-Normal9"/>
              <w:rPr>
                <w:noProof/>
              </w:rPr>
            </w:pPr>
            <w:r>
              <w:rPr>
                <w:noProof/>
              </w:rPr>
              <w:t>Azok a pályázók, akik sikeresen sikeresen átest</w:t>
            </w:r>
            <w:r>
              <w:rPr>
                <w:noProof/>
              </w:rPr>
              <w:t>ek a megreformált munkaerő-felvételi rendszer alapján tanárgá válásra irányuló nyilvános versenyvizsgán.</w:t>
            </w:r>
          </w:p>
        </w:tc>
      </w:tr>
      <w:tr w:rsidR="003F5418" w14:paraId="3C016C74"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CC07E"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3A91637C" w14:textId="77777777" w:rsidR="003F5418" w:rsidRDefault="003F5418">
            <w:pPr>
              <w:rPr>
                <w:noProof/>
                <w:color w:val="006100"/>
                <w:sz w:val="20"/>
              </w:rPr>
            </w:pPr>
          </w:p>
        </w:tc>
        <w:tc>
          <w:tcPr>
            <w:tcW w:w="1380" w:type="dxa"/>
            <w:tcBorders>
              <w:top w:val="single" w:sz="4" w:space="0" w:color="auto"/>
              <w:left w:val="nil"/>
              <w:bottom w:val="single" w:sz="4" w:space="0" w:color="auto"/>
              <w:right w:val="single" w:sz="4" w:space="0" w:color="auto"/>
            </w:tcBorders>
            <w:shd w:val="clear" w:color="auto" w:fill="C6EFCE"/>
            <w:noWrap/>
            <w:vAlign w:val="bottom"/>
          </w:tcPr>
          <w:p w14:paraId="76A27159" w14:textId="77777777" w:rsidR="003F5418" w:rsidRDefault="002A6C25">
            <w:pPr>
              <w:pStyle w:val="P68B1DB1-Normal9"/>
              <w:rPr>
                <w:noProof/>
              </w:rPr>
            </w:pPr>
            <w:r>
              <w:rPr>
                <w:noProof/>
              </w:rPr>
              <w:t>Részösszeg</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50E35359" w14:textId="2B409981" w:rsidR="003F5418" w:rsidRDefault="002A6C25">
            <w:pPr>
              <w:pStyle w:val="P68B1DB1-Normal37"/>
              <w:rPr>
                <w:noProof/>
              </w:rPr>
            </w:pPr>
            <w:r>
              <w:rPr>
                <w:noProof/>
              </w:rPr>
              <w:t>12</w:t>
            </w:r>
            <w:r>
              <w:rPr>
                <w:noProof/>
              </w:rPr>
              <w:t> </w:t>
            </w:r>
            <w:r>
              <w:rPr>
                <w:noProof/>
              </w:rPr>
              <w:t>799</w:t>
            </w:r>
            <w:r>
              <w:rPr>
                <w:noProof/>
              </w:rPr>
              <w:t> </w:t>
            </w:r>
            <w:r>
              <w:rPr>
                <w:noProof/>
              </w:rPr>
              <w:t>902</w:t>
            </w:r>
            <w:r>
              <w:rPr>
                <w:noProof/>
              </w:rPr>
              <w:t> </w:t>
            </w:r>
            <w:r>
              <w:rPr>
                <w:noProof/>
              </w:rPr>
              <w:t>997</w:t>
            </w:r>
            <w:r>
              <w:rPr>
                <w:noProof/>
              </w:rPr>
              <w:t> </w:t>
            </w:r>
            <w:r>
              <w:rPr>
                <w:noProof/>
              </w:rPr>
              <w:t>EUR</w:t>
            </w:r>
          </w:p>
        </w:tc>
      </w:tr>
    </w:tbl>
    <w:p w14:paraId="1DAA5FEE" w14:textId="77777777" w:rsidR="003F5418" w:rsidRDefault="003F5418">
      <w:pPr>
        <w:spacing w:before="120" w:after="120"/>
        <w:jc w:val="both"/>
        <w:rPr>
          <w:rFonts w:eastAsia="Calibri"/>
          <w:noProof/>
        </w:rPr>
      </w:pPr>
    </w:p>
    <w:p w14:paraId="2C2EF35F" w14:textId="77777777" w:rsidR="003F5418" w:rsidRDefault="002A6C25">
      <w:pPr>
        <w:pStyle w:val="P68B1DB1-NumPar134"/>
        <w:numPr>
          <w:ilvl w:val="0"/>
          <w:numId w:val="143"/>
        </w:numPr>
        <w:rPr>
          <w:noProof/>
        </w:rPr>
      </w:pPr>
      <w:r>
        <w:rPr>
          <w:noProof/>
        </w:rPr>
        <w:t>Hiteltámogatás</w:t>
      </w:r>
    </w:p>
    <w:p w14:paraId="203B490C" w14:textId="77777777" w:rsidR="003F5418" w:rsidRDefault="002A6C25">
      <w:pPr>
        <w:pStyle w:val="Text1"/>
        <w:rPr>
          <w:noProof/>
        </w:rPr>
      </w:pPr>
      <w:r>
        <w:rPr>
          <w:noProof/>
        </w:rPr>
        <w:t>A 3. cikk (2) bekezdésében említett részletek a következőképpen oszlanak meg:</w:t>
      </w:r>
    </w:p>
    <w:p w14:paraId="1D6E1A6B" w14:textId="77777777" w:rsidR="003F5418" w:rsidRDefault="002A6C25">
      <w:pPr>
        <w:pStyle w:val="P68B1DB1-Normal35"/>
        <w:numPr>
          <w:ilvl w:val="1"/>
          <w:numId w:val="6"/>
        </w:numPr>
        <w:spacing w:before="120" w:after="120"/>
        <w:jc w:val="both"/>
        <w:rPr>
          <w:noProof/>
        </w:rPr>
      </w:pPr>
      <w:r>
        <w:rPr>
          <w:noProof/>
        </w:rPr>
        <w:t xml:space="preserve">Első részösszeg (hitel </w:t>
      </w:r>
      <w:r>
        <w:rPr>
          <w:noProof/>
        </w:rPr>
        <w:t>formájában nyújtott támogatás):</w:t>
      </w:r>
    </w:p>
    <w:tbl>
      <w:tblPr>
        <w:tblW w:w="10038" w:type="dxa"/>
        <w:tblInd w:w="113" w:type="dxa"/>
        <w:tblLook w:val="04A0" w:firstRow="1" w:lastRow="0" w:firstColumn="1" w:lastColumn="0" w:noHBand="0" w:noVBand="1"/>
      </w:tblPr>
      <w:tblGrid>
        <w:gridCol w:w="1413"/>
        <w:gridCol w:w="3195"/>
        <w:gridCol w:w="1455"/>
        <w:gridCol w:w="3975"/>
      </w:tblGrid>
      <w:tr w:rsidR="003F5418" w14:paraId="7A42DC2C"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3F8322C"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3A9776A" w14:textId="77777777" w:rsidR="003F5418" w:rsidRDefault="002A6C25">
            <w:pPr>
              <w:pStyle w:val="P68B1DB1-Normal36"/>
              <w:jc w:val="center"/>
              <w:rPr>
                <w:noProof/>
              </w:rPr>
            </w:pPr>
            <w:r>
              <w:rPr>
                <w:noProof/>
              </w:rPr>
              <w:t>Kapcsolódó intézkedés (reform vagy beruházás)</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756BE2E" w14:textId="77777777" w:rsidR="003F5418" w:rsidRDefault="002A6C25">
            <w:pPr>
              <w:pStyle w:val="P68B1DB1-Normal36"/>
              <w:jc w:val="center"/>
              <w:rPr>
                <w:noProof/>
              </w:rPr>
            </w:pPr>
            <w:r>
              <w:rPr>
                <w:noProof/>
              </w:rPr>
              <w:t>Mérföldkő/cél</w:t>
            </w:r>
          </w:p>
        </w:tc>
        <w:tc>
          <w:tcPr>
            <w:tcW w:w="39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CAA5AD" w14:textId="77777777" w:rsidR="003F5418" w:rsidRDefault="002A6C25">
            <w:pPr>
              <w:pStyle w:val="P68B1DB1-Normal36"/>
              <w:jc w:val="center"/>
              <w:rPr>
                <w:noProof/>
              </w:rPr>
            </w:pPr>
            <w:r>
              <w:rPr>
                <w:noProof/>
              </w:rPr>
              <w:t>Név</w:t>
            </w:r>
          </w:p>
        </w:tc>
      </w:tr>
      <w:tr w:rsidR="003F5418" w14:paraId="4F02F336"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2058DC6"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5A1CE6A1" w14:textId="77777777" w:rsidR="003F5418" w:rsidRDefault="003F5418">
            <w:pPr>
              <w:rPr>
                <w:b/>
                <w:noProof/>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14:paraId="21C89884" w14:textId="77777777" w:rsidR="003F5418" w:rsidRDefault="003F5418">
            <w:pPr>
              <w:rPr>
                <w:b/>
                <w:noProof/>
              </w:rPr>
            </w:pPr>
          </w:p>
        </w:tc>
        <w:tc>
          <w:tcPr>
            <w:tcW w:w="3975" w:type="dxa"/>
            <w:vMerge/>
            <w:tcBorders>
              <w:top w:val="single" w:sz="4" w:space="0" w:color="auto"/>
              <w:left w:val="single" w:sz="4" w:space="0" w:color="auto"/>
              <w:bottom w:val="single" w:sz="4" w:space="0" w:color="auto"/>
              <w:right w:val="single" w:sz="4" w:space="0" w:color="auto"/>
            </w:tcBorders>
            <w:vAlign w:val="center"/>
            <w:hideMark/>
          </w:tcPr>
          <w:p w14:paraId="278FB441" w14:textId="77777777" w:rsidR="003F5418" w:rsidRDefault="003F5418">
            <w:pPr>
              <w:rPr>
                <w:b/>
                <w:noProof/>
              </w:rPr>
            </w:pPr>
          </w:p>
        </w:tc>
      </w:tr>
      <w:tr w:rsidR="003F5418" w14:paraId="74AF2FC2"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39310A" w14:textId="77777777" w:rsidR="003F5418" w:rsidRDefault="002A6C25">
            <w:pPr>
              <w:pStyle w:val="P68B1DB1-Normal9"/>
              <w:rPr>
                <w:noProof/>
              </w:rPr>
            </w:pPr>
            <w:r>
              <w:rPr>
                <w:noProof/>
              </w:rPr>
              <w:t>M4C2–10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101B1EFB" w14:textId="77777777" w:rsidR="003F5418" w:rsidRDefault="002A6C25">
            <w:pPr>
              <w:pStyle w:val="P68B1DB1-Normal9"/>
              <w:rPr>
                <w:noProof/>
              </w:rPr>
            </w:pPr>
            <w:r>
              <w:rPr>
                <w:noProof/>
              </w:rPr>
              <w:t>Beruházás: KÖZÖS EURÓPAI ÉRDEKET SZOLGÁLÓ FONTOS PROJEKTEK</w:t>
            </w:r>
          </w:p>
        </w:tc>
        <w:tc>
          <w:tcPr>
            <w:tcW w:w="1455" w:type="dxa"/>
            <w:tcBorders>
              <w:top w:val="single" w:sz="4" w:space="0" w:color="auto"/>
              <w:left w:val="nil"/>
              <w:bottom w:val="single" w:sz="4" w:space="0" w:color="auto"/>
              <w:right w:val="single" w:sz="4" w:space="0" w:color="auto"/>
            </w:tcBorders>
            <w:shd w:val="clear" w:color="auto" w:fill="C6EFCE"/>
            <w:noWrap/>
            <w:vAlign w:val="center"/>
          </w:tcPr>
          <w:p w14:paraId="7B804E8F" w14:textId="77777777" w:rsidR="003F5418" w:rsidRDefault="002A6C25">
            <w:pPr>
              <w:pStyle w:val="P68B1DB1-Normal9"/>
              <w:rPr>
                <w:noProof/>
              </w:rPr>
            </w:pPr>
            <w:r>
              <w:rPr>
                <w:noProof/>
              </w:rPr>
              <w:t>Mérföldkő</w:t>
            </w:r>
          </w:p>
        </w:tc>
        <w:tc>
          <w:tcPr>
            <w:tcW w:w="3975" w:type="dxa"/>
            <w:tcBorders>
              <w:top w:val="single" w:sz="4" w:space="0" w:color="auto"/>
              <w:left w:val="nil"/>
              <w:bottom w:val="single" w:sz="4" w:space="0" w:color="auto"/>
              <w:right w:val="single" w:sz="4" w:space="0" w:color="auto"/>
            </w:tcBorders>
            <w:shd w:val="clear" w:color="auto" w:fill="C6EFCE"/>
            <w:noWrap/>
            <w:vAlign w:val="center"/>
          </w:tcPr>
          <w:p w14:paraId="0452B9D1" w14:textId="77777777" w:rsidR="003F5418" w:rsidRDefault="002A6C25">
            <w:pPr>
              <w:pStyle w:val="P68B1DB1-Normal9"/>
              <w:jc w:val="center"/>
              <w:rPr>
                <w:noProof/>
              </w:rPr>
            </w:pPr>
            <w:r>
              <w:rPr>
                <w:noProof/>
              </w:rPr>
              <w:t>Pályázati felhívás közzététele a nemzeti projektek azonosítására, beleértve a közös európai érdeket szolgáló fontos projektek mikroelektronikai projektjeit is</w:t>
            </w:r>
          </w:p>
        </w:tc>
      </w:tr>
      <w:tr w:rsidR="003F5418" w14:paraId="3107F7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C82573" w14:textId="77777777" w:rsidR="003F5418" w:rsidRDefault="002A6C25">
            <w:pPr>
              <w:pStyle w:val="P68B1DB1-Normal9"/>
              <w:rPr>
                <w:noProof/>
              </w:rPr>
            </w:pPr>
            <w:r>
              <w:rPr>
                <w:noProof/>
              </w:rPr>
              <w:t>M1C2–26</w:t>
            </w:r>
          </w:p>
        </w:tc>
        <w:tc>
          <w:tcPr>
            <w:tcW w:w="3195" w:type="dxa"/>
            <w:tcBorders>
              <w:top w:val="nil"/>
              <w:left w:val="nil"/>
              <w:bottom w:val="single" w:sz="4" w:space="0" w:color="auto"/>
              <w:right w:val="single" w:sz="4" w:space="0" w:color="auto"/>
            </w:tcBorders>
            <w:shd w:val="clear" w:color="auto" w:fill="C6EFCE"/>
            <w:noWrap/>
            <w:vAlign w:val="center"/>
          </w:tcPr>
          <w:p w14:paraId="3C51B645" w14:textId="77777777" w:rsidR="003F5418" w:rsidRDefault="002A6C25">
            <w:pPr>
              <w:pStyle w:val="P68B1DB1-Normal9"/>
              <w:rPr>
                <w:noProof/>
              </w:rPr>
            </w:pPr>
            <w:r>
              <w:rPr>
                <w:noProof/>
              </w:rPr>
              <w:t>Beruházás: A SIMEST által kezelt 394/81 alap refinanszírozása és átalakítása</w:t>
            </w:r>
          </w:p>
        </w:tc>
        <w:tc>
          <w:tcPr>
            <w:tcW w:w="1455" w:type="dxa"/>
            <w:tcBorders>
              <w:top w:val="nil"/>
              <w:left w:val="nil"/>
              <w:bottom w:val="single" w:sz="4" w:space="0" w:color="auto"/>
              <w:right w:val="single" w:sz="4" w:space="0" w:color="auto"/>
            </w:tcBorders>
            <w:shd w:val="clear" w:color="auto" w:fill="C6EFCE"/>
            <w:noWrap/>
            <w:vAlign w:val="center"/>
          </w:tcPr>
          <w:p w14:paraId="25CA5AE5"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5F0DD742" w14:textId="77777777" w:rsidR="003F5418" w:rsidRDefault="002A6C25">
            <w:pPr>
              <w:pStyle w:val="P68B1DB1-Normal9"/>
              <w:jc w:val="center"/>
              <w:rPr>
                <w:noProof/>
              </w:rPr>
            </w:pPr>
            <w:r>
              <w:rPr>
                <w:noProof/>
              </w:rPr>
              <w:t>A</w:t>
            </w:r>
            <w:r>
              <w:rPr>
                <w:noProof/>
              </w:rPr>
              <w:t xml:space="preserve"> 394/81. sz. alap refinanszírozásának hatálybalépése és a beruházási politika elfogadása</w:t>
            </w:r>
          </w:p>
        </w:tc>
      </w:tr>
      <w:tr w:rsidR="003F5418" w14:paraId="67AE522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B02694" w14:textId="77777777" w:rsidR="003F5418" w:rsidRDefault="002A6C25">
            <w:pPr>
              <w:pStyle w:val="P68B1DB1-Normal9"/>
              <w:rPr>
                <w:noProof/>
              </w:rPr>
            </w:pPr>
            <w:r>
              <w:rPr>
                <w:noProof/>
              </w:rPr>
              <w:t>M2C1–14</w:t>
            </w:r>
          </w:p>
        </w:tc>
        <w:tc>
          <w:tcPr>
            <w:tcW w:w="3195" w:type="dxa"/>
            <w:tcBorders>
              <w:top w:val="nil"/>
              <w:left w:val="nil"/>
              <w:bottom w:val="single" w:sz="4" w:space="0" w:color="auto"/>
              <w:right w:val="single" w:sz="4" w:space="0" w:color="auto"/>
            </w:tcBorders>
            <w:shd w:val="clear" w:color="auto" w:fill="C6EFCE"/>
            <w:noWrap/>
            <w:vAlign w:val="center"/>
          </w:tcPr>
          <w:p w14:paraId="15C4AD25" w14:textId="77777777" w:rsidR="003F5418" w:rsidRDefault="002A6C25">
            <w:pPr>
              <w:pStyle w:val="P68B1DB1-Normal9"/>
              <w:rPr>
                <w:noProof/>
              </w:rPr>
            </w:pPr>
            <w:r>
              <w:rPr>
                <w:noProof/>
              </w:rPr>
              <w:t>Beruházás – Új hulladékkezelő üzemek megvalósítása és a meglévő üzemek korszerűsítése; Beruházás – A körforgásos gazdaság kiemelt projektjei</w:t>
            </w:r>
          </w:p>
        </w:tc>
        <w:tc>
          <w:tcPr>
            <w:tcW w:w="1455" w:type="dxa"/>
            <w:tcBorders>
              <w:top w:val="nil"/>
              <w:left w:val="nil"/>
              <w:bottom w:val="single" w:sz="4" w:space="0" w:color="auto"/>
              <w:right w:val="single" w:sz="4" w:space="0" w:color="auto"/>
            </w:tcBorders>
            <w:shd w:val="clear" w:color="auto" w:fill="C6EFCE"/>
            <w:noWrap/>
            <w:vAlign w:val="center"/>
          </w:tcPr>
          <w:p w14:paraId="353332D1"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0831559E" w14:textId="77777777" w:rsidR="003F5418" w:rsidRDefault="002A6C25">
            <w:pPr>
              <w:pStyle w:val="P68B1DB1-Normal9"/>
              <w:jc w:val="center"/>
              <w:rPr>
                <w:noProof/>
              </w:rPr>
            </w:pPr>
            <w:r>
              <w:rPr>
                <w:noProof/>
              </w:rPr>
              <w:t xml:space="preserve">A </w:t>
            </w:r>
            <w:r>
              <w:rPr>
                <w:noProof/>
              </w:rPr>
              <w:t>miniszteri rendelet hatálybalépése.</w:t>
            </w:r>
          </w:p>
        </w:tc>
      </w:tr>
      <w:tr w:rsidR="003F5418" w14:paraId="56FE28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591C3FC" w14:textId="77777777" w:rsidR="003F5418" w:rsidRDefault="002A6C25">
            <w:pPr>
              <w:pStyle w:val="P68B1DB1-Normal9"/>
              <w:rPr>
                <w:noProof/>
              </w:rPr>
            </w:pPr>
            <w:r>
              <w:rPr>
                <w:noProof/>
              </w:rPr>
              <w:t>M2C4–8</w:t>
            </w:r>
          </w:p>
        </w:tc>
        <w:tc>
          <w:tcPr>
            <w:tcW w:w="3195" w:type="dxa"/>
            <w:tcBorders>
              <w:top w:val="nil"/>
              <w:left w:val="nil"/>
              <w:bottom w:val="single" w:sz="4" w:space="0" w:color="auto"/>
              <w:right w:val="single" w:sz="4" w:space="0" w:color="auto"/>
            </w:tcBorders>
            <w:shd w:val="clear" w:color="auto" w:fill="C6EFCE"/>
            <w:noWrap/>
            <w:vAlign w:val="center"/>
          </w:tcPr>
          <w:p w14:paraId="64186805" w14:textId="77777777" w:rsidR="003F5418" w:rsidRDefault="002A6C25">
            <w:pPr>
              <w:pStyle w:val="P68B1DB1-Normal9"/>
              <w:rPr>
                <w:noProof/>
              </w:rPr>
            </w:pPr>
            <w:r>
              <w:rPr>
                <w:noProof/>
              </w:rPr>
              <w:t>Beruházás Fejlett és integrált monitoring- és előrejelzési rendszer bevezetése</w:t>
            </w:r>
          </w:p>
        </w:tc>
        <w:tc>
          <w:tcPr>
            <w:tcW w:w="1455" w:type="dxa"/>
            <w:tcBorders>
              <w:top w:val="nil"/>
              <w:left w:val="nil"/>
              <w:bottom w:val="single" w:sz="4" w:space="0" w:color="auto"/>
              <w:right w:val="single" w:sz="4" w:space="0" w:color="auto"/>
            </w:tcBorders>
            <w:shd w:val="clear" w:color="auto" w:fill="C6EFCE"/>
            <w:noWrap/>
            <w:vAlign w:val="center"/>
          </w:tcPr>
          <w:p w14:paraId="175B80FA"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2C6FC5A5" w14:textId="77777777" w:rsidR="003F5418" w:rsidRDefault="002A6C25">
            <w:pPr>
              <w:pStyle w:val="P68B1DB1-Normal9"/>
              <w:jc w:val="center"/>
              <w:rPr>
                <w:noProof/>
              </w:rPr>
            </w:pPr>
            <w:r>
              <w:rPr>
                <w:noProof/>
              </w:rPr>
              <w:t>A hidrológiai kockázatok azonosítására szolgáló fejlett és integrált nyomonkövetési és előrejelzési rendszerre vonatkozó mű</w:t>
            </w:r>
            <w:r>
              <w:rPr>
                <w:noProof/>
              </w:rPr>
              <w:t xml:space="preserve">veleti terv </w:t>
            </w:r>
          </w:p>
        </w:tc>
      </w:tr>
      <w:tr w:rsidR="003F5418" w14:paraId="3170CBF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5458A3" w14:textId="77777777" w:rsidR="003F5418" w:rsidRDefault="002A6C25">
            <w:pPr>
              <w:pStyle w:val="P68B1DB1-Normal9"/>
              <w:rPr>
                <w:noProof/>
              </w:rPr>
            </w:pPr>
            <w:r>
              <w:rPr>
                <w:noProof/>
              </w:rPr>
              <w:t>M5C1–17</w:t>
            </w:r>
          </w:p>
        </w:tc>
        <w:tc>
          <w:tcPr>
            <w:tcW w:w="3195" w:type="dxa"/>
            <w:tcBorders>
              <w:top w:val="nil"/>
              <w:left w:val="nil"/>
              <w:bottom w:val="single" w:sz="4" w:space="0" w:color="auto"/>
              <w:right w:val="single" w:sz="4" w:space="0" w:color="auto"/>
            </w:tcBorders>
            <w:shd w:val="clear" w:color="auto" w:fill="C6EFCE"/>
            <w:noWrap/>
            <w:vAlign w:val="center"/>
          </w:tcPr>
          <w:p w14:paraId="11D94919" w14:textId="77777777" w:rsidR="003F5418" w:rsidRDefault="002A6C25">
            <w:pPr>
              <w:pStyle w:val="P68B1DB1-Normal9"/>
              <w:rPr>
                <w:noProof/>
              </w:rPr>
            </w:pPr>
            <w:r>
              <w:rPr>
                <w:noProof/>
              </w:rPr>
              <w:t>Beruházás – Nők által kezdeményezett vállalkozások létrehozása</w:t>
            </w:r>
          </w:p>
        </w:tc>
        <w:tc>
          <w:tcPr>
            <w:tcW w:w="1455" w:type="dxa"/>
            <w:tcBorders>
              <w:top w:val="nil"/>
              <w:left w:val="nil"/>
              <w:bottom w:val="single" w:sz="4" w:space="0" w:color="auto"/>
              <w:right w:val="single" w:sz="4" w:space="0" w:color="auto"/>
            </w:tcBorders>
            <w:shd w:val="clear" w:color="auto" w:fill="C6EFCE"/>
            <w:noWrap/>
            <w:vAlign w:val="center"/>
          </w:tcPr>
          <w:p w14:paraId="57D5FC80"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4744B216" w14:textId="77777777" w:rsidR="003F5418" w:rsidRDefault="002A6C25">
            <w:pPr>
              <w:pStyle w:val="P68B1DB1-Normal9"/>
              <w:jc w:val="center"/>
              <w:rPr>
                <w:noProof/>
              </w:rPr>
            </w:pPr>
            <w:r>
              <w:rPr>
                <w:noProof/>
              </w:rPr>
              <w:t>Elfogadták a nők vállalkozói tevékenységét támogató alapot</w:t>
            </w:r>
          </w:p>
        </w:tc>
      </w:tr>
      <w:tr w:rsidR="003F5418" w14:paraId="1E6D321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4C76C6" w14:textId="77777777" w:rsidR="003F5418" w:rsidRDefault="002A6C25">
            <w:pPr>
              <w:pStyle w:val="P68B1DB1-Normal9"/>
              <w:rPr>
                <w:noProof/>
              </w:rPr>
            </w:pPr>
            <w:r>
              <w:rPr>
                <w:noProof/>
              </w:rPr>
              <w:t>M1C2–27</w:t>
            </w:r>
          </w:p>
        </w:tc>
        <w:tc>
          <w:tcPr>
            <w:tcW w:w="3195" w:type="dxa"/>
            <w:tcBorders>
              <w:top w:val="nil"/>
              <w:left w:val="nil"/>
              <w:bottom w:val="single" w:sz="4" w:space="0" w:color="auto"/>
              <w:right w:val="single" w:sz="4" w:space="0" w:color="auto"/>
            </w:tcBorders>
            <w:shd w:val="clear" w:color="auto" w:fill="C6EFCE"/>
            <w:noWrap/>
            <w:vAlign w:val="center"/>
          </w:tcPr>
          <w:p w14:paraId="437579CC" w14:textId="77777777" w:rsidR="003F5418" w:rsidRDefault="002A6C25">
            <w:pPr>
              <w:pStyle w:val="P68B1DB1-Normal9"/>
              <w:rPr>
                <w:noProof/>
              </w:rPr>
            </w:pPr>
            <w:r>
              <w:rPr>
                <w:noProof/>
              </w:rPr>
              <w:t>Beruházás: A SIMEST által kezelt 394/81 alap refinanszírozása és átalakítása</w:t>
            </w:r>
          </w:p>
        </w:tc>
        <w:tc>
          <w:tcPr>
            <w:tcW w:w="1455" w:type="dxa"/>
            <w:tcBorders>
              <w:top w:val="nil"/>
              <w:left w:val="nil"/>
              <w:bottom w:val="single" w:sz="4" w:space="0" w:color="auto"/>
              <w:right w:val="single" w:sz="4" w:space="0" w:color="auto"/>
            </w:tcBorders>
            <w:shd w:val="clear" w:color="auto" w:fill="C6EFCE"/>
            <w:noWrap/>
            <w:vAlign w:val="center"/>
          </w:tcPr>
          <w:p w14:paraId="0CCE6838" w14:textId="77777777" w:rsidR="003F5418" w:rsidRDefault="002A6C25">
            <w:pPr>
              <w:pStyle w:val="P68B1DB1-Normal9"/>
              <w:rPr>
                <w:noProof/>
              </w:rPr>
            </w:pPr>
            <w:r>
              <w:rPr>
                <w:noProof/>
              </w:rPr>
              <w:t>Cél</w:t>
            </w:r>
          </w:p>
        </w:tc>
        <w:tc>
          <w:tcPr>
            <w:tcW w:w="3975" w:type="dxa"/>
            <w:tcBorders>
              <w:top w:val="nil"/>
              <w:left w:val="nil"/>
              <w:bottom w:val="single" w:sz="4" w:space="0" w:color="auto"/>
              <w:right w:val="single" w:sz="4" w:space="0" w:color="auto"/>
            </w:tcBorders>
            <w:shd w:val="clear" w:color="auto" w:fill="C6EFCE"/>
            <w:noWrap/>
            <w:vAlign w:val="center"/>
          </w:tcPr>
          <w:p w14:paraId="6580EF67" w14:textId="77777777" w:rsidR="003F5418" w:rsidRDefault="002A6C25">
            <w:pPr>
              <w:pStyle w:val="P68B1DB1-Normal9"/>
              <w:jc w:val="center"/>
              <w:rPr>
                <w:noProof/>
              </w:rPr>
            </w:pPr>
            <w:r>
              <w:rPr>
                <w:noProof/>
              </w:rPr>
              <w:t xml:space="preserve">A 394/81 </w:t>
            </w:r>
            <w:r>
              <w:rPr>
                <w:noProof/>
              </w:rPr>
              <w:t>alapból támogatásban részesült kkv-k</w:t>
            </w:r>
          </w:p>
        </w:tc>
      </w:tr>
      <w:tr w:rsidR="003F5418" w14:paraId="6C39AF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265C03" w14:textId="77777777" w:rsidR="003F5418" w:rsidRDefault="002A6C25">
            <w:pPr>
              <w:pStyle w:val="P68B1DB1-Normal9"/>
              <w:rPr>
                <w:noProof/>
              </w:rPr>
            </w:pPr>
            <w:r>
              <w:rPr>
                <w:noProof/>
              </w:rPr>
              <w:t>M1C3–22</w:t>
            </w:r>
          </w:p>
        </w:tc>
        <w:tc>
          <w:tcPr>
            <w:tcW w:w="3195" w:type="dxa"/>
            <w:tcBorders>
              <w:top w:val="nil"/>
              <w:left w:val="nil"/>
              <w:bottom w:val="single" w:sz="4" w:space="0" w:color="auto"/>
              <w:right w:val="single" w:sz="4" w:space="0" w:color="auto"/>
            </w:tcBorders>
            <w:shd w:val="clear" w:color="auto" w:fill="C6EFCE"/>
            <w:noWrap/>
            <w:vAlign w:val="center"/>
          </w:tcPr>
          <w:p w14:paraId="00A4D4E2" w14:textId="77777777" w:rsidR="003F5418" w:rsidRDefault="002A6C25">
            <w:pPr>
              <w:pStyle w:val="P68B1DB1-Normal9"/>
              <w:rPr>
                <w:noProof/>
              </w:rPr>
            </w:pPr>
            <w:r>
              <w:rPr>
                <w:noProof/>
              </w:rPr>
              <w:t xml:space="preserve">Beruházás: Az idegenforgalmi vállalkozások versenyképességét szolgáló alapok </w:t>
            </w:r>
          </w:p>
        </w:tc>
        <w:tc>
          <w:tcPr>
            <w:tcW w:w="1455" w:type="dxa"/>
            <w:tcBorders>
              <w:top w:val="nil"/>
              <w:left w:val="nil"/>
              <w:bottom w:val="single" w:sz="4" w:space="0" w:color="auto"/>
              <w:right w:val="single" w:sz="4" w:space="0" w:color="auto"/>
            </w:tcBorders>
            <w:shd w:val="clear" w:color="auto" w:fill="C6EFCE"/>
            <w:noWrap/>
            <w:vAlign w:val="center"/>
          </w:tcPr>
          <w:p w14:paraId="4E8783E5"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3FDBBEF6" w14:textId="77777777" w:rsidR="003F5418" w:rsidRDefault="002A6C25">
            <w:pPr>
              <w:pStyle w:val="P68B1DB1-Normal9"/>
              <w:jc w:val="center"/>
              <w:rPr>
                <w:noProof/>
              </w:rPr>
            </w:pPr>
            <w:r>
              <w:rPr>
                <w:noProof/>
              </w:rPr>
              <w:t xml:space="preserve">A következőkre vonatkozó beruházási politika: az Európai Beruházási Bank tematikus alapja;  </w:t>
            </w:r>
          </w:p>
        </w:tc>
      </w:tr>
      <w:tr w:rsidR="003F5418" w14:paraId="24784B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08A3D9" w14:textId="77777777" w:rsidR="003F5418" w:rsidRDefault="002A6C25">
            <w:pPr>
              <w:pStyle w:val="P68B1DB1-Normal9"/>
              <w:rPr>
                <w:noProof/>
              </w:rPr>
            </w:pPr>
            <w:r>
              <w:rPr>
                <w:noProof/>
              </w:rPr>
              <w:t>M1C3–23</w:t>
            </w:r>
          </w:p>
        </w:tc>
        <w:tc>
          <w:tcPr>
            <w:tcW w:w="3195" w:type="dxa"/>
            <w:tcBorders>
              <w:top w:val="nil"/>
              <w:left w:val="nil"/>
              <w:bottom w:val="single" w:sz="4" w:space="0" w:color="auto"/>
              <w:right w:val="single" w:sz="4" w:space="0" w:color="auto"/>
            </w:tcBorders>
            <w:shd w:val="clear" w:color="auto" w:fill="C6EFCE"/>
            <w:noWrap/>
            <w:vAlign w:val="center"/>
          </w:tcPr>
          <w:p w14:paraId="7282B6C9" w14:textId="77777777" w:rsidR="003F5418" w:rsidRDefault="002A6C25">
            <w:pPr>
              <w:pStyle w:val="P68B1DB1-Normal9"/>
              <w:rPr>
                <w:noProof/>
              </w:rPr>
            </w:pPr>
            <w:r>
              <w:rPr>
                <w:noProof/>
              </w:rPr>
              <w:t xml:space="preserve">Beruházás:  Az idegenforgalmi vállalkozások versenyképességét szolgáló alapok </w:t>
            </w:r>
          </w:p>
        </w:tc>
        <w:tc>
          <w:tcPr>
            <w:tcW w:w="1455" w:type="dxa"/>
            <w:tcBorders>
              <w:top w:val="nil"/>
              <w:left w:val="nil"/>
              <w:bottom w:val="single" w:sz="4" w:space="0" w:color="auto"/>
              <w:right w:val="single" w:sz="4" w:space="0" w:color="auto"/>
            </w:tcBorders>
            <w:shd w:val="clear" w:color="auto" w:fill="C6EFCE"/>
            <w:noWrap/>
            <w:vAlign w:val="center"/>
          </w:tcPr>
          <w:p w14:paraId="1BAB4012"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13C5C08B" w14:textId="77777777" w:rsidR="003F5418" w:rsidRDefault="002A6C25">
            <w:pPr>
              <w:pStyle w:val="P68B1DB1-Normal9"/>
              <w:jc w:val="center"/>
              <w:rPr>
                <w:noProof/>
              </w:rPr>
            </w:pPr>
            <w:r>
              <w:rPr>
                <w:noProof/>
              </w:rPr>
              <w:t xml:space="preserve">A Nemzeti Turisztikai Alap beruházási politikája, </w:t>
            </w:r>
          </w:p>
        </w:tc>
      </w:tr>
      <w:tr w:rsidR="003F5418" w14:paraId="53C935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EF474F" w14:textId="77777777" w:rsidR="003F5418" w:rsidRDefault="002A6C25">
            <w:pPr>
              <w:pStyle w:val="P68B1DB1-Normal9"/>
              <w:rPr>
                <w:noProof/>
              </w:rPr>
            </w:pPr>
            <w:r>
              <w:rPr>
                <w:noProof/>
              </w:rPr>
              <w:t>M1C3–24</w:t>
            </w:r>
          </w:p>
        </w:tc>
        <w:tc>
          <w:tcPr>
            <w:tcW w:w="3195" w:type="dxa"/>
            <w:tcBorders>
              <w:top w:val="nil"/>
              <w:left w:val="nil"/>
              <w:bottom w:val="single" w:sz="4" w:space="0" w:color="auto"/>
              <w:right w:val="single" w:sz="4" w:space="0" w:color="auto"/>
            </w:tcBorders>
            <w:shd w:val="clear" w:color="auto" w:fill="C6EFCE"/>
            <w:noWrap/>
            <w:vAlign w:val="center"/>
          </w:tcPr>
          <w:p w14:paraId="378F8175" w14:textId="77777777" w:rsidR="003F5418" w:rsidRDefault="002A6C25">
            <w:pPr>
              <w:pStyle w:val="P68B1DB1-Normal9"/>
              <w:rPr>
                <w:noProof/>
              </w:rPr>
            </w:pPr>
            <w:r>
              <w:rPr>
                <w:noProof/>
              </w:rPr>
              <w:t xml:space="preserve">Beruházás: Az idegenforgalmi vállalkozások versenyképességét szolgáló alapok </w:t>
            </w:r>
          </w:p>
        </w:tc>
        <w:tc>
          <w:tcPr>
            <w:tcW w:w="1455" w:type="dxa"/>
            <w:tcBorders>
              <w:top w:val="nil"/>
              <w:left w:val="nil"/>
              <w:bottom w:val="single" w:sz="4" w:space="0" w:color="auto"/>
              <w:right w:val="single" w:sz="4" w:space="0" w:color="auto"/>
            </w:tcBorders>
            <w:shd w:val="clear" w:color="auto" w:fill="C6EFCE"/>
            <w:noWrap/>
            <w:vAlign w:val="center"/>
          </w:tcPr>
          <w:p w14:paraId="17664497"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49621B96" w14:textId="77777777" w:rsidR="003F5418" w:rsidRDefault="002A6C25">
            <w:pPr>
              <w:pStyle w:val="P68B1DB1-Normal9"/>
              <w:jc w:val="center"/>
              <w:rPr>
                <w:noProof/>
              </w:rPr>
            </w:pPr>
            <w:r>
              <w:rPr>
                <w:noProof/>
              </w:rPr>
              <w:t xml:space="preserve">A következőkre </w:t>
            </w:r>
            <w:r>
              <w:rPr>
                <w:noProof/>
              </w:rPr>
              <w:t>vonatkozó beruházási politika: Kkv-garanciaalap,</w:t>
            </w:r>
          </w:p>
        </w:tc>
      </w:tr>
      <w:tr w:rsidR="003F5418" w14:paraId="1D28D0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90F2683" w14:textId="77777777" w:rsidR="003F5418" w:rsidRDefault="002A6C25">
            <w:pPr>
              <w:pStyle w:val="P68B1DB1-Normal9"/>
              <w:rPr>
                <w:noProof/>
              </w:rPr>
            </w:pPr>
            <w:r>
              <w:rPr>
                <w:noProof/>
              </w:rPr>
              <w:t>M1C3–25</w:t>
            </w:r>
          </w:p>
        </w:tc>
        <w:tc>
          <w:tcPr>
            <w:tcW w:w="3195" w:type="dxa"/>
            <w:tcBorders>
              <w:top w:val="nil"/>
              <w:left w:val="nil"/>
              <w:bottom w:val="single" w:sz="4" w:space="0" w:color="auto"/>
              <w:right w:val="single" w:sz="4" w:space="0" w:color="auto"/>
            </w:tcBorders>
            <w:shd w:val="clear" w:color="auto" w:fill="C6EFCE"/>
            <w:noWrap/>
            <w:vAlign w:val="center"/>
          </w:tcPr>
          <w:p w14:paraId="05455160" w14:textId="77777777" w:rsidR="003F5418" w:rsidRDefault="002A6C25">
            <w:pPr>
              <w:pStyle w:val="P68B1DB1-Normal9"/>
              <w:rPr>
                <w:noProof/>
              </w:rPr>
            </w:pPr>
            <w:r>
              <w:rPr>
                <w:noProof/>
              </w:rPr>
              <w:t xml:space="preserve">Beruházás:  Az idegenforgalmi vállalkozások versenyképességét szolgáló alapok </w:t>
            </w:r>
          </w:p>
        </w:tc>
        <w:tc>
          <w:tcPr>
            <w:tcW w:w="1455" w:type="dxa"/>
            <w:tcBorders>
              <w:top w:val="nil"/>
              <w:left w:val="nil"/>
              <w:bottom w:val="single" w:sz="4" w:space="0" w:color="auto"/>
              <w:right w:val="single" w:sz="4" w:space="0" w:color="auto"/>
            </w:tcBorders>
            <w:shd w:val="clear" w:color="auto" w:fill="C6EFCE"/>
            <w:noWrap/>
            <w:vAlign w:val="center"/>
          </w:tcPr>
          <w:p w14:paraId="4F4F84EC"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38AB42A7" w14:textId="77777777" w:rsidR="003F5418" w:rsidRDefault="002A6C25">
            <w:pPr>
              <w:pStyle w:val="P68B1DB1-Normal9"/>
              <w:jc w:val="center"/>
              <w:rPr>
                <w:noProof/>
              </w:rPr>
            </w:pPr>
            <w:r>
              <w:rPr>
                <w:noProof/>
              </w:rPr>
              <w:t xml:space="preserve">A Fondo Rotativo beruházási politikája </w:t>
            </w:r>
          </w:p>
        </w:tc>
      </w:tr>
      <w:tr w:rsidR="003F5418" w14:paraId="244AC9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C9B09E" w14:textId="77777777" w:rsidR="003F5418" w:rsidRDefault="002A6C25">
            <w:pPr>
              <w:pStyle w:val="P68B1DB1-Normal9"/>
              <w:rPr>
                <w:noProof/>
              </w:rPr>
            </w:pPr>
            <w:r>
              <w:rPr>
                <w:noProof/>
              </w:rPr>
              <w:t>M1C3–26</w:t>
            </w:r>
          </w:p>
        </w:tc>
        <w:tc>
          <w:tcPr>
            <w:tcW w:w="3195" w:type="dxa"/>
            <w:tcBorders>
              <w:top w:val="nil"/>
              <w:left w:val="nil"/>
              <w:bottom w:val="single" w:sz="4" w:space="0" w:color="auto"/>
              <w:right w:val="single" w:sz="4" w:space="0" w:color="auto"/>
            </w:tcBorders>
            <w:shd w:val="clear" w:color="auto" w:fill="C6EFCE"/>
            <w:noWrap/>
            <w:vAlign w:val="center"/>
          </w:tcPr>
          <w:p w14:paraId="71896BEC" w14:textId="77777777" w:rsidR="003F5418" w:rsidRDefault="002A6C25">
            <w:pPr>
              <w:pStyle w:val="P68B1DB1-Normal9"/>
              <w:rPr>
                <w:noProof/>
              </w:rPr>
            </w:pPr>
            <w:r>
              <w:rPr>
                <w:noProof/>
              </w:rPr>
              <w:t xml:space="preserve">Beruházás:  Az idegenforgalmi vállalkozások versenyképességét szolgáló alapok </w:t>
            </w:r>
          </w:p>
        </w:tc>
        <w:tc>
          <w:tcPr>
            <w:tcW w:w="1455" w:type="dxa"/>
            <w:tcBorders>
              <w:top w:val="nil"/>
              <w:left w:val="nil"/>
              <w:bottom w:val="single" w:sz="4" w:space="0" w:color="auto"/>
              <w:right w:val="single" w:sz="4" w:space="0" w:color="auto"/>
            </w:tcBorders>
            <w:shd w:val="clear" w:color="auto" w:fill="C6EFCE"/>
            <w:noWrap/>
            <w:vAlign w:val="center"/>
          </w:tcPr>
          <w:p w14:paraId="3FFE245C"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13C5BF5B" w14:textId="77777777" w:rsidR="003F5418" w:rsidRDefault="002A6C25">
            <w:pPr>
              <w:pStyle w:val="P68B1DB1-Normal9"/>
              <w:jc w:val="center"/>
              <w:rPr>
                <w:noProof/>
              </w:rPr>
            </w:pPr>
            <w:r>
              <w:rPr>
                <w:noProof/>
              </w:rPr>
              <w:t>A szálláshelyek felújításához nyújtott adójóváírásról szóló végrehajtási rendelet hatálybalépése.</w:t>
            </w:r>
          </w:p>
        </w:tc>
      </w:tr>
      <w:tr w:rsidR="003F5418" w14:paraId="45986E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0F93AB" w14:textId="77777777" w:rsidR="003F5418" w:rsidRDefault="002A6C25">
            <w:pPr>
              <w:pStyle w:val="P68B1DB1-Normal9"/>
              <w:rPr>
                <w:noProof/>
              </w:rPr>
            </w:pPr>
            <w:r>
              <w:rPr>
                <w:noProof/>
              </w:rPr>
              <w:t>M2C4–7</w:t>
            </w:r>
          </w:p>
        </w:tc>
        <w:tc>
          <w:tcPr>
            <w:tcW w:w="3195" w:type="dxa"/>
            <w:tcBorders>
              <w:top w:val="nil"/>
              <w:left w:val="nil"/>
              <w:bottom w:val="single" w:sz="4" w:space="0" w:color="auto"/>
              <w:right w:val="single" w:sz="4" w:space="0" w:color="auto"/>
            </w:tcBorders>
            <w:shd w:val="clear" w:color="auto" w:fill="C6EFCE"/>
            <w:noWrap/>
            <w:vAlign w:val="center"/>
          </w:tcPr>
          <w:p w14:paraId="44A0FDCF" w14:textId="77777777" w:rsidR="003F5418" w:rsidRDefault="002A6C25">
            <w:pPr>
              <w:pStyle w:val="P68B1DB1-Normal9"/>
              <w:rPr>
                <w:noProof/>
              </w:rPr>
            </w:pPr>
            <w:r>
              <w:rPr>
                <w:noProof/>
              </w:rPr>
              <w:t>Reform: A nemzeti levegőszennyezés-csökkentési programok elfo</w:t>
            </w:r>
            <w:r>
              <w:rPr>
                <w:noProof/>
              </w:rPr>
              <w:t>gadása</w:t>
            </w:r>
          </w:p>
        </w:tc>
        <w:tc>
          <w:tcPr>
            <w:tcW w:w="1455" w:type="dxa"/>
            <w:tcBorders>
              <w:top w:val="nil"/>
              <w:left w:val="nil"/>
              <w:bottom w:val="single" w:sz="4" w:space="0" w:color="auto"/>
              <w:right w:val="single" w:sz="4" w:space="0" w:color="auto"/>
            </w:tcBorders>
            <w:shd w:val="clear" w:color="auto" w:fill="C6EFCE"/>
            <w:noWrap/>
            <w:vAlign w:val="center"/>
          </w:tcPr>
          <w:p w14:paraId="6F35BD3F"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7BAA0BED" w14:textId="77777777" w:rsidR="003F5418" w:rsidRDefault="002A6C25">
            <w:pPr>
              <w:pStyle w:val="P68B1DB1-Normal9"/>
              <w:jc w:val="center"/>
              <w:rPr>
                <w:noProof/>
              </w:rPr>
            </w:pPr>
            <w:r>
              <w:rPr>
                <w:noProof/>
              </w:rPr>
              <w:t>A nemzeti levegőszennyezés-csökkentési program hatálybalépése</w:t>
            </w:r>
          </w:p>
        </w:tc>
      </w:tr>
      <w:tr w:rsidR="003F5418" w14:paraId="0FB0C4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D8966B" w14:textId="77777777" w:rsidR="003F5418" w:rsidRDefault="002A6C25">
            <w:pPr>
              <w:pStyle w:val="P68B1DB1-Normal9"/>
              <w:rPr>
                <w:noProof/>
              </w:rPr>
            </w:pPr>
            <w:r>
              <w:rPr>
                <w:noProof/>
              </w:rPr>
              <w:t>M2C4–12</w:t>
            </w:r>
          </w:p>
        </w:tc>
        <w:tc>
          <w:tcPr>
            <w:tcW w:w="3195" w:type="dxa"/>
            <w:tcBorders>
              <w:top w:val="nil"/>
              <w:left w:val="nil"/>
              <w:bottom w:val="single" w:sz="4" w:space="0" w:color="auto"/>
              <w:right w:val="single" w:sz="4" w:space="0" w:color="auto"/>
            </w:tcBorders>
            <w:shd w:val="clear" w:color="auto" w:fill="C6EFCE"/>
            <w:noWrap/>
            <w:vAlign w:val="center"/>
          </w:tcPr>
          <w:p w14:paraId="270F3361" w14:textId="77777777" w:rsidR="003F5418" w:rsidRDefault="002A6C25">
            <w:pPr>
              <w:pStyle w:val="P68B1DB1-Normal9"/>
              <w:rPr>
                <w:noProof/>
              </w:rPr>
            </w:pPr>
            <w:r>
              <w:rPr>
                <w:noProof/>
              </w:rPr>
              <w:t>Beruházás: Az árvíz- és hidrogeológiai kockázatok csökkentésére irányuló intézkedések</w:t>
            </w:r>
          </w:p>
        </w:tc>
        <w:tc>
          <w:tcPr>
            <w:tcW w:w="1455" w:type="dxa"/>
            <w:tcBorders>
              <w:top w:val="nil"/>
              <w:left w:val="nil"/>
              <w:bottom w:val="single" w:sz="4" w:space="0" w:color="auto"/>
              <w:right w:val="single" w:sz="4" w:space="0" w:color="auto"/>
            </w:tcBorders>
            <w:shd w:val="clear" w:color="auto" w:fill="C6EFCE"/>
            <w:noWrap/>
            <w:vAlign w:val="center"/>
          </w:tcPr>
          <w:p w14:paraId="0D32E609"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74AF99EB" w14:textId="77777777" w:rsidR="003F5418" w:rsidRDefault="002A6C25">
            <w:pPr>
              <w:pStyle w:val="P68B1DB1-Normal9"/>
              <w:jc w:val="center"/>
              <w:rPr>
                <w:noProof/>
              </w:rPr>
            </w:pPr>
            <w:r>
              <w:rPr>
                <w:noProof/>
              </w:rPr>
              <w:t xml:space="preserve">Az árvíz- és hidrogeológiai kockázatok elleni beavatkozások </w:t>
            </w:r>
            <w:r>
              <w:rPr>
                <w:noProof/>
              </w:rPr>
              <w:t>felülvizsgált jogi keretének hatálybalépése</w:t>
            </w:r>
          </w:p>
        </w:tc>
      </w:tr>
      <w:tr w:rsidR="003F5418" w14:paraId="14ABEA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E831F" w14:textId="77777777" w:rsidR="003F5418" w:rsidRDefault="002A6C25">
            <w:pPr>
              <w:pStyle w:val="P68B1DB1-Normal9"/>
              <w:rPr>
                <w:noProof/>
              </w:rPr>
            </w:pPr>
            <w:r>
              <w:rPr>
                <w:noProof/>
              </w:rPr>
              <w:t>M2C4–18</w:t>
            </w:r>
          </w:p>
        </w:tc>
        <w:tc>
          <w:tcPr>
            <w:tcW w:w="3195" w:type="dxa"/>
            <w:tcBorders>
              <w:top w:val="nil"/>
              <w:left w:val="nil"/>
              <w:bottom w:val="single" w:sz="4" w:space="0" w:color="auto"/>
              <w:right w:val="single" w:sz="4" w:space="0" w:color="auto"/>
            </w:tcBorders>
            <w:shd w:val="clear" w:color="auto" w:fill="C6EFCE"/>
            <w:noWrap/>
            <w:vAlign w:val="center"/>
          </w:tcPr>
          <w:p w14:paraId="29A8E6F9" w14:textId="77777777" w:rsidR="003F5418" w:rsidRDefault="002A6C25">
            <w:pPr>
              <w:pStyle w:val="P68B1DB1-Normal9"/>
              <w:rPr>
                <w:noProof/>
              </w:rPr>
            </w:pPr>
            <w:r>
              <w:rPr>
                <w:noProof/>
              </w:rPr>
              <w:t>Beruházások. 3.1.: A városi és városkörnyéki erdők védelme és fejlesztése</w:t>
            </w:r>
          </w:p>
        </w:tc>
        <w:tc>
          <w:tcPr>
            <w:tcW w:w="1455" w:type="dxa"/>
            <w:tcBorders>
              <w:top w:val="nil"/>
              <w:left w:val="nil"/>
              <w:bottom w:val="single" w:sz="4" w:space="0" w:color="auto"/>
              <w:right w:val="single" w:sz="4" w:space="0" w:color="auto"/>
            </w:tcBorders>
            <w:shd w:val="clear" w:color="auto" w:fill="C6EFCE"/>
            <w:noWrap/>
            <w:vAlign w:val="center"/>
          </w:tcPr>
          <w:p w14:paraId="4FB1A676"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6D4BEC0F" w14:textId="77777777" w:rsidR="003F5418" w:rsidRDefault="002A6C25">
            <w:pPr>
              <w:pStyle w:val="P68B1DB1-Normal9"/>
              <w:jc w:val="center"/>
              <w:rPr>
                <w:noProof/>
              </w:rPr>
            </w:pPr>
            <w:r>
              <w:rPr>
                <w:noProof/>
              </w:rPr>
              <w:t>A városi és városkörnyéki zöldterületek védelmére és hasznosítására vonatkozó felülvizsgált jogi változások hatálybalép</w:t>
            </w:r>
            <w:r>
              <w:rPr>
                <w:noProof/>
              </w:rPr>
              <w:t xml:space="preserve">ése </w:t>
            </w:r>
          </w:p>
        </w:tc>
      </w:tr>
      <w:tr w:rsidR="003F5418" w14:paraId="4B71D34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52A4E7" w14:textId="77777777" w:rsidR="003F5418" w:rsidRDefault="002A6C25">
            <w:pPr>
              <w:pStyle w:val="P68B1DB1-Normal9"/>
              <w:rPr>
                <w:noProof/>
              </w:rPr>
            </w:pPr>
            <w:r>
              <w:rPr>
                <w:noProof/>
              </w:rPr>
              <w:t>M3C1–1</w:t>
            </w:r>
          </w:p>
        </w:tc>
        <w:tc>
          <w:tcPr>
            <w:tcW w:w="3195" w:type="dxa"/>
            <w:tcBorders>
              <w:top w:val="nil"/>
              <w:left w:val="nil"/>
              <w:bottom w:val="single" w:sz="4" w:space="0" w:color="auto"/>
              <w:right w:val="single" w:sz="4" w:space="0" w:color="auto"/>
            </w:tcBorders>
            <w:shd w:val="clear" w:color="auto" w:fill="C6EFCE"/>
            <w:noWrap/>
            <w:vAlign w:val="center"/>
          </w:tcPr>
          <w:p w14:paraId="578CFECB" w14:textId="77777777" w:rsidR="003F5418" w:rsidRDefault="002A6C25">
            <w:pPr>
              <w:pStyle w:val="P68B1DB1-Normal9"/>
              <w:rPr>
                <w:noProof/>
              </w:rPr>
            </w:pPr>
            <w:r>
              <w:rPr>
                <w:noProof/>
              </w:rPr>
              <w:t>Reform – Az MIT és az RFI közötti szerződés jóváhagyási folyamatának felgyorsítása</w:t>
            </w:r>
          </w:p>
        </w:tc>
        <w:tc>
          <w:tcPr>
            <w:tcW w:w="1455" w:type="dxa"/>
            <w:tcBorders>
              <w:top w:val="nil"/>
              <w:left w:val="nil"/>
              <w:bottom w:val="single" w:sz="4" w:space="0" w:color="auto"/>
              <w:right w:val="single" w:sz="4" w:space="0" w:color="auto"/>
            </w:tcBorders>
            <w:shd w:val="clear" w:color="auto" w:fill="C6EFCE"/>
            <w:noWrap/>
            <w:vAlign w:val="center"/>
          </w:tcPr>
          <w:p w14:paraId="57179985"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3F69731C" w14:textId="77777777" w:rsidR="003F5418" w:rsidRDefault="002A6C25">
            <w:pPr>
              <w:pStyle w:val="P68B1DB1-Normal9"/>
              <w:jc w:val="center"/>
              <w:rPr>
                <w:noProof/>
              </w:rPr>
            </w:pPr>
            <w:r>
              <w:rPr>
                <w:noProof/>
              </w:rPr>
              <w:t>A Contratti di Programma (CdP) jóváhagyási eljárására vonatkozó jogszabály-módosítás hatálybalépése</w:t>
            </w:r>
          </w:p>
        </w:tc>
      </w:tr>
      <w:tr w:rsidR="003F5418" w14:paraId="1D558E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C46B3E" w14:textId="77777777" w:rsidR="003F5418" w:rsidRDefault="002A6C25">
            <w:pPr>
              <w:pStyle w:val="P68B1DB1-Normal9"/>
              <w:rPr>
                <w:noProof/>
              </w:rPr>
            </w:pPr>
            <w:r>
              <w:rPr>
                <w:noProof/>
              </w:rPr>
              <w:t>M3C1–2</w:t>
            </w:r>
          </w:p>
        </w:tc>
        <w:tc>
          <w:tcPr>
            <w:tcW w:w="3195" w:type="dxa"/>
            <w:tcBorders>
              <w:top w:val="nil"/>
              <w:left w:val="nil"/>
              <w:bottom w:val="single" w:sz="4" w:space="0" w:color="auto"/>
              <w:right w:val="single" w:sz="4" w:space="0" w:color="auto"/>
            </w:tcBorders>
            <w:shd w:val="clear" w:color="auto" w:fill="C6EFCE"/>
            <w:noWrap/>
            <w:vAlign w:val="center"/>
          </w:tcPr>
          <w:p w14:paraId="525318CB" w14:textId="77777777" w:rsidR="003F5418" w:rsidRDefault="002A6C25">
            <w:pPr>
              <w:pStyle w:val="P68B1DB1-Normal9"/>
              <w:rPr>
                <w:noProof/>
              </w:rPr>
            </w:pPr>
            <w:r>
              <w:rPr>
                <w:noProof/>
              </w:rPr>
              <w:t xml:space="preserve">Reform – A projektek engedélyezési </w:t>
            </w:r>
            <w:r>
              <w:rPr>
                <w:noProof/>
              </w:rPr>
              <w:t>folyamatának felgyorsítása</w:t>
            </w:r>
          </w:p>
        </w:tc>
        <w:tc>
          <w:tcPr>
            <w:tcW w:w="1455" w:type="dxa"/>
            <w:tcBorders>
              <w:top w:val="nil"/>
              <w:left w:val="nil"/>
              <w:bottom w:val="single" w:sz="4" w:space="0" w:color="auto"/>
              <w:right w:val="single" w:sz="4" w:space="0" w:color="auto"/>
            </w:tcBorders>
            <w:shd w:val="clear" w:color="auto" w:fill="C6EFCE"/>
            <w:noWrap/>
            <w:vAlign w:val="center"/>
          </w:tcPr>
          <w:p w14:paraId="58EAF378"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488B269F" w14:textId="77777777" w:rsidR="003F5418" w:rsidRDefault="002A6C25">
            <w:pPr>
              <w:pStyle w:val="P68B1DB1-Normal9"/>
              <w:jc w:val="center"/>
              <w:rPr>
                <w:noProof/>
              </w:rPr>
            </w:pPr>
            <w:r>
              <w:rPr>
                <w:noProof/>
              </w:rPr>
              <w:t>Olyan szabályozási módosítás hatálybalépése, amely a projektek engedélyezési idejét 11-ről hat hónapra csökkenti</w:t>
            </w:r>
          </w:p>
        </w:tc>
      </w:tr>
      <w:tr w:rsidR="003F5418" w14:paraId="6534141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451427" w14:textId="77777777" w:rsidR="003F5418" w:rsidRDefault="002A6C25">
            <w:pPr>
              <w:pStyle w:val="P68B1DB1-Normal9"/>
              <w:rPr>
                <w:noProof/>
              </w:rPr>
            </w:pPr>
            <w:r>
              <w:rPr>
                <w:noProof/>
              </w:rPr>
              <w:t>M3C1–21</w:t>
            </w:r>
          </w:p>
        </w:tc>
        <w:tc>
          <w:tcPr>
            <w:tcW w:w="3195" w:type="dxa"/>
            <w:tcBorders>
              <w:top w:val="nil"/>
              <w:left w:val="nil"/>
              <w:bottom w:val="single" w:sz="4" w:space="0" w:color="auto"/>
              <w:right w:val="single" w:sz="4" w:space="0" w:color="auto"/>
            </w:tcBorders>
            <w:shd w:val="clear" w:color="auto" w:fill="C6EFCE"/>
            <w:noWrap/>
            <w:vAlign w:val="center"/>
          </w:tcPr>
          <w:p w14:paraId="53231D58" w14:textId="77777777" w:rsidR="003F5418" w:rsidRDefault="002A6C25">
            <w:pPr>
              <w:pStyle w:val="P68B1DB1-Normal9"/>
              <w:rPr>
                <w:noProof/>
              </w:rPr>
            </w:pPr>
            <w:r>
              <w:rPr>
                <w:noProof/>
              </w:rPr>
              <w:t>Reform – A (a 2020. szeptember 11-i 120. sz. törvénybe átültetett) közelmúltbeli „Decree Simplifi</w:t>
            </w:r>
            <w:r>
              <w:rPr>
                <w:noProof/>
              </w:rPr>
              <w:t>cation” végrehajtása a kockázatok osztályozására és kezelésére, a biztonság értékelésére és a meglévő hidak ellenőrzésére vonatkozó iránymutatások elfogadásáról szóló rendelet kibocsátásával</w:t>
            </w:r>
          </w:p>
        </w:tc>
        <w:tc>
          <w:tcPr>
            <w:tcW w:w="1455" w:type="dxa"/>
            <w:tcBorders>
              <w:top w:val="nil"/>
              <w:left w:val="nil"/>
              <w:bottom w:val="single" w:sz="4" w:space="0" w:color="auto"/>
              <w:right w:val="single" w:sz="4" w:space="0" w:color="auto"/>
            </w:tcBorders>
            <w:shd w:val="clear" w:color="auto" w:fill="C6EFCE"/>
            <w:noWrap/>
            <w:vAlign w:val="center"/>
          </w:tcPr>
          <w:p w14:paraId="05299882"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27CC570B" w14:textId="77777777" w:rsidR="003F5418" w:rsidRDefault="002A6C25">
            <w:pPr>
              <w:pStyle w:val="P68B1DB1-Normal9"/>
              <w:jc w:val="center"/>
              <w:rPr>
                <w:noProof/>
              </w:rPr>
            </w:pPr>
            <w:r>
              <w:rPr>
                <w:noProof/>
              </w:rPr>
              <w:t xml:space="preserve">A kockázatok osztályozására és kezelésére, a biztonság </w:t>
            </w:r>
            <w:r>
              <w:rPr>
                <w:noProof/>
              </w:rPr>
              <w:t>értékelésére és a meglévő hidak nyomon követésére vonatkozó iránymutatások hatálybalépése</w:t>
            </w:r>
          </w:p>
        </w:tc>
      </w:tr>
      <w:tr w:rsidR="003F5418" w14:paraId="71CE6F8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F3A10E" w14:textId="77777777" w:rsidR="003F5418" w:rsidRDefault="002A6C25">
            <w:pPr>
              <w:pStyle w:val="P68B1DB1-Normal9"/>
              <w:rPr>
                <w:noProof/>
              </w:rPr>
            </w:pPr>
            <w:r>
              <w:rPr>
                <w:noProof/>
              </w:rPr>
              <w:t>M3C1–22</w:t>
            </w:r>
          </w:p>
        </w:tc>
        <w:tc>
          <w:tcPr>
            <w:tcW w:w="3195" w:type="dxa"/>
            <w:tcBorders>
              <w:top w:val="nil"/>
              <w:left w:val="nil"/>
              <w:bottom w:val="single" w:sz="4" w:space="0" w:color="auto"/>
              <w:right w:val="single" w:sz="4" w:space="0" w:color="auto"/>
            </w:tcBorders>
            <w:shd w:val="clear" w:color="auto" w:fill="C6EFCE"/>
            <w:noWrap/>
            <w:vAlign w:val="center"/>
          </w:tcPr>
          <w:p w14:paraId="327662BD" w14:textId="77777777" w:rsidR="003F5418" w:rsidRDefault="002A6C25">
            <w:pPr>
              <w:pStyle w:val="P68B1DB1-Normal9"/>
              <w:rPr>
                <w:noProof/>
              </w:rPr>
            </w:pPr>
            <w:r>
              <w:rPr>
                <w:noProof/>
              </w:rPr>
              <w:t>Reform – A hidak és viaduktok tulajdonának áthelyezése az alsóbb szintű utakról a magasabb rangú utakra</w:t>
            </w:r>
          </w:p>
        </w:tc>
        <w:tc>
          <w:tcPr>
            <w:tcW w:w="1455" w:type="dxa"/>
            <w:tcBorders>
              <w:top w:val="nil"/>
              <w:left w:val="nil"/>
              <w:bottom w:val="single" w:sz="4" w:space="0" w:color="auto"/>
              <w:right w:val="single" w:sz="4" w:space="0" w:color="auto"/>
            </w:tcBorders>
            <w:shd w:val="clear" w:color="auto" w:fill="C6EFCE"/>
            <w:noWrap/>
            <w:vAlign w:val="center"/>
          </w:tcPr>
          <w:p w14:paraId="02B6BF89"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37DE9A33" w14:textId="77777777" w:rsidR="003F5418" w:rsidRDefault="002A6C25">
            <w:pPr>
              <w:pStyle w:val="P68B1DB1-Normal9"/>
              <w:jc w:val="center"/>
              <w:rPr>
                <w:noProof/>
              </w:rPr>
            </w:pPr>
            <w:r>
              <w:rPr>
                <w:noProof/>
              </w:rPr>
              <w:t xml:space="preserve">A hidak, viaduktok és túljárók </w:t>
            </w:r>
            <w:r>
              <w:rPr>
                <w:noProof/>
              </w:rPr>
              <w:t>tulajdonjogának átruházása az alacsonyabb szintű közutakról a magasabb rangú utakra (autópályákra és fő országos közutakra)</w:t>
            </w:r>
          </w:p>
        </w:tc>
      </w:tr>
      <w:tr w:rsidR="003F5418" w14:paraId="6EF90A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A1040" w14:textId="77777777" w:rsidR="003F5418" w:rsidRDefault="002A6C25">
            <w:pPr>
              <w:pStyle w:val="P68B1DB1-Normal9"/>
              <w:rPr>
                <w:noProof/>
              </w:rPr>
            </w:pPr>
            <w:r>
              <w:rPr>
                <w:noProof/>
              </w:rPr>
              <w:t>M4C1–27</w:t>
            </w:r>
          </w:p>
        </w:tc>
        <w:tc>
          <w:tcPr>
            <w:tcW w:w="3195" w:type="dxa"/>
            <w:tcBorders>
              <w:top w:val="nil"/>
              <w:left w:val="nil"/>
              <w:bottom w:val="single" w:sz="4" w:space="0" w:color="auto"/>
              <w:right w:val="single" w:sz="4" w:space="0" w:color="auto"/>
            </w:tcBorders>
            <w:shd w:val="clear" w:color="auto" w:fill="C6EFCE"/>
            <w:noWrap/>
            <w:vAlign w:val="center"/>
          </w:tcPr>
          <w:p w14:paraId="0C6E1855" w14:textId="77777777" w:rsidR="003F5418" w:rsidRDefault="002A6C25">
            <w:pPr>
              <w:pStyle w:val="P68B1DB1-Normal9"/>
              <w:rPr>
                <w:noProof/>
              </w:rPr>
            </w:pPr>
            <w:r>
              <w:rPr>
                <w:noProof/>
              </w:rPr>
              <w:t>Reform: A diákok lakhatására vonatkozó szabályozás reformja és a diákok lakhatásába való beruházás</w:t>
            </w:r>
          </w:p>
        </w:tc>
        <w:tc>
          <w:tcPr>
            <w:tcW w:w="1455" w:type="dxa"/>
            <w:tcBorders>
              <w:top w:val="nil"/>
              <w:left w:val="nil"/>
              <w:bottom w:val="single" w:sz="4" w:space="0" w:color="auto"/>
              <w:right w:val="single" w:sz="4" w:space="0" w:color="auto"/>
            </w:tcBorders>
            <w:shd w:val="clear" w:color="auto" w:fill="C6EFCE"/>
            <w:noWrap/>
            <w:vAlign w:val="center"/>
          </w:tcPr>
          <w:p w14:paraId="76A82761"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2BFB9E6A" w14:textId="77777777" w:rsidR="003F5418" w:rsidRDefault="002A6C25">
            <w:pPr>
              <w:pStyle w:val="P68B1DB1-Normal9"/>
              <w:jc w:val="center"/>
              <w:rPr>
                <w:noProof/>
              </w:rPr>
            </w:pPr>
            <w:r>
              <w:rPr>
                <w:noProof/>
              </w:rPr>
              <w:t xml:space="preserve">A diákok </w:t>
            </w:r>
            <w:r>
              <w:rPr>
                <w:noProof/>
              </w:rPr>
              <w:t>lakhatására vonatkozó jelenlegi szabályok módosítására irányuló jogszabály hatálybalépése.</w:t>
            </w:r>
          </w:p>
        </w:tc>
      </w:tr>
      <w:tr w:rsidR="003F5418" w14:paraId="334A18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20EA9C" w14:textId="77777777" w:rsidR="003F5418" w:rsidRDefault="002A6C25">
            <w:pPr>
              <w:pStyle w:val="P68B1DB1-Normal9"/>
              <w:rPr>
                <w:noProof/>
              </w:rPr>
            </w:pPr>
            <w:r>
              <w:rPr>
                <w:noProof/>
              </w:rPr>
              <w:t>M5C3–10</w:t>
            </w:r>
          </w:p>
        </w:tc>
        <w:tc>
          <w:tcPr>
            <w:tcW w:w="3195" w:type="dxa"/>
            <w:tcBorders>
              <w:top w:val="nil"/>
              <w:left w:val="nil"/>
              <w:bottom w:val="single" w:sz="4" w:space="0" w:color="auto"/>
              <w:right w:val="single" w:sz="4" w:space="0" w:color="auto"/>
            </w:tcBorders>
            <w:shd w:val="clear" w:color="auto" w:fill="C6EFCE"/>
            <w:noWrap/>
            <w:vAlign w:val="center"/>
          </w:tcPr>
          <w:p w14:paraId="00D55817" w14:textId="77777777" w:rsidR="003F5418" w:rsidRDefault="002A6C25">
            <w:pPr>
              <w:pStyle w:val="P68B1DB1-Normal9"/>
              <w:rPr>
                <w:noProof/>
              </w:rPr>
            </w:pPr>
            <w:r>
              <w:rPr>
                <w:noProof/>
              </w:rPr>
              <w:t>Reform1: Az eljárások egyszerűsítése és a biztos szerepének megerősítése a különleges gazdasági övezetekben</w:t>
            </w:r>
          </w:p>
        </w:tc>
        <w:tc>
          <w:tcPr>
            <w:tcW w:w="1455" w:type="dxa"/>
            <w:tcBorders>
              <w:top w:val="nil"/>
              <w:left w:val="nil"/>
              <w:bottom w:val="single" w:sz="4" w:space="0" w:color="auto"/>
              <w:right w:val="single" w:sz="4" w:space="0" w:color="auto"/>
            </w:tcBorders>
            <w:shd w:val="clear" w:color="auto" w:fill="C6EFCE"/>
            <w:noWrap/>
            <w:vAlign w:val="center"/>
          </w:tcPr>
          <w:p w14:paraId="13A10FAC"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24E2FE7F" w14:textId="77777777" w:rsidR="003F5418" w:rsidRDefault="002A6C25">
            <w:pPr>
              <w:pStyle w:val="P68B1DB1-Normal9"/>
              <w:jc w:val="center"/>
              <w:rPr>
                <w:noProof/>
              </w:rPr>
            </w:pPr>
            <w:r>
              <w:rPr>
                <w:noProof/>
              </w:rPr>
              <w:t>A rendelet hatálybalépése pusztán az e</w:t>
            </w:r>
            <w:r>
              <w:rPr>
                <w:noProof/>
              </w:rPr>
              <w:t>ljárások és a biztos különleges gazdasági övezetekben betöltött szerepének megerősítése érdekében</w:t>
            </w:r>
          </w:p>
        </w:tc>
      </w:tr>
      <w:tr w:rsidR="003F5418" w14:paraId="7D7799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923E96" w14:textId="77777777" w:rsidR="003F5418" w:rsidRDefault="002A6C25">
            <w:pPr>
              <w:pStyle w:val="P68B1DB1-Normal9"/>
              <w:rPr>
                <w:noProof/>
              </w:rPr>
            </w:pPr>
            <w:r>
              <w:rPr>
                <w:noProof/>
              </w:rPr>
              <w:t>M5C3–11</w:t>
            </w:r>
          </w:p>
        </w:tc>
        <w:tc>
          <w:tcPr>
            <w:tcW w:w="3195" w:type="dxa"/>
            <w:tcBorders>
              <w:top w:val="nil"/>
              <w:left w:val="nil"/>
              <w:bottom w:val="single" w:sz="4" w:space="0" w:color="auto"/>
              <w:right w:val="single" w:sz="4" w:space="0" w:color="auto"/>
            </w:tcBorders>
            <w:shd w:val="clear" w:color="auto" w:fill="C6EFCE"/>
            <w:noWrap/>
            <w:vAlign w:val="center"/>
          </w:tcPr>
          <w:p w14:paraId="5177DA11" w14:textId="77777777" w:rsidR="003F5418" w:rsidRDefault="002A6C25">
            <w:pPr>
              <w:pStyle w:val="P68B1DB1-Normal9"/>
              <w:rPr>
                <w:noProof/>
              </w:rPr>
            </w:pPr>
            <w:r>
              <w:rPr>
                <w:noProof/>
              </w:rPr>
              <w:t xml:space="preserve">Beruházás: Infrastrukturális beruházások a különleges gazdasági övezet számára </w:t>
            </w:r>
          </w:p>
        </w:tc>
        <w:tc>
          <w:tcPr>
            <w:tcW w:w="1455" w:type="dxa"/>
            <w:tcBorders>
              <w:top w:val="nil"/>
              <w:left w:val="nil"/>
              <w:bottom w:val="single" w:sz="4" w:space="0" w:color="auto"/>
              <w:right w:val="single" w:sz="4" w:space="0" w:color="auto"/>
            </w:tcBorders>
            <w:shd w:val="clear" w:color="auto" w:fill="C6EFCE"/>
            <w:noWrap/>
            <w:vAlign w:val="center"/>
          </w:tcPr>
          <w:p w14:paraId="7DF5B0F6" w14:textId="77777777" w:rsidR="003F5418" w:rsidRDefault="002A6C25">
            <w:pPr>
              <w:pStyle w:val="P68B1DB1-Normal9"/>
              <w:rPr>
                <w:noProof/>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5592D80F" w14:textId="77777777" w:rsidR="003F5418" w:rsidRDefault="002A6C25">
            <w:pPr>
              <w:pStyle w:val="P68B1DB1-Normal9"/>
              <w:jc w:val="center"/>
              <w:rPr>
                <w:noProof/>
              </w:rPr>
            </w:pPr>
            <w:r>
              <w:rPr>
                <w:noProof/>
              </w:rPr>
              <w:t xml:space="preserve">A mind a nyolc különleges gazdasági övezet működési tervét </w:t>
            </w:r>
            <w:r>
              <w:rPr>
                <w:noProof/>
              </w:rPr>
              <w:t>jóváhagyó miniszteri rendeletek hatálybalépése</w:t>
            </w:r>
          </w:p>
        </w:tc>
      </w:tr>
      <w:tr w:rsidR="003F5418" w14:paraId="7FA81E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4F8711" w14:textId="77777777" w:rsidR="003F5418" w:rsidRDefault="002A6C25">
            <w:pPr>
              <w:pStyle w:val="P68B1DB1-Normal9"/>
              <w:rPr>
                <w:noProof/>
              </w:rPr>
            </w:pPr>
            <w:r>
              <w:rPr>
                <w:noProof/>
              </w:rPr>
              <w:t>M6C2–4</w:t>
            </w:r>
          </w:p>
        </w:tc>
        <w:tc>
          <w:tcPr>
            <w:tcW w:w="3195" w:type="dxa"/>
            <w:tcBorders>
              <w:top w:val="nil"/>
              <w:left w:val="nil"/>
              <w:bottom w:val="single" w:sz="4" w:space="0" w:color="auto"/>
              <w:right w:val="single" w:sz="4" w:space="0" w:color="auto"/>
            </w:tcBorders>
            <w:shd w:val="clear" w:color="auto" w:fill="C6EFCE"/>
            <w:noWrap/>
            <w:vAlign w:val="center"/>
          </w:tcPr>
          <w:p w14:paraId="35FD95E1" w14:textId="77777777" w:rsidR="003F5418" w:rsidRDefault="002A6C25">
            <w:pPr>
              <w:pStyle w:val="P68B1DB1-Normal39"/>
              <w:rPr>
                <w:noProof/>
                <w:color w:val="006100"/>
              </w:rPr>
            </w:pPr>
            <w:r>
              <w:rPr>
                <w:noProof/>
              </w:rPr>
              <w:t>Beruházás: A kórházak technológiai berendezéseinek digitális frissítése</w:t>
            </w:r>
          </w:p>
        </w:tc>
        <w:tc>
          <w:tcPr>
            <w:tcW w:w="1455" w:type="dxa"/>
            <w:tcBorders>
              <w:top w:val="nil"/>
              <w:left w:val="nil"/>
              <w:bottom w:val="single" w:sz="4" w:space="0" w:color="auto"/>
              <w:right w:val="single" w:sz="4" w:space="0" w:color="auto"/>
            </w:tcBorders>
            <w:shd w:val="clear" w:color="auto" w:fill="C6EFCE"/>
            <w:noWrap/>
            <w:vAlign w:val="center"/>
          </w:tcPr>
          <w:p w14:paraId="5C6BB892" w14:textId="77777777" w:rsidR="003F5418" w:rsidRDefault="002A6C25">
            <w:pPr>
              <w:pStyle w:val="P68B1DB1-Normal39"/>
              <w:rPr>
                <w:noProof/>
                <w:color w:val="006100"/>
              </w:rPr>
            </w:pPr>
            <w:r>
              <w:rPr>
                <w:noProof/>
              </w:rPr>
              <w:t>Mérföldkő</w:t>
            </w:r>
          </w:p>
        </w:tc>
        <w:tc>
          <w:tcPr>
            <w:tcW w:w="3975" w:type="dxa"/>
            <w:tcBorders>
              <w:top w:val="nil"/>
              <w:left w:val="nil"/>
              <w:bottom w:val="single" w:sz="4" w:space="0" w:color="auto"/>
              <w:right w:val="single" w:sz="4" w:space="0" w:color="auto"/>
            </w:tcBorders>
            <w:shd w:val="clear" w:color="auto" w:fill="C6EFCE"/>
            <w:noWrap/>
            <w:vAlign w:val="center"/>
          </w:tcPr>
          <w:p w14:paraId="2B949F18" w14:textId="77777777" w:rsidR="003F5418" w:rsidRDefault="002A6C25">
            <w:pPr>
              <w:pStyle w:val="P68B1DB1-Normal39"/>
              <w:jc w:val="center"/>
              <w:rPr>
                <w:noProof/>
              </w:rPr>
            </w:pPr>
            <w:r>
              <w:rPr>
                <w:noProof/>
              </w:rPr>
              <w:t>Az Egészségügyi Minisztérium/olasz régiók által jóváhagyott átszervezési terv</w:t>
            </w:r>
          </w:p>
        </w:tc>
      </w:tr>
      <w:tr w:rsidR="003F5418" w14:paraId="0C10D32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A068B6"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77DDF30B" w14:textId="77777777" w:rsidR="003F5418" w:rsidRDefault="003F5418">
            <w:pPr>
              <w:rPr>
                <w:noProof/>
                <w:color w:val="006100"/>
                <w:sz w:val="20"/>
              </w:rPr>
            </w:pPr>
          </w:p>
        </w:tc>
        <w:tc>
          <w:tcPr>
            <w:tcW w:w="1455" w:type="dxa"/>
            <w:tcBorders>
              <w:top w:val="single" w:sz="4" w:space="0" w:color="auto"/>
              <w:left w:val="nil"/>
              <w:bottom w:val="single" w:sz="4" w:space="0" w:color="auto"/>
              <w:right w:val="single" w:sz="4" w:space="0" w:color="auto"/>
            </w:tcBorders>
            <w:shd w:val="clear" w:color="auto" w:fill="C6EFCE"/>
            <w:noWrap/>
            <w:vAlign w:val="bottom"/>
          </w:tcPr>
          <w:p w14:paraId="18C1E09D" w14:textId="77777777" w:rsidR="003F5418" w:rsidRDefault="002A6C25">
            <w:pPr>
              <w:pStyle w:val="P68B1DB1-Normal9"/>
              <w:rPr>
                <w:noProof/>
              </w:rPr>
            </w:pPr>
            <w:r>
              <w:rPr>
                <w:noProof/>
              </w:rPr>
              <w:t>Részösszeg</w:t>
            </w:r>
          </w:p>
        </w:tc>
        <w:tc>
          <w:tcPr>
            <w:tcW w:w="3975" w:type="dxa"/>
            <w:tcBorders>
              <w:top w:val="single" w:sz="4" w:space="0" w:color="auto"/>
              <w:left w:val="nil"/>
              <w:bottom w:val="single" w:sz="4" w:space="0" w:color="auto"/>
              <w:right w:val="single" w:sz="4" w:space="0" w:color="auto"/>
            </w:tcBorders>
            <w:shd w:val="clear" w:color="auto" w:fill="C6EFCE"/>
            <w:noWrap/>
            <w:vAlign w:val="bottom"/>
          </w:tcPr>
          <w:p w14:paraId="60D2A500" w14:textId="08570A18" w:rsidR="003F5418" w:rsidRDefault="002A6C25">
            <w:pPr>
              <w:pStyle w:val="P68B1DB1-Normal37"/>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7C817D6B" w14:textId="77777777" w:rsidR="003F5418" w:rsidRDefault="002A6C25">
      <w:pPr>
        <w:pStyle w:val="P68B1DB1-Normal35"/>
        <w:numPr>
          <w:ilvl w:val="1"/>
          <w:numId w:val="6"/>
        </w:numPr>
        <w:spacing w:before="120" w:after="120"/>
        <w:jc w:val="both"/>
        <w:rPr>
          <w:noProof/>
        </w:rPr>
      </w:pPr>
      <w:r>
        <w:rPr>
          <w:noProof/>
        </w:rPr>
        <w:t>Második</w:t>
      </w:r>
      <w:r>
        <w:rPr>
          <w:noProof/>
        </w:rPr>
        <w:t xml:space="preserve"> részösszeg (hitel formájában nyújtott támogatás):</w:t>
      </w:r>
    </w:p>
    <w:tbl>
      <w:tblPr>
        <w:tblW w:w="10096" w:type="dxa"/>
        <w:tblInd w:w="113" w:type="dxa"/>
        <w:tblLook w:val="04A0" w:firstRow="1" w:lastRow="0" w:firstColumn="1" w:lastColumn="0" w:noHBand="0" w:noVBand="1"/>
      </w:tblPr>
      <w:tblGrid>
        <w:gridCol w:w="1413"/>
        <w:gridCol w:w="3195"/>
        <w:gridCol w:w="1453"/>
        <w:gridCol w:w="4035"/>
      </w:tblGrid>
      <w:tr w:rsidR="003F5418" w14:paraId="11F7D864"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EB5748D"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44F04E" w14:textId="77777777" w:rsidR="003F5418" w:rsidRDefault="002A6C25">
            <w:pPr>
              <w:pStyle w:val="P68B1DB1-Normal36"/>
              <w:jc w:val="center"/>
              <w:rPr>
                <w:noProof/>
              </w:rPr>
            </w:pPr>
            <w:r>
              <w:rPr>
                <w:noProof/>
              </w:rPr>
              <w:t>Kapcsolódó intézkedés (reform vagy beruházás)</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9C3CB30" w14:textId="77777777" w:rsidR="003F5418" w:rsidRDefault="002A6C25">
            <w:pPr>
              <w:pStyle w:val="P68B1DB1-Normal36"/>
              <w:jc w:val="center"/>
              <w:rPr>
                <w:noProof/>
              </w:rPr>
            </w:pPr>
            <w:r>
              <w:rPr>
                <w:noProof/>
              </w:rPr>
              <w:t>Mérföldkő/cél</w:t>
            </w:r>
          </w:p>
        </w:tc>
        <w:tc>
          <w:tcPr>
            <w:tcW w:w="403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756A4AA" w14:textId="77777777" w:rsidR="003F5418" w:rsidRDefault="002A6C25">
            <w:pPr>
              <w:pStyle w:val="P68B1DB1-Normal36"/>
              <w:jc w:val="center"/>
              <w:rPr>
                <w:noProof/>
              </w:rPr>
            </w:pPr>
            <w:r>
              <w:rPr>
                <w:noProof/>
              </w:rPr>
              <w:t>Név</w:t>
            </w:r>
          </w:p>
        </w:tc>
      </w:tr>
      <w:tr w:rsidR="003F5418" w14:paraId="44657F6C"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C352481"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DC66133" w14:textId="77777777" w:rsidR="003F5418" w:rsidRDefault="003F5418">
            <w:pPr>
              <w:rPr>
                <w:b/>
                <w:noProof/>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14:paraId="4E8BB093" w14:textId="77777777" w:rsidR="003F5418" w:rsidRDefault="003F5418">
            <w:pPr>
              <w:rPr>
                <w:b/>
                <w:noProof/>
              </w:rPr>
            </w:pP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6001E971" w14:textId="77777777" w:rsidR="003F5418" w:rsidRDefault="003F5418">
            <w:pPr>
              <w:rPr>
                <w:b/>
                <w:noProof/>
              </w:rPr>
            </w:pPr>
          </w:p>
        </w:tc>
      </w:tr>
      <w:tr w:rsidR="003F5418" w14:paraId="6E674930"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4D6373E" w14:textId="77777777" w:rsidR="003F5418" w:rsidRDefault="002A6C25">
            <w:pPr>
              <w:pStyle w:val="P68B1DB1-Normal9"/>
              <w:rPr>
                <w:noProof/>
              </w:rPr>
            </w:pPr>
            <w:r>
              <w:rPr>
                <w:noProof/>
              </w:rPr>
              <w:t>M1C2–28</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911F34E" w14:textId="77777777" w:rsidR="003F5418" w:rsidRDefault="002A6C25">
            <w:pPr>
              <w:pStyle w:val="P68B1DB1-Normal9"/>
              <w:rPr>
                <w:noProof/>
              </w:rPr>
            </w:pPr>
            <w:r>
              <w:rPr>
                <w:noProof/>
              </w:rPr>
              <w:t>Beruházás: Az ellátási láncok versenyképessége és rezilienciája</w:t>
            </w:r>
          </w:p>
        </w:tc>
        <w:tc>
          <w:tcPr>
            <w:tcW w:w="1453" w:type="dxa"/>
            <w:tcBorders>
              <w:top w:val="single" w:sz="4" w:space="0" w:color="auto"/>
              <w:left w:val="nil"/>
              <w:bottom w:val="single" w:sz="4" w:space="0" w:color="auto"/>
              <w:right w:val="single" w:sz="4" w:space="0" w:color="auto"/>
            </w:tcBorders>
            <w:shd w:val="clear" w:color="auto" w:fill="C6EFCE"/>
            <w:noWrap/>
            <w:vAlign w:val="center"/>
          </w:tcPr>
          <w:p w14:paraId="30AFD080" w14:textId="77777777" w:rsidR="003F5418" w:rsidRDefault="002A6C25">
            <w:pPr>
              <w:pStyle w:val="P68B1DB1-Normal9"/>
              <w:rPr>
                <w:noProof/>
              </w:rPr>
            </w:pPr>
            <w:r>
              <w:rPr>
                <w:noProof/>
              </w:rPr>
              <w:t>Mérföldkő</w:t>
            </w:r>
          </w:p>
        </w:tc>
        <w:tc>
          <w:tcPr>
            <w:tcW w:w="4035" w:type="dxa"/>
            <w:tcBorders>
              <w:top w:val="single" w:sz="4" w:space="0" w:color="auto"/>
              <w:left w:val="nil"/>
              <w:bottom w:val="single" w:sz="4" w:space="0" w:color="auto"/>
              <w:right w:val="single" w:sz="4" w:space="0" w:color="auto"/>
            </w:tcBorders>
            <w:shd w:val="clear" w:color="auto" w:fill="C6EFCE"/>
            <w:noWrap/>
            <w:vAlign w:val="center"/>
          </w:tcPr>
          <w:p w14:paraId="63DE9E2E" w14:textId="77777777" w:rsidR="003F5418" w:rsidRDefault="002A6C25">
            <w:pPr>
              <w:pStyle w:val="P68B1DB1-Normal9"/>
              <w:jc w:val="center"/>
              <w:rPr>
                <w:noProof/>
              </w:rPr>
            </w:pPr>
            <w:r>
              <w:rPr>
                <w:noProof/>
              </w:rPr>
              <w:t xml:space="preserve">A fejlesztési szerződések beruházási </w:t>
            </w:r>
            <w:r>
              <w:rPr>
                <w:noProof/>
              </w:rPr>
              <w:t>politikáját tartalmazó rendelet hatálybalépése</w:t>
            </w:r>
          </w:p>
        </w:tc>
      </w:tr>
      <w:tr w:rsidR="003F5418" w14:paraId="452874F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6FA7A8" w14:textId="77777777" w:rsidR="003F5418" w:rsidRDefault="002A6C25">
            <w:pPr>
              <w:pStyle w:val="P68B1DB1-Normal9"/>
              <w:rPr>
                <w:noProof/>
              </w:rPr>
            </w:pPr>
            <w:r>
              <w:rPr>
                <w:noProof/>
              </w:rPr>
              <w:t>M2C4–27</w:t>
            </w:r>
          </w:p>
        </w:tc>
        <w:tc>
          <w:tcPr>
            <w:tcW w:w="3195" w:type="dxa"/>
            <w:tcBorders>
              <w:top w:val="nil"/>
              <w:left w:val="nil"/>
              <w:bottom w:val="single" w:sz="4" w:space="0" w:color="auto"/>
              <w:right w:val="single" w:sz="4" w:space="0" w:color="auto"/>
            </w:tcBorders>
            <w:shd w:val="clear" w:color="auto" w:fill="C6EFCE"/>
            <w:noWrap/>
            <w:vAlign w:val="center"/>
          </w:tcPr>
          <w:p w14:paraId="557F9D30" w14:textId="77777777" w:rsidR="003F5418" w:rsidRDefault="002A6C25">
            <w:pPr>
              <w:pStyle w:val="P68B1DB1-Normal9"/>
              <w:rPr>
                <w:noProof/>
              </w:rPr>
            </w:pPr>
            <w:r>
              <w:rPr>
                <w:noProof/>
              </w:rPr>
              <w:t>Reform. A jogszabályok egyszerűsítése és az irányítás megerősítése a vízellátási infrastruktúrákba történő beruházások végrehajtása érdekében</w:t>
            </w:r>
          </w:p>
        </w:tc>
        <w:tc>
          <w:tcPr>
            <w:tcW w:w="1453" w:type="dxa"/>
            <w:tcBorders>
              <w:top w:val="nil"/>
              <w:left w:val="nil"/>
              <w:bottom w:val="single" w:sz="4" w:space="0" w:color="auto"/>
              <w:right w:val="single" w:sz="4" w:space="0" w:color="auto"/>
            </w:tcBorders>
            <w:shd w:val="clear" w:color="auto" w:fill="C6EFCE"/>
            <w:noWrap/>
            <w:vAlign w:val="center"/>
          </w:tcPr>
          <w:p w14:paraId="1BBE2D61"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69DFAE23" w14:textId="77777777" w:rsidR="003F5418" w:rsidRDefault="002A6C25">
            <w:pPr>
              <w:pStyle w:val="P68B1DB1-Normal9"/>
              <w:jc w:val="center"/>
              <w:rPr>
                <w:noProof/>
              </w:rPr>
            </w:pPr>
            <w:r>
              <w:rPr>
                <w:noProof/>
              </w:rPr>
              <w:t xml:space="preserve">Az elsődleges víz infrastruktúrájába a vízellátás biztonsága érdekében történő beavatkozásokra vonatkozó jogszabályok egyszerűsítésének hatálybalépése </w:t>
            </w:r>
          </w:p>
        </w:tc>
      </w:tr>
      <w:tr w:rsidR="003F5418" w14:paraId="04CD097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C1D0CEA" w14:textId="77777777" w:rsidR="003F5418" w:rsidRDefault="002A6C25">
            <w:pPr>
              <w:pStyle w:val="P68B1DB1-Normal9"/>
              <w:rPr>
                <w:noProof/>
              </w:rPr>
            </w:pPr>
            <w:r>
              <w:rPr>
                <w:noProof/>
              </w:rPr>
              <w:t>M5C2–11</w:t>
            </w:r>
          </w:p>
        </w:tc>
        <w:tc>
          <w:tcPr>
            <w:tcW w:w="3195" w:type="dxa"/>
            <w:tcBorders>
              <w:top w:val="nil"/>
              <w:left w:val="nil"/>
              <w:bottom w:val="single" w:sz="4" w:space="0" w:color="auto"/>
              <w:right w:val="single" w:sz="4" w:space="0" w:color="auto"/>
            </w:tcBorders>
            <w:shd w:val="clear" w:color="auto" w:fill="C6EFCE"/>
            <w:noWrap/>
            <w:vAlign w:val="center"/>
          </w:tcPr>
          <w:p w14:paraId="41854247" w14:textId="77777777" w:rsidR="003F5418" w:rsidRDefault="002A6C25">
            <w:pPr>
              <w:pStyle w:val="P68B1DB1-Normal9"/>
              <w:rPr>
                <w:noProof/>
              </w:rPr>
            </w:pPr>
            <w:r>
              <w:rPr>
                <w:noProof/>
              </w:rPr>
              <w:t xml:space="preserve">Beruházás – A marginalizálódás és a társadalom romlásának csökkentését célzó </w:t>
            </w:r>
            <w:r>
              <w:rPr>
                <w:noProof/>
              </w:rPr>
              <w:t>városrehabilitációs projektekbe történő beruházások</w:t>
            </w:r>
          </w:p>
        </w:tc>
        <w:tc>
          <w:tcPr>
            <w:tcW w:w="1453" w:type="dxa"/>
            <w:tcBorders>
              <w:top w:val="nil"/>
              <w:left w:val="nil"/>
              <w:bottom w:val="single" w:sz="4" w:space="0" w:color="auto"/>
              <w:right w:val="single" w:sz="4" w:space="0" w:color="auto"/>
            </w:tcBorders>
            <w:shd w:val="clear" w:color="auto" w:fill="C6EFCE"/>
            <w:noWrap/>
            <w:vAlign w:val="center"/>
          </w:tcPr>
          <w:p w14:paraId="304C6C65"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7EE726EB" w14:textId="77777777" w:rsidR="003F5418" w:rsidRDefault="002A6C25">
            <w:pPr>
              <w:pStyle w:val="P68B1DB1-Normal9"/>
              <w:jc w:val="center"/>
              <w:rPr>
                <w:noProof/>
              </w:rPr>
            </w:pPr>
            <w:r>
              <w:rPr>
                <w:noProof/>
              </w:rPr>
              <w:t xml:space="preserve">A marginalizálódás és a társadalom romlásának csökkentését célzó városrehabilitációs beruházásokra irányuló valamennyi közbeszerzési szerződés odaítélése, a Helyreállítási és Rezilienciaépítési </w:t>
            </w:r>
            <w:r>
              <w:rPr>
                <w:noProof/>
              </w:rPr>
              <w:t>Eszköz célkitűzéseivel, többek között a DNSH-elvvel összhangban lévő projektek mellett</w:t>
            </w:r>
          </w:p>
        </w:tc>
      </w:tr>
      <w:tr w:rsidR="003F5418" w14:paraId="3792809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F1236D" w14:textId="77777777" w:rsidR="003F5418" w:rsidRDefault="002A6C25">
            <w:pPr>
              <w:pStyle w:val="P68B1DB1-Normal9"/>
              <w:rPr>
                <w:noProof/>
              </w:rPr>
            </w:pPr>
            <w:r>
              <w:rPr>
                <w:noProof/>
              </w:rPr>
              <w:t>M5C2–15</w:t>
            </w:r>
          </w:p>
        </w:tc>
        <w:tc>
          <w:tcPr>
            <w:tcW w:w="3195" w:type="dxa"/>
            <w:tcBorders>
              <w:top w:val="nil"/>
              <w:left w:val="nil"/>
              <w:bottom w:val="single" w:sz="4" w:space="0" w:color="auto"/>
              <w:right w:val="single" w:sz="4" w:space="0" w:color="auto"/>
            </w:tcBorders>
            <w:shd w:val="clear" w:color="auto" w:fill="C6EFCE"/>
            <w:noWrap/>
            <w:vAlign w:val="center"/>
          </w:tcPr>
          <w:p w14:paraId="65E8D67A" w14:textId="77777777" w:rsidR="003F5418" w:rsidRDefault="002A6C25">
            <w:pPr>
              <w:pStyle w:val="P68B1DB1-Normal9"/>
              <w:rPr>
                <w:noProof/>
              </w:rPr>
            </w:pPr>
            <w:r>
              <w:rPr>
                <w:noProof/>
              </w:rPr>
              <w:t>Beruházás – Városi integrált tervek – Az illegális telepek felszámolása a mezőgazdasági munkaerő-kizsákmányolás elleni küzdelem érdekében</w:t>
            </w:r>
          </w:p>
        </w:tc>
        <w:tc>
          <w:tcPr>
            <w:tcW w:w="1453" w:type="dxa"/>
            <w:tcBorders>
              <w:top w:val="nil"/>
              <w:left w:val="nil"/>
              <w:bottom w:val="single" w:sz="4" w:space="0" w:color="auto"/>
              <w:right w:val="single" w:sz="4" w:space="0" w:color="auto"/>
            </w:tcBorders>
            <w:shd w:val="clear" w:color="auto" w:fill="C6EFCE"/>
            <w:noWrap/>
            <w:vAlign w:val="center"/>
          </w:tcPr>
          <w:p w14:paraId="3078E3E8"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8CC101A" w14:textId="77777777" w:rsidR="003F5418" w:rsidRDefault="002A6C25">
            <w:pPr>
              <w:pStyle w:val="P68B1DB1-Normal9"/>
              <w:jc w:val="center"/>
              <w:rPr>
                <w:noProof/>
              </w:rPr>
            </w:pPr>
            <w:r>
              <w:rPr>
                <w:noProof/>
              </w:rPr>
              <w:t>Az illegális</w:t>
            </w:r>
            <w:r>
              <w:rPr>
                <w:noProof/>
              </w:rPr>
              <w:t xml:space="preserve"> települések feltérképezéséről szóló miniszteri rendelet hatálybalépését a „Tavolo diverseo allo sfruttamento lavorativo in agricoltura” fogadja el, a források elosztásáról szóló miniszteri rendeletet pedig elfogadják.</w:t>
            </w:r>
          </w:p>
        </w:tc>
      </w:tr>
      <w:tr w:rsidR="003F5418" w14:paraId="6F96FDE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5C4E8B" w14:textId="77777777" w:rsidR="003F5418" w:rsidRDefault="002A6C25">
            <w:pPr>
              <w:pStyle w:val="P68B1DB1-Normal9"/>
              <w:rPr>
                <w:noProof/>
              </w:rPr>
            </w:pPr>
            <w:r>
              <w:rPr>
                <w:noProof/>
              </w:rPr>
              <w:t>M5C2–19</w:t>
            </w:r>
          </w:p>
        </w:tc>
        <w:tc>
          <w:tcPr>
            <w:tcW w:w="3195" w:type="dxa"/>
            <w:tcBorders>
              <w:top w:val="nil"/>
              <w:left w:val="nil"/>
              <w:bottom w:val="single" w:sz="4" w:space="0" w:color="auto"/>
              <w:right w:val="single" w:sz="4" w:space="0" w:color="auto"/>
            </w:tcBorders>
            <w:shd w:val="clear" w:color="auto" w:fill="C6EFCE"/>
            <w:noWrap/>
            <w:vAlign w:val="center"/>
          </w:tcPr>
          <w:p w14:paraId="123DDFA0" w14:textId="77777777" w:rsidR="003F5418" w:rsidRDefault="002A6C25">
            <w:pPr>
              <w:pStyle w:val="P68B1DB1-Normal9"/>
              <w:rPr>
                <w:noProof/>
              </w:rPr>
            </w:pPr>
            <w:r>
              <w:rPr>
                <w:noProof/>
              </w:rPr>
              <w:t>Beruházás – Innovációs progr</w:t>
            </w:r>
            <w:r>
              <w:rPr>
                <w:noProof/>
              </w:rPr>
              <w:t>am a lakásminőségért</w:t>
            </w:r>
          </w:p>
        </w:tc>
        <w:tc>
          <w:tcPr>
            <w:tcW w:w="1453" w:type="dxa"/>
            <w:tcBorders>
              <w:top w:val="nil"/>
              <w:left w:val="nil"/>
              <w:bottom w:val="single" w:sz="4" w:space="0" w:color="auto"/>
              <w:right w:val="single" w:sz="4" w:space="0" w:color="auto"/>
            </w:tcBorders>
            <w:shd w:val="clear" w:color="auto" w:fill="C6EFCE"/>
            <w:noWrap/>
            <w:vAlign w:val="center"/>
          </w:tcPr>
          <w:p w14:paraId="6AB8A848"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491CC3F9" w14:textId="77777777" w:rsidR="003F5418" w:rsidRDefault="002A6C25">
            <w:pPr>
              <w:pStyle w:val="P68B1DB1-Normal9"/>
              <w:jc w:val="center"/>
              <w:rPr>
                <w:noProof/>
              </w:rPr>
            </w:pPr>
            <w:r>
              <w:rPr>
                <w:noProof/>
              </w:rPr>
              <w:t>Régiók és autonóm tartományok (beleértve az ezeken a területeken található településeket és/vagy nagyvárosokat) aláírták a szociális lakások átépítéséről és bővítéséről szóló megállapodásokat</w:t>
            </w:r>
          </w:p>
        </w:tc>
      </w:tr>
      <w:tr w:rsidR="003F5418" w14:paraId="0816914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98381B" w14:textId="77777777" w:rsidR="003F5418" w:rsidRDefault="002A6C25">
            <w:pPr>
              <w:pStyle w:val="P68B1DB1-Normal9"/>
              <w:rPr>
                <w:noProof/>
              </w:rPr>
            </w:pPr>
            <w:r>
              <w:rPr>
                <w:noProof/>
              </w:rPr>
              <w:t>M1C2–16</w:t>
            </w:r>
          </w:p>
        </w:tc>
        <w:tc>
          <w:tcPr>
            <w:tcW w:w="3195" w:type="dxa"/>
            <w:tcBorders>
              <w:top w:val="nil"/>
              <w:left w:val="nil"/>
              <w:bottom w:val="single" w:sz="4" w:space="0" w:color="auto"/>
              <w:right w:val="single" w:sz="4" w:space="0" w:color="auto"/>
            </w:tcBorders>
            <w:shd w:val="clear" w:color="auto" w:fill="C6EFCE"/>
            <w:noWrap/>
            <w:vAlign w:val="center"/>
          </w:tcPr>
          <w:p w14:paraId="00AD108C" w14:textId="77777777" w:rsidR="003F5418" w:rsidRDefault="002A6C25">
            <w:pPr>
              <w:pStyle w:val="P68B1DB1-Normal9"/>
              <w:rPr>
                <w:noProof/>
              </w:rPr>
            </w:pPr>
            <w:r>
              <w:rPr>
                <w:noProof/>
              </w:rPr>
              <w:t xml:space="preserve">Beruházás: Gyors </w:t>
            </w:r>
            <w:r>
              <w:rPr>
                <w:noProof/>
              </w:rPr>
              <w:t>internetkapcsolat (Ultra-Broadband és 5G)</w:t>
            </w:r>
          </w:p>
        </w:tc>
        <w:tc>
          <w:tcPr>
            <w:tcW w:w="1453" w:type="dxa"/>
            <w:tcBorders>
              <w:top w:val="nil"/>
              <w:left w:val="nil"/>
              <w:bottom w:val="single" w:sz="4" w:space="0" w:color="auto"/>
              <w:right w:val="single" w:sz="4" w:space="0" w:color="auto"/>
            </w:tcBorders>
            <w:shd w:val="clear" w:color="auto" w:fill="C6EFCE"/>
            <w:noWrap/>
            <w:vAlign w:val="center"/>
          </w:tcPr>
          <w:p w14:paraId="0A6068D6"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FA28008" w14:textId="77777777" w:rsidR="003F5418" w:rsidRDefault="002A6C25">
            <w:pPr>
              <w:pStyle w:val="P68B1DB1-Normal9"/>
              <w:jc w:val="center"/>
              <w:rPr>
                <w:noProof/>
              </w:rPr>
            </w:pPr>
            <w:r>
              <w:rPr>
                <w:noProof/>
              </w:rPr>
              <w:t>Az összes közbeszerzési szerződés odaítélése a gyorsabb csatlakozási projektek érdekében</w:t>
            </w:r>
          </w:p>
        </w:tc>
      </w:tr>
      <w:tr w:rsidR="003F5418" w14:paraId="777220B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D0353B" w14:textId="77777777" w:rsidR="003F5418" w:rsidRDefault="002A6C25">
            <w:pPr>
              <w:pStyle w:val="P68B1DB1-Normal9"/>
              <w:rPr>
                <w:noProof/>
              </w:rPr>
            </w:pPr>
            <w:r>
              <w:rPr>
                <w:noProof/>
              </w:rPr>
              <w:t>M1C3–12</w:t>
            </w:r>
          </w:p>
        </w:tc>
        <w:tc>
          <w:tcPr>
            <w:tcW w:w="3195" w:type="dxa"/>
            <w:tcBorders>
              <w:top w:val="nil"/>
              <w:left w:val="nil"/>
              <w:bottom w:val="single" w:sz="4" w:space="0" w:color="auto"/>
              <w:right w:val="single" w:sz="4" w:space="0" w:color="auto"/>
            </w:tcBorders>
            <w:shd w:val="clear" w:color="auto" w:fill="C6EFCE"/>
            <w:noWrap/>
            <w:vAlign w:val="center"/>
          </w:tcPr>
          <w:p w14:paraId="2297183A" w14:textId="77777777" w:rsidR="003F5418" w:rsidRDefault="002A6C25">
            <w:pPr>
              <w:pStyle w:val="P68B1DB1-Normal9"/>
              <w:rPr>
                <w:noProof/>
              </w:rPr>
            </w:pPr>
            <w:r>
              <w:rPr>
                <w:noProof/>
              </w:rPr>
              <w:t>Beruházás – A kis történelmi városok vonzereje</w:t>
            </w:r>
          </w:p>
        </w:tc>
        <w:tc>
          <w:tcPr>
            <w:tcW w:w="1453" w:type="dxa"/>
            <w:tcBorders>
              <w:top w:val="nil"/>
              <w:left w:val="nil"/>
              <w:bottom w:val="single" w:sz="4" w:space="0" w:color="auto"/>
              <w:right w:val="single" w:sz="4" w:space="0" w:color="auto"/>
            </w:tcBorders>
            <w:shd w:val="clear" w:color="auto" w:fill="C6EFCE"/>
            <w:noWrap/>
            <w:vAlign w:val="center"/>
          </w:tcPr>
          <w:p w14:paraId="19892790"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3DBF8585" w14:textId="77777777" w:rsidR="003F5418" w:rsidRDefault="002A6C25">
            <w:pPr>
              <w:pStyle w:val="P68B1DB1-Normal9"/>
              <w:jc w:val="center"/>
              <w:rPr>
                <w:noProof/>
              </w:rPr>
            </w:pPr>
            <w:r>
              <w:rPr>
                <w:noProof/>
              </w:rPr>
              <w:t>A kulturális minisztérium rendeletének hatálybalé</w:t>
            </w:r>
            <w:r>
              <w:rPr>
                <w:noProof/>
              </w:rPr>
              <w:t xml:space="preserve">pése a kis történelmi városok vonzereje érdekében az önkormányzatok számára biztosított források elosztásáról  </w:t>
            </w:r>
          </w:p>
        </w:tc>
      </w:tr>
      <w:tr w:rsidR="003F5418" w14:paraId="7F91BE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05E3823" w14:textId="77777777" w:rsidR="003F5418" w:rsidRDefault="002A6C25">
            <w:pPr>
              <w:pStyle w:val="P68B1DB1-Normal9"/>
              <w:rPr>
                <w:noProof/>
              </w:rPr>
            </w:pPr>
            <w:r>
              <w:rPr>
                <w:noProof/>
              </w:rPr>
              <w:t>M1C3–13</w:t>
            </w:r>
          </w:p>
        </w:tc>
        <w:tc>
          <w:tcPr>
            <w:tcW w:w="3195" w:type="dxa"/>
            <w:tcBorders>
              <w:top w:val="nil"/>
              <w:left w:val="nil"/>
              <w:bottom w:val="single" w:sz="4" w:space="0" w:color="auto"/>
              <w:right w:val="single" w:sz="4" w:space="0" w:color="auto"/>
            </w:tcBorders>
            <w:shd w:val="clear" w:color="auto" w:fill="C6EFCE"/>
            <w:noWrap/>
            <w:vAlign w:val="center"/>
          </w:tcPr>
          <w:p w14:paraId="699C9C4F" w14:textId="77777777" w:rsidR="003F5418" w:rsidRDefault="002A6C25">
            <w:pPr>
              <w:pStyle w:val="P68B1DB1-Normal9"/>
              <w:rPr>
                <w:noProof/>
              </w:rPr>
            </w:pPr>
            <w:r>
              <w:rPr>
                <w:noProof/>
              </w:rPr>
              <w:t>Beruházás – A vidéki építészet és táj védelme és fejlesztése</w:t>
            </w:r>
          </w:p>
        </w:tc>
        <w:tc>
          <w:tcPr>
            <w:tcW w:w="1453" w:type="dxa"/>
            <w:tcBorders>
              <w:top w:val="nil"/>
              <w:left w:val="nil"/>
              <w:bottom w:val="single" w:sz="4" w:space="0" w:color="auto"/>
              <w:right w:val="single" w:sz="4" w:space="0" w:color="auto"/>
            </w:tcBorders>
            <w:shd w:val="clear" w:color="auto" w:fill="C6EFCE"/>
            <w:noWrap/>
            <w:vAlign w:val="center"/>
          </w:tcPr>
          <w:p w14:paraId="38257DCF"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11583263" w14:textId="77777777" w:rsidR="003F5418" w:rsidRDefault="002A6C25">
            <w:pPr>
              <w:pStyle w:val="P68B1DB1-Normal9"/>
              <w:jc w:val="center"/>
              <w:rPr>
                <w:noProof/>
              </w:rPr>
            </w:pPr>
            <w:r>
              <w:rPr>
                <w:noProof/>
              </w:rPr>
              <w:t xml:space="preserve">A Kultúra Minisztérium forráselosztásról szóló rendeletének hatálybalépése: a vidéki architektúra és tájvédelemért és -fejlesztésért </w:t>
            </w:r>
          </w:p>
        </w:tc>
      </w:tr>
      <w:tr w:rsidR="003F5418" w14:paraId="0ABF44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54CF454" w14:textId="77777777" w:rsidR="003F5418" w:rsidRDefault="002A6C25">
            <w:pPr>
              <w:pStyle w:val="P68B1DB1-Normal9"/>
              <w:rPr>
                <w:noProof/>
              </w:rPr>
            </w:pPr>
            <w:r>
              <w:rPr>
                <w:noProof/>
              </w:rPr>
              <w:t>M1C3–14</w:t>
            </w:r>
          </w:p>
        </w:tc>
        <w:tc>
          <w:tcPr>
            <w:tcW w:w="3195" w:type="dxa"/>
            <w:tcBorders>
              <w:top w:val="nil"/>
              <w:left w:val="nil"/>
              <w:bottom w:val="single" w:sz="4" w:space="0" w:color="auto"/>
              <w:right w:val="single" w:sz="4" w:space="0" w:color="auto"/>
            </w:tcBorders>
            <w:shd w:val="clear" w:color="auto" w:fill="C6EFCE"/>
            <w:noWrap/>
            <w:vAlign w:val="center"/>
          </w:tcPr>
          <w:p w14:paraId="4445E932" w14:textId="77777777" w:rsidR="003F5418" w:rsidRDefault="002A6C25">
            <w:pPr>
              <w:pStyle w:val="P68B1DB1-Normal9"/>
              <w:rPr>
                <w:noProof/>
              </w:rPr>
            </w:pPr>
            <w:r>
              <w:rPr>
                <w:noProof/>
              </w:rPr>
              <w:t>Beruházás – A helyek, parkok és történelmi kertek identitásának javítását célzó programok</w:t>
            </w:r>
          </w:p>
        </w:tc>
        <w:tc>
          <w:tcPr>
            <w:tcW w:w="1453" w:type="dxa"/>
            <w:tcBorders>
              <w:top w:val="nil"/>
              <w:left w:val="nil"/>
              <w:bottom w:val="single" w:sz="4" w:space="0" w:color="auto"/>
              <w:right w:val="single" w:sz="4" w:space="0" w:color="auto"/>
            </w:tcBorders>
            <w:shd w:val="clear" w:color="auto" w:fill="C6EFCE"/>
            <w:noWrap/>
            <w:vAlign w:val="center"/>
          </w:tcPr>
          <w:p w14:paraId="49100339"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0658764E" w14:textId="77777777" w:rsidR="003F5418" w:rsidRDefault="002A6C25">
            <w:pPr>
              <w:pStyle w:val="P68B1DB1-Normal9"/>
              <w:jc w:val="center"/>
              <w:rPr>
                <w:noProof/>
              </w:rPr>
            </w:pPr>
            <w:r>
              <w:rPr>
                <w:noProof/>
              </w:rPr>
              <w:t>A Kultúra Min</w:t>
            </w:r>
            <w:r>
              <w:rPr>
                <w:noProof/>
              </w:rPr>
              <w:t xml:space="preserve">isztérium forráselosztásról szóló rendeletének hatálybalépése: a helyszínek, parkok és történelmi kertek identitásának javítását célzó projektek esetében </w:t>
            </w:r>
          </w:p>
        </w:tc>
      </w:tr>
      <w:tr w:rsidR="003F5418" w14:paraId="46E84E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B6F572" w14:textId="77777777" w:rsidR="003F5418" w:rsidRDefault="002A6C25">
            <w:pPr>
              <w:pStyle w:val="P68B1DB1-Normal9"/>
              <w:rPr>
                <w:noProof/>
              </w:rPr>
            </w:pPr>
            <w:r>
              <w:rPr>
                <w:noProof/>
              </w:rPr>
              <w:t>M1C3–15</w:t>
            </w:r>
          </w:p>
        </w:tc>
        <w:tc>
          <w:tcPr>
            <w:tcW w:w="3195" w:type="dxa"/>
            <w:tcBorders>
              <w:top w:val="nil"/>
              <w:left w:val="nil"/>
              <w:bottom w:val="single" w:sz="4" w:space="0" w:color="auto"/>
              <w:right w:val="single" w:sz="4" w:space="0" w:color="auto"/>
            </w:tcBorders>
            <w:shd w:val="clear" w:color="auto" w:fill="C6EFCE"/>
            <w:noWrap/>
            <w:vAlign w:val="center"/>
          </w:tcPr>
          <w:p w14:paraId="13F31725" w14:textId="77777777" w:rsidR="003F5418" w:rsidRDefault="002A6C25">
            <w:pPr>
              <w:pStyle w:val="P68B1DB1-Normal9"/>
              <w:rPr>
                <w:noProof/>
              </w:rPr>
            </w:pPr>
            <w:r>
              <w:rPr>
                <w:noProof/>
              </w:rPr>
              <w:t>Beruházás – Az imahelyek szeizmikus biztonsága, a FEC örökségének és a műalkotások menedékhe</w:t>
            </w:r>
            <w:r>
              <w:rPr>
                <w:noProof/>
              </w:rPr>
              <w:t>lyeinek helyreállítása</w:t>
            </w:r>
          </w:p>
        </w:tc>
        <w:tc>
          <w:tcPr>
            <w:tcW w:w="1453" w:type="dxa"/>
            <w:tcBorders>
              <w:top w:val="nil"/>
              <w:left w:val="nil"/>
              <w:bottom w:val="single" w:sz="4" w:space="0" w:color="auto"/>
              <w:right w:val="single" w:sz="4" w:space="0" w:color="auto"/>
            </w:tcBorders>
            <w:shd w:val="clear" w:color="auto" w:fill="C6EFCE"/>
            <w:noWrap/>
            <w:vAlign w:val="center"/>
          </w:tcPr>
          <w:p w14:paraId="6FCB9C2A"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7132DA29" w14:textId="77777777" w:rsidR="003F5418" w:rsidRDefault="002A6C25">
            <w:pPr>
              <w:pStyle w:val="P68B1DB1-Normal9"/>
              <w:jc w:val="center"/>
              <w:rPr>
                <w:noProof/>
              </w:rPr>
            </w:pPr>
            <w:r>
              <w:rPr>
                <w:noProof/>
              </w:rPr>
              <w:t xml:space="preserve">A Kultúra Minisztérium forráselosztásról szóló rendeletének hatálybalépése: a szeizmikus biztonságért az imahelyen és a FEC (Fondo Edifici di Culto) örökségének helyreállítása </w:t>
            </w:r>
          </w:p>
        </w:tc>
      </w:tr>
      <w:tr w:rsidR="003F5418" w14:paraId="451A6DB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093B59" w14:textId="77777777" w:rsidR="003F5418" w:rsidRDefault="002A6C25">
            <w:pPr>
              <w:pStyle w:val="P68B1DB1-Normal9"/>
              <w:rPr>
                <w:noProof/>
              </w:rPr>
            </w:pPr>
            <w:r>
              <w:rPr>
                <w:noProof/>
              </w:rPr>
              <w:t>M1C3–35</w:t>
            </w:r>
          </w:p>
        </w:tc>
        <w:tc>
          <w:tcPr>
            <w:tcW w:w="3195" w:type="dxa"/>
            <w:tcBorders>
              <w:top w:val="nil"/>
              <w:left w:val="nil"/>
              <w:bottom w:val="single" w:sz="4" w:space="0" w:color="auto"/>
              <w:right w:val="single" w:sz="4" w:space="0" w:color="auto"/>
            </w:tcBorders>
            <w:shd w:val="clear" w:color="auto" w:fill="C6EFCE"/>
            <w:noWrap/>
            <w:vAlign w:val="center"/>
          </w:tcPr>
          <w:p w14:paraId="5236A17E" w14:textId="77777777" w:rsidR="003F5418" w:rsidRDefault="002A6C25">
            <w:pPr>
              <w:pStyle w:val="P68B1DB1-Normal9"/>
              <w:rPr>
                <w:noProof/>
              </w:rPr>
            </w:pPr>
            <w:r>
              <w:rPr>
                <w:noProof/>
              </w:rPr>
              <w:t xml:space="preserve">Beruházás – 4.3. Caput Mundi-Next </w:t>
            </w:r>
            <w:r>
              <w:rPr>
                <w:noProof/>
              </w:rPr>
              <w:t>Generation EU turisztikai nagyrendezvények számára</w:t>
            </w:r>
          </w:p>
        </w:tc>
        <w:tc>
          <w:tcPr>
            <w:tcW w:w="1453" w:type="dxa"/>
            <w:tcBorders>
              <w:top w:val="nil"/>
              <w:left w:val="nil"/>
              <w:bottom w:val="single" w:sz="4" w:space="0" w:color="auto"/>
              <w:right w:val="single" w:sz="4" w:space="0" w:color="auto"/>
            </w:tcBorders>
            <w:shd w:val="clear" w:color="auto" w:fill="C6EFCE"/>
            <w:noWrap/>
            <w:vAlign w:val="center"/>
          </w:tcPr>
          <w:p w14:paraId="14DE48A6"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E95D508" w14:textId="77777777" w:rsidR="003F5418" w:rsidRDefault="002A6C25">
            <w:pPr>
              <w:pStyle w:val="P68B1DB1-Normal9"/>
              <w:jc w:val="center"/>
              <w:rPr>
                <w:noProof/>
              </w:rPr>
            </w:pPr>
            <w:r>
              <w:rPr>
                <w:noProof/>
              </w:rPr>
              <w:t>Az idegenforgalmi minisztérium és a kedvezményezettek/végrehajtó szervek közötti, hat projektre vonatkozó minden egyes megállapodás aláírása</w:t>
            </w:r>
          </w:p>
        </w:tc>
      </w:tr>
      <w:tr w:rsidR="003F5418" w14:paraId="563DD2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F10A10" w14:textId="77777777" w:rsidR="003F5418" w:rsidRDefault="002A6C25">
            <w:pPr>
              <w:pStyle w:val="P68B1DB1-Normal9"/>
              <w:rPr>
                <w:noProof/>
              </w:rPr>
            </w:pPr>
            <w:r>
              <w:rPr>
                <w:noProof/>
              </w:rPr>
              <w:t>M2C1–13</w:t>
            </w:r>
          </w:p>
        </w:tc>
        <w:tc>
          <w:tcPr>
            <w:tcW w:w="3195" w:type="dxa"/>
            <w:tcBorders>
              <w:top w:val="nil"/>
              <w:left w:val="nil"/>
              <w:bottom w:val="single" w:sz="4" w:space="0" w:color="auto"/>
              <w:right w:val="single" w:sz="4" w:space="0" w:color="auto"/>
            </w:tcBorders>
            <w:shd w:val="clear" w:color="auto" w:fill="C6EFCE"/>
            <w:noWrap/>
            <w:vAlign w:val="center"/>
          </w:tcPr>
          <w:p w14:paraId="371BBAD7" w14:textId="77777777" w:rsidR="003F5418" w:rsidRDefault="002A6C25">
            <w:pPr>
              <w:pStyle w:val="P68B1DB1-Normal9"/>
              <w:rPr>
                <w:noProof/>
              </w:rPr>
            </w:pPr>
            <w:r>
              <w:rPr>
                <w:noProof/>
              </w:rPr>
              <w:t>Reform – Nemzeti hulladékgazdálkodási program</w:t>
            </w:r>
          </w:p>
        </w:tc>
        <w:tc>
          <w:tcPr>
            <w:tcW w:w="1453" w:type="dxa"/>
            <w:tcBorders>
              <w:top w:val="nil"/>
              <w:left w:val="nil"/>
              <w:bottom w:val="single" w:sz="4" w:space="0" w:color="auto"/>
              <w:right w:val="single" w:sz="4" w:space="0" w:color="auto"/>
            </w:tcBorders>
            <w:shd w:val="clear" w:color="auto" w:fill="C6EFCE"/>
            <w:noWrap/>
            <w:vAlign w:val="center"/>
          </w:tcPr>
          <w:p w14:paraId="3DDB9855"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C6FC0A2" w14:textId="77777777" w:rsidR="003F5418" w:rsidRDefault="002A6C25">
            <w:pPr>
              <w:pStyle w:val="P68B1DB1-Normal9"/>
              <w:jc w:val="center"/>
              <w:rPr>
                <w:noProof/>
              </w:rPr>
            </w:pPr>
            <w:r>
              <w:rPr>
                <w:noProof/>
              </w:rPr>
              <w:t>A Nemzeti Hulladékgazdálkodási Program miniszteri rendeletének hatálybalépése</w:t>
            </w:r>
          </w:p>
        </w:tc>
      </w:tr>
      <w:tr w:rsidR="003F5418" w14:paraId="7D0E9B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CCDEFE6" w14:textId="77777777" w:rsidR="003F5418" w:rsidRDefault="002A6C25">
            <w:pPr>
              <w:pStyle w:val="P68B1DB1-Normal9"/>
              <w:rPr>
                <w:noProof/>
              </w:rPr>
            </w:pPr>
            <w:r>
              <w:rPr>
                <w:noProof/>
              </w:rPr>
              <w:t>M2C2–52</w:t>
            </w:r>
          </w:p>
        </w:tc>
        <w:tc>
          <w:tcPr>
            <w:tcW w:w="3195" w:type="dxa"/>
            <w:tcBorders>
              <w:top w:val="nil"/>
              <w:left w:val="nil"/>
              <w:bottom w:val="single" w:sz="4" w:space="0" w:color="auto"/>
              <w:right w:val="single" w:sz="4" w:space="0" w:color="auto"/>
            </w:tcBorders>
            <w:shd w:val="clear" w:color="auto" w:fill="C6EFCE"/>
            <w:noWrap/>
            <w:vAlign w:val="center"/>
          </w:tcPr>
          <w:p w14:paraId="23791F13" w14:textId="77777777" w:rsidR="003F5418" w:rsidRDefault="002A6C25">
            <w:pPr>
              <w:pStyle w:val="P68B1DB1-Normal9"/>
              <w:rPr>
                <w:noProof/>
              </w:rPr>
            </w:pPr>
            <w:r>
              <w:rPr>
                <w:noProof/>
              </w:rPr>
              <w:t>Beruházás Hidrogén</w:t>
            </w:r>
          </w:p>
        </w:tc>
        <w:tc>
          <w:tcPr>
            <w:tcW w:w="1453" w:type="dxa"/>
            <w:tcBorders>
              <w:top w:val="nil"/>
              <w:left w:val="nil"/>
              <w:bottom w:val="single" w:sz="4" w:space="0" w:color="auto"/>
              <w:right w:val="single" w:sz="4" w:space="0" w:color="auto"/>
            </w:tcBorders>
            <w:shd w:val="clear" w:color="auto" w:fill="C6EFCE"/>
            <w:noWrap/>
            <w:vAlign w:val="center"/>
          </w:tcPr>
          <w:p w14:paraId="78A9F18B"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AA452F0" w14:textId="77777777" w:rsidR="003F5418" w:rsidRDefault="002A6C25">
            <w:pPr>
              <w:pStyle w:val="P68B1DB1-Normal9"/>
              <w:jc w:val="center"/>
              <w:rPr>
                <w:noProof/>
              </w:rPr>
            </w:pPr>
            <w:r>
              <w:rPr>
                <w:noProof/>
              </w:rPr>
              <w:t>Elektrolizátorok gyártása</w:t>
            </w:r>
          </w:p>
        </w:tc>
      </w:tr>
      <w:tr w:rsidR="003F5418" w14:paraId="2BAE4A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69ACB3" w14:textId="77777777" w:rsidR="003F5418" w:rsidRDefault="002A6C25">
            <w:pPr>
              <w:pStyle w:val="P68B1DB1-Normal9"/>
              <w:rPr>
                <w:noProof/>
              </w:rPr>
            </w:pPr>
            <w:r>
              <w:rPr>
                <w:noProof/>
              </w:rPr>
              <w:t>M4C2–11</w:t>
            </w:r>
          </w:p>
        </w:tc>
        <w:tc>
          <w:tcPr>
            <w:tcW w:w="3195" w:type="dxa"/>
            <w:tcBorders>
              <w:top w:val="nil"/>
              <w:left w:val="nil"/>
              <w:bottom w:val="single" w:sz="4" w:space="0" w:color="auto"/>
              <w:right w:val="single" w:sz="4" w:space="0" w:color="auto"/>
            </w:tcBorders>
            <w:shd w:val="clear" w:color="auto" w:fill="C6EFCE"/>
            <w:noWrap/>
            <w:vAlign w:val="center"/>
          </w:tcPr>
          <w:p w14:paraId="55131815" w14:textId="77777777" w:rsidR="003F5418" w:rsidRDefault="002A6C25">
            <w:pPr>
              <w:pStyle w:val="P68B1DB1-Normal9"/>
              <w:rPr>
                <w:noProof/>
              </w:rPr>
            </w:pPr>
            <w:r>
              <w:rPr>
                <w:noProof/>
              </w:rPr>
              <w:t xml:space="preserve">Beruházás: KÖZÖS EURÓPAI ÉRDEKET SZOLGÁLÓ FONTOS PROJEKTEK </w:t>
            </w:r>
          </w:p>
        </w:tc>
        <w:tc>
          <w:tcPr>
            <w:tcW w:w="1453" w:type="dxa"/>
            <w:tcBorders>
              <w:top w:val="nil"/>
              <w:left w:val="nil"/>
              <w:bottom w:val="single" w:sz="4" w:space="0" w:color="auto"/>
              <w:right w:val="single" w:sz="4" w:space="0" w:color="auto"/>
            </w:tcBorders>
            <w:shd w:val="clear" w:color="auto" w:fill="C6EFCE"/>
            <w:noWrap/>
            <w:vAlign w:val="center"/>
          </w:tcPr>
          <w:p w14:paraId="588FBB4A" w14:textId="77777777" w:rsidR="003F5418" w:rsidRDefault="002A6C25">
            <w:pPr>
              <w:pStyle w:val="P68B1DB1-Normal9"/>
              <w:rPr>
                <w:noProof/>
              </w:rPr>
            </w:pPr>
            <w:r>
              <w:rPr>
                <w:noProof/>
              </w:rPr>
              <w:t xml:space="preserve">Mérföldkő </w:t>
            </w:r>
          </w:p>
        </w:tc>
        <w:tc>
          <w:tcPr>
            <w:tcW w:w="4035" w:type="dxa"/>
            <w:tcBorders>
              <w:top w:val="nil"/>
              <w:left w:val="nil"/>
              <w:bottom w:val="single" w:sz="4" w:space="0" w:color="auto"/>
              <w:right w:val="single" w:sz="4" w:space="0" w:color="auto"/>
            </w:tcBorders>
            <w:shd w:val="clear" w:color="auto" w:fill="C6EFCE"/>
            <w:noWrap/>
            <w:vAlign w:val="center"/>
          </w:tcPr>
          <w:p w14:paraId="1D10E1AC" w14:textId="77777777" w:rsidR="003F5418" w:rsidRDefault="002A6C25">
            <w:pPr>
              <w:pStyle w:val="P68B1DB1-Normal9"/>
              <w:jc w:val="center"/>
              <w:rPr>
                <w:noProof/>
              </w:rPr>
            </w:pPr>
            <w:r>
              <w:rPr>
                <w:noProof/>
              </w:rPr>
              <w:t>A projekt résztvevőinek</w:t>
            </w:r>
            <w:r>
              <w:rPr>
                <w:noProof/>
              </w:rPr>
              <w:t xml:space="preserve"> támogatásához szükséges finanszírozást biztosító nemzeti jogi aktus hatálybalépése.</w:t>
            </w:r>
          </w:p>
        </w:tc>
      </w:tr>
      <w:tr w:rsidR="003F5418" w14:paraId="5F7A954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6D8B49" w14:textId="77777777" w:rsidR="003F5418" w:rsidRDefault="002A6C25">
            <w:pPr>
              <w:pStyle w:val="P68B1DB1-Normal9"/>
              <w:rPr>
                <w:noProof/>
              </w:rPr>
            </w:pPr>
            <w:r>
              <w:rPr>
                <w:noProof/>
              </w:rPr>
              <w:t>M4C2–17</w:t>
            </w:r>
          </w:p>
        </w:tc>
        <w:tc>
          <w:tcPr>
            <w:tcW w:w="3195" w:type="dxa"/>
            <w:tcBorders>
              <w:top w:val="nil"/>
              <w:left w:val="nil"/>
              <w:bottom w:val="single" w:sz="4" w:space="0" w:color="auto"/>
              <w:right w:val="single" w:sz="4" w:space="0" w:color="auto"/>
            </w:tcBorders>
            <w:shd w:val="clear" w:color="auto" w:fill="C6EFCE"/>
            <w:noWrap/>
            <w:vAlign w:val="center"/>
          </w:tcPr>
          <w:p w14:paraId="7D85477B" w14:textId="77777777" w:rsidR="003F5418" w:rsidRDefault="002A6C25">
            <w:pPr>
              <w:pStyle w:val="P68B1DB1-Normal9"/>
              <w:rPr>
                <w:noProof/>
              </w:rPr>
            </w:pPr>
            <w:r>
              <w:rPr>
                <w:noProof/>
              </w:rPr>
              <w:t>Beruházás: A kutatási és innovációs infrastruktúrák integrált rendszerének kiépítésére szolgáló alap; Beruházás</w:t>
            </w:r>
          </w:p>
        </w:tc>
        <w:tc>
          <w:tcPr>
            <w:tcW w:w="1453" w:type="dxa"/>
            <w:tcBorders>
              <w:top w:val="nil"/>
              <w:left w:val="nil"/>
              <w:bottom w:val="single" w:sz="4" w:space="0" w:color="auto"/>
              <w:right w:val="single" w:sz="4" w:space="0" w:color="auto"/>
            </w:tcBorders>
            <w:shd w:val="clear" w:color="auto" w:fill="C6EFCE"/>
            <w:noWrap/>
            <w:vAlign w:val="center"/>
          </w:tcPr>
          <w:p w14:paraId="7D144353"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0D67BAEC" w14:textId="77777777" w:rsidR="003F5418" w:rsidRDefault="002A6C25">
            <w:pPr>
              <w:pStyle w:val="P68B1DB1-Normal9"/>
              <w:jc w:val="center"/>
              <w:rPr>
                <w:noProof/>
              </w:rPr>
            </w:pPr>
            <w:r>
              <w:rPr>
                <w:noProof/>
              </w:rPr>
              <w:t>A következő projektekre vonatkozó szerző</w:t>
            </w:r>
            <w:r>
              <w:rPr>
                <w:noProof/>
              </w:rPr>
              <w:t>dések odaítélése: a kutatási és innovációs infrastruktúrák integrált rendszere</w:t>
            </w:r>
          </w:p>
        </w:tc>
      </w:tr>
      <w:tr w:rsidR="003F5418" w14:paraId="4A6E83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BD7857" w14:textId="77777777" w:rsidR="003F5418" w:rsidRDefault="002A6C25">
            <w:pPr>
              <w:pStyle w:val="P68B1DB1-Normal9"/>
              <w:rPr>
                <w:noProof/>
              </w:rPr>
            </w:pPr>
            <w:r>
              <w:rPr>
                <w:noProof/>
              </w:rPr>
              <w:t>M4C2–18</w:t>
            </w:r>
          </w:p>
        </w:tc>
        <w:tc>
          <w:tcPr>
            <w:tcW w:w="3195" w:type="dxa"/>
            <w:tcBorders>
              <w:top w:val="nil"/>
              <w:left w:val="nil"/>
              <w:bottom w:val="single" w:sz="4" w:space="0" w:color="auto"/>
              <w:right w:val="single" w:sz="4" w:space="0" w:color="auto"/>
            </w:tcBorders>
            <w:shd w:val="clear" w:color="auto" w:fill="C6EFCE"/>
            <w:noWrap/>
            <w:vAlign w:val="center"/>
          </w:tcPr>
          <w:p w14:paraId="0BBEA09D" w14:textId="77777777" w:rsidR="003F5418" w:rsidRDefault="002A6C25">
            <w:pPr>
              <w:pStyle w:val="P68B1DB1-Normal9"/>
              <w:rPr>
                <w:noProof/>
              </w:rPr>
            </w:pPr>
            <w:r>
              <w:rPr>
                <w:noProof/>
              </w:rPr>
              <w:t>Vizsgálat1.5: „A fenntarthatóságot szolgáló innovációs ökoszisztémák” létrehozása és megerősítése, „területi vezető K+F” kiépítése</w:t>
            </w:r>
          </w:p>
        </w:tc>
        <w:tc>
          <w:tcPr>
            <w:tcW w:w="1453" w:type="dxa"/>
            <w:tcBorders>
              <w:top w:val="nil"/>
              <w:left w:val="nil"/>
              <w:bottom w:val="single" w:sz="4" w:space="0" w:color="auto"/>
              <w:right w:val="single" w:sz="4" w:space="0" w:color="auto"/>
            </w:tcBorders>
            <w:shd w:val="clear" w:color="auto" w:fill="C6EFCE"/>
            <w:noWrap/>
            <w:vAlign w:val="center"/>
          </w:tcPr>
          <w:p w14:paraId="2B245604"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2C04AD06" w14:textId="77777777" w:rsidR="003F5418" w:rsidRDefault="002A6C25">
            <w:pPr>
              <w:pStyle w:val="P68B1DB1-Normal9"/>
              <w:jc w:val="center"/>
              <w:rPr>
                <w:noProof/>
              </w:rPr>
            </w:pPr>
            <w:r>
              <w:rPr>
                <w:noProof/>
              </w:rPr>
              <w:t xml:space="preserve">Az innovációs </w:t>
            </w:r>
            <w:r>
              <w:rPr>
                <w:noProof/>
              </w:rPr>
              <w:t>ökoszisztémákkal kapcsolatos projektekre vonatkozó szerződések odaítélése;</w:t>
            </w:r>
          </w:p>
        </w:tc>
      </w:tr>
      <w:tr w:rsidR="003F5418" w14:paraId="40AD7FC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AF8BFF" w14:textId="77777777" w:rsidR="003F5418" w:rsidRDefault="002A6C25">
            <w:pPr>
              <w:pStyle w:val="P68B1DB1-Normal9"/>
              <w:rPr>
                <w:noProof/>
              </w:rPr>
            </w:pPr>
            <w:r>
              <w:rPr>
                <w:noProof/>
              </w:rPr>
              <w:t>M4C2–19</w:t>
            </w:r>
          </w:p>
        </w:tc>
        <w:tc>
          <w:tcPr>
            <w:tcW w:w="3195" w:type="dxa"/>
            <w:tcBorders>
              <w:top w:val="nil"/>
              <w:left w:val="nil"/>
              <w:bottom w:val="single" w:sz="4" w:space="0" w:color="auto"/>
              <w:right w:val="single" w:sz="4" w:space="0" w:color="auto"/>
            </w:tcBorders>
            <w:shd w:val="clear" w:color="auto" w:fill="C6EFCE"/>
            <w:noWrap/>
            <w:vAlign w:val="center"/>
          </w:tcPr>
          <w:p w14:paraId="459A6E82" w14:textId="77777777" w:rsidR="003F5418" w:rsidRDefault="002A6C25">
            <w:pPr>
              <w:pStyle w:val="P68B1DB1-Normal9"/>
              <w:rPr>
                <w:noProof/>
              </w:rPr>
            </w:pPr>
            <w:r>
              <w:rPr>
                <w:noProof/>
              </w:rPr>
              <w:t>Beruházás: A kutatási struktúrák megerősítése és a „nemzeti K+F-vezetők” létrehozásának támogatása egyes kulcsfontosságú alaptechnológiákkal kapcsolatban</w:t>
            </w:r>
          </w:p>
        </w:tc>
        <w:tc>
          <w:tcPr>
            <w:tcW w:w="1453" w:type="dxa"/>
            <w:tcBorders>
              <w:top w:val="nil"/>
              <w:left w:val="nil"/>
              <w:bottom w:val="single" w:sz="4" w:space="0" w:color="auto"/>
              <w:right w:val="single" w:sz="4" w:space="0" w:color="auto"/>
            </w:tcBorders>
            <w:shd w:val="clear" w:color="auto" w:fill="C6EFCE"/>
            <w:noWrap/>
            <w:vAlign w:val="center"/>
          </w:tcPr>
          <w:p w14:paraId="508E45E5"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7D1C45C5" w14:textId="77777777" w:rsidR="003F5418" w:rsidRDefault="002A6C25">
            <w:pPr>
              <w:pStyle w:val="P68B1DB1-Normal9"/>
              <w:jc w:val="center"/>
              <w:rPr>
                <w:noProof/>
              </w:rPr>
            </w:pPr>
            <w:r>
              <w:rPr>
                <w:noProof/>
              </w:rPr>
              <w:t>A kulcsf</w:t>
            </w:r>
            <w:r>
              <w:rPr>
                <w:noProof/>
              </w:rPr>
              <w:t>ontosságú alaptechnológiákkal kapcsolatos nemzeti K+F vezetőket érintő projektekre vonatkozó szerződések odaítélése</w:t>
            </w:r>
          </w:p>
        </w:tc>
      </w:tr>
      <w:tr w:rsidR="003F5418" w14:paraId="650CF91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0B5CF1" w14:textId="77777777" w:rsidR="003F5418" w:rsidRDefault="002A6C25">
            <w:pPr>
              <w:pStyle w:val="P68B1DB1-Normal9"/>
              <w:rPr>
                <w:noProof/>
              </w:rPr>
            </w:pPr>
            <w:r>
              <w:rPr>
                <w:noProof/>
              </w:rPr>
              <w:t>M4C2–20</w:t>
            </w:r>
          </w:p>
        </w:tc>
        <w:tc>
          <w:tcPr>
            <w:tcW w:w="3195" w:type="dxa"/>
            <w:tcBorders>
              <w:top w:val="nil"/>
              <w:left w:val="nil"/>
              <w:bottom w:val="single" w:sz="4" w:space="0" w:color="auto"/>
              <w:right w:val="single" w:sz="4" w:space="0" w:color="auto"/>
            </w:tcBorders>
            <w:shd w:val="clear" w:color="auto" w:fill="C6EFCE"/>
            <w:noWrap/>
            <w:vAlign w:val="center"/>
          </w:tcPr>
          <w:p w14:paraId="5DF9621D" w14:textId="77777777" w:rsidR="003F5418" w:rsidRDefault="002A6C25">
            <w:pPr>
              <w:pStyle w:val="P68B1DB1-Normal9"/>
              <w:rPr>
                <w:noProof/>
              </w:rPr>
            </w:pPr>
            <w:r>
              <w:rPr>
                <w:noProof/>
              </w:rPr>
              <w:t>Beruházás: Induló vállalkozások finanszírozása</w:t>
            </w:r>
          </w:p>
        </w:tc>
        <w:tc>
          <w:tcPr>
            <w:tcW w:w="1453" w:type="dxa"/>
            <w:tcBorders>
              <w:top w:val="nil"/>
              <w:left w:val="nil"/>
              <w:bottom w:val="single" w:sz="4" w:space="0" w:color="auto"/>
              <w:right w:val="single" w:sz="4" w:space="0" w:color="auto"/>
            </w:tcBorders>
            <w:shd w:val="clear" w:color="auto" w:fill="C6EFCE"/>
            <w:noWrap/>
            <w:vAlign w:val="center"/>
          </w:tcPr>
          <w:p w14:paraId="4335E733"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05F36241" w14:textId="77777777" w:rsidR="003F5418" w:rsidRDefault="002A6C25">
            <w:pPr>
              <w:pStyle w:val="P68B1DB1-Normal9"/>
              <w:jc w:val="center"/>
              <w:rPr>
                <w:noProof/>
              </w:rPr>
            </w:pPr>
            <w:r>
              <w:rPr>
                <w:noProof/>
              </w:rPr>
              <w:t xml:space="preserve">Aláírt megállapodás az informatikai kormány és a végrehajtó partner, a </w:t>
            </w:r>
            <w:r>
              <w:rPr>
                <w:noProof/>
              </w:rPr>
              <w:t>Cassa Depositi e Prestiti (CDP) között a pénzügyi eszköz létrehozásáról</w:t>
            </w:r>
          </w:p>
        </w:tc>
      </w:tr>
      <w:tr w:rsidR="003F5418" w14:paraId="7F5763C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DBD6211" w14:textId="77777777" w:rsidR="003F5418" w:rsidRDefault="002A6C25">
            <w:pPr>
              <w:pStyle w:val="P68B1DB1-Normal9"/>
              <w:rPr>
                <w:noProof/>
              </w:rPr>
            </w:pPr>
            <w:r>
              <w:rPr>
                <w:noProof/>
              </w:rPr>
              <w:t>M6C1–1</w:t>
            </w:r>
          </w:p>
        </w:tc>
        <w:tc>
          <w:tcPr>
            <w:tcW w:w="3195" w:type="dxa"/>
            <w:tcBorders>
              <w:top w:val="nil"/>
              <w:left w:val="nil"/>
              <w:bottom w:val="single" w:sz="4" w:space="0" w:color="auto"/>
              <w:right w:val="single" w:sz="4" w:space="0" w:color="auto"/>
            </w:tcBorders>
            <w:shd w:val="clear" w:color="auto" w:fill="C6EFCE"/>
            <w:noWrap/>
            <w:vAlign w:val="center"/>
          </w:tcPr>
          <w:p w14:paraId="2567F72D" w14:textId="77777777" w:rsidR="003F5418" w:rsidRDefault="002A6C25">
            <w:pPr>
              <w:pStyle w:val="P68B1DB1-Normal9"/>
              <w:rPr>
                <w:noProof/>
              </w:rPr>
            </w:pPr>
            <w:r>
              <w:rPr>
                <w:noProof/>
              </w:rPr>
              <w:t>Az 1. reformot  A területi egészségügyi segítségnyújtási hálózat új szervezeti modelljének meghatározása</w:t>
            </w:r>
          </w:p>
        </w:tc>
        <w:tc>
          <w:tcPr>
            <w:tcW w:w="1453" w:type="dxa"/>
            <w:tcBorders>
              <w:top w:val="nil"/>
              <w:left w:val="nil"/>
              <w:bottom w:val="single" w:sz="4" w:space="0" w:color="auto"/>
              <w:right w:val="single" w:sz="4" w:space="0" w:color="auto"/>
            </w:tcBorders>
            <w:shd w:val="clear" w:color="auto" w:fill="C6EFCE"/>
            <w:noWrap/>
            <w:vAlign w:val="center"/>
          </w:tcPr>
          <w:p w14:paraId="20823A63"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3F06B4EB" w14:textId="77777777" w:rsidR="003F5418" w:rsidRDefault="002A6C25">
            <w:pPr>
              <w:pStyle w:val="P68B1DB1-Normal9"/>
              <w:jc w:val="center"/>
              <w:rPr>
                <w:noProof/>
              </w:rPr>
            </w:pPr>
            <w:r>
              <w:rPr>
                <w:noProof/>
              </w:rPr>
              <w:t>Az egészségügyi ellátás megszervezésének reformját előíró más</w:t>
            </w:r>
            <w:r>
              <w:rPr>
                <w:noProof/>
              </w:rPr>
              <w:t>odlagos jogszabály (miniszteri rendelet) hatálybalépése.</w:t>
            </w:r>
          </w:p>
        </w:tc>
      </w:tr>
      <w:tr w:rsidR="003F5418" w14:paraId="7A548A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9AA86C" w14:textId="77777777" w:rsidR="003F5418" w:rsidRDefault="002A6C25">
            <w:pPr>
              <w:pStyle w:val="P68B1DB1-Normal9"/>
              <w:rPr>
                <w:noProof/>
              </w:rPr>
            </w:pPr>
            <w:r>
              <w:rPr>
                <w:noProof/>
              </w:rPr>
              <w:t>M6C1–2</w:t>
            </w:r>
          </w:p>
        </w:tc>
        <w:tc>
          <w:tcPr>
            <w:tcW w:w="3195" w:type="dxa"/>
            <w:tcBorders>
              <w:top w:val="nil"/>
              <w:left w:val="nil"/>
              <w:bottom w:val="single" w:sz="4" w:space="0" w:color="auto"/>
              <w:right w:val="single" w:sz="4" w:space="0" w:color="auto"/>
            </w:tcBorders>
            <w:shd w:val="clear" w:color="auto" w:fill="C6EFCE"/>
            <w:noWrap/>
            <w:vAlign w:val="center"/>
          </w:tcPr>
          <w:p w14:paraId="063C11D4" w14:textId="77777777" w:rsidR="003F5418" w:rsidRDefault="002A6C25">
            <w:pPr>
              <w:pStyle w:val="P68B1DB1-Normal9"/>
              <w:rPr>
                <w:noProof/>
              </w:rPr>
            </w:pPr>
            <w:r>
              <w:rPr>
                <w:noProof/>
              </w:rPr>
              <w:t>Beruházás: Közösségi egészségügyi központok a területi egészségügyi támogatás javítása érdekében</w:t>
            </w:r>
          </w:p>
        </w:tc>
        <w:tc>
          <w:tcPr>
            <w:tcW w:w="1453" w:type="dxa"/>
            <w:tcBorders>
              <w:top w:val="nil"/>
              <w:left w:val="nil"/>
              <w:bottom w:val="single" w:sz="4" w:space="0" w:color="auto"/>
              <w:right w:val="single" w:sz="4" w:space="0" w:color="auto"/>
            </w:tcBorders>
            <w:shd w:val="clear" w:color="auto" w:fill="C6EFCE"/>
            <w:noWrap/>
            <w:vAlign w:val="center"/>
          </w:tcPr>
          <w:p w14:paraId="49849648"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7E861EB2" w14:textId="77777777" w:rsidR="003F5418" w:rsidRDefault="002A6C25">
            <w:pPr>
              <w:pStyle w:val="P68B1DB1-Normal9"/>
              <w:jc w:val="center"/>
              <w:rPr>
                <w:noProof/>
              </w:rPr>
            </w:pPr>
            <w:r>
              <w:rPr>
                <w:noProof/>
              </w:rPr>
              <w:t xml:space="preserve">Intézményfejlesztési szerződés jóváhagyása </w:t>
            </w:r>
          </w:p>
        </w:tc>
      </w:tr>
      <w:tr w:rsidR="003F5418" w14:paraId="49038DC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654E0D" w14:textId="77777777" w:rsidR="003F5418" w:rsidRDefault="002A6C25">
            <w:pPr>
              <w:pStyle w:val="P68B1DB1-Normal9"/>
              <w:rPr>
                <w:noProof/>
              </w:rPr>
            </w:pPr>
            <w:r>
              <w:rPr>
                <w:noProof/>
              </w:rPr>
              <w:t>M6C1–4</w:t>
            </w:r>
          </w:p>
        </w:tc>
        <w:tc>
          <w:tcPr>
            <w:tcW w:w="3195" w:type="dxa"/>
            <w:tcBorders>
              <w:top w:val="nil"/>
              <w:left w:val="nil"/>
              <w:bottom w:val="single" w:sz="4" w:space="0" w:color="auto"/>
              <w:right w:val="single" w:sz="4" w:space="0" w:color="auto"/>
            </w:tcBorders>
            <w:shd w:val="clear" w:color="auto" w:fill="C6EFCE"/>
            <w:noWrap/>
            <w:vAlign w:val="center"/>
          </w:tcPr>
          <w:p w14:paraId="0170147B" w14:textId="77777777" w:rsidR="003F5418" w:rsidRDefault="002A6C25">
            <w:pPr>
              <w:pStyle w:val="P68B1DB1-Normal9"/>
              <w:rPr>
                <w:noProof/>
              </w:rPr>
            </w:pPr>
            <w:r>
              <w:rPr>
                <w:noProof/>
              </w:rPr>
              <w:t xml:space="preserve">Beruházás: Az otthon mint a </w:t>
            </w:r>
            <w:r>
              <w:rPr>
                <w:noProof/>
              </w:rPr>
              <w:t>gondozás és a távorvoslás első helye</w:t>
            </w:r>
          </w:p>
        </w:tc>
        <w:tc>
          <w:tcPr>
            <w:tcW w:w="1453" w:type="dxa"/>
            <w:tcBorders>
              <w:top w:val="nil"/>
              <w:left w:val="nil"/>
              <w:bottom w:val="single" w:sz="4" w:space="0" w:color="auto"/>
              <w:right w:val="single" w:sz="4" w:space="0" w:color="auto"/>
            </w:tcBorders>
            <w:shd w:val="clear" w:color="auto" w:fill="C6EFCE"/>
            <w:noWrap/>
            <w:vAlign w:val="center"/>
          </w:tcPr>
          <w:p w14:paraId="43CE584C"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5E1E3C7E" w14:textId="77777777" w:rsidR="003F5418" w:rsidRDefault="002A6C25">
            <w:pPr>
              <w:pStyle w:val="P68B1DB1-Normal9"/>
              <w:jc w:val="center"/>
              <w:rPr>
                <w:noProof/>
              </w:rPr>
            </w:pPr>
            <w:r>
              <w:rPr>
                <w:noProof/>
              </w:rPr>
              <w:t>Az otthoni ápolás-gondozás végrehajtására vonatkozó digitális modellt tartalmazó iránymutatások jóváhagyása</w:t>
            </w:r>
          </w:p>
        </w:tc>
      </w:tr>
      <w:tr w:rsidR="003F5418" w14:paraId="47AF3BA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62191B" w14:textId="77777777" w:rsidR="003F5418" w:rsidRDefault="002A6C25">
            <w:pPr>
              <w:pStyle w:val="P68B1DB1-Normal9"/>
              <w:rPr>
                <w:noProof/>
              </w:rPr>
            </w:pPr>
            <w:r>
              <w:rPr>
                <w:noProof/>
              </w:rPr>
              <w:t>M6C1–5</w:t>
            </w:r>
          </w:p>
        </w:tc>
        <w:tc>
          <w:tcPr>
            <w:tcW w:w="3195" w:type="dxa"/>
            <w:tcBorders>
              <w:top w:val="nil"/>
              <w:left w:val="nil"/>
              <w:bottom w:val="single" w:sz="4" w:space="0" w:color="auto"/>
              <w:right w:val="single" w:sz="4" w:space="0" w:color="auto"/>
            </w:tcBorders>
            <w:shd w:val="clear" w:color="auto" w:fill="C6EFCE"/>
            <w:noWrap/>
            <w:vAlign w:val="center"/>
          </w:tcPr>
          <w:p w14:paraId="5669DB2D" w14:textId="77777777" w:rsidR="003F5418" w:rsidRDefault="002A6C25">
            <w:pPr>
              <w:pStyle w:val="P68B1DB1-Normal9"/>
              <w:rPr>
                <w:noProof/>
              </w:rPr>
            </w:pPr>
            <w:r>
              <w:rPr>
                <w:noProof/>
              </w:rPr>
              <w:t>Beruházás: Az otthon mint a gondozás és a távorvoslás első helye</w:t>
            </w:r>
          </w:p>
        </w:tc>
        <w:tc>
          <w:tcPr>
            <w:tcW w:w="1453" w:type="dxa"/>
            <w:tcBorders>
              <w:top w:val="nil"/>
              <w:left w:val="nil"/>
              <w:bottom w:val="single" w:sz="4" w:space="0" w:color="auto"/>
              <w:right w:val="single" w:sz="4" w:space="0" w:color="auto"/>
            </w:tcBorders>
            <w:shd w:val="clear" w:color="auto" w:fill="C6EFCE"/>
            <w:noWrap/>
            <w:vAlign w:val="center"/>
          </w:tcPr>
          <w:p w14:paraId="360A3A4B"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416B2D22" w14:textId="77777777" w:rsidR="003F5418" w:rsidRDefault="002A6C25">
            <w:pPr>
              <w:pStyle w:val="P68B1DB1-Normal9"/>
              <w:jc w:val="center"/>
              <w:rPr>
                <w:noProof/>
              </w:rPr>
            </w:pPr>
            <w:r>
              <w:rPr>
                <w:noProof/>
              </w:rPr>
              <w:t>Az Egészségügyi és</w:t>
            </w:r>
            <w:r>
              <w:rPr>
                <w:noProof/>
              </w:rPr>
              <w:t xml:space="preserve"> Regionális Minisztérium által jóváhagyott intézményfejlesztési szerződés </w:t>
            </w:r>
          </w:p>
        </w:tc>
      </w:tr>
      <w:tr w:rsidR="003F5418" w14:paraId="777D539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91633F" w14:textId="77777777" w:rsidR="003F5418" w:rsidRDefault="002A6C25">
            <w:pPr>
              <w:pStyle w:val="P68B1DB1-Normal9"/>
              <w:rPr>
                <w:noProof/>
              </w:rPr>
            </w:pPr>
            <w:r>
              <w:rPr>
                <w:noProof/>
              </w:rPr>
              <w:t>M6C1–10</w:t>
            </w:r>
          </w:p>
        </w:tc>
        <w:tc>
          <w:tcPr>
            <w:tcW w:w="3195" w:type="dxa"/>
            <w:tcBorders>
              <w:top w:val="nil"/>
              <w:left w:val="nil"/>
              <w:bottom w:val="single" w:sz="4" w:space="0" w:color="auto"/>
              <w:right w:val="single" w:sz="4" w:space="0" w:color="auto"/>
            </w:tcBorders>
            <w:shd w:val="clear" w:color="auto" w:fill="C6EFCE"/>
            <w:noWrap/>
            <w:vAlign w:val="center"/>
          </w:tcPr>
          <w:p w14:paraId="6C9923FA" w14:textId="77777777" w:rsidR="003F5418" w:rsidRDefault="002A6C25">
            <w:pPr>
              <w:pStyle w:val="P68B1DB1-Normal9"/>
              <w:rPr>
                <w:noProof/>
              </w:rPr>
            </w:pPr>
            <w:r>
              <w:rPr>
                <w:noProof/>
              </w:rPr>
              <w:t>Beruházás: Az időközi egészségügyi ellátás és létesítményeinek (közösségi kórházak) megerősítése</w:t>
            </w:r>
          </w:p>
        </w:tc>
        <w:tc>
          <w:tcPr>
            <w:tcW w:w="1453" w:type="dxa"/>
            <w:tcBorders>
              <w:top w:val="nil"/>
              <w:left w:val="nil"/>
              <w:bottom w:val="single" w:sz="4" w:space="0" w:color="auto"/>
              <w:right w:val="single" w:sz="4" w:space="0" w:color="auto"/>
            </w:tcBorders>
            <w:shd w:val="clear" w:color="auto" w:fill="C6EFCE"/>
            <w:noWrap/>
            <w:vAlign w:val="center"/>
          </w:tcPr>
          <w:p w14:paraId="4A062196" w14:textId="77777777" w:rsidR="003F5418" w:rsidRDefault="002A6C25">
            <w:pPr>
              <w:pStyle w:val="P68B1DB1-Normal9"/>
              <w:rPr>
                <w:noProof/>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68434364" w14:textId="77777777" w:rsidR="003F5418" w:rsidRDefault="002A6C25">
            <w:pPr>
              <w:pStyle w:val="P68B1DB1-Normal9"/>
              <w:jc w:val="center"/>
              <w:rPr>
                <w:noProof/>
              </w:rPr>
            </w:pPr>
            <w:r>
              <w:rPr>
                <w:noProof/>
              </w:rPr>
              <w:t xml:space="preserve">Intézményfejlesztési szerződés (Contratto Istituzionale di </w:t>
            </w:r>
            <w:r>
              <w:rPr>
                <w:noProof/>
              </w:rPr>
              <w:t>Sviluppo) jóváhagyása</w:t>
            </w:r>
          </w:p>
        </w:tc>
      </w:tr>
      <w:tr w:rsidR="003F5418" w14:paraId="1FDCBD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FD39F4" w14:textId="77777777" w:rsidR="003F5418" w:rsidRDefault="002A6C25">
            <w:pPr>
              <w:pStyle w:val="P68B1DB1-Normal9"/>
              <w:rPr>
                <w:noProof/>
              </w:rPr>
            </w:pPr>
            <w:r>
              <w:rPr>
                <w:noProof/>
              </w:rPr>
              <w:t>M6C2–5</w:t>
            </w:r>
          </w:p>
        </w:tc>
        <w:tc>
          <w:tcPr>
            <w:tcW w:w="3195" w:type="dxa"/>
            <w:tcBorders>
              <w:top w:val="nil"/>
              <w:left w:val="nil"/>
              <w:bottom w:val="single" w:sz="4" w:space="0" w:color="auto"/>
              <w:right w:val="single" w:sz="4" w:space="0" w:color="auto"/>
            </w:tcBorders>
            <w:shd w:val="clear" w:color="auto" w:fill="C6EFCE"/>
            <w:noWrap/>
            <w:vAlign w:val="center"/>
          </w:tcPr>
          <w:p w14:paraId="16A4F4A0" w14:textId="77777777" w:rsidR="003F5418" w:rsidRDefault="002A6C25">
            <w:pPr>
              <w:pStyle w:val="P68B1DB1-Normal39"/>
              <w:rPr>
                <w:noProof/>
                <w:color w:val="006100"/>
              </w:rPr>
            </w:pPr>
            <w:r>
              <w:rPr>
                <w:noProof/>
              </w:rPr>
              <w:t>Beruházás: A kórházak technológiai berendezéseinek digitális frissítése</w:t>
            </w:r>
          </w:p>
        </w:tc>
        <w:tc>
          <w:tcPr>
            <w:tcW w:w="1453" w:type="dxa"/>
            <w:tcBorders>
              <w:top w:val="nil"/>
              <w:left w:val="nil"/>
              <w:bottom w:val="single" w:sz="4" w:space="0" w:color="auto"/>
              <w:right w:val="single" w:sz="4" w:space="0" w:color="auto"/>
            </w:tcBorders>
            <w:shd w:val="clear" w:color="auto" w:fill="C6EFCE"/>
            <w:noWrap/>
            <w:vAlign w:val="center"/>
          </w:tcPr>
          <w:p w14:paraId="51494D54" w14:textId="77777777" w:rsidR="003F5418" w:rsidRDefault="002A6C25">
            <w:pPr>
              <w:pStyle w:val="P68B1DB1-Normal39"/>
              <w:rPr>
                <w:noProof/>
                <w:color w:val="006100"/>
              </w:rPr>
            </w:pPr>
            <w:r>
              <w:rPr>
                <w:noProof/>
              </w:rPr>
              <w:t>Mérföldkő</w:t>
            </w:r>
          </w:p>
        </w:tc>
        <w:tc>
          <w:tcPr>
            <w:tcW w:w="4035" w:type="dxa"/>
            <w:tcBorders>
              <w:top w:val="nil"/>
              <w:left w:val="nil"/>
              <w:bottom w:val="single" w:sz="4" w:space="0" w:color="auto"/>
              <w:right w:val="single" w:sz="4" w:space="0" w:color="auto"/>
            </w:tcBorders>
            <w:shd w:val="clear" w:color="auto" w:fill="C6EFCE"/>
            <w:noWrap/>
            <w:vAlign w:val="center"/>
          </w:tcPr>
          <w:p w14:paraId="042879FE" w14:textId="77777777" w:rsidR="003F5418" w:rsidRDefault="002A6C25">
            <w:pPr>
              <w:pStyle w:val="P68B1DB1-Normal39"/>
              <w:jc w:val="center"/>
              <w:rPr>
                <w:noProof/>
              </w:rPr>
            </w:pPr>
            <w:r>
              <w:rPr>
                <w:noProof/>
              </w:rPr>
              <w:t>Az intézményfejlesztési szerződés jóváhagyása</w:t>
            </w:r>
          </w:p>
        </w:tc>
      </w:tr>
      <w:tr w:rsidR="003F5418" w14:paraId="4234981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4C480C"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7374EF64" w14:textId="77777777" w:rsidR="003F5418" w:rsidRDefault="003F5418">
            <w:pPr>
              <w:rPr>
                <w:noProof/>
                <w:color w:val="006100"/>
                <w:sz w:val="20"/>
              </w:rPr>
            </w:pPr>
          </w:p>
        </w:tc>
        <w:tc>
          <w:tcPr>
            <w:tcW w:w="1453" w:type="dxa"/>
            <w:tcBorders>
              <w:top w:val="single" w:sz="4" w:space="0" w:color="auto"/>
              <w:left w:val="nil"/>
              <w:bottom w:val="single" w:sz="4" w:space="0" w:color="auto"/>
              <w:right w:val="single" w:sz="4" w:space="0" w:color="auto"/>
            </w:tcBorders>
            <w:shd w:val="clear" w:color="auto" w:fill="C6EFCE"/>
            <w:noWrap/>
            <w:vAlign w:val="bottom"/>
          </w:tcPr>
          <w:p w14:paraId="6810B30E" w14:textId="77777777" w:rsidR="003F5418" w:rsidRDefault="002A6C25">
            <w:pPr>
              <w:pStyle w:val="P68B1DB1-Normal9"/>
              <w:rPr>
                <w:noProof/>
              </w:rPr>
            </w:pPr>
            <w:r>
              <w:rPr>
                <w:noProof/>
              </w:rPr>
              <w:t>Részösszeg</w:t>
            </w:r>
          </w:p>
        </w:tc>
        <w:tc>
          <w:tcPr>
            <w:tcW w:w="4035" w:type="dxa"/>
            <w:tcBorders>
              <w:top w:val="single" w:sz="4" w:space="0" w:color="auto"/>
              <w:left w:val="nil"/>
              <w:bottom w:val="single" w:sz="4" w:space="0" w:color="auto"/>
              <w:right w:val="single" w:sz="4" w:space="0" w:color="auto"/>
            </w:tcBorders>
            <w:shd w:val="clear" w:color="auto" w:fill="C6EFCE"/>
            <w:noWrap/>
            <w:vAlign w:val="bottom"/>
          </w:tcPr>
          <w:p w14:paraId="63B2174C" w14:textId="703FDB89" w:rsidR="003F5418" w:rsidRDefault="002A6C25">
            <w:pPr>
              <w:pStyle w:val="P68B1DB1-Normal37"/>
              <w:rPr>
                <w:noProof/>
              </w:rPr>
            </w:pPr>
            <w:r>
              <w:rPr>
                <w:noProof/>
              </w:rPr>
              <w:t>12</w:t>
            </w:r>
            <w:r>
              <w:rPr>
                <w:noProof/>
              </w:rPr>
              <w:t> </w:t>
            </w:r>
            <w:r>
              <w:rPr>
                <w:noProof/>
              </w:rPr>
              <w:t>643</w:t>
            </w:r>
            <w:r>
              <w:rPr>
                <w:noProof/>
              </w:rPr>
              <w:t> </w:t>
            </w:r>
            <w:r>
              <w:rPr>
                <w:noProof/>
              </w:rPr>
              <w:t>678</w:t>
            </w:r>
            <w:r>
              <w:rPr>
                <w:noProof/>
              </w:rPr>
              <w:t> </w:t>
            </w:r>
            <w:r>
              <w:rPr>
                <w:noProof/>
              </w:rPr>
              <w:t>161</w:t>
            </w:r>
            <w:r>
              <w:rPr>
                <w:noProof/>
              </w:rPr>
              <w:t> </w:t>
            </w:r>
            <w:r>
              <w:rPr>
                <w:noProof/>
              </w:rPr>
              <w:t>EUR</w:t>
            </w:r>
          </w:p>
        </w:tc>
      </w:tr>
    </w:tbl>
    <w:p w14:paraId="76BAE618" w14:textId="77777777" w:rsidR="003F5418" w:rsidRDefault="003F5418">
      <w:pPr>
        <w:spacing w:before="120" w:after="120"/>
        <w:jc w:val="both"/>
        <w:rPr>
          <w:rFonts w:eastAsia="Calibri"/>
          <w:noProof/>
        </w:rPr>
      </w:pPr>
    </w:p>
    <w:p w14:paraId="4556D4D1" w14:textId="77777777" w:rsidR="003F5418" w:rsidRDefault="002A6C25">
      <w:pPr>
        <w:pStyle w:val="P68B1DB1-Normal35"/>
        <w:numPr>
          <w:ilvl w:val="1"/>
          <w:numId w:val="6"/>
        </w:numPr>
        <w:spacing w:before="120" w:after="120"/>
        <w:jc w:val="both"/>
        <w:rPr>
          <w:noProof/>
        </w:rPr>
      </w:pPr>
      <w:r>
        <w:rPr>
          <w:noProof/>
        </w:rPr>
        <w:t>Harmadik részösszeg (hitel formájában nyújtott támogatás):</w:t>
      </w:r>
    </w:p>
    <w:tbl>
      <w:tblPr>
        <w:tblW w:w="101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50"/>
        <w:gridCol w:w="1485"/>
        <w:gridCol w:w="4065"/>
      </w:tblGrid>
      <w:tr w:rsidR="003F5418" w14:paraId="4F9D515B" w14:textId="77777777">
        <w:trPr>
          <w:trHeight w:val="906"/>
        </w:trPr>
        <w:tc>
          <w:tcPr>
            <w:tcW w:w="1413" w:type="dxa"/>
            <w:vMerge w:val="restart"/>
            <w:shd w:val="clear" w:color="auto" w:fill="BDD7EE"/>
            <w:vAlign w:val="center"/>
            <w:hideMark/>
          </w:tcPr>
          <w:p w14:paraId="2F2F1CCF" w14:textId="77777777" w:rsidR="003F5418" w:rsidRDefault="002A6C25">
            <w:pPr>
              <w:pStyle w:val="P68B1DB1-Normal36"/>
              <w:jc w:val="center"/>
              <w:rPr>
                <w:noProof/>
              </w:rPr>
            </w:pPr>
            <w:r>
              <w:rPr>
                <w:noProof/>
              </w:rPr>
              <w:t>Sorszám</w:t>
            </w:r>
          </w:p>
        </w:tc>
        <w:tc>
          <w:tcPr>
            <w:tcW w:w="3150" w:type="dxa"/>
            <w:vMerge w:val="restart"/>
            <w:shd w:val="clear" w:color="auto" w:fill="BDD7EE"/>
            <w:vAlign w:val="center"/>
            <w:hideMark/>
          </w:tcPr>
          <w:p w14:paraId="3D710498" w14:textId="77777777" w:rsidR="003F5418" w:rsidRDefault="002A6C25">
            <w:pPr>
              <w:pStyle w:val="P68B1DB1-Normal36"/>
              <w:jc w:val="center"/>
              <w:rPr>
                <w:noProof/>
              </w:rPr>
            </w:pPr>
            <w:r>
              <w:rPr>
                <w:noProof/>
              </w:rPr>
              <w:t>Kapcsolódó intézkedés (reform vagy beruházás)</w:t>
            </w:r>
          </w:p>
        </w:tc>
        <w:tc>
          <w:tcPr>
            <w:tcW w:w="1485" w:type="dxa"/>
            <w:vMerge w:val="restart"/>
            <w:shd w:val="clear" w:color="auto" w:fill="BDD7EE"/>
            <w:vAlign w:val="center"/>
            <w:hideMark/>
          </w:tcPr>
          <w:p w14:paraId="33CA1B6E" w14:textId="77777777" w:rsidR="003F5418" w:rsidRDefault="002A6C25">
            <w:pPr>
              <w:pStyle w:val="P68B1DB1-Normal36"/>
              <w:jc w:val="center"/>
              <w:rPr>
                <w:noProof/>
              </w:rPr>
            </w:pPr>
            <w:r>
              <w:rPr>
                <w:noProof/>
              </w:rPr>
              <w:t>Mérföldkő/cél</w:t>
            </w:r>
          </w:p>
        </w:tc>
        <w:tc>
          <w:tcPr>
            <w:tcW w:w="4065" w:type="dxa"/>
            <w:vMerge w:val="restart"/>
            <w:shd w:val="clear" w:color="auto" w:fill="BDD7EE"/>
            <w:vAlign w:val="center"/>
            <w:hideMark/>
          </w:tcPr>
          <w:p w14:paraId="6B8B0720" w14:textId="77777777" w:rsidR="003F5418" w:rsidRDefault="002A6C25">
            <w:pPr>
              <w:pStyle w:val="P68B1DB1-Normal36"/>
              <w:jc w:val="center"/>
              <w:rPr>
                <w:noProof/>
              </w:rPr>
            </w:pPr>
            <w:r>
              <w:rPr>
                <w:noProof/>
              </w:rPr>
              <w:t>Név</w:t>
            </w:r>
          </w:p>
        </w:tc>
      </w:tr>
      <w:tr w:rsidR="003F5418" w14:paraId="5DFC81B5" w14:textId="77777777">
        <w:trPr>
          <w:trHeight w:val="458"/>
        </w:trPr>
        <w:tc>
          <w:tcPr>
            <w:tcW w:w="1413" w:type="dxa"/>
            <w:vMerge/>
            <w:vAlign w:val="center"/>
            <w:hideMark/>
          </w:tcPr>
          <w:p w14:paraId="6146FE47" w14:textId="77777777" w:rsidR="003F5418" w:rsidRDefault="003F5418">
            <w:pPr>
              <w:rPr>
                <w:b/>
                <w:noProof/>
              </w:rPr>
            </w:pPr>
          </w:p>
        </w:tc>
        <w:tc>
          <w:tcPr>
            <w:tcW w:w="3150" w:type="dxa"/>
            <w:vMerge/>
            <w:vAlign w:val="center"/>
            <w:hideMark/>
          </w:tcPr>
          <w:p w14:paraId="7B95CB0C" w14:textId="77777777" w:rsidR="003F5418" w:rsidRDefault="003F5418">
            <w:pPr>
              <w:rPr>
                <w:b/>
                <w:noProof/>
              </w:rPr>
            </w:pPr>
          </w:p>
        </w:tc>
        <w:tc>
          <w:tcPr>
            <w:tcW w:w="1485" w:type="dxa"/>
            <w:vMerge/>
            <w:vAlign w:val="center"/>
            <w:hideMark/>
          </w:tcPr>
          <w:p w14:paraId="3C9B82B8" w14:textId="77777777" w:rsidR="003F5418" w:rsidRDefault="003F5418">
            <w:pPr>
              <w:rPr>
                <w:b/>
                <w:noProof/>
              </w:rPr>
            </w:pPr>
          </w:p>
        </w:tc>
        <w:tc>
          <w:tcPr>
            <w:tcW w:w="4065" w:type="dxa"/>
            <w:vMerge/>
            <w:vAlign w:val="center"/>
            <w:hideMark/>
          </w:tcPr>
          <w:p w14:paraId="34F2B452" w14:textId="77777777" w:rsidR="003F5418" w:rsidRDefault="003F5418">
            <w:pPr>
              <w:rPr>
                <w:b/>
                <w:noProof/>
              </w:rPr>
            </w:pPr>
          </w:p>
        </w:tc>
      </w:tr>
      <w:tr w:rsidR="003F5418" w14:paraId="0C9F1B73" w14:textId="77777777">
        <w:trPr>
          <w:trHeight w:val="302"/>
        </w:trPr>
        <w:tc>
          <w:tcPr>
            <w:tcW w:w="1413" w:type="dxa"/>
            <w:shd w:val="clear" w:color="auto" w:fill="C6EFCE"/>
            <w:noWrap/>
            <w:vAlign w:val="center"/>
          </w:tcPr>
          <w:p w14:paraId="3B08E761" w14:textId="77777777" w:rsidR="003F5418" w:rsidRDefault="002A6C25">
            <w:pPr>
              <w:pStyle w:val="P68B1DB1-Normal9"/>
              <w:rPr>
                <w:noProof/>
              </w:rPr>
            </w:pPr>
            <w:r>
              <w:rPr>
                <w:noProof/>
              </w:rPr>
              <w:t>M2C1–18</w:t>
            </w:r>
          </w:p>
        </w:tc>
        <w:tc>
          <w:tcPr>
            <w:tcW w:w="3150" w:type="dxa"/>
            <w:shd w:val="clear" w:color="auto" w:fill="C6EFCE"/>
            <w:noWrap/>
            <w:vAlign w:val="center"/>
          </w:tcPr>
          <w:p w14:paraId="5FA139EC" w14:textId="77777777" w:rsidR="003F5418" w:rsidRDefault="002A6C25">
            <w:pPr>
              <w:pStyle w:val="P68B1DB1-Normal9"/>
              <w:rPr>
                <w:noProof/>
              </w:rPr>
            </w:pPr>
            <w:r>
              <w:rPr>
                <w:noProof/>
              </w:rPr>
              <w:t>Beruházás: Zöld szigetek</w:t>
            </w:r>
          </w:p>
        </w:tc>
        <w:tc>
          <w:tcPr>
            <w:tcW w:w="1485" w:type="dxa"/>
            <w:shd w:val="clear" w:color="auto" w:fill="C6EFCE"/>
            <w:noWrap/>
            <w:vAlign w:val="center"/>
          </w:tcPr>
          <w:p w14:paraId="4737E9BA" w14:textId="77777777" w:rsidR="003F5418" w:rsidRDefault="002A6C25">
            <w:pPr>
              <w:pStyle w:val="P68B1DB1-Normal9"/>
              <w:rPr>
                <w:noProof/>
              </w:rPr>
            </w:pPr>
            <w:r>
              <w:rPr>
                <w:noProof/>
              </w:rPr>
              <w:t>Mérföldkő</w:t>
            </w:r>
          </w:p>
        </w:tc>
        <w:tc>
          <w:tcPr>
            <w:tcW w:w="4065" w:type="dxa"/>
            <w:shd w:val="clear" w:color="auto" w:fill="C6EFCE"/>
            <w:noWrap/>
            <w:vAlign w:val="center"/>
          </w:tcPr>
          <w:p w14:paraId="470E59FD" w14:textId="77777777" w:rsidR="003F5418" w:rsidRDefault="002A6C25">
            <w:pPr>
              <w:pStyle w:val="P68B1DB1-Normal9"/>
              <w:jc w:val="center"/>
              <w:rPr>
                <w:noProof/>
              </w:rPr>
            </w:pPr>
            <w:r>
              <w:rPr>
                <w:noProof/>
              </w:rPr>
              <w:t>Az igazgatói rendelet hatálybalépése</w:t>
            </w:r>
          </w:p>
        </w:tc>
      </w:tr>
      <w:tr w:rsidR="003F5418" w14:paraId="23B44763" w14:textId="77777777">
        <w:trPr>
          <w:trHeight w:val="302"/>
        </w:trPr>
        <w:tc>
          <w:tcPr>
            <w:tcW w:w="1413" w:type="dxa"/>
            <w:shd w:val="clear" w:color="auto" w:fill="C6EFCE"/>
            <w:noWrap/>
            <w:vAlign w:val="center"/>
          </w:tcPr>
          <w:p w14:paraId="4EECCAC4" w14:textId="77777777" w:rsidR="003F5418" w:rsidRDefault="002A6C25">
            <w:pPr>
              <w:pStyle w:val="P68B1DB1-Normal9"/>
              <w:rPr>
                <w:noProof/>
              </w:rPr>
            </w:pPr>
            <w:r>
              <w:rPr>
                <w:noProof/>
              </w:rPr>
              <w:t>M2C1–20</w:t>
            </w:r>
          </w:p>
        </w:tc>
        <w:tc>
          <w:tcPr>
            <w:tcW w:w="3150" w:type="dxa"/>
            <w:shd w:val="clear" w:color="auto" w:fill="C6EFCE"/>
            <w:noWrap/>
            <w:vAlign w:val="center"/>
          </w:tcPr>
          <w:p w14:paraId="6D2B9FAF" w14:textId="77777777" w:rsidR="003F5418" w:rsidRDefault="002A6C25">
            <w:pPr>
              <w:pStyle w:val="P68B1DB1-Normal9"/>
              <w:rPr>
                <w:noProof/>
              </w:rPr>
            </w:pPr>
            <w:r>
              <w:rPr>
                <w:noProof/>
              </w:rPr>
              <w:t>Beruházás: Zöld közösségek</w:t>
            </w:r>
          </w:p>
        </w:tc>
        <w:tc>
          <w:tcPr>
            <w:tcW w:w="1485" w:type="dxa"/>
            <w:shd w:val="clear" w:color="auto" w:fill="C6EFCE"/>
            <w:noWrap/>
            <w:vAlign w:val="center"/>
          </w:tcPr>
          <w:p w14:paraId="3D99FEA6" w14:textId="77777777" w:rsidR="003F5418" w:rsidRDefault="002A6C25">
            <w:pPr>
              <w:pStyle w:val="P68B1DB1-Normal9"/>
              <w:rPr>
                <w:noProof/>
              </w:rPr>
            </w:pPr>
            <w:r>
              <w:rPr>
                <w:noProof/>
              </w:rPr>
              <w:t>Mérföldkő</w:t>
            </w:r>
          </w:p>
        </w:tc>
        <w:tc>
          <w:tcPr>
            <w:tcW w:w="4065" w:type="dxa"/>
            <w:shd w:val="clear" w:color="auto" w:fill="C6EFCE"/>
            <w:noWrap/>
            <w:vAlign w:val="center"/>
          </w:tcPr>
          <w:p w14:paraId="57CB0CBB" w14:textId="77777777" w:rsidR="003F5418" w:rsidRDefault="002A6C25">
            <w:pPr>
              <w:pStyle w:val="P68B1DB1-Normal9"/>
              <w:jc w:val="center"/>
              <w:rPr>
                <w:noProof/>
              </w:rPr>
            </w:pPr>
            <w:r>
              <w:rPr>
                <w:noProof/>
              </w:rPr>
              <w:t xml:space="preserve">A zöld közösségek kiválasztására irányuló (összes) </w:t>
            </w:r>
            <w:r>
              <w:rPr>
                <w:noProof/>
              </w:rPr>
              <w:t>közbeszerzési szerződés odaítélése</w:t>
            </w:r>
          </w:p>
        </w:tc>
      </w:tr>
      <w:tr w:rsidR="003F5418" w14:paraId="039B35D0" w14:textId="77777777">
        <w:trPr>
          <w:trHeight w:val="302"/>
        </w:trPr>
        <w:tc>
          <w:tcPr>
            <w:tcW w:w="1413" w:type="dxa"/>
            <w:shd w:val="clear" w:color="auto" w:fill="C6EFCE"/>
            <w:noWrap/>
            <w:vAlign w:val="center"/>
          </w:tcPr>
          <w:p w14:paraId="5623788E" w14:textId="77777777" w:rsidR="003F5418" w:rsidRDefault="002A6C25">
            <w:pPr>
              <w:pStyle w:val="P68B1DB1-Normal9"/>
              <w:rPr>
                <w:noProof/>
              </w:rPr>
            </w:pPr>
            <w:r>
              <w:rPr>
                <w:noProof/>
              </w:rPr>
              <w:t>M5C2–17</w:t>
            </w:r>
          </w:p>
        </w:tc>
        <w:tc>
          <w:tcPr>
            <w:tcW w:w="3150" w:type="dxa"/>
            <w:shd w:val="clear" w:color="auto" w:fill="C6EFCE"/>
            <w:noWrap/>
            <w:vAlign w:val="center"/>
          </w:tcPr>
          <w:p w14:paraId="29D4C664" w14:textId="77777777" w:rsidR="003F5418" w:rsidRDefault="002A6C25">
            <w:pPr>
              <w:pStyle w:val="P68B1DB1-Normal9"/>
              <w:rPr>
                <w:noProof/>
              </w:rPr>
            </w:pPr>
            <w:r>
              <w:rPr>
                <w:noProof/>
              </w:rPr>
              <w:t>Beruházás – Városi integrált tervek – EBB-alap – Alap</w:t>
            </w:r>
          </w:p>
        </w:tc>
        <w:tc>
          <w:tcPr>
            <w:tcW w:w="1485" w:type="dxa"/>
            <w:shd w:val="clear" w:color="auto" w:fill="C6EFCE"/>
            <w:noWrap/>
            <w:vAlign w:val="center"/>
          </w:tcPr>
          <w:p w14:paraId="62CBA5E5" w14:textId="77777777" w:rsidR="003F5418" w:rsidRDefault="002A6C25">
            <w:pPr>
              <w:pStyle w:val="P68B1DB1-Normal9"/>
              <w:rPr>
                <w:noProof/>
              </w:rPr>
            </w:pPr>
            <w:r>
              <w:rPr>
                <w:noProof/>
              </w:rPr>
              <w:t>Mérföldkő</w:t>
            </w:r>
          </w:p>
        </w:tc>
        <w:tc>
          <w:tcPr>
            <w:tcW w:w="4065" w:type="dxa"/>
            <w:shd w:val="clear" w:color="auto" w:fill="C6EFCE"/>
            <w:noWrap/>
            <w:vAlign w:val="center"/>
          </w:tcPr>
          <w:p w14:paraId="39A82B8B" w14:textId="77777777" w:rsidR="003F5418" w:rsidRDefault="002A6C25">
            <w:pPr>
              <w:pStyle w:val="P68B1DB1-Normal9"/>
              <w:jc w:val="center"/>
              <w:rPr>
                <w:noProof/>
              </w:rPr>
            </w:pPr>
            <w:r>
              <w:rPr>
                <w:noProof/>
              </w:rPr>
              <w:t>Az Alap beruházási stratégiáját a Pénzügyminisztérium hagyja jóvá.</w:t>
            </w:r>
          </w:p>
        </w:tc>
      </w:tr>
      <w:tr w:rsidR="003F5418" w14:paraId="483CEED6" w14:textId="77777777">
        <w:trPr>
          <w:trHeight w:val="302"/>
        </w:trPr>
        <w:tc>
          <w:tcPr>
            <w:tcW w:w="1413" w:type="dxa"/>
            <w:shd w:val="clear" w:color="auto" w:fill="C6EFCE"/>
            <w:noWrap/>
            <w:vAlign w:val="center"/>
          </w:tcPr>
          <w:p w14:paraId="746C1685" w14:textId="77777777" w:rsidR="003F5418" w:rsidRDefault="002A6C25">
            <w:pPr>
              <w:pStyle w:val="P68B1DB1-Normal9"/>
              <w:rPr>
                <w:noProof/>
              </w:rPr>
            </w:pPr>
            <w:r>
              <w:rPr>
                <w:noProof/>
              </w:rPr>
              <w:t>M1C1–123</w:t>
            </w:r>
          </w:p>
        </w:tc>
        <w:tc>
          <w:tcPr>
            <w:tcW w:w="3150" w:type="dxa"/>
            <w:shd w:val="clear" w:color="auto" w:fill="C6EFCE"/>
            <w:noWrap/>
            <w:vAlign w:val="center"/>
          </w:tcPr>
          <w:p w14:paraId="71A8E1BA" w14:textId="77777777" w:rsidR="003F5418" w:rsidRDefault="002A6C25">
            <w:pPr>
              <w:pStyle w:val="P68B1DB1-Normal9"/>
              <w:rPr>
                <w:noProof/>
              </w:rPr>
            </w:pPr>
            <w:r>
              <w:rPr>
                <w:noProof/>
              </w:rPr>
              <w:t>Beruházás – A Nemzeti Társadalombiztosítási Intézet (INPS) és a Nemzeti</w:t>
            </w:r>
            <w:r>
              <w:rPr>
                <w:noProof/>
              </w:rPr>
              <w:t xml:space="preserve"> Munkahelyi Balesetbiztosítási Intézet (INAIL) digitalizálása</w:t>
            </w:r>
          </w:p>
        </w:tc>
        <w:tc>
          <w:tcPr>
            <w:tcW w:w="1485" w:type="dxa"/>
            <w:shd w:val="clear" w:color="auto" w:fill="C6EFCE"/>
            <w:noWrap/>
            <w:vAlign w:val="center"/>
          </w:tcPr>
          <w:p w14:paraId="76E88EAF" w14:textId="77777777" w:rsidR="003F5418" w:rsidRDefault="002A6C25">
            <w:pPr>
              <w:pStyle w:val="P68B1DB1-Normal9"/>
              <w:rPr>
                <w:noProof/>
              </w:rPr>
            </w:pPr>
            <w:r>
              <w:rPr>
                <w:noProof/>
              </w:rPr>
              <w:t>Cél</w:t>
            </w:r>
          </w:p>
        </w:tc>
        <w:tc>
          <w:tcPr>
            <w:tcW w:w="4065" w:type="dxa"/>
            <w:shd w:val="clear" w:color="auto" w:fill="C6EFCE"/>
            <w:noWrap/>
            <w:vAlign w:val="center"/>
          </w:tcPr>
          <w:p w14:paraId="52B6C1FD" w14:textId="77777777" w:rsidR="003F5418" w:rsidRDefault="002A6C25">
            <w:pPr>
              <w:pStyle w:val="P68B1DB1-Normal9"/>
              <w:jc w:val="center"/>
              <w:rPr>
                <w:noProof/>
              </w:rPr>
            </w:pPr>
            <w:r>
              <w:rPr>
                <w:noProof/>
              </w:rPr>
              <w:t>INPS – „Egy kattintás a tervezés szerint” szolgáltatások/tartalom T1</w:t>
            </w:r>
          </w:p>
        </w:tc>
      </w:tr>
      <w:tr w:rsidR="003F5418" w14:paraId="205E293E" w14:textId="77777777">
        <w:trPr>
          <w:trHeight w:val="302"/>
        </w:trPr>
        <w:tc>
          <w:tcPr>
            <w:tcW w:w="1413" w:type="dxa"/>
            <w:shd w:val="clear" w:color="auto" w:fill="C6EFCE"/>
            <w:noWrap/>
            <w:vAlign w:val="center"/>
          </w:tcPr>
          <w:p w14:paraId="64A35F1B" w14:textId="77777777" w:rsidR="003F5418" w:rsidRDefault="002A6C25">
            <w:pPr>
              <w:pStyle w:val="P68B1DB1-Normal9"/>
              <w:rPr>
                <w:noProof/>
              </w:rPr>
            </w:pPr>
            <w:r>
              <w:rPr>
                <w:noProof/>
              </w:rPr>
              <w:t>M1C1–124</w:t>
            </w:r>
          </w:p>
        </w:tc>
        <w:tc>
          <w:tcPr>
            <w:tcW w:w="3150" w:type="dxa"/>
            <w:shd w:val="clear" w:color="auto" w:fill="C6EFCE"/>
            <w:noWrap/>
            <w:vAlign w:val="center"/>
          </w:tcPr>
          <w:p w14:paraId="6A848711" w14:textId="77777777" w:rsidR="003F5418" w:rsidRDefault="002A6C25">
            <w:pPr>
              <w:pStyle w:val="P68B1DB1-Normal9"/>
              <w:rPr>
                <w:noProof/>
              </w:rPr>
            </w:pPr>
            <w:r>
              <w:rPr>
                <w:noProof/>
              </w:rPr>
              <w:t xml:space="preserve">Beruházás – A Nemzeti Társadalombiztosítási Intézet (INPS) és a Nemzeti Munkahelyi Balesetbiztosítási Intézet </w:t>
            </w:r>
            <w:r>
              <w:rPr>
                <w:noProof/>
              </w:rPr>
              <w:t>(INAIL) digitalizálása</w:t>
            </w:r>
          </w:p>
        </w:tc>
        <w:tc>
          <w:tcPr>
            <w:tcW w:w="1485" w:type="dxa"/>
            <w:shd w:val="clear" w:color="auto" w:fill="C6EFCE"/>
            <w:noWrap/>
            <w:vAlign w:val="center"/>
          </w:tcPr>
          <w:p w14:paraId="793E8578" w14:textId="77777777" w:rsidR="003F5418" w:rsidRDefault="002A6C25">
            <w:pPr>
              <w:pStyle w:val="P68B1DB1-Normal9"/>
              <w:rPr>
                <w:noProof/>
              </w:rPr>
            </w:pPr>
            <w:r>
              <w:rPr>
                <w:noProof/>
              </w:rPr>
              <w:t>Cél</w:t>
            </w:r>
          </w:p>
        </w:tc>
        <w:tc>
          <w:tcPr>
            <w:tcW w:w="4065" w:type="dxa"/>
            <w:shd w:val="clear" w:color="auto" w:fill="C6EFCE"/>
            <w:noWrap/>
            <w:vAlign w:val="center"/>
          </w:tcPr>
          <w:p w14:paraId="6E9334D1" w14:textId="77777777" w:rsidR="003F5418" w:rsidRDefault="002A6C25">
            <w:pPr>
              <w:pStyle w:val="P68B1DB1-Normal9"/>
              <w:jc w:val="center"/>
              <w:rPr>
                <w:noProof/>
              </w:rPr>
            </w:pPr>
            <w:r>
              <w:rPr>
                <w:noProof/>
              </w:rPr>
              <w:t>INPS – Jobb információs és kommunikációs technológiai (IKT) készségekkel rendelkező munkavállalók T1</w:t>
            </w:r>
          </w:p>
        </w:tc>
      </w:tr>
      <w:tr w:rsidR="003F5418" w14:paraId="11AE3105" w14:textId="77777777">
        <w:trPr>
          <w:trHeight w:val="302"/>
        </w:trPr>
        <w:tc>
          <w:tcPr>
            <w:tcW w:w="1413" w:type="dxa"/>
            <w:shd w:val="clear" w:color="auto" w:fill="C6EFCE"/>
            <w:noWrap/>
            <w:vAlign w:val="center"/>
          </w:tcPr>
          <w:p w14:paraId="5760F7FA" w14:textId="77777777" w:rsidR="003F5418" w:rsidRDefault="002A6C25">
            <w:pPr>
              <w:pStyle w:val="P68B1DB1-Normal9"/>
              <w:rPr>
                <w:noProof/>
              </w:rPr>
            </w:pPr>
            <w:r>
              <w:rPr>
                <w:noProof/>
              </w:rPr>
              <w:t>M1C3–30</w:t>
            </w:r>
          </w:p>
        </w:tc>
        <w:tc>
          <w:tcPr>
            <w:tcW w:w="3150" w:type="dxa"/>
            <w:shd w:val="clear" w:color="auto" w:fill="C6EFCE"/>
            <w:noWrap/>
            <w:vAlign w:val="center"/>
          </w:tcPr>
          <w:p w14:paraId="3E162476" w14:textId="77777777" w:rsidR="003F5418" w:rsidRDefault="002A6C25">
            <w:pPr>
              <w:pStyle w:val="P68B1DB1-Normal9"/>
              <w:rPr>
                <w:noProof/>
              </w:rPr>
            </w:pPr>
            <w:r>
              <w:rPr>
                <w:noProof/>
              </w:rPr>
              <w:t>Beruházás:  Az idegenforgalmi vállalkozások versenyképességét szolgáló alapok</w:t>
            </w:r>
          </w:p>
        </w:tc>
        <w:tc>
          <w:tcPr>
            <w:tcW w:w="1485" w:type="dxa"/>
            <w:shd w:val="clear" w:color="auto" w:fill="C6EFCE"/>
            <w:noWrap/>
            <w:vAlign w:val="center"/>
          </w:tcPr>
          <w:p w14:paraId="72819942" w14:textId="77777777" w:rsidR="003F5418" w:rsidRDefault="002A6C25">
            <w:pPr>
              <w:pStyle w:val="P68B1DB1-Normal9"/>
              <w:rPr>
                <w:noProof/>
              </w:rPr>
            </w:pPr>
            <w:r>
              <w:rPr>
                <w:noProof/>
              </w:rPr>
              <w:t>Cél</w:t>
            </w:r>
          </w:p>
        </w:tc>
        <w:tc>
          <w:tcPr>
            <w:tcW w:w="4065" w:type="dxa"/>
            <w:shd w:val="clear" w:color="auto" w:fill="C6EFCE"/>
            <w:noWrap/>
            <w:vAlign w:val="center"/>
          </w:tcPr>
          <w:p w14:paraId="70E1635F" w14:textId="77777777" w:rsidR="003F5418" w:rsidRDefault="002A6C25">
            <w:pPr>
              <w:pStyle w:val="P68B1DB1-Normal9"/>
              <w:jc w:val="center"/>
              <w:rPr>
                <w:noProof/>
              </w:rPr>
            </w:pPr>
            <w:r>
              <w:rPr>
                <w:noProof/>
              </w:rPr>
              <w:t xml:space="preserve">Az Európai Beruházási Bank tematikus </w:t>
            </w:r>
            <w:r>
              <w:rPr>
                <w:noProof/>
              </w:rPr>
              <w:t>alapjai: Összesen 350 000 000 EUR folyósítása az Alapnak.</w:t>
            </w:r>
          </w:p>
        </w:tc>
      </w:tr>
      <w:tr w:rsidR="003F5418" w14:paraId="1F40881C" w14:textId="77777777">
        <w:trPr>
          <w:trHeight w:val="302"/>
        </w:trPr>
        <w:tc>
          <w:tcPr>
            <w:tcW w:w="1413" w:type="dxa"/>
            <w:shd w:val="clear" w:color="auto" w:fill="C6EFCE"/>
            <w:noWrap/>
            <w:vAlign w:val="center"/>
          </w:tcPr>
          <w:p w14:paraId="629B49E2" w14:textId="77777777" w:rsidR="003F5418" w:rsidRDefault="002A6C25">
            <w:pPr>
              <w:pStyle w:val="P68B1DB1-Normal9"/>
              <w:rPr>
                <w:noProof/>
              </w:rPr>
            </w:pPr>
            <w:r>
              <w:rPr>
                <w:noProof/>
              </w:rPr>
              <w:t>M1C3–31</w:t>
            </w:r>
          </w:p>
        </w:tc>
        <w:tc>
          <w:tcPr>
            <w:tcW w:w="3150" w:type="dxa"/>
            <w:shd w:val="clear" w:color="auto" w:fill="C6EFCE"/>
            <w:noWrap/>
            <w:vAlign w:val="center"/>
          </w:tcPr>
          <w:p w14:paraId="7A6E3E5C" w14:textId="77777777" w:rsidR="003F5418" w:rsidRDefault="002A6C25">
            <w:pPr>
              <w:pStyle w:val="P68B1DB1-Normal9"/>
              <w:rPr>
                <w:noProof/>
              </w:rPr>
            </w:pPr>
            <w:r>
              <w:rPr>
                <w:noProof/>
              </w:rPr>
              <w:t>Beruházás:  Az idegenforgalmi vállalkozások versenyképességét szolgáló alapok</w:t>
            </w:r>
          </w:p>
        </w:tc>
        <w:tc>
          <w:tcPr>
            <w:tcW w:w="1485" w:type="dxa"/>
            <w:shd w:val="clear" w:color="auto" w:fill="C6EFCE"/>
            <w:noWrap/>
            <w:vAlign w:val="center"/>
          </w:tcPr>
          <w:p w14:paraId="725B58C3" w14:textId="77777777" w:rsidR="003F5418" w:rsidRDefault="002A6C25">
            <w:pPr>
              <w:pStyle w:val="P68B1DB1-Normal9"/>
              <w:rPr>
                <w:noProof/>
              </w:rPr>
            </w:pPr>
            <w:r>
              <w:rPr>
                <w:noProof/>
              </w:rPr>
              <w:t>Cél</w:t>
            </w:r>
          </w:p>
        </w:tc>
        <w:tc>
          <w:tcPr>
            <w:tcW w:w="4065" w:type="dxa"/>
            <w:shd w:val="clear" w:color="auto" w:fill="C6EFCE"/>
            <w:noWrap/>
            <w:vAlign w:val="center"/>
          </w:tcPr>
          <w:p w14:paraId="35692F18" w14:textId="77777777" w:rsidR="003F5418" w:rsidRDefault="002A6C25">
            <w:pPr>
              <w:pStyle w:val="P68B1DB1-Normal9"/>
              <w:jc w:val="center"/>
              <w:rPr>
                <w:noProof/>
              </w:rPr>
            </w:pPr>
            <w:r>
              <w:rPr>
                <w:noProof/>
              </w:rPr>
              <w:t>Nemzeti Turisztikai Alap: Összesen 150 000 000 EUR folyósítása az Alapnak tőketámogatás céljára.</w:t>
            </w:r>
          </w:p>
        </w:tc>
      </w:tr>
      <w:tr w:rsidR="003F5418" w14:paraId="61F38135" w14:textId="77777777">
        <w:trPr>
          <w:trHeight w:val="302"/>
        </w:trPr>
        <w:tc>
          <w:tcPr>
            <w:tcW w:w="1413" w:type="dxa"/>
            <w:shd w:val="clear" w:color="auto" w:fill="C6EFCE"/>
            <w:noWrap/>
            <w:vAlign w:val="center"/>
          </w:tcPr>
          <w:p w14:paraId="09B24C3A" w14:textId="77777777" w:rsidR="003F5418" w:rsidRDefault="002A6C25">
            <w:pPr>
              <w:pStyle w:val="P68B1DB1-Normal9"/>
              <w:rPr>
                <w:noProof/>
              </w:rPr>
            </w:pPr>
            <w:r>
              <w:rPr>
                <w:noProof/>
              </w:rPr>
              <w:t>M2C3–9</w:t>
            </w:r>
          </w:p>
        </w:tc>
        <w:tc>
          <w:tcPr>
            <w:tcW w:w="3150" w:type="dxa"/>
            <w:shd w:val="clear" w:color="auto" w:fill="C6EFCE"/>
            <w:noWrap/>
            <w:vAlign w:val="center"/>
          </w:tcPr>
          <w:p w14:paraId="18230D70" w14:textId="77777777" w:rsidR="003F5418" w:rsidRDefault="002A6C25">
            <w:pPr>
              <w:pStyle w:val="P68B1DB1-Normal9"/>
              <w:rPr>
                <w:noProof/>
              </w:rPr>
            </w:pPr>
            <w:r>
              <w:rPr>
                <w:noProof/>
              </w:rPr>
              <w:t>Beruházás: A hatékony távfűtés előmozdítása</w:t>
            </w:r>
          </w:p>
        </w:tc>
        <w:tc>
          <w:tcPr>
            <w:tcW w:w="1485" w:type="dxa"/>
            <w:shd w:val="clear" w:color="auto" w:fill="C6EFCE"/>
            <w:noWrap/>
            <w:vAlign w:val="center"/>
          </w:tcPr>
          <w:p w14:paraId="13C7364A" w14:textId="77777777" w:rsidR="003F5418" w:rsidRDefault="002A6C25">
            <w:pPr>
              <w:pStyle w:val="P68B1DB1-Normal9"/>
              <w:rPr>
                <w:noProof/>
              </w:rPr>
            </w:pPr>
            <w:r>
              <w:rPr>
                <w:noProof/>
              </w:rPr>
              <w:t>Mérföldkő</w:t>
            </w:r>
          </w:p>
        </w:tc>
        <w:tc>
          <w:tcPr>
            <w:tcW w:w="4065" w:type="dxa"/>
            <w:shd w:val="clear" w:color="auto" w:fill="C6EFCE"/>
            <w:noWrap/>
            <w:vAlign w:val="center"/>
          </w:tcPr>
          <w:p w14:paraId="5C7A7BFD" w14:textId="77777777" w:rsidR="003F5418" w:rsidRDefault="002A6C25">
            <w:pPr>
              <w:pStyle w:val="P68B1DB1-Normal9"/>
              <w:jc w:val="center"/>
              <w:rPr>
                <w:noProof/>
              </w:rPr>
            </w:pPr>
            <w:r>
              <w:rPr>
                <w:noProof/>
              </w:rPr>
              <w:t xml:space="preserve">A fűtési hálózatok fejlesztésére irányuló szerződéseket az ökológiai átállásért felelős minisztérium közbeszerzési eljárást követően ítéli oda. </w:t>
            </w:r>
          </w:p>
        </w:tc>
      </w:tr>
      <w:tr w:rsidR="003F5418" w14:paraId="279D8193" w14:textId="77777777">
        <w:trPr>
          <w:trHeight w:val="302"/>
        </w:trPr>
        <w:tc>
          <w:tcPr>
            <w:tcW w:w="1413" w:type="dxa"/>
            <w:shd w:val="clear" w:color="auto" w:fill="C6EFCE"/>
            <w:noWrap/>
            <w:vAlign w:val="center"/>
          </w:tcPr>
          <w:p w14:paraId="55B0C876" w14:textId="77777777" w:rsidR="003F5418" w:rsidRDefault="002A6C25">
            <w:pPr>
              <w:pStyle w:val="P68B1DB1-Normal9"/>
              <w:rPr>
                <w:noProof/>
              </w:rPr>
            </w:pPr>
            <w:r>
              <w:rPr>
                <w:noProof/>
              </w:rPr>
              <w:t>M2C4–19</w:t>
            </w:r>
          </w:p>
        </w:tc>
        <w:tc>
          <w:tcPr>
            <w:tcW w:w="3150" w:type="dxa"/>
            <w:shd w:val="clear" w:color="auto" w:fill="C6EFCE"/>
            <w:noWrap/>
            <w:vAlign w:val="center"/>
          </w:tcPr>
          <w:p w14:paraId="7A073A85" w14:textId="77777777" w:rsidR="003F5418" w:rsidRDefault="002A6C25">
            <w:pPr>
              <w:pStyle w:val="P68B1DB1-Normal9"/>
              <w:rPr>
                <w:noProof/>
              </w:rPr>
            </w:pPr>
            <w:r>
              <w:rPr>
                <w:noProof/>
              </w:rPr>
              <w:t>Beruházások. 3.1.: A városi és városkörnyéki erd</w:t>
            </w:r>
            <w:r>
              <w:rPr>
                <w:noProof/>
              </w:rPr>
              <w:t>ők védelme és fejlesztése</w:t>
            </w:r>
          </w:p>
        </w:tc>
        <w:tc>
          <w:tcPr>
            <w:tcW w:w="1485" w:type="dxa"/>
            <w:shd w:val="clear" w:color="auto" w:fill="C6EFCE"/>
            <w:noWrap/>
            <w:vAlign w:val="center"/>
          </w:tcPr>
          <w:p w14:paraId="025CF07D" w14:textId="77777777" w:rsidR="003F5418" w:rsidRDefault="002A6C25">
            <w:pPr>
              <w:pStyle w:val="P68B1DB1-Normal9"/>
              <w:rPr>
                <w:noProof/>
              </w:rPr>
            </w:pPr>
            <w:r>
              <w:rPr>
                <w:noProof/>
              </w:rPr>
              <w:t>Cél</w:t>
            </w:r>
          </w:p>
        </w:tc>
        <w:tc>
          <w:tcPr>
            <w:tcW w:w="4065" w:type="dxa"/>
            <w:shd w:val="clear" w:color="auto" w:fill="C6EFCE"/>
            <w:noWrap/>
            <w:vAlign w:val="center"/>
          </w:tcPr>
          <w:p w14:paraId="42829BBD" w14:textId="77777777" w:rsidR="003F5418" w:rsidRDefault="002A6C25">
            <w:pPr>
              <w:pStyle w:val="P68B1DB1-Normal9"/>
              <w:jc w:val="center"/>
              <w:rPr>
                <w:noProof/>
              </w:rPr>
            </w:pPr>
            <w:r>
              <w:rPr>
                <w:noProof/>
              </w:rPr>
              <w:t>Növényfák a T1 városi és városkörnyéki zöldterületek védelmére és hasznosítására</w:t>
            </w:r>
          </w:p>
        </w:tc>
      </w:tr>
      <w:tr w:rsidR="003F5418" w14:paraId="7D16BC34" w14:textId="77777777">
        <w:trPr>
          <w:trHeight w:val="302"/>
        </w:trPr>
        <w:tc>
          <w:tcPr>
            <w:tcW w:w="1413" w:type="dxa"/>
            <w:shd w:val="clear" w:color="auto" w:fill="C6EFCE"/>
            <w:noWrap/>
            <w:vAlign w:val="center"/>
          </w:tcPr>
          <w:p w14:paraId="60809BB3" w14:textId="77777777" w:rsidR="003F5418" w:rsidRDefault="002A6C25">
            <w:pPr>
              <w:pStyle w:val="P68B1DB1-Normal9"/>
              <w:rPr>
                <w:noProof/>
              </w:rPr>
            </w:pPr>
            <w:r>
              <w:rPr>
                <w:noProof/>
              </w:rPr>
              <w:t>M2C4–24</w:t>
            </w:r>
          </w:p>
        </w:tc>
        <w:tc>
          <w:tcPr>
            <w:tcW w:w="3150" w:type="dxa"/>
            <w:shd w:val="clear" w:color="auto" w:fill="C6EFCE"/>
            <w:noWrap/>
            <w:vAlign w:val="center"/>
          </w:tcPr>
          <w:p w14:paraId="40E1FDD1" w14:textId="77777777" w:rsidR="003F5418" w:rsidRDefault="002A6C25">
            <w:pPr>
              <w:pStyle w:val="P68B1DB1-Normal9"/>
              <w:rPr>
                <w:noProof/>
              </w:rPr>
            </w:pPr>
            <w:r>
              <w:rPr>
                <w:noProof/>
              </w:rPr>
              <w:t>Beruházás. Az „árva területek talajának” rehabilitációja</w:t>
            </w:r>
          </w:p>
        </w:tc>
        <w:tc>
          <w:tcPr>
            <w:tcW w:w="1485" w:type="dxa"/>
            <w:shd w:val="clear" w:color="auto" w:fill="C6EFCE"/>
            <w:noWrap/>
            <w:vAlign w:val="center"/>
          </w:tcPr>
          <w:p w14:paraId="38D301F5" w14:textId="77777777" w:rsidR="003F5418" w:rsidRDefault="002A6C25">
            <w:pPr>
              <w:pStyle w:val="P68B1DB1-Normal9"/>
              <w:rPr>
                <w:noProof/>
              </w:rPr>
            </w:pPr>
            <w:r>
              <w:rPr>
                <w:noProof/>
              </w:rPr>
              <w:t>Mérföldkő</w:t>
            </w:r>
          </w:p>
        </w:tc>
        <w:tc>
          <w:tcPr>
            <w:tcW w:w="4065" w:type="dxa"/>
            <w:shd w:val="clear" w:color="auto" w:fill="C6EFCE"/>
            <w:noWrap/>
            <w:vAlign w:val="center"/>
          </w:tcPr>
          <w:p w14:paraId="11FEF557" w14:textId="77777777" w:rsidR="003F5418" w:rsidRDefault="002A6C25">
            <w:pPr>
              <w:pStyle w:val="P68B1DB1-Normal9"/>
              <w:jc w:val="center"/>
              <w:rPr>
                <w:noProof/>
              </w:rPr>
            </w:pPr>
            <w:r>
              <w:rPr>
                <w:noProof/>
              </w:rPr>
              <w:t>A gazdátlan területek helyreállítására vonatkozó jogi keret</w:t>
            </w:r>
          </w:p>
        </w:tc>
      </w:tr>
      <w:tr w:rsidR="003F5418" w14:paraId="45DD8BE1" w14:textId="77777777">
        <w:trPr>
          <w:trHeight w:val="302"/>
        </w:trPr>
        <w:tc>
          <w:tcPr>
            <w:tcW w:w="1413" w:type="dxa"/>
            <w:shd w:val="clear" w:color="auto" w:fill="C6EFCE"/>
            <w:noWrap/>
            <w:vAlign w:val="center"/>
          </w:tcPr>
          <w:p w14:paraId="6C3F2088" w14:textId="77777777" w:rsidR="003F5418" w:rsidRDefault="002A6C25">
            <w:pPr>
              <w:pStyle w:val="P68B1DB1-Normal9"/>
              <w:rPr>
                <w:noProof/>
              </w:rPr>
            </w:pPr>
            <w:r>
              <w:rPr>
                <w:noProof/>
              </w:rPr>
              <w:t>M3C1–3</w:t>
            </w:r>
          </w:p>
        </w:tc>
        <w:tc>
          <w:tcPr>
            <w:tcW w:w="3150" w:type="dxa"/>
            <w:shd w:val="clear" w:color="auto" w:fill="C6EFCE"/>
            <w:noWrap/>
            <w:vAlign w:val="center"/>
          </w:tcPr>
          <w:p w14:paraId="4CCFF52C" w14:textId="77777777" w:rsidR="003F5418" w:rsidRDefault="002A6C25">
            <w:pPr>
              <w:pStyle w:val="P68B1DB1-Normal9"/>
              <w:rPr>
                <w:noProof/>
              </w:rPr>
            </w:pPr>
            <w:r>
              <w:rPr>
                <w:noProof/>
              </w:rPr>
              <w:t>Beruházás – Nagy sebességű vasúti összeköttetések déli személyszállítás és árufuvarozás számára</w:t>
            </w:r>
          </w:p>
        </w:tc>
        <w:tc>
          <w:tcPr>
            <w:tcW w:w="1485" w:type="dxa"/>
            <w:shd w:val="clear" w:color="auto" w:fill="C6EFCE"/>
            <w:noWrap/>
            <w:vAlign w:val="center"/>
          </w:tcPr>
          <w:p w14:paraId="60FD64E3" w14:textId="77777777" w:rsidR="003F5418" w:rsidRDefault="002A6C25">
            <w:pPr>
              <w:pStyle w:val="P68B1DB1-Normal9"/>
              <w:rPr>
                <w:noProof/>
              </w:rPr>
            </w:pPr>
            <w:r>
              <w:rPr>
                <w:noProof/>
              </w:rPr>
              <w:t>Mérföldkő</w:t>
            </w:r>
          </w:p>
        </w:tc>
        <w:tc>
          <w:tcPr>
            <w:tcW w:w="4065" w:type="dxa"/>
            <w:shd w:val="clear" w:color="auto" w:fill="C6EFCE"/>
            <w:noWrap/>
            <w:vAlign w:val="center"/>
          </w:tcPr>
          <w:p w14:paraId="74143260" w14:textId="77777777" w:rsidR="003F5418" w:rsidRDefault="002A6C25">
            <w:pPr>
              <w:pStyle w:val="P68B1DB1-Normal9"/>
              <w:jc w:val="center"/>
              <w:rPr>
                <w:noProof/>
              </w:rPr>
            </w:pPr>
            <w:r>
              <w:rPr>
                <w:noProof/>
              </w:rPr>
              <w:t>A Nápoly-Bari és Palermo-Catania vonalakon nagy sebességű vasút építésére irányuló szerződés(ek) odaítélése</w:t>
            </w:r>
          </w:p>
        </w:tc>
      </w:tr>
      <w:tr w:rsidR="003F5418" w14:paraId="36E6E963" w14:textId="77777777">
        <w:trPr>
          <w:trHeight w:val="302"/>
        </w:trPr>
        <w:tc>
          <w:tcPr>
            <w:tcW w:w="1413" w:type="dxa"/>
            <w:shd w:val="clear" w:color="auto" w:fill="C6EFCE"/>
            <w:noWrap/>
            <w:vAlign w:val="center"/>
          </w:tcPr>
          <w:p w14:paraId="5F4C0C14" w14:textId="77777777" w:rsidR="003F5418" w:rsidRDefault="002A6C25">
            <w:pPr>
              <w:pStyle w:val="P68B1DB1-Normal9"/>
              <w:rPr>
                <w:noProof/>
              </w:rPr>
            </w:pPr>
            <w:r>
              <w:rPr>
                <w:noProof/>
              </w:rPr>
              <w:t>M3C1–12</w:t>
            </w:r>
          </w:p>
        </w:tc>
        <w:tc>
          <w:tcPr>
            <w:tcW w:w="3150" w:type="dxa"/>
            <w:shd w:val="clear" w:color="auto" w:fill="C6EFCE"/>
            <w:noWrap/>
            <w:vAlign w:val="center"/>
          </w:tcPr>
          <w:p w14:paraId="03785733" w14:textId="77777777" w:rsidR="003F5418" w:rsidRDefault="002A6C25">
            <w:pPr>
              <w:pStyle w:val="P68B1DB1-Normal9"/>
              <w:rPr>
                <w:noProof/>
              </w:rPr>
            </w:pPr>
            <w:r>
              <w:rPr>
                <w:noProof/>
              </w:rPr>
              <w:t>Beruházás – Az európai vasúti köz</w:t>
            </w:r>
            <w:r>
              <w:rPr>
                <w:noProof/>
              </w:rPr>
              <w:t>lekedésirányítási rendszer (ERTMS) bevezetése</w:t>
            </w:r>
          </w:p>
        </w:tc>
        <w:tc>
          <w:tcPr>
            <w:tcW w:w="1485" w:type="dxa"/>
            <w:shd w:val="clear" w:color="auto" w:fill="C6EFCE"/>
            <w:noWrap/>
            <w:vAlign w:val="center"/>
          </w:tcPr>
          <w:p w14:paraId="3AB603A3" w14:textId="77777777" w:rsidR="003F5418" w:rsidRDefault="002A6C25">
            <w:pPr>
              <w:pStyle w:val="P68B1DB1-Normal9"/>
              <w:rPr>
                <w:noProof/>
              </w:rPr>
            </w:pPr>
            <w:r>
              <w:rPr>
                <w:noProof/>
              </w:rPr>
              <w:t>Mérföldkő</w:t>
            </w:r>
          </w:p>
        </w:tc>
        <w:tc>
          <w:tcPr>
            <w:tcW w:w="4065" w:type="dxa"/>
            <w:shd w:val="clear" w:color="auto" w:fill="C6EFCE"/>
            <w:noWrap/>
            <w:vAlign w:val="center"/>
          </w:tcPr>
          <w:p w14:paraId="73B66252" w14:textId="77777777" w:rsidR="003F5418" w:rsidRDefault="002A6C25">
            <w:pPr>
              <w:pStyle w:val="P68B1DB1-Normal9"/>
              <w:jc w:val="center"/>
              <w:rPr>
                <w:noProof/>
              </w:rPr>
            </w:pPr>
            <w:r>
              <w:rPr>
                <w:noProof/>
              </w:rPr>
              <w:t>Az Európai Vasúti Szállításirányítási Rendszerre vonatkozó szerződések odaítélése</w:t>
            </w:r>
          </w:p>
        </w:tc>
      </w:tr>
      <w:tr w:rsidR="003F5418" w14:paraId="189617BC" w14:textId="77777777">
        <w:trPr>
          <w:trHeight w:val="302"/>
        </w:trPr>
        <w:tc>
          <w:tcPr>
            <w:tcW w:w="1413" w:type="dxa"/>
            <w:shd w:val="clear" w:color="auto" w:fill="C6EFCE"/>
            <w:noWrap/>
            <w:vAlign w:val="center"/>
          </w:tcPr>
          <w:p w14:paraId="53944FB5" w14:textId="77777777" w:rsidR="003F5418" w:rsidRDefault="002A6C25">
            <w:pPr>
              <w:pStyle w:val="P68B1DB1-Normal9"/>
              <w:rPr>
                <w:noProof/>
              </w:rPr>
            </w:pPr>
            <w:r>
              <w:rPr>
                <w:noProof/>
              </w:rPr>
              <w:t>M3C2–8</w:t>
            </w:r>
          </w:p>
        </w:tc>
        <w:tc>
          <w:tcPr>
            <w:tcW w:w="3150" w:type="dxa"/>
            <w:shd w:val="clear" w:color="auto" w:fill="C6EFCE"/>
            <w:noWrap/>
            <w:vAlign w:val="center"/>
          </w:tcPr>
          <w:p w14:paraId="7BC2BD4C" w14:textId="77777777" w:rsidR="003F5418" w:rsidRDefault="002A6C25">
            <w:pPr>
              <w:pStyle w:val="P68B1DB1-Normal9"/>
              <w:rPr>
                <w:noProof/>
              </w:rPr>
            </w:pPr>
            <w:r>
              <w:rPr>
                <w:noProof/>
              </w:rPr>
              <w:t>Beruházás: Zöld kikötők: megújuló energiával és energiahatékonysággal kapcsolatos beavatkozások a kikötőkben</w:t>
            </w:r>
          </w:p>
        </w:tc>
        <w:tc>
          <w:tcPr>
            <w:tcW w:w="1485" w:type="dxa"/>
            <w:shd w:val="clear" w:color="auto" w:fill="C6EFCE"/>
            <w:noWrap/>
            <w:vAlign w:val="center"/>
          </w:tcPr>
          <w:p w14:paraId="78E5180C" w14:textId="77777777" w:rsidR="003F5418" w:rsidRDefault="002A6C25">
            <w:pPr>
              <w:pStyle w:val="P68B1DB1-Normal9"/>
              <w:rPr>
                <w:noProof/>
              </w:rPr>
            </w:pPr>
            <w:r>
              <w:rPr>
                <w:noProof/>
              </w:rPr>
              <w:t>Cél</w:t>
            </w:r>
          </w:p>
        </w:tc>
        <w:tc>
          <w:tcPr>
            <w:tcW w:w="4065" w:type="dxa"/>
            <w:shd w:val="clear" w:color="auto" w:fill="C6EFCE"/>
            <w:noWrap/>
            <w:vAlign w:val="center"/>
          </w:tcPr>
          <w:p w14:paraId="07D885EA" w14:textId="77777777" w:rsidR="003F5418" w:rsidRDefault="002A6C25">
            <w:pPr>
              <w:pStyle w:val="P68B1DB1-Normal9"/>
              <w:jc w:val="center"/>
              <w:rPr>
                <w:noProof/>
              </w:rPr>
            </w:pPr>
            <w:r>
              <w:rPr>
                <w:noProof/>
              </w:rPr>
              <w:t>Zöld kikötők: a munkák kiosztása</w:t>
            </w:r>
          </w:p>
        </w:tc>
      </w:tr>
      <w:tr w:rsidR="003F5418" w14:paraId="6A58C011" w14:textId="77777777">
        <w:trPr>
          <w:trHeight w:val="302"/>
        </w:trPr>
        <w:tc>
          <w:tcPr>
            <w:tcW w:w="1413" w:type="dxa"/>
            <w:shd w:val="clear" w:color="auto" w:fill="C6EFCE"/>
            <w:noWrap/>
            <w:vAlign w:val="center"/>
          </w:tcPr>
          <w:p w14:paraId="511943D7" w14:textId="77777777" w:rsidR="003F5418" w:rsidRDefault="002A6C25">
            <w:pPr>
              <w:pStyle w:val="P68B1DB1-Normal9"/>
              <w:rPr>
                <w:noProof/>
              </w:rPr>
            </w:pPr>
            <w:r>
              <w:rPr>
                <w:noProof/>
              </w:rPr>
              <w:t>M4C1–29</w:t>
            </w:r>
          </w:p>
        </w:tc>
        <w:tc>
          <w:tcPr>
            <w:tcW w:w="3150" w:type="dxa"/>
            <w:shd w:val="clear" w:color="auto" w:fill="C6EFCE"/>
            <w:noWrap/>
            <w:vAlign w:val="center"/>
          </w:tcPr>
          <w:p w14:paraId="514C5FF4" w14:textId="77777777" w:rsidR="003F5418" w:rsidRDefault="002A6C25">
            <w:pPr>
              <w:pStyle w:val="P68B1DB1-Normal9"/>
              <w:rPr>
                <w:noProof/>
              </w:rPr>
            </w:pPr>
            <w:r>
              <w:rPr>
                <w:noProof/>
              </w:rPr>
              <w:t xml:space="preserve">Reform: A diákok lakhatására vonatkozó szabályozás reformja és a diákok lakhatásába való beruházás </w:t>
            </w:r>
          </w:p>
        </w:tc>
        <w:tc>
          <w:tcPr>
            <w:tcW w:w="1485" w:type="dxa"/>
            <w:shd w:val="clear" w:color="auto" w:fill="C6EFCE"/>
            <w:noWrap/>
            <w:vAlign w:val="center"/>
          </w:tcPr>
          <w:p w14:paraId="7A09ED1A" w14:textId="77777777" w:rsidR="003F5418" w:rsidRDefault="002A6C25">
            <w:pPr>
              <w:pStyle w:val="P68B1DB1-Normal9"/>
              <w:rPr>
                <w:noProof/>
              </w:rPr>
            </w:pPr>
            <w:r>
              <w:rPr>
                <w:noProof/>
              </w:rPr>
              <w:t>Mérföldkő</w:t>
            </w:r>
          </w:p>
        </w:tc>
        <w:tc>
          <w:tcPr>
            <w:tcW w:w="4065" w:type="dxa"/>
            <w:shd w:val="clear" w:color="auto" w:fill="C6EFCE"/>
            <w:noWrap/>
            <w:vAlign w:val="center"/>
          </w:tcPr>
          <w:p w14:paraId="69D9FA00" w14:textId="77777777" w:rsidR="003F5418" w:rsidRDefault="002A6C25">
            <w:pPr>
              <w:pStyle w:val="P68B1DB1-Normal9"/>
              <w:jc w:val="center"/>
              <w:rPr>
                <w:noProof/>
              </w:rPr>
            </w:pPr>
            <w:r>
              <w:rPr>
                <w:noProof/>
              </w:rPr>
              <w:t xml:space="preserve">A diákok lakhatására vonatkozó jogszabályok reformjának hatálybalépése.    </w:t>
            </w:r>
          </w:p>
        </w:tc>
      </w:tr>
      <w:tr w:rsidR="003F5418" w14:paraId="2EA196CA" w14:textId="77777777">
        <w:trPr>
          <w:trHeight w:val="302"/>
        </w:trPr>
        <w:tc>
          <w:tcPr>
            <w:tcW w:w="1413" w:type="dxa"/>
            <w:shd w:val="clear" w:color="auto" w:fill="C6EFCE"/>
            <w:noWrap/>
            <w:vAlign w:val="center"/>
          </w:tcPr>
          <w:p w14:paraId="69CD45DB" w14:textId="77777777" w:rsidR="003F5418" w:rsidRDefault="002A6C25">
            <w:pPr>
              <w:pStyle w:val="P68B1DB1-Normal9"/>
              <w:rPr>
                <w:noProof/>
              </w:rPr>
            </w:pPr>
            <w:r>
              <w:rPr>
                <w:noProof/>
              </w:rPr>
              <w:t>M5C2–13</w:t>
            </w:r>
          </w:p>
        </w:tc>
        <w:tc>
          <w:tcPr>
            <w:tcW w:w="3150" w:type="dxa"/>
            <w:shd w:val="clear" w:color="auto" w:fill="C6EFCE"/>
            <w:noWrap/>
            <w:vAlign w:val="center"/>
          </w:tcPr>
          <w:p w14:paraId="02FDE22A" w14:textId="77777777" w:rsidR="003F5418" w:rsidRDefault="002A6C25">
            <w:pPr>
              <w:pStyle w:val="P68B1DB1-Normal9"/>
              <w:rPr>
                <w:noProof/>
              </w:rPr>
            </w:pPr>
            <w:r>
              <w:rPr>
                <w:noProof/>
              </w:rPr>
              <w:t>Beruházás – Vár</w:t>
            </w:r>
            <w:r>
              <w:rPr>
                <w:noProof/>
              </w:rPr>
              <w:t>osi integrált tervek – általános projektek</w:t>
            </w:r>
          </w:p>
        </w:tc>
        <w:tc>
          <w:tcPr>
            <w:tcW w:w="1485" w:type="dxa"/>
            <w:shd w:val="clear" w:color="auto" w:fill="C6EFCE"/>
            <w:noWrap/>
            <w:vAlign w:val="center"/>
          </w:tcPr>
          <w:p w14:paraId="60DA258B" w14:textId="77777777" w:rsidR="003F5418" w:rsidRDefault="002A6C25">
            <w:pPr>
              <w:pStyle w:val="P68B1DB1-Normal9"/>
              <w:rPr>
                <w:noProof/>
              </w:rPr>
            </w:pPr>
            <w:r>
              <w:rPr>
                <w:noProof/>
              </w:rPr>
              <w:t>Mérföldkő</w:t>
            </w:r>
          </w:p>
        </w:tc>
        <w:tc>
          <w:tcPr>
            <w:tcW w:w="4065" w:type="dxa"/>
            <w:shd w:val="clear" w:color="auto" w:fill="C6EFCE"/>
            <w:noWrap/>
            <w:vAlign w:val="center"/>
          </w:tcPr>
          <w:p w14:paraId="2BDF3FDC" w14:textId="77777777" w:rsidR="003F5418" w:rsidRDefault="002A6C25">
            <w:pPr>
              <w:pStyle w:val="P68B1DB1-Normal9"/>
              <w:jc w:val="center"/>
              <w:rPr>
                <w:noProof/>
              </w:rPr>
            </w:pPr>
            <w:r>
              <w:rPr>
                <w:noProof/>
              </w:rPr>
              <w:t>A nagyvárosi területek városrehabilitációs projektjeire vonatkozó beruházási terv hatálybalépése</w:t>
            </w:r>
          </w:p>
        </w:tc>
      </w:tr>
      <w:tr w:rsidR="003F5418" w14:paraId="0990F6F6" w14:textId="77777777">
        <w:trPr>
          <w:trHeight w:val="302"/>
        </w:trPr>
        <w:tc>
          <w:tcPr>
            <w:tcW w:w="1413" w:type="dxa"/>
            <w:shd w:val="clear" w:color="auto" w:fill="C6EFCE"/>
            <w:noWrap/>
            <w:vAlign w:val="center"/>
          </w:tcPr>
          <w:p w14:paraId="0822A23F" w14:textId="77777777" w:rsidR="003F5418" w:rsidRDefault="002A6C25">
            <w:pPr>
              <w:pStyle w:val="P68B1DB1-Normal9"/>
              <w:rPr>
                <w:noProof/>
              </w:rPr>
            </w:pPr>
            <w:r>
              <w:rPr>
                <w:noProof/>
              </w:rPr>
              <w:t>M6C2–7</w:t>
            </w:r>
          </w:p>
        </w:tc>
        <w:tc>
          <w:tcPr>
            <w:tcW w:w="3150" w:type="dxa"/>
            <w:shd w:val="clear" w:color="auto" w:fill="C6EFCE"/>
            <w:noWrap/>
            <w:vAlign w:val="center"/>
          </w:tcPr>
          <w:p w14:paraId="33B6FCB7" w14:textId="77777777" w:rsidR="003F5418" w:rsidRDefault="002A6C25">
            <w:pPr>
              <w:pStyle w:val="P68B1DB1-Normal39"/>
              <w:rPr>
                <w:noProof/>
                <w:color w:val="006100"/>
              </w:rPr>
            </w:pPr>
            <w:r>
              <w:rPr>
                <w:noProof/>
              </w:rPr>
              <w:t>Beruházás: A kórházak technológiai berendezéseinek digitális frissítése</w:t>
            </w:r>
          </w:p>
        </w:tc>
        <w:tc>
          <w:tcPr>
            <w:tcW w:w="1485" w:type="dxa"/>
            <w:shd w:val="clear" w:color="auto" w:fill="C6EFCE"/>
            <w:noWrap/>
            <w:vAlign w:val="center"/>
          </w:tcPr>
          <w:p w14:paraId="0E09CA4E" w14:textId="77777777" w:rsidR="003F5418" w:rsidRDefault="002A6C25">
            <w:pPr>
              <w:pStyle w:val="P68B1DB1-Normal39"/>
              <w:rPr>
                <w:noProof/>
                <w:color w:val="006100"/>
              </w:rPr>
            </w:pPr>
            <w:r>
              <w:rPr>
                <w:noProof/>
              </w:rPr>
              <w:t>Mérföldkő</w:t>
            </w:r>
          </w:p>
        </w:tc>
        <w:tc>
          <w:tcPr>
            <w:tcW w:w="4065" w:type="dxa"/>
            <w:shd w:val="clear" w:color="auto" w:fill="C6EFCE"/>
            <w:noWrap/>
            <w:vAlign w:val="center"/>
          </w:tcPr>
          <w:p w14:paraId="28A2D34D" w14:textId="77777777" w:rsidR="003F5418" w:rsidRDefault="002A6C25">
            <w:pPr>
              <w:pStyle w:val="P68B1DB1-Normal39"/>
              <w:jc w:val="center"/>
              <w:rPr>
                <w:noProof/>
              </w:rPr>
            </w:pPr>
            <w:r>
              <w:rPr>
                <w:noProof/>
              </w:rPr>
              <w:t xml:space="preserve">Az összes </w:t>
            </w:r>
            <w:r>
              <w:rPr>
                <w:noProof/>
              </w:rPr>
              <w:t>közbeszerzési szerződés odaítélése</w:t>
            </w:r>
          </w:p>
        </w:tc>
      </w:tr>
      <w:tr w:rsidR="003F5418" w14:paraId="7418755C" w14:textId="77777777">
        <w:trPr>
          <w:trHeight w:val="302"/>
        </w:trPr>
        <w:tc>
          <w:tcPr>
            <w:tcW w:w="1413" w:type="dxa"/>
            <w:shd w:val="clear" w:color="auto" w:fill="C6EFCE"/>
            <w:noWrap/>
            <w:vAlign w:val="bottom"/>
          </w:tcPr>
          <w:p w14:paraId="195EE182" w14:textId="77777777" w:rsidR="003F5418" w:rsidRDefault="003F5418">
            <w:pPr>
              <w:jc w:val="center"/>
              <w:rPr>
                <w:noProof/>
                <w:color w:val="006100"/>
                <w:sz w:val="20"/>
              </w:rPr>
            </w:pPr>
          </w:p>
        </w:tc>
        <w:tc>
          <w:tcPr>
            <w:tcW w:w="3150" w:type="dxa"/>
            <w:shd w:val="clear" w:color="auto" w:fill="C6EFCE"/>
            <w:noWrap/>
            <w:vAlign w:val="bottom"/>
          </w:tcPr>
          <w:p w14:paraId="67FDFD29" w14:textId="77777777" w:rsidR="003F5418" w:rsidRDefault="003F5418">
            <w:pPr>
              <w:rPr>
                <w:noProof/>
                <w:color w:val="006100"/>
                <w:sz w:val="20"/>
              </w:rPr>
            </w:pPr>
          </w:p>
        </w:tc>
        <w:tc>
          <w:tcPr>
            <w:tcW w:w="1485" w:type="dxa"/>
            <w:shd w:val="clear" w:color="auto" w:fill="C6EFCE"/>
            <w:noWrap/>
            <w:vAlign w:val="bottom"/>
          </w:tcPr>
          <w:p w14:paraId="15E5EBEF" w14:textId="77777777" w:rsidR="003F5418" w:rsidRDefault="002A6C25">
            <w:pPr>
              <w:pStyle w:val="P68B1DB1-Normal9"/>
              <w:rPr>
                <w:noProof/>
              </w:rPr>
            </w:pPr>
            <w:r>
              <w:rPr>
                <w:noProof/>
              </w:rPr>
              <w:t>Részösszeg</w:t>
            </w:r>
          </w:p>
        </w:tc>
        <w:tc>
          <w:tcPr>
            <w:tcW w:w="4065" w:type="dxa"/>
            <w:shd w:val="clear" w:color="auto" w:fill="C6EFCE"/>
            <w:noWrap/>
            <w:vAlign w:val="bottom"/>
          </w:tcPr>
          <w:p w14:paraId="3098E1BA" w14:textId="7ACFEB1A" w:rsidR="003F5418" w:rsidRDefault="002A6C25">
            <w:pPr>
              <w:pStyle w:val="P68B1DB1-Normal37"/>
              <w:rPr>
                <w:noProof/>
              </w:rPr>
            </w:pPr>
            <w:r>
              <w:rPr>
                <w:noProof/>
              </w:rPr>
              <w:t>9</w:t>
            </w:r>
            <w:r>
              <w:rPr>
                <w:noProof/>
              </w:rPr>
              <w:t> </w:t>
            </w:r>
            <w:r>
              <w:rPr>
                <w:noProof/>
              </w:rPr>
              <w:t>825</w:t>
            </w:r>
            <w:r>
              <w:rPr>
                <w:noProof/>
              </w:rPr>
              <w:t> </w:t>
            </w:r>
            <w:r>
              <w:rPr>
                <w:noProof/>
              </w:rPr>
              <w:t>328</w:t>
            </w:r>
            <w:r>
              <w:rPr>
                <w:noProof/>
              </w:rPr>
              <w:t> </w:t>
            </w:r>
            <w:r>
              <w:rPr>
                <w:noProof/>
              </w:rPr>
              <w:t>389</w:t>
            </w:r>
            <w:r>
              <w:rPr>
                <w:noProof/>
              </w:rPr>
              <w:t> </w:t>
            </w:r>
            <w:r>
              <w:rPr>
                <w:noProof/>
              </w:rPr>
              <w:t>EUR</w:t>
            </w:r>
          </w:p>
        </w:tc>
      </w:tr>
    </w:tbl>
    <w:p w14:paraId="695B2DA0" w14:textId="23FFB5DC" w:rsidR="003F5418" w:rsidRDefault="003F5418">
      <w:pPr>
        <w:spacing w:after="200" w:line="276" w:lineRule="auto"/>
        <w:rPr>
          <w:rFonts w:eastAsia="Calibri"/>
          <w:noProof/>
        </w:rPr>
      </w:pPr>
    </w:p>
    <w:p w14:paraId="23F0776A" w14:textId="77777777" w:rsidR="003F5418" w:rsidRDefault="002A6C25">
      <w:pPr>
        <w:pStyle w:val="P68B1DB1-Normal35"/>
        <w:spacing w:after="160" w:line="259" w:lineRule="auto"/>
        <w:rPr>
          <w:noProof/>
        </w:rPr>
      </w:pPr>
      <w:r>
        <w:rPr>
          <w:noProof/>
        </w:rPr>
        <w:br w:type="page"/>
      </w:r>
    </w:p>
    <w:p w14:paraId="69F23FD8" w14:textId="77777777" w:rsidR="003F5418" w:rsidRDefault="002A6C25">
      <w:pPr>
        <w:pStyle w:val="P68B1DB1-Normal35"/>
        <w:numPr>
          <w:ilvl w:val="1"/>
          <w:numId w:val="6"/>
        </w:numPr>
        <w:spacing w:before="120" w:after="120"/>
        <w:jc w:val="both"/>
        <w:rPr>
          <w:noProof/>
        </w:rPr>
      </w:pPr>
      <w:r>
        <w:rPr>
          <w:noProof/>
        </w:rPr>
        <w:t>Negyedik részlet (hiteltámogatás):</w:t>
      </w:r>
    </w:p>
    <w:tbl>
      <w:tblPr>
        <w:tblW w:w="101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165"/>
        <w:gridCol w:w="1468"/>
        <w:gridCol w:w="4095"/>
      </w:tblGrid>
      <w:tr w:rsidR="003F5418" w14:paraId="5720D62B" w14:textId="77777777">
        <w:trPr>
          <w:trHeight w:val="906"/>
          <w:tblHeader/>
        </w:trPr>
        <w:tc>
          <w:tcPr>
            <w:tcW w:w="1413" w:type="dxa"/>
            <w:vMerge w:val="restart"/>
            <w:shd w:val="clear" w:color="auto" w:fill="BDD7EE"/>
            <w:vAlign w:val="center"/>
            <w:hideMark/>
          </w:tcPr>
          <w:p w14:paraId="0D8830D1" w14:textId="77777777" w:rsidR="003F5418" w:rsidRDefault="002A6C25">
            <w:pPr>
              <w:pStyle w:val="P68B1DB1-Normal36"/>
              <w:jc w:val="center"/>
              <w:rPr>
                <w:noProof/>
              </w:rPr>
            </w:pPr>
            <w:r>
              <w:rPr>
                <w:noProof/>
              </w:rPr>
              <w:t>Sorszám</w:t>
            </w:r>
          </w:p>
        </w:tc>
        <w:tc>
          <w:tcPr>
            <w:tcW w:w="3165" w:type="dxa"/>
            <w:vMerge w:val="restart"/>
            <w:shd w:val="clear" w:color="auto" w:fill="BDD7EE"/>
            <w:vAlign w:val="center"/>
            <w:hideMark/>
          </w:tcPr>
          <w:p w14:paraId="3CC57241" w14:textId="77777777" w:rsidR="003F5418" w:rsidRDefault="002A6C25">
            <w:pPr>
              <w:pStyle w:val="P68B1DB1-Normal36"/>
              <w:jc w:val="center"/>
              <w:rPr>
                <w:noProof/>
              </w:rPr>
            </w:pPr>
            <w:r>
              <w:rPr>
                <w:noProof/>
              </w:rPr>
              <w:t>Kapcsolódó intézkedés (reform vagy beruházás)</w:t>
            </w:r>
          </w:p>
        </w:tc>
        <w:tc>
          <w:tcPr>
            <w:tcW w:w="1468" w:type="dxa"/>
            <w:vMerge w:val="restart"/>
            <w:shd w:val="clear" w:color="auto" w:fill="BDD7EE"/>
            <w:vAlign w:val="center"/>
            <w:hideMark/>
          </w:tcPr>
          <w:p w14:paraId="7DBD0785" w14:textId="77777777" w:rsidR="003F5418" w:rsidRDefault="002A6C25">
            <w:pPr>
              <w:pStyle w:val="P68B1DB1-Normal36"/>
              <w:jc w:val="center"/>
              <w:rPr>
                <w:noProof/>
              </w:rPr>
            </w:pPr>
            <w:r>
              <w:rPr>
                <w:noProof/>
              </w:rPr>
              <w:t>Mérföldkő/cél</w:t>
            </w:r>
          </w:p>
        </w:tc>
        <w:tc>
          <w:tcPr>
            <w:tcW w:w="4095" w:type="dxa"/>
            <w:vMerge w:val="restart"/>
            <w:shd w:val="clear" w:color="auto" w:fill="BDD7EE"/>
            <w:vAlign w:val="center"/>
            <w:hideMark/>
          </w:tcPr>
          <w:p w14:paraId="57D66656" w14:textId="77777777" w:rsidR="003F5418" w:rsidRDefault="002A6C25">
            <w:pPr>
              <w:pStyle w:val="P68B1DB1-Normal36"/>
              <w:jc w:val="center"/>
              <w:rPr>
                <w:noProof/>
              </w:rPr>
            </w:pPr>
            <w:r>
              <w:rPr>
                <w:noProof/>
              </w:rPr>
              <w:t>Név</w:t>
            </w:r>
          </w:p>
        </w:tc>
      </w:tr>
      <w:tr w:rsidR="003F5418" w14:paraId="544011AC" w14:textId="77777777">
        <w:trPr>
          <w:trHeight w:val="517"/>
        </w:trPr>
        <w:tc>
          <w:tcPr>
            <w:tcW w:w="1413" w:type="dxa"/>
            <w:vMerge/>
            <w:vAlign w:val="center"/>
            <w:hideMark/>
          </w:tcPr>
          <w:p w14:paraId="21C5232A" w14:textId="77777777" w:rsidR="003F5418" w:rsidRDefault="003F5418">
            <w:pPr>
              <w:rPr>
                <w:b/>
                <w:noProof/>
              </w:rPr>
            </w:pPr>
          </w:p>
        </w:tc>
        <w:tc>
          <w:tcPr>
            <w:tcW w:w="3165" w:type="dxa"/>
            <w:vMerge/>
            <w:vAlign w:val="center"/>
            <w:hideMark/>
          </w:tcPr>
          <w:p w14:paraId="22E2B92F" w14:textId="77777777" w:rsidR="003F5418" w:rsidRDefault="003F5418">
            <w:pPr>
              <w:rPr>
                <w:b/>
                <w:noProof/>
              </w:rPr>
            </w:pPr>
          </w:p>
        </w:tc>
        <w:tc>
          <w:tcPr>
            <w:tcW w:w="1468" w:type="dxa"/>
            <w:vMerge/>
            <w:vAlign w:val="center"/>
            <w:hideMark/>
          </w:tcPr>
          <w:p w14:paraId="6EE6F904" w14:textId="77777777" w:rsidR="003F5418" w:rsidRDefault="003F5418">
            <w:pPr>
              <w:rPr>
                <w:b/>
                <w:noProof/>
              </w:rPr>
            </w:pPr>
          </w:p>
        </w:tc>
        <w:tc>
          <w:tcPr>
            <w:tcW w:w="4095" w:type="dxa"/>
            <w:vMerge/>
            <w:vAlign w:val="center"/>
            <w:hideMark/>
          </w:tcPr>
          <w:p w14:paraId="2DEC1075" w14:textId="77777777" w:rsidR="003F5418" w:rsidRDefault="003F5418">
            <w:pPr>
              <w:rPr>
                <w:b/>
                <w:noProof/>
              </w:rPr>
            </w:pPr>
          </w:p>
        </w:tc>
      </w:tr>
      <w:tr w:rsidR="003F5418" w14:paraId="43693D44" w14:textId="77777777">
        <w:trPr>
          <w:trHeight w:val="302"/>
        </w:trPr>
        <w:tc>
          <w:tcPr>
            <w:tcW w:w="1413" w:type="dxa"/>
            <w:shd w:val="clear" w:color="auto" w:fill="C6EFCE"/>
            <w:noWrap/>
            <w:vAlign w:val="center"/>
          </w:tcPr>
          <w:p w14:paraId="38F2E407" w14:textId="77777777" w:rsidR="003F5418" w:rsidRDefault="002A6C25">
            <w:pPr>
              <w:pStyle w:val="P68B1DB1-Normal9"/>
              <w:rPr>
                <w:noProof/>
              </w:rPr>
            </w:pPr>
            <w:r>
              <w:rPr>
                <w:noProof/>
              </w:rPr>
              <w:t>M1C1–125</w:t>
            </w:r>
          </w:p>
        </w:tc>
        <w:tc>
          <w:tcPr>
            <w:tcW w:w="3165" w:type="dxa"/>
            <w:shd w:val="clear" w:color="auto" w:fill="C6EFCE"/>
            <w:noWrap/>
            <w:vAlign w:val="center"/>
          </w:tcPr>
          <w:p w14:paraId="5922B3A3" w14:textId="77777777" w:rsidR="003F5418" w:rsidRDefault="002A6C25">
            <w:pPr>
              <w:pStyle w:val="P68B1DB1-Normal9"/>
              <w:rPr>
                <w:noProof/>
              </w:rPr>
            </w:pPr>
            <w:r>
              <w:rPr>
                <w:noProof/>
              </w:rPr>
              <w:t xml:space="preserve">Beruházás – Felhő biztosítása a helyi kifizető ügynökségek </w:t>
            </w:r>
            <w:r>
              <w:rPr>
                <w:noProof/>
              </w:rPr>
              <w:t>számára</w:t>
            </w:r>
          </w:p>
        </w:tc>
        <w:tc>
          <w:tcPr>
            <w:tcW w:w="1468" w:type="dxa"/>
            <w:shd w:val="clear" w:color="auto" w:fill="C6EFCE"/>
            <w:noWrap/>
            <w:vAlign w:val="center"/>
          </w:tcPr>
          <w:p w14:paraId="23525EEA" w14:textId="77777777" w:rsidR="003F5418" w:rsidRDefault="002A6C25">
            <w:pPr>
              <w:pStyle w:val="P68B1DB1-Normal9"/>
              <w:rPr>
                <w:noProof/>
              </w:rPr>
            </w:pPr>
            <w:r>
              <w:rPr>
                <w:noProof/>
              </w:rPr>
              <w:t>Mérföldkő</w:t>
            </w:r>
          </w:p>
        </w:tc>
        <w:tc>
          <w:tcPr>
            <w:tcW w:w="4095" w:type="dxa"/>
            <w:shd w:val="clear" w:color="auto" w:fill="C6EFCE"/>
            <w:noWrap/>
            <w:vAlign w:val="center"/>
          </w:tcPr>
          <w:p w14:paraId="2A1003A9" w14:textId="77777777" w:rsidR="003F5418" w:rsidRDefault="002A6C25">
            <w:pPr>
              <w:pStyle w:val="P68B1DB1-Normal9"/>
              <w:jc w:val="center"/>
              <w:rPr>
                <w:noProof/>
              </w:rPr>
            </w:pPr>
            <w:r>
              <w:rPr>
                <w:noProof/>
              </w:rPr>
              <w:t>(Valamennyi) nyilvános számításifelhő-engedélyezési felhívás odaítélése helyi közigazgatási pályázatok esetében</w:t>
            </w:r>
          </w:p>
        </w:tc>
      </w:tr>
      <w:tr w:rsidR="003F5418" w14:paraId="638DEFE3" w14:textId="77777777">
        <w:trPr>
          <w:trHeight w:val="302"/>
        </w:trPr>
        <w:tc>
          <w:tcPr>
            <w:tcW w:w="1413" w:type="dxa"/>
            <w:shd w:val="clear" w:color="auto" w:fill="C6EFCE"/>
            <w:noWrap/>
            <w:vAlign w:val="center"/>
          </w:tcPr>
          <w:p w14:paraId="37602F7F" w14:textId="77777777" w:rsidR="003F5418" w:rsidRDefault="002A6C25">
            <w:pPr>
              <w:pStyle w:val="P68B1DB1-Normal9"/>
              <w:rPr>
                <w:noProof/>
              </w:rPr>
            </w:pPr>
            <w:r>
              <w:rPr>
                <w:noProof/>
              </w:rPr>
              <w:t>M1C2–22</w:t>
            </w:r>
          </w:p>
        </w:tc>
        <w:tc>
          <w:tcPr>
            <w:tcW w:w="3165" w:type="dxa"/>
            <w:shd w:val="clear" w:color="auto" w:fill="C6EFCE"/>
            <w:noWrap/>
            <w:vAlign w:val="center"/>
          </w:tcPr>
          <w:p w14:paraId="000AF428" w14:textId="77777777" w:rsidR="003F5418" w:rsidRDefault="002A6C25">
            <w:pPr>
              <w:pStyle w:val="P68B1DB1-Normal9"/>
              <w:rPr>
                <w:noProof/>
              </w:rPr>
            </w:pPr>
            <w:r>
              <w:rPr>
                <w:noProof/>
              </w:rPr>
              <w:t>Beruházás: Műholdas technológia és űrgazdaság</w:t>
            </w:r>
          </w:p>
        </w:tc>
        <w:tc>
          <w:tcPr>
            <w:tcW w:w="1468" w:type="dxa"/>
            <w:shd w:val="clear" w:color="auto" w:fill="C6EFCE"/>
            <w:noWrap/>
            <w:vAlign w:val="center"/>
          </w:tcPr>
          <w:p w14:paraId="3F454DEA" w14:textId="77777777" w:rsidR="003F5418" w:rsidRDefault="002A6C25">
            <w:pPr>
              <w:pStyle w:val="P68B1DB1-Normal9"/>
              <w:rPr>
                <w:noProof/>
              </w:rPr>
            </w:pPr>
            <w:r>
              <w:rPr>
                <w:noProof/>
              </w:rPr>
              <w:t>Mérföldkő</w:t>
            </w:r>
          </w:p>
        </w:tc>
        <w:tc>
          <w:tcPr>
            <w:tcW w:w="4095" w:type="dxa"/>
            <w:shd w:val="clear" w:color="auto" w:fill="C6EFCE"/>
            <w:noWrap/>
            <w:vAlign w:val="center"/>
          </w:tcPr>
          <w:p w14:paraId="60CAEA5E" w14:textId="77777777" w:rsidR="003F5418" w:rsidRDefault="002A6C25">
            <w:pPr>
              <w:pStyle w:val="P68B1DB1-Normal9"/>
              <w:jc w:val="center"/>
              <w:rPr>
                <w:noProof/>
              </w:rPr>
            </w:pPr>
            <w:r>
              <w:rPr>
                <w:noProof/>
              </w:rPr>
              <w:t>A műholdas technológiai és űrprojektekre vonatkozó valamennyi</w:t>
            </w:r>
            <w:r>
              <w:rPr>
                <w:noProof/>
              </w:rPr>
              <w:t xml:space="preserve"> közbeszerzési szerződés odaítélése</w:t>
            </w:r>
          </w:p>
        </w:tc>
      </w:tr>
      <w:tr w:rsidR="003F5418" w14:paraId="114176DA" w14:textId="77777777">
        <w:trPr>
          <w:trHeight w:val="302"/>
        </w:trPr>
        <w:tc>
          <w:tcPr>
            <w:tcW w:w="1413" w:type="dxa"/>
            <w:shd w:val="clear" w:color="auto" w:fill="C6EFCE"/>
            <w:noWrap/>
            <w:vAlign w:val="center"/>
          </w:tcPr>
          <w:p w14:paraId="5738CC34" w14:textId="77777777" w:rsidR="003F5418" w:rsidRDefault="002A6C25">
            <w:pPr>
              <w:pStyle w:val="P68B1DB1-Normal9"/>
              <w:rPr>
                <w:noProof/>
              </w:rPr>
            </w:pPr>
            <w:r>
              <w:rPr>
                <w:noProof/>
              </w:rPr>
              <w:t>M2C2–48</w:t>
            </w:r>
          </w:p>
        </w:tc>
        <w:tc>
          <w:tcPr>
            <w:tcW w:w="3165" w:type="dxa"/>
            <w:shd w:val="clear" w:color="auto" w:fill="C6EFCE"/>
            <w:noWrap/>
            <w:vAlign w:val="center"/>
          </w:tcPr>
          <w:p w14:paraId="38FEC095" w14:textId="77777777" w:rsidR="003F5418" w:rsidRDefault="002A6C25">
            <w:pPr>
              <w:pStyle w:val="P68B1DB1-Normal9"/>
              <w:rPr>
                <w:noProof/>
              </w:rPr>
            </w:pPr>
            <w:r>
              <w:rPr>
                <w:noProof/>
              </w:rPr>
              <w:t>Beruházás: Hidrogéngyártás barnamezős területeken (hidrogénvölgyek)</w:t>
            </w:r>
          </w:p>
        </w:tc>
        <w:tc>
          <w:tcPr>
            <w:tcW w:w="1468" w:type="dxa"/>
            <w:shd w:val="clear" w:color="auto" w:fill="C6EFCE"/>
            <w:noWrap/>
            <w:vAlign w:val="center"/>
          </w:tcPr>
          <w:p w14:paraId="202ED7DE" w14:textId="77777777" w:rsidR="003F5418" w:rsidRDefault="002A6C25">
            <w:pPr>
              <w:pStyle w:val="P68B1DB1-Normal9"/>
              <w:rPr>
                <w:noProof/>
              </w:rPr>
            </w:pPr>
            <w:r>
              <w:rPr>
                <w:noProof/>
              </w:rPr>
              <w:t>Mérföldkő</w:t>
            </w:r>
          </w:p>
        </w:tc>
        <w:tc>
          <w:tcPr>
            <w:tcW w:w="4095" w:type="dxa"/>
            <w:shd w:val="clear" w:color="auto" w:fill="C6EFCE"/>
            <w:noWrap/>
            <w:vAlign w:val="center"/>
          </w:tcPr>
          <w:p w14:paraId="401C1AEB" w14:textId="77777777" w:rsidR="003F5418" w:rsidRDefault="002A6C25">
            <w:pPr>
              <w:pStyle w:val="P68B1DB1-Normal9"/>
              <w:jc w:val="center"/>
              <w:rPr>
                <w:noProof/>
              </w:rPr>
            </w:pPr>
            <w:r>
              <w:rPr>
                <w:noProof/>
              </w:rPr>
              <w:t>A hidrogénnek az elhagyott ipari központokban történő előállítására irányuló projektekre vonatkozó valamennyi közbeszerzési szerződés</w:t>
            </w:r>
            <w:r>
              <w:rPr>
                <w:noProof/>
              </w:rPr>
              <w:t xml:space="preserve"> odaítélése</w:t>
            </w:r>
          </w:p>
        </w:tc>
      </w:tr>
      <w:tr w:rsidR="003F5418" w14:paraId="2E28F66F" w14:textId="77777777">
        <w:trPr>
          <w:trHeight w:val="302"/>
        </w:trPr>
        <w:tc>
          <w:tcPr>
            <w:tcW w:w="1413" w:type="dxa"/>
            <w:shd w:val="clear" w:color="auto" w:fill="C6EFCE"/>
            <w:noWrap/>
            <w:vAlign w:val="center"/>
          </w:tcPr>
          <w:p w14:paraId="177935A1" w14:textId="77777777" w:rsidR="003F5418" w:rsidRDefault="002A6C25">
            <w:pPr>
              <w:pStyle w:val="P68B1DB1-Normal9"/>
              <w:rPr>
                <w:noProof/>
              </w:rPr>
            </w:pPr>
            <w:r>
              <w:rPr>
                <w:noProof/>
              </w:rPr>
              <w:t>M2C2–50</w:t>
            </w:r>
          </w:p>
        </w:tc>
        <w:tc>
          <w:tcPr>
            <w:tcW w:w="3165" w:type="dxa"/>
            <w:shd w:val="clear" w:color="auto" w:fill="C6EFCE"/>
            <w:noWrap/>
            <w:vAlign w:val="center"/>
          </w:tcPr>
          <w:p w14:paraId="200B3051" w14:textId="77777777" w:rsidR="003F5418" w:rsidRDefault="002A6C25">
            <w:pPr>
              <w:pStyle w:val="P68B1DB1-Normal9"/>
              <w:rPr>
                <w:noProof/>
              </w:rPr>
            </w:pPr>
            <w:r>
              <w:rPr>
                <w:noProof/>
              </w:rPr>
              <w:t>Beruházás Hidrogénfelhasználás a kibocsátáscsökkentési nehézségekkel szembenéző iparágakban</w:t>
            </w:r>
          </w:p>
        </w:tc>
        <w:tc>
          <w:tcPr>
            <w:tcW w:w="1468" w:type="dxa"/>
            <w:shd w:val="clear" w:color="auto" w:fill="C6EFCE"/>
            <w:noWrap/>
            <w:vAlign w:val="center"/>
          </w:tcPr>
          <w:p w14:paraId="68494A32" w14:textId="77777777" w:rsidR="003F5418" w:rsidRDefault="002A6C25">
            <w:pPr>
              <w:pStyle w:val="P68B1DB1-Normal9"/>
              <w:rPr>
                <w:noProof/>
              </w:rPr>
            </w:pPr>
            <w:r>
              <w:rPr>
                <w:noProof/>
              </w:rPr>
              <w:t>Mérföldkő</w:t>
            </w:r>
          </w:p>
        </w:tc>
        <w:tc>
          <w:tcPr>
            <w:tcW w:w="4095" w:type="dxa"/>
            <w:shd w:val="clear" w:color="auto" w:fill="C6EFCE"/>
            <w:noWrap/>
            <w:vAlign w:val="center"/>
          </w:tcPr>
          <w:p w14:paraId="5EB057E6" w14:textId="77777777" w:rsidR="003F5418" w:rsidRDefault="002A6C25">
            <w:pPr>
              <w:pStyle w:val="P68B1DB1-Normal9"/>
              <w:jc w:val="center"/>
              <w:rPr>
                <w:noProof/>
              </w:rPr>
            </w:pPr>
            <w:r>
              <w:rPr>
                <w:noProof/>
              </w:rPr>
              <w:t>Megállapodás a metánról a zöld hidrogénre való átállás előmozdításáról</w:t>
            </w:r>
          </w:p>
        </w:tc>
      </w:tr>
      <w:tr w:rsidR="003F5418" w14:paraId="4C4C69DD" w14:textId="77777777">
        <w:trPr>
          <w:trHeight w:val="302"/>
        </w:trPr>
        <w:tc>
          <w:tcPr>
            <w:tcW w:w="1413" w:type="dxa"/>
            <w:shd w:val="clear" w:color="auto" w:fill="C6EFCE"/>
            <w:noWrap/>
            <w:vAlign w:val="center"/>
          </w:tcPr>
          <w:p w14:paraId="7482DF08" w14:textId="77777777" w:rsidR="003F5418" w:rsidRDefault="002A6C25">
            <w:pPr>
              <w:pStyle w:val="P68B1DB1-Normal9"/>
              <w:rPr>
                <w:noProof/>
              </w:rPr>
            </w:pPr>
            <w:r>
              <w:rPr>
                <w:noProof/>
              </w:rPr>
              <w:t>M5C2–21</w:t>
            </w:r>
          </w:p>
        </w:tc>
        <w:tc>
          <w:tcPr>
            <w:tcW w:w="3165" w:type="dxa"/>
            <w:shd w:val="clear" w:color="auto" w:fill="C6EFCE"/>
            <w:noWrap/>
            <w:vAlign w:val="center"/>
          </w:tcPr>
          <w:p w14:paraId="5BB32686" w14:textId="77777777" w:rsidR="003F5418" w:rsidRDefault="002A6C25">
            <w:pPr>
              <w:pStyle w:val="P68B1DB1-Normal9"/>
              <w:rPr>
                <w:noProof/>
              </w:rPr>
            </w:pPr>
            <w:r>
              <w:rPr>
                <w:noProof/>
              </w:rPr>
              <w:t>Beruházás – Sport és társadalmi befogadás projekt</w:t>
            </w:r>
          </w:p>
        </w:tc>
        <w:tc>
          <w:tcPr>
            <w:tcW w:w="1468" w:type="dxa"/>
            <w:shd w:val="clear" w:color="auto" w:fill="C6EFCE"/>
            <w:noWrap/>
            <w:vAlign w:val="center"/>
          </w:tcPr>
          <w:p w14:paraId="02D9BCD3" w14:textId="77777777" w:rsidR="003F5418" w:rsidRDefault="002A6C25">
            <w:pPr>
              <w:pStyle w:val="P68B1DB1-Normal9"/>
              <w:rPr>
                <w:noProof/>
              </w:rPr>
            </w:pPr>
            <w:r>
              <w:rPr>
                <w:noProof/>
              </w:rPr>
              <w:t>Mérföldkő</w:t>
            </w:r>
          </w:p>
        </w:tc>
        <w:tc>
          <w:tcPr>
            <w:tcW w:w="4095" w:type="dxa"/>
            <w:shd w:val="clear" w:color="auto" w:fill="C6EFCE"/>
            <w:noWrap/>
            <w:vAlign w:val="center"/>
          </w:tcPr>
          <w:p w14:paraId="762D8B78" w14:textId="77777777" w:rsidR="003F5418" w:rsidRDefault="002A6C25">
            <w:pPr>
              <w:pStyle w:val="P68B1DB1-Normal9"/>
              <w:jc w:val="center"/>
              <w:rPr>
                <w:noProof/>
              </w:rPr>
            </w:pPr>
            <w:r>
              <w:rPr>
                <w:noProof/>
              </w:rPr>
              <w:t>A sporttal és a társadalmi befogadással kapcsolatos projektekre vonatkozó valamennyi közbeszerzési szerződés odaítélése nyilvános pályázati felhívást követően</w:t>
            </w:r>
          </w:p>
        </w:tc>
      </w:tr>
      <w:tr w:rsidR="003F5418" w14:paraId="759D8928" w14:textId="77777777">
        <w:trPr>
          <w:trHeight w:val="302"/>
        </w:trPr>
        <w:tc>
          <w:tcPr>
            <w:tcW w:w="1413" w:type="dxa"/>
            <w:shd w:val="clear" w:color="auto" w:fill="C6EFCE"/>
            <w:noWrap/>
            <w:vAlign w:val="center"/>
          </w:tcPr>
          <w:p w14:paraId="2A862A03" w14:textId="77777777" w:rsidR="003F5418" w:rsidRDefault="002A6C25">
            <w:pPr>
              <w:pStyle w:val="P68B1DB1-Normal9"/>
              <w:rPr>
                <w:noProof/>
              </w:rPr>
            </w:pPr>
            <w:r>
              <w:rPr>
                <w:noProof/>
              </w:rPr>
              <w:t>M1C3–20</w:t>
            </w:r>
          </w:p>
        </w:tc>
        <w:tc>
          <w:tcPr>
            <w:tcW w:w="3165" w:type="dxa"/>
            <w:shd w:val="clear" w:color="auto" w:fill="C6EFCE"/>
            <w:noWrap/>
            <w:vAlign w:val="center"/>
          </w:tcPr>
          <w:p w14:paraId="7806900D" w14:textId="77777777" w:rsidR="003F5418" w:rsidRDefault="002A6C25">
            <w:pPr>
              <w:pStyle w:val="P68B1DB1-Normal9"/>
              <w:rPr>
                <w:noProof/>
              </w:rPr>
            </w:pPr>
            <w:r>
              <w:rPr>
                <w:noProof/>
              </w:rPr>
              <w:t>Beruházás – A filmipar fejlesztése (Cinecittà projekt)</w:t>
            </w:r>
          </w:p>
        </w:tc>
        <w:tc>
          <w:tcPr>
            <w:tcW w:w="1468" w:type="dxa"/>
            <w:shd w:val="clear" w:color="auto" w:fill="C6EFCE"/>
            <w:noWrap/>
            <w:vAlign w:val="center"/>
          </w:tcPr>
          <w:p w14:paraId="2ED13032" w14:textId="77777777" w:rsidR="003F5418" w:rsidRDefault="002A6C25">
            <w:pPr>
              <w:pStyle w:val="P68B1DB1-Normal9"/>
              <w:rPr>
                <w:noProof/>
              </w:rPr>
            </w:pPr>
            <w:r>
              <w:rPr>
                <w:noProof/>
              </w:rPr>
              <w:t>Mérföldkő</w:t>
            </w:r>
          </w:p>
        </w:tc>
        <w:tc>
          <w:tcPr>
            <w:tcW w:w="4095" w:type="dxa"/>
            <w:shd w:val="clear" w:color="auto" w:fill="C6EFCE"/>
            <w:noWrap/>
            <w:vAlign w:val="center"/>
          </w:tcPr>
          <w:p w14:paraId="2A32B02D" w14:textId="77777777" w:rsidR="003F5418" w:rsidRDefault="002A6C25">
            <w:pPr>
              <w:pStyle w:val="P68B1DB1-Normal9"/>
              <w:jc w:val="center"/>
              <w:rPr>
                <w:noProof/>
              </w:rPr>
            </w:pPr>
            <w:r>
              <w:rPr>
                <w:noProof/>
              </w:rPr>
              <w:t xml:space="preserve">A Cinecittà </w:t>
            </w:r>
            <w:r>
              <w:rPr>
                <w:noProof/>
              </w:rPr>
              <w:t>SPA végrehajtó szerv és a társaságok közötti, kilenc stúdió építésére vonatkozó szerződések aláírása</w:t>
            </w:r>
          </w:p>
        </w:tc>
      </w:tr>
      <w:tr w:rsidR="003F5418" w14:paraId="6153FF6D" w14:textId="77777777">
        <w:trPr>
          <w:trHeight w:val="302"/>
        </w:trPr>
        <w:tc>
          <w:tcPr>
            <w:tcW w:w="1413" w:type="dxa"/>
            <w:shd w:val="clear" w:color="auto" w:fill="C6EFCE"/>
            <w:noWrap/>
            <w:vAlign w:val="center"/>
          </w:tcPr>
          <w:p w14:paraId="37A3C96E" w14:textId="77777777" w:rsidR="003F5418" w:rsidRDefault="002A6C25">
            <w:pPr>
              <w:pStyle w:val="P68B1DB1-Normal9"/>
              <w:rPr>
                <w:noProof/>
              </w:rPr>
            </w:pPr>
            <w:r>
              <w:rPr>
                <w:noProof/>
              </w:rPr>
              <w:t>M2C4–21</w:t>
            </w:r>
          </w:p>
        </w:tc>
        <w:tc>
          <w:tcPr>
            <w:tcW w:w="3165" w:type="dxa"/>
            <w:shd w:val="clear" w:color="auto" w:fill="C6EFCE"/>
            <w:noWrap/>
            <w:vAlign w:val="center"/>
          </w:tcPr>
          <w:p w14:paraId="21734B38" w14:textId="77777777" w:rsidR="003F5418" w:rsidRDefault="002A6C25">
            <w:pPr>
              <w:pStyle w:val="P68B1DB1-Normal9"/>
              <w:rPr>
                <w:noProof/>
              </w:rPr>
            </w:pPr>
            <w:r>
              <w:rPr>
                <w:noProof/>
              </w:rPr>
              <w:t>Beruházás A Po-övezet újranaturálása</w:t>
            </w:r>
          </w:p>
        </w:tc>
        <w:tc>
          <w:tcPr>
            <w:tcW w:w="1468" w:type="dxa"/>
            <w:shd w:val="clear" w:color="auto" w:fill="C6EFCE"/>
            <w:noWrap/>
            <w:vAlign w:val="center"/>
          </w:tcPr>
          <w:p w14:paraId="5F19570B" w14:textId="77777777" w:rsidR="003F5418" w:rsidRDefault="002A6C25">
            <w:pPr>
              <w:pStyle w:val="P68B1DB1-Normal9"/>
              <w:rPr>
                <w:noProof/>
              </w:rPr>
            </w:pPr>
            <w:r>
              <w:rPr>
                <w:noProof/>
              </w:rPr>
              <w:t>Mérföldkő</w:t>
            </w:r>
          </w:p>
        </w:tc>
        <w:tc>
          <w:tcPr>
            <w:tcW w:w="4095" w:type="dxa"/>
            <w:shd w:val="clear" w:color="auto" w:fill="C6EFCE"/>
            <w:noWrap/>
            <w:vAlign w:val="center"/>
          </w:tcPr>
          <w:p w14:paraId="6A2D2792" w14:textId="77777777" w:rsidR="003F5418" w:rsidRDefault="002A6C25">
            <w:pPr>
              <w:pStyle w:val="P68B1DB1-Normal9"/>
              <w:jc w:val="center"/>
              <w:rPr>
                <w:noProof/>
              </w:rPr>
            </w:pPr>
            <w:r>
              <w:rPr>
                <w:noProof/>
              </w:rPr>
              <w:t xml:space="preserve">A Po terület újranaturálására irányuló beavatkozások jogi keretének felülvizsgálata </w:t>
            </w:r>
          </w:p>
        </w:tc>
      </w:tr>
      <w:tr w:rsidR="003F5418" w14:paraId="418DD50E" w14:textId="77777777">
        <w:trPr>
          <w:trHeight w:val="302"/>
        </w:trPr>
        <w:tc>
          <w:tcPr>
            <w:tcW w:w="1413" w:type="dxa"/>
            <w:shd w:val="clear" w:color="auto" w:fill="C6EFCE"/>
            <w:noWrap/>
            <w:vAlign w:val="center"/>
          </w:tcPr>
          <w:p w14:paraId="6E7AEE4F" w14:textId="77777777" w:rsidR="003F5418" w:rsidRDefault="002A6C25">
            <w:pPr>
              <w:pStyle w:val="P68B1DB1-Normal9"/>
              <w:rPr>
                <w:noProof/>
              </w:rPr>
            </w:pPr>
            <w:r>
              <w:rPr>
                <w:noProof/>
              </w:rPr>
              <w:t>M4C1–28</w:t>
            </w:r>
          </w:p>
        </w:tc>
        <w:tc>
          <w:tcPr>
            <w:tcW w:w="3165" w:type="dxa"/>
            <w:shd w:val="clear" w:color="auto" w:fill="C6EFCE"/>
            <w:noWrap/>
            <w:vAlign w:val="center"/>
          </w:tcPr>
          <w:p w14:paraId="7D15343F" w14:textId="77777777" w:rsidR="003F5418" w:rsidRDefault="002A6C25">
            <w:pPr>
              <w:pStyle w:val="P68B1DB1-Normal9"/>
              <w:rPr>
                <w:noProof/>
              </w:rPr>
            </w:pPr>
            <w:r>
              <w:rPr>
                <w:noProof/>
              </w:rPr>
              <w:t>Reform: A diákok lakhatására vonatkozó szabályozás reformja és a diákok lakhatásába való beruházás</w:t>
            </w:r>
          </w:p>
        </w:tc>
        <w:tc>
          <w:tcPr>
            <w:tcW w:w="1468" w:type="dxa"/>
            <w:shd w:val="clear" w:color="auto" w:fill="C6EFCE"/>
            <w:noWrap/>
            <w:vAlign w:val="center"/>
          </w:tcPr>
          <w:p w14:paraId="3182564A" w14:textId="77777777" w:rsidR="003F5418" w:rsidRDefault="002A6C25">
            <w:pPr>
              <w:pStyle w:val="P68B1DB1-Normal9"/>
              <w:rPr>
                <w:noProof/>
              </w:rPr>
            </w:pPr>
            <w:r>
              <w:rPr>
                <w:noProof/>
              </w:rPr>
              <w:t>Mérföldkő</w:t>
            </w:r>
          </w:p>
        </w:tc>
        <w:tc>
          <w:tcPr>
            <w:tcW w:w="4095" w:type="dxa"/>
            <w:shd w:val="clear" w:color="auto" w:fill="C6EFCE"/>
            <w:noWrap/>
            <w:vAlign w:val="center"/>
          </w:tcPr>
          <w:p w14:paraId="70352308" w14:textId="77777777" w:rsidR="003F5418" w:rsidRDefault="002A6C25">
            <w:pPr>
              <w:pStyle w:val="P68B1DB1-Normal9"/>
              <w:jc w:val="center"/>
              <w:rPr>
                <w:noProof/>
              </w:rPr>
            </w:pPr>
            <w:r>
              <w:rPr>
                <w:noProof/>
              </w:rPr>
              <w:t xml:space="preserve"> Az első szerződések odaítélése további kollégiumi hallgatói férőhelyek (ágyak) kialakításáról</w:t>
            </w:r>
          </w:p>
        </w:tc>
      </w:tr>
      <w:tr w:rsidR="003F5418" w14:paraId="724152E2" w14:textId="77777777">
        <w:trPr>
          <w:trHeight w:val="302"/>
        </w:trPr>
        <w:tc>
          <w:tcPr>
            <w:tcW w:w="1413" w:type="dxa"/>
            <w:shd w:val="clear" w:color="auto" w:fill="C6EFCE"/>
            <w:noWrap/>
            <w:vAlign w:val="center"/>
          </w:tcPr>
          <w:p w14:paraId="79334A55" w14:textId="77777777" w:rsidR="003F5418" w:rsidRDefault="002A6C25">
            <w:pPr>
              <w:pStyle w:val="P68B1DB1-Normal9"/>
              <w:rPr>
                <w:noProof/>
              </w:rPr>
            </w:pPr>
            <w:r>
              <w:rPr>
                <w:noProof/>
              </w:rPr>
              <w:t>M4C2–12</w:t>
            </w:r>
          </w:p>
        </w:tc>
        <w:tc>
          <w:tcPr>
            <w:tcW w:w="3165" w:type="dxa"/>
            <w:shd w:val="clear" w:color="auto" w:fill="C6EFCE"/>
            <w:noWrap/>
            <w:vAlign w:val="center"/>
          </w:tcPr>
          <w:p w14:paraId="3FB78D53" w14:textId="77777777" w:rsidR="003F5418" w:rsidRDefault="002A6C25">
            <w:pPr>
              <w:pStyle w:val="P68B1DB1-Normal9"/>
              <w:rPr>
                <w:noProof/>
              </w:rPr>
            </w:pPr>
            <w:r>
              <w:rPr>
                <w:noProof/>
              </w:rPr>
              <w:t>Beruházás: KÖZÖS EURÓPAI ÉRDEKET SZOLGÁLÓ F</w:t>
            </w:r>
            <w:r>
              <w:rPr>
                <w:noProof/>
              </w:rPr>
              <w:t>ONTOS PROJEKTEK</w:t>
            </w:r>
          </w:p>
        </w:tc>
        <w:tc>
          <w:tcPr>
            <w:tcW w:w="1468" w:type="dxa"/>
            <w:shd w:val="clear" w:color="auto" w:fill="C6EFCE"/>
            <w:noWrap/>
            <w:vAlign w:val="center"/>
          </w:tcPr>
          <w:p w14:paraId="7FB57919" w14:textId="77777777" w:rsidR="003F5418" w:rsidRDefault="002A6C25">
            <w:pPr>
              <w:pStyle w:val="P68B1DB1-Normal9"/>
              <w:rPr>
                <w:noProof/>
              </w:rPr>
            </w:pPr>
            <w:r>
              <w:rPr>
                <w:noProof/>
              </w:rPr>
              <w:t>Mérföldkő</w:t>
            </w:r>
          </w:p>
        </w:tc>
        <w:tc>
          <w:tcPr>
            <w:tcW w:w="4095" w:type="dxa"/>
            <w:shd w:val="clear" w:color="auto" w:fill="C6EFCE"/>
            <w:noWrap/>
            <w:vAlign w:val="center"/>
          </w:tcPr>
          <w:p w14:paraId="6FF3AD04" w14:textId="77777777" w:rsidR="003F5418" w:rsidRDefault="002A6C25">
            <w:pPr>
              <w:pStyle w:val="P68B1DB1-Normal9"/>
              <w:jc w:val="center"/>
              <w:rPr>
                <w:noProof/>
              </w:rPr>
            </w:pPr>
            <w:r>
              <w:rPr>
                <w:noProof/>
              </w:rPr>
              <w:t>A közös európai érdeket szolgáló fontos projektek résztvevőinek listáját 2023. június 30-ig véglegesítik.</w:t>
            </w:r>
          </w:p>
        </w:tc>
      </w:tr>
      <w:tr w:rsidR="003F5418" w14:paraId="6AE4D1C6" w14:textId="77777777">
        <w:trPr>
          <w:trHeight w:val="302"/>
        </w:trPr>
        <w:tc>
          <w:tcPr>
            <w:tcW w:w="1413" w:type="dxa"/>
            <w:shd w:val="clear" w:color="auto" w:fill="C6EFCE"/>
            <w:noWrap/>
            <w:vAlign w:val="center"/>
          </w:tcPr>
          <w:p w14:paraId="4F159F9D" w14:textId="77777777" w:rsidR="003F5418" w:rsidRDefault="002A6C25">
            <w:pPr>
              <w:pStyle w:val="P68B1DB1-Normal9"/>
              <w:rPr>
                <w:noProof/>
              </w:rPr>
            </w:pPr>
            <w:r>
              <w:rPr>
                <w:noProof/>
              </w:rPr>
              <w:t>M4C2–16</w:t>
            </w:r>
          </w:p>
        </w:tc>
        <w:tc>
          <w:tcPr>
            <w:tcW w:w="3165" w:type="dxa"/>
            <w:shd w:val="clear" w:color="auto" w:fill="C6EFCE"/>
            <w:noWrap/>
            <w:vAlign w:val="center"/>
          </w:tcPr>
          <w:p w14:paraId="0B991917" w14:textId="77777777" w:rsidR="003F5418" w:rsidRDefault="002A6C25">
            <w:pPr>
              <w:pStyle w:val="P68B1DB1-Normal9"/>
              <w:rPr>
                <w:noProof/>
              </w:rPr>
            </w:pPr>
            <w:r>
              <w:rPr>
                <w:noProof/>
              </w:rPr>
              <w:t>Beruházás: A kutatási és innovációs infrastruktúrák integrált rendszerének megépítésére szolgáló alap</w:t>
            </w:r>
          </w:p>
        </w:tc>
        <w:tc>
          <w:tcPr>
            <w:tcW w:w="1468" w:type="dxa"/>
            <w:shd w:val="clear" w:color="auto" w:fill="C6EFCE"/>
            <w:noWrap/>
            <w:vAlign w:val="center"/>
          </w:tcPr>
          <w:p w14:paraId="0B642CAC" w14:textId="77777777" w:rsidR="003F5418" w:rsidRDefault="002A6C25">
            <w:pPr>
              <w:pStyle w:val="P68B1DB1-Normal9"/>
              <w:rPr>
                <w:noProof/>
              </w:rPr>
            </w:pPr>
            <w:r>
              <w:rPr>
                <w:noProof/>
              </w:rPr>
              <w:t>Cél</w:t>
            </w:r>
          </w:p>
        </w:tc>
        <w:tc>
          <w:tcPr>
            <w:tcW w:w="4095" w:type="dxa"/>
            <w:shd w:val="clear" w:color="auto" w:fill="C6EFCE"/>
            <w:noWrap/>
            <w:vAlign w:val="center"/>
          </w:tcPr>
          <w:p w14:paraId="1D12877F" w14:textId="77777777" w:rsidR="003F5418" w:rsidRDefault="002A6C25">
            <w:pPr>
              <w:pStyle w:val="P68B1DB1-Normal9"/>
              <w:jc w:val="center"/>
              <w:rPr>
                <w:noProof/>
              </w:rPr>
            </w:pPr>
            <w:r>
              <w:rPr>
                <w:noProof/>
              </w:rPr>
              <w:t xml:space="preserve">A </w:t>
            </w:r>
            <w:r>
              <w:rPr>
                <w:noProof/>
              </w:rPr>
              <w:t>finanszírozott infrastruktúrák száma</w:t>
            </w:r>
          </w:p>
        </w:tc>
      </w:tr>
      <w:tr w:rsidR="003F5418" w14:paraId="578A619D" w14:textId="77777777">
        <w:trPr>
          <w:trHeight w:val="302"/>
        </w:trPr>
        <w:tc>
          <w:tcPr>
            <w:tcW w:w="1413" w:type="dxa"/>
            <w:shd w:val="clear" w:color="auto" w:fill="C6EFCE"/>
            <w:noWrap/>
            <w:vAlign w:val="center"/>
          </w:tcPr>
          <w:p w14:paraId="6750936F" w14:textId="77777777" w:rsidR="003F5418" w:rsidRDefault="002A6C25">
            <w:pPr>
              <w:pStyle w:val="P68B1DB1-Normal9"/>
              <w:rPr>
                <w:noProof/>
              </w:rPr>
            </w:pPr>
            <w:r>
              <w:rPr>
                <w:noProof/>
              </w:rPr>
              <w:t>M5C1–18</w:t>
            </w:r>
          </w:p>
        </w:tc>
        <w:tc>
          <w:tcPr>
            <w:tcW w:w="3165" w:type="dxa"/>
            <w:shd w:val="clear" w:color="auto" w:fill="C6EFCE"/>
            <w:noWrap/>
            <w:vAlign w:val="center"/>
          </w:tcPr>
          <w:p w14:paraId="193508EE" w14:textId="77777777" w:rsidR="003F5418" w:rsidRDefault="002A6C25">
            <w:pPr>
              <w:pStyle w:val="P68B1DB1-Normal9"/>
              <w:rPr>
                <w:noProof/>
              </w:rPr>
            </w:pPr>
            <w:r>
              <w:rPr>
                <w:noProof/>
              </w:rPr>
              <w:t>Beruházás – Nők által kezdeményezett vállalkozások létrehozása</w:t>
            </w:r>
          </w:p>
        </w:tc>
        <w:tc>
          <w:tcPr>
            <w:tcW w:w="1468" w:type="dxa"/>
            <w:shd w:val="clear" w:color="auto" w:fill="C6EFCE"/>
            <w:noWrap/>
            <w:vAlign w:val="center"/>
          </w:tcPr>
          <w:p w14:paraId="22A452C0" w14:textId="77777777" w:rsidR="003F5418" w:rsidRDefault="002A6C25">
            <w:pPr>
              <w:pStyle w:val="P68B1DB1-Normal9"/>
              <w:rPr>
                <w:noProof/>
              </w:rPr>
            </w:pPr>
            <w:r>
              <w:rPr>
                <w:noProof/>
              </w:rPr>
              <w:t>Cél</w:t>
            </w:r>
          </w:p>
        </w:tc>
        <w:tc>
          <w:tcPr>
            <w:tcW w:w="4095" w:type="dxa"/>
            <w:shd w:val="clear" w:color="auto" w:fill="C6EFCE"/>
            <w:noWrap/>
            <w:vAlign w:val="center"/>
          </w:tcPr>
          <w:p w14:paraId="150763BF" w14:textId="77777777" w:rsidR="003F5418" w:rsidRDefault="002A6C25">
            <w:pPr>
              <w:pStyle w:val="P68B1DB1-Normal9"/>
              <w:jc w:val="center"/>
              <w:rPr>
                <w:noProof/>
              </w:rPr>
            </w:pPr>
            <w:r>
              <w:rPr>
                <w:noProof/>
              </w:rPr>
              <w:t xml:space="preserve">A vállalkozásoknak nyújtandó pénzügyi támogatásra kötelezettséget vállaltak </w:t>
            </w:r>
          </w:p>
        </w:tc>
      </w:tr>
      <w:tr w:rsidR="003F5418" w14:paraId="4B044FBA" w14:textId="77777777">
        <w:trPr>
          <w:trHeight w:val="302"/>
        </w:trPr>
        <w:tc>
          <w:tcPr>
            <w:tcW w:w="1413" w:type="dxa"/>
            <w:shd w:val="clear" w:color="auto" w:fill="C6EFCE"/>
            <w:noWrap/>
            <w:vAlign w:val="center"/>
          </w:tcPr>
          <w:p w14:paraId="72CFABF5" w14:textId="77777777" w:rsidR="003F5418" w:rsidRDefault="002A6C25">
            <w:pPr>
              <w:pStyle w:val="P68B1DB1-Normal9"/>
              <w:rPr>
                <w:noProof/>
              </w:rPr>
            </w:pPr>
            <w:r>
              <w:rPr>
                <w:noProof/>
              </w:rPr>
              <w:t>M6C2–14</w:t>
            </w:r>
          </w:p>
        </w:tc>
        <w:tc>
          <w:tcPr>
            <w:tcW w:w="3165" w:type="dxa"/>
            <w:shd w:val="clear" w:color="auto" w:fill="C6EFCE"/>
            <w:noWrap/>
            <w:vAlign w:val="center"/>
          </w:tcPr>
          <w:p w14:paraId="2404D3BC" w14:textId="77777777" w:rsidR="003F5418" w:rsidRDefault="002A6C25">
            <w:pPr>
              <w:pStyle w:val="P68B1DB1-Normal39"/>
              <w:rPr>
                <w:noProof/>
                <w:color w:val="006100"/>
              </w:rPr>
            </w:pPr>
            <w:r>
              <w:rPr>
                <w:noProof/>
              </w:rPr>
              <w:t>Beruházás: Az egészségügyi rendszer szakemberei műszaki-s</w:t>
            </w:r>
            <w:r>
              <w:rPr>
                <w:noProof/>
              </w:rPr>
              <w:t>zakmai, digitális és vezetői készségeinek fejlesztése</w:t>
            </w:r>
          </w:p>
        </w:tc>
        <w:tc>
          <w:tcPr>
            <w:tcW w:w="1468" w:type="dxa"/>
            <w:shd w:val="clear" w:color="auto" w:fill="C6EFCE"/>
            <w:noWrap/>
            <w:vAlign w:val="center"/>
          </w:tcPr>
          <w:p w14:paraId="683BA557" w14:textId="77777777" w:rsidR="003F5418" w:rsidRDefault="002A6C25">
            <w:pPr>
              <w:pStyle w:val="P68B1DB1-Normal39"/>
              <w:rPr>
                <w:noProof/>
                <w:color w:val="006100"/>
              </w:rPr>
            </w:pPr>
            <w:r>
              <w:rPr>
                <w:noProof/>
              </w:rPr>
              <w:t>Cél</w:t>
            </w:r>
          </w:p>
        </w:tc>
        <w:tc>
          <w:tcPr>
            <w:tcW w:w="4095" w:type="dxa"/>
            <w:shd w:val="clear" w:color="auto" w:fill="C6EFCE"/>
            <w:noWrap/>
            <w:vAlign w:val="center"/>
          </w:tcPr>
          <w:p w14:paraId="5342F6D6" w14:textId="77777777" w:rsidR="003F5418" w:rsidRDefault="002A6C25">
            <w:pPr>
              <w:pStyle w:val="P68B1DB1-Normal39"/>
              <w:jc w:val="center"/>
              <w:rPr>
                <w:noProof/>
              </w:rPr>
            </w:pPr>
            <w:r>
              <w:rPr>
                <w:noProof/>
              </w:rPr>
              <w:t>Általános orvosi képzésre szóló ösztöndíjakat ítélnek oda.</w:t>
            </w:r>
          </w:p>
        </w:tc>
      </w:tr>
      <w:tr w:rsidR="003F5418" w14:paraId="6DAB582A" w14:textId="77777777">
        <w:trPr>
          <w:trHeight w:val="302"/>
        </w:trPr>
        <w:tc>
          <w:tcPr>
            <w:tcW w:w="1413" w:type="dxa"/>
            <w:shd w:val="clear" w:color="auto" w:fill="C6EFCE"/>
            <w:noWrap/>
            <w:vAlign w:val="bottom"/>
          </w:tcPr>
          <w:p w14:paraId="7F736031" w14:textId="77777777" w:rsidR="003F5418" w:rsidRDefault="003F5418">
            <w:pPr>
              <w:jc w:val="center"/>
              <w:rPr>
                <w:noProof/>
                <w:color w:val="006100"/>
                <w:sz w:val="20"/>
              </w:rPr>
            </w:pPr>
          </w:p>
        </w:tc>
        <w:tc>
          <w:tcPr>
            <w:tcW w:w="3165" w:type="dxa"/>
            <w:shd w:val="clear" w:color="auto" w:fill="C6EFCE"/>
            <w:noWrap/>
            <w:vAlign w:val="bottom"/>
          </w:tcPr>
          <w:p w14:paraId="083E3EE6" w14:textId="77777777" w:rsidR="003F5418" w:rsidRDefault="003F5418">
            <w:pPr>
              <w:rPr>
                <w:noProof/>
                <w:color w:val="006100"/>
                <w:sz w:val="20"/>
              </w:rPr>
            </w:pPr>
          </w:p>
        </w:tc>
        <w:tc>
          <w:tcPr>
            <w:tcW w:w="1468" w:type="dxa"/>
            <w:shd w:val="clear" w:color="auto" w:fill="C6EFCE"/>
            <w:noWrap/>
            <w:vAlign w:val="bottom"/>
          </w:tcPr>
          <w:p w14:paraId="56FFC436" w14:textId="77777777" w:rsidR="003F5418" w:rsidRDefault="002A6C25">
            <w:pPr>
              <w:pStyle w:val="P68B1DB1-Normal9"/>
              <w:rPr>
                <w:noProof/>
              </w:rPr>
            </w:pPr>
            <w:r>
              <w:rPr>
                <w:noProof/>
              </w:rPr>
              <w:t>Részösszeg</w:t>
            </w:r>
          </w:p>
        </w:tc>
        <w:tc>
          <w:tcPr>
            <w:tcW w:w="4095" w:type="dxa"/>
            <w:shd w:val="clear" w:color="auto" w:fill="C6EFCE"/>
            <w:noWrap/>
            <w:vAlign w:val="bottom"/>
          </w:tcPr>
          <w:p w14:paraId="2D173079" w14:textId="79E903FC" w:rsidR="003F5418" w:rsidRDefault="002A6C25">
            <w:pPr>
              <w:pStyle w:val="P68B1DB1-Normal9"/>
              <w:rPr>
                <w:noProof/>
              </w:rPr>
            </w:pPr>
            <w:r>
              <w:rPr>
                <w:noProof/>
              </w:rPr>
              <w:t>16 611 453 220 EUR</w:t>
            </w:r>
          </w:p>
        </w:tc>
      </w:tr>
    </w:tbl>
    <w:p w14:paraId="35969FC1" w14:textId="3AF188EC" w:rsidR="003F5418" w:rsidRDefault="003F5418">
      <w:pPr>
        <w:spacing w:before="120" w:after="120"/>
        <w:jc w:val="both"/>
        <w:rPr>
          <w:rFonts w:eastAsia="Calibri"/>
          <w:noProof/>
        </w:rPr>
      </w:pPr>
    </w:p>
    <w:p w14:paraId="5F1E8679" w14:textId="77777777" w:rsidR="003F5418" w:rsidRDefault="002A6C25">
      <w:pPr>
        <w:pStyle w:val="P68B1DB1-Normal35"/>
        <w:spacing w:after="160" w:line="259" w:lineRule="auto"/>
        <w:rPr>
          <w:noProof/>
        </w:rPr>
      </w:pPr>
      <w:r>
        <w:rPr>
          <w:noProof/>
        </w:rPr>
        <w:br w:type="page"/>
      </w:r>
    </w:p>
    <w:p w14:paraId="616224AA" w14:textId="2BE33520" w:rsidR="003F5418" w:rsidRDefault="002A6C25">
      <w:pPr>
        <w:pStyle w:val="P68B1DB1-Normal35"/>
        <w:numPr>
          <w:ilvl w:val="1"/>
          <w:numId w:val="6"/>
        </w:numPr>
        <w:spacing w:before="120" w:after="120"/>
        <w:jc w:val="both"/>
        <w:rPr>
          <w:noProof/>
        </w:rPr>
      </w:pPr>
      <w:r>
        <w:rPr>
          <w:noProof/>
        </w:rPr>
        <w:t>Ötödik részlet (hiteltámogatás):</w:t>
      </w:r>
    </w:p>
    <w:tbl>
      <w:tblPr>
        <w:tblW w:w="10139" w:type="dxa"/>
        <w:tblInd w:w="113" w:type="dxa"/>
        <w:tblLook w:val="04A0" w:firstRow="1" w:lastRow="0" w:firstColumn="1" w:lastColumn="0" w:noHBand="0" w:noVBand="1"/>
      </w:tblPr>
      <w:tblGrid>
        <w:gridCol w:w="1413"/>
        <w:gridCol w:w="3195"/>
        <w:gridCol w:w="1438"/>
        <w:gridCol w:w="4093"/>
      </w:tblGrid>
      <w:tr w:rsidR="003F5418" w14:paraId="42E88692"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D256CB2"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C7A175" w14:textId="77777777" w:rsidR="003F5418" w:rsidRDefault="002A6C25">
            <w:pPr>
              <w:pStyle w:val="P68B1DB1-Normal36"/>
              <w:jc w:val="center"/>
              <w:rPr>
                <w:noProof/>
              </w:rPr>
            </w:pPr>
            <w:r>
              <w:rPr>
                <w:noProof/>
              </w:rPr>
              <w:t>Kapcsolódó intézkedés (reform vagy beruházás)</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889F991" w14:textId="77777777" w:rsidR="003F5418" w:rsidRDefault="002A6C25">
            <w:pPr>
              <w:pStyle w:val="P68B1DB1-Normal36"/>
              <w:jc w:val="center"/>
              <w:rPr>
                <w:noProof/>
              </w:rPr>
            </w:pPr>
            <w:r>
              <w:rPr>
                <w:noProof/>
              </w:rPr>
              <w:t>Mérföldkő/cél</w:t>
            </w:r>
          </w:p>
        </w:tc>
        <w:tc>
          <w:tcPr>
            <w:tcW w:w="4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0381774" w14:textId="77777777" w:rsidR="003F5418" w:rsidRDefault="002A6C25">
            <w:pPr>
              <w:pStyle w:val="P68B1DB1-Normal36"/>
              <w:jc w:val="center"/>
              <w:rPr>
                <w:noProof/>
              </w:rPr>
            </w:pPr>
            <w:r>
              <w:rPr>
                <w:noProof/>
              </w:rPr>
              <w:t>Név</w:t>
            </w:r>
          </w:p>
        </w:tc>
      </w:tr>
      <w:tr w:rsidR="003F5418" w14:paraId="643BA6A5"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D7F692D"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4BF2D0E4" w14:textId="77777777" w:rsidR="003F5418" w:rsidRDefault="003F5418">
            <w:pPr>
              <w:rPr>
                <w:b/>
                <w:noProof/>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3D44AA3F" w14:textId="77777777" w:rsidR="003F5418" w:rsidRDefault="003F5418">
            <w:pPr>
              <w:rPr>
                <w:b/>
                <w:noProof/>
              </w:rPr>
            </w:pPr>
          </w:p>
        </w:tc>
        <w:tc>
          <w:tcPr>
            <w:tcW w:w="4093" w:type="dxa"/>
            <w:vMerge/>
            <w:tcBorders>
              <w:top w:val="single" w:sz="4" w:space="0" w:color="auto"/>
              <w:left w:val="single" w:sz="4" w:space="0" w:color="auto"/>
              <w:bottom w:val="single" w:sz="4" w:space="0" w:color="auto"/>
              <w:right w:val="single" w:sz="4" w:space="0" w:color="auto"/>
            </w:tcBorders>
            <w:vAlign w:val="center"/>
            <w:hideMark/>
          </w:tcPr>
          <w:p w14:paraId="0E44108D" w14:textId="77777777" w:rsidR="003F5418" w:rsidRDefault="003F5418">
            <w:pPr>
              <w:rPr>
                <w:b/>
                <w:noProof/>
              </w:rPr>
            </w:pPr>
          </w:p>
        </w:tc>
      </w:tr>
      <w:tr w:rsidR="003F5418" w14:paraId="3493AE4A"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F74F556" w14:textId="77777777" w:rsidR="003F5418" w:rsidRDefault="002A6C25">
            <w:pPr>
              <w:pStyle w:val="P68B1DB1-Normal9"/>
              <w:jc w:val="center"/>
              <w:rPr>
                <w:noProof/>
              </w:rPr>
            </w:pPr>
            <w:r>
              <w:rPr>
                <w:noProof/>
              </w:rPr>
              <w:t>M2C3–5</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24F4C593" w14:textId="77777777" w:rsidR="003F5418" w:rsidRDefault="002A6C25">
            <w:pPr>
              <w:pStyle w:val="P68B1DB1-Normal9"/>
              <w:rPr>
                <w:noProof/>
              </w:rPr>
            </w:pPr>
            <w:r>
              <w:rPr>
                <w:noProof/>
              </w:rPr>
              <w:t xml:space="preserve">Beruházás: Új iskolák építése épületpótlással </w:t>
            </w:r>
          </w:p>
        </w:tc>
        <w:tc>
          <w:tcPr>
            <w:tcW w:w="1438" w:type="dxa"/>
            <w:tcBorders>
              <w:top w:val="single" w:sz="4" w:space="0" w:color="auto"/>
              <w:left w:val="nil"/>
              <w:bottom w:val="single" w:sz="4" w:space="0" w:color="auto"/>
              <w:right w:val="single" w:sz="4" w:space="0" w:color="auto"/>
            </w:tcBorders>
            <w:shd w:val="clear" w:color="auto" w:fill="C6EFCE"/>
            <w:noWrap/>
            <w:vAlign w:val="center"/>
          </w:tcPr>
          <w:p w14:paraId="5D4C705E" w14:textId="77777777" w:rsidR="003F5418" w:rsidRDefault="002A6C25">
            <w:pPr>
              <w:pStyle w:val="P68B1DB1-Normal9"/>
              <w:jc w:val="center"/>
              <w:rPr>
                <w:noProof/>
              </w:rPr>
            </w:pPr>
            <w:r>
              <w:rPr>
                <w:noProof/>
              </w:rPr>
              <w:t>Mérföldkő</w:t>
            </w:r>
          </w:p>
        </w:tc>
        <w:tc>
          <w:tcPr>
            <w:tcW w:w="4093" w:type="dxa"/>
            <w:tcBorders>
              <w:top w:val="single" w:sz="4" w:space="0" w:color="auto"/>
              <w:left w:val="nil"/>
              <w:bottom w:val="single" w:sz="4" w:space="0" w:color="auto"/>
              <w:right w:val="single" w:sz="4" w:space="0" w:color="auto"/>
            </w:tcBorders>
            <w:shd w:val="clear" w:color="auto" w:fill="C6EFCE"/>
            <w:noWrap/>
            <w:vAlign w:val="center"/>
          </w:tcPr>
          <w:p w14:paraId="587FA96D" w14:textId="77777777" w:rsidR="003F5418" w:rsidRDefault="002A6C25">
            <w:pPr>
              <w:pStyle w:val="P68B1DB1-Normal9"/>
              <w:jc w:val="center"/>
              <w:rPr>
                <w:noProof/>
              </w:rPr>
            </w:pPr>
            <w:r>
              <w:rPr>
                <w:noProof/>
              </w:rPr>
              <w:t xml:space="preserve">Az új iskolák építésére vonatkozó valamennyi közbeszerzési szerződés odaítélése az iskolaépületek energetikai korszerűsítését célzó épületcsere révén, közbeszerzési eljárást követően </w:t>
            </w:r>
          </w:p>
        </w:tc>
      </w:tr>
      <w:tr w:rsidR="003F5418" w14:paraId="50EECB6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9211BF" w14:textId="77777777" w:rsidR="003F5418" w:rsidRDefault="002A6C25">
            <w:pPr>
              <w:pStyle w:val="P68B1DB1-Normal9"/>
              <w:jc w:val="center"/>
              <w:rPr>
                <w:noProof/>
              </w:rPr>
            </w:pPr>
            <w:r>
              <w:rPr>
                <w:noProof/>
              </w:rPr>
              <w:t>M2C4–28</w:t>
            </w:r>
          </w:p>
        </w:tc>
        <w:tc>
          <w:tcPr>
            <w:tcW w:w="3195" w:type="dxa"/>
            <w:tcBorders>
              <w:top w:val="nil"/>
              <w:left w:val="nil"/>
              <w:bottom w:val="single" w:sz="4" w:space="0" w:color="auto"/>
              <w:right w:val="single" w:sz="4" w:space="0" w:color="auto"/>
            </w:tcBorders>
            <w:shd w:val="clear" w:color="auto" w:fill="C6EFCE"/>
            <w:noWrap/>
            <w:vAlign w:val="center"/>
          </w:tcPr>
          <w:p w14:paraId="1EBF7D18" w14:textId="77777777" w:rsidR="003F5418" w:rsidRDefault="002A6C25">
            <w:pPr>
              <w:pStyle w:val="P68B1DB1-Normal9"/>
              <w:rPr>
                <w:noProof/>
              </w:rPr>
            </w:pPr>
            <w:r>
              <w:rPr>
                <w:noProof/>
              </w:rPr>
              <w:t>Beruházás. A vízellátás biztonságát szolgáló elsődleges vízi in</w:t>
            </w:r>
            <w:r>
              <w:rPr>
                <w:noProof/>
              </w:rPr>
              <w:t>frastruktúrákba történő beruházások</w:t>
            </w:r>
          </w:p>
        </w:tc>
        <w:tc>
          <w:tcPr>
            <w:tcW w:w="1438" w:type="dxa"/>
            <w:tcBorders>
              <w:top w:val="nil"/>
              <w:left w:val="nil"/>
              <w:bottom w:val="single" w:sz="4" w:space="0" w:color="auto"/>
              <w:right w:val="single" w:sz="4" w:space="0" w:color="auto"/>
            </w:tcBorders>
            <w:shd w:val="clear" w:color="auto" w:fill="C6EFCE"/>
            <w:noWrap/>
            <w:vAlign w:val="center"/>
          </w:tcPr>
          <w:p w14:paraId="332EB7BE"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24BCC71" w14:textId="77777777" w:rsidR="003F5418" w:rsidRDefault="002A6C25">
            <w:pPr>
              <w:pStyle w:val="P68B1DB1-Normal9"/>
              <w:jc w:val="center"/>
              <w:rPr>
                <w:noProof/>
              </w:rPr>
            </w:pPr>
            <w:r>
              <w:rPr>
                <w:noProof/>
              </w:rPr>
              <w:t xml:space="preserve">Finanszírozás odaítélése valamennyi projekt számára (az elsődleges víz infrastruktúrájába és a vízellátás biztonságába történő beruházásokhoz) </w:t>
            </w:r>
          </w:p>
        </w:tc>
      </w:tr>
      <w:tr w:rsidR="003F5418" w14:paraId="780AD9C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FE7C78" w14:textId="77777777" w:rsidR="003F5418" w:rsidRDefault="002A6C25">
            <w:pPr>
              <w:pStyle w:val="P68B1DB1-Normal9"/>
              <w:jc w:val="center"/>
              <w:rPr>
                <w:noProof/>
              </w:rPr>
            </w:pPr>
            <w:r>
              <w:rPr>
                <w:noProof/>
              </w:rPr>
              <w:t>M2C4–30</w:t>
            </w:r>
          </w:p>
        </w:tc>
        <w:tc>
          <w:tcPr>
            <w:tcW w:w="3195" w:type="dxa"/>
            <w:tcBorders>
              <w:top w:val="nil"/>
              <w:left w:val="nil"/>
              <w:bottom w:val="single" w:sz="4" w:space="0" w:color="auto"/>
              <w:right w:val="single" w:sz="4" w:space="0" w:color="auto"/>
            </w:tcBorders>
            <w:shd w:val="clear" w:color="auto" w:fill="C6EFCE"/>
            <w:noWrap/>
            <w:vAlign w:val="center"/>
          </w:tcPr>
          <w:p w14:paraId="04F9F511" w14:textId="77777777" w:rsidR="003F5418" w:rsidRDefault="002A6C25">
            <w:pPr>
              <w:pStyle w:val="P68B1DB1-Normal9"/>
              <w:rPr>
                <w:noProof/>
              </w:rPr>
            </w:pPr>
            <w:r>
              <w:rPr>
                <w:noProof/>
              </w:rPr>
              <w:t xml:space="preserve">Beruházás. A vízelosztó hálózatok veszteségeinek </w:t>
            </w:r>
            <w:r>
              <w:rPr>
                <w:noProof/>
              </w:rPr>
              <w:t>csökkentése, beleértve a hálózatok digitalizálását és nyomon követését</w:t>
            </w:r>
          </w:p>
        </w:tc>
        <w:tc>
          <w:tcPr>
            <w:tcW w:w="1438" w:type="dxa"/>
            <w:tcBorders>
              <w:top w:val="nil"/>
              <w:left w:val="nil"/>
              <w:bottom w:val="single" w:sz="4" w:space="0" w:color="auto"/>
              <w:right w:val="single" w:sz="4" w:space="0" w:color="auto"/>
            </w:tcBorders>
            <w:shd w:val="clear" w:color="auto" w:fill="C6EFCE"/>
            <w:noWrap/>
            <w:vAlign w:val="center"/>
          </w:tcPr>
          <w:p w14:paraId="043B4F31"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7259BF3F" w14:textId="77777777" w:rsidR="003F5418" w:rsidRDefault="002A6C25">
            <w:pPr>
              <w:pStyle w:val="P68B1DB1-Normal9"/>
              <w:jc w:val="center"/>
              <w:rPr>
                <w:noProof/>
              </w:rPr>
            </w:pPr>
            <w:r>
              <w:rPr>
                <w:noProof/>
              </w:rPr>
              <w:t>Finanszírozás odaítélése a vízelosztó hálózatokba történő beavatkozásokhoz kapcsolódó valamennyi projekt számára, beleértve a hálózatok digitalizálását és nyomon követését is</w:t>
            </w:r>
          </w:p>
        </w:tc>
      </w:tr>
      <w:tr w:rsidR="003F5418" w14:paraId="7A0E4DC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351BE46" w14:textId="77777777" w:rsidR="003F5418" w:rsidRDefault="002A6C25">
            <w:pPr>
              <w:pStyle w:val="P68B1DB1-Normal9"/>
              <w:jc w:val="center"/>
              <w:rPr>
                <w:noProof/>
              </w:rPr>
            </w:pPr>
            <w:r>
              <w:rPr>
                <w:noProof/>
              </w:rPr>
              <w:t>M1C1–14</w:t>
            </w:r>
          </w:p>
        </w:tc>
        <w:tc>
          <w:tcPr>
            <w:tcW w:w="3195" w:type="dxa"/>
            <w:tcBorders>
              <w:top w:val="nil"/>
              <w:left w:val="nil"/>
              <w:bottom w:val="single" w:sz="4" w:space="0" w:color="auto"/>
              <w:right w:val="single" w:sz="4" w:space="0" w:color="auto"/>
            </w:tcBorders>
            <w:shd w:val="clear" w:color="auto" w:fill="C6EFCE"/>
            <w:noWrap/>
            <w:vAlign w:val="center"/>
          </w:tcPr>
          <w:p w14:paraId="01FD5D93" w14:textId="77777777" w:rsidR="003F5418" w:rsidRDefault="002A6C25">
            <w:pPr>
              <w:pStyle w:val="P68B1DB1-Normal9"/>
              <w:rPr>
                <w:noProof/>
              </w:rPr>
            </w:pPr>
            <w:r>
              <w:rPr>
                <w:noProof/>
              </w:rPr>
              <w:t>Beruházás: Az Államtanács digitalizálása</w:t>
            </w:r>
          </w:p>
        </w:tc>
        <w:tc>
          <w:tcPr>
            <w:tcW w:w="1438" w:type="dxa"/>
            <w:tcBorders>
              <w:top w:val="nil"/>
              <w:left w:val="nil"/>
              <w:bottom w:val="single" w:sz="4" w:space="0" w:color="auto"/>
              <w:right w:val="single" w:sz="4" w:space="0" w:color="auto"/>
            </w:tcBorders>
            <w:shd w:val="clear" w:color="auto" w:fill="C6EFCE"/>
            <w:noWrap/>
            <w:vAlign w:val="center"/>
          </w:tcPr>
          <w:p w14:paraId="6FFB7138"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1C33609E" w14:textId="77777777" w:rsidR="003F5418" w:rsidRDefault="002A6C25">
            <w:pPr>
              <w:pStyle w:val="P68B1DB1-Normal9"/>
              <w:jc w:val="center"/>
              <w:rPr>
                <w:noProof/>
              </w:rPr>
            </w:pPr>
            <w:r>
              <w:rPr>
                <w:noProof/>
              </w:rPr>
              <w:t>Államtanács – A T1 adatraktárban elemzésre rendelkezésre álló bírósági dokumentumok</w:t>
            </w:r>
          </w:p>
        </w:tc>
      </w:tr>
      <w:tr w:rsidR="003F5418" w14:paraId="77C018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CA0CCE" w14:textId="77777777" w:rsidR="003F5418" w:rsidRDefault="002A6C25">
            <w:pPr>
              <w:pStyle w:val="P68B1DB1-Normal9"/>
              <w:jc w:val="center"/>
              <w:rPr>
                <w:noProof/>
              </w:rPr>
            </w:pPr>
            <w:r>
              <w:rPr>
                <w:noProof/>
              </w:rPr>
              <w:t>M1C1–16</w:t>
            </w:r>
          </w:p>
        </w:tc>
        <w:tc>
          <w:tcPr>
            <w:tcW w:w="3195" w:type="dxa"/>
            <w:tcBorders>
              <w:top w:val="nil"/>
              <w:left w:val="nil"/>
              <w:bottom w:val="single" w:sz="4" w:space="0" w:color="auto"/>
              <w:right w:val="single" w:sz="4" w:space="0" w:color="auto"/>
            </w:tcBorders>
            <w:shd w:val="clear" w:color="auto" w:fill="C6EFCE"/>
            <w:noWrap/>
            <w:vAlign w:val="center"/>
          </w:tcPr>
          <w:p w14:paraId="0F5A0219" w14:textId="77777777" w:rsidR="003F5418" w:rsidRDefault="002A6C25">
            <w:pPr>
              <w:pStyle w:val="P68B1DB1-Normal9"/>
              <w:rPr>
                <w:noProof/>
              </w:rPr>
            </w:pPr>
            <w:r>
              <w:rPr>
                <w:noProof/>
              </w:rPr>
              <w:t>Beruházás: Az Államtanács digitalizálása</w:t>
            </w:r>
          </w:p>
        </w:tc>
        <w:tc>
          <w:tcPr>
            <w:tcW w:w="1438" w:type="dxa"/>
            <w:tcBorders>
              <w:top w:val="nil"/>
              <w:left w:val="nil"/>
              <w:bottom w:val="single" w:sz="4" w:space="0" w:color="auto"/>
              <w:right w:val="single" w:sz="4" w:space="0" w:color="auto"/>
            </w:tcBorders>
            <w:shd w:val="clear" w:color="auto" w:fill="C6EFCE"/>
            <w:noWrap/>
            <w:vAlign w:val="center"/>
          </w:tcPr>
          <w:p w14:paraId="0B0F2299"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5EAEECD2" w14:textId="77777777" w:rsidR="003F5418" w:rsidRDefault="002A6C25">
            <w:pPr>
              <w:pStyle w:val="P68B1DB1-Normal9"/>
              <w:jc w:val="center"/>
              <w:rPr>
                <w:noProof/>
              </w:rPr>
            </w:pPr>
            <w:r>
              <w:rPr>
                <w:noProof/>
              </w:rPr>
              <w:t xml:space="preserve">Államtanács – A T2 adatraktárban elemzésre rendelkezésre álló </w:t>
            </w:r>
            <w:r>
              <w:rPr>
                <w:noProof/>
              </w:rPr>
              <w:t>bírósági dokumentumok</w:t>
            </w:r>
          </w:p>
        </w:tc>
      </w:tr>
      <w:tr w:rsidR="003F5418" w14:paraId="23966F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F80276D" w14:textId="77777777" w:rsidR="003F5418" w:rsidRDefault="002A6C25">
            <w:pPr>
              <w:pStyle w:val="P68B1DB1-Normal9"/>
              <w:jc w:val="center"/>
              <w:rPr>
                <w:noProof/>
              </w:rPr>
            </w:pPr>
            <w:r>
              <w:rPr>
                <w:noProof/>
              </w:rPr>
              <w:t>M1C1–126.</w:t>
            </w:r>
          </w:p>
        </w:tc>
        <w:tc>
          <w:tcPr>
            <w:tcW w:w="3195" w:type="dxa"/>
            <w:tcBorders>
              <w:top w:val="nil"/>
              <w:left w:val="nil"/>
              <w:bottom w:val="single" w:sz="4" w:space="0" w:color="auto"/>
              <w:right w:val="single" w:sz="4" w:space="0" w:color="auto"/>
            </w:tcBorders>
            <w:shd w:val="clear" w:color="auto" w:fill="C6EFCE"/>
            <w:noWrap/>
            <w:vAlign w:val="center"/>
          </w:tcPr>
          <w:p w14:paraId="12755472" w14:textId="77777777" w:rsidR="003F5418" w:rsidRDefault="002A6C25">
            <w:pPr>
              <w:pStyle w:val="P68B1DB1-Normal9"/>
              <w:rPr>
                <w:noProof/>
              </w:rPr>
            </w:pPr>
            <w:r>
              <w:rPr>
                <w:noProof/>
              </w:rPr>
              <w:t>Beruházás – A PagoPA platformszolgáltatások és az „IO” alkalmazás bevezetése</w:t>
            </w:r>
          </w:p>
        </w:tc>
        <w:tc>
          <w:tcPr>
            <w:tcW w:w="1438" w:type="dxa"/>
            <w:tcBorders>
              <w:top w:val="nil"/>
              <w:left w:val="nil"/>
              <w:bottom w:val="single" w:sz="4" w:space="0" w:color="auto"/>
              <w:right w:val="single" w:sz="4" w:space="0" w:color="auto"/>
            </w:tcBorders>
            <w:shd w:val="clear" w:color="auto" w:fill="C6EFCE"/>
            <w:noWrap/>
            <w:vAlign w:val="center"/>
          </w:tcPr>
          <w:p w14:paraId="3A3556B5"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2B4C278F" w14:textId="77777777" w:rsidR="003F5418" w:rsidRDefault="002A6C25">
            <w:pPr>
              <w:pStyle w:val="P68B1DB1-Normal9"/>
              <w:jc w:val="center"/>
              <w:rPr>
                <w:noProof/>
              </w:rPr>
            </w:pPr>
            <w:r>
              <w:rPr>
                <w:noProof/>
              </w:rPr>
              <w:t>A PagoPA platformszolgáltatások (T1) elfogadása</w:t>
            </w:r>
          </w:p>
        </w:tc>
      </w:tr>
      <w:tr w:rsidR="003F5418" w14:paraId="720F550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D42E69D" w14:textId="77777777" w:rsidR="003F5418" w:rsidRDefault="002A6C25">
            <w:pPr>
              <w:pStyle w:val="P68B1DB1-Normal9"/>
              <w:jc w:val="center"/>
              <w:rPr>
                <w:noProof/>
              </w:rPr>
            </w:pPr>
            <w:r>
              <w:rPr>
                <w:noProof/>
              </w:rPr>
              <w:t>M1C1–127</w:t>
            </w:r>
          </w:p>
        </w:tc>
        <w:tc>
          <w:tcPr>
            <w:tcW w:w="3195" w:type="dxa"/>
            <w:tcBorders>
              <w:top w:val="nil"/>
              <w:left w:val="nil"/>
              <w:bottom w:val="single" w:sz="4" w:space="0" w:color="auto"/>
              <w:right w:val="single" w:sz="4" w:space="0" w:color="auto"/>
            </w:tcBorders>
            <w:shd w:val="clear" w:color="auto" w:fill="C6EFCE"/>
            <w:noWrap/>
            <w:vAlign w:val="center"/>
          </w:tcPr>
          <w:p w14:paraId="6A96062D" w14:textId="77777777" w:rsidR="003F5418" w:rsidRDefault="002A6C25">
            <w:pPr>
              <w:pStyle w:val="P68B1DB1-Normal9"/>
              <w:rPr>
                <w:noProof/>
              </w:rPr>
            </w:pPr>
            <w:r>
              <w:rPr>
                <w:noProof/>
              </w:rPr>
              <w:t>Beruházás – A PagoPA platformszolgáltatások és az „IO” alkalmazás bevezetése</w:t>
            </w:r>
          </w:p>
        </w:tc>
        <w:tc>
          <w:tcPr>
            <w:tcW w:w="1438" w:type="dxa"/>
            <w:tcBorders>
              <w:top w:val="nil"/>
              <w:left w:val="nil"/>
              <w:bottom w:val="single" w:sz="4" w:space="0" w:color="auto"/>
              <w:right w:val="single" w:sz="4" w:space="0" w:color="auto"/>
            </w:tcBorders>
            <w:shd w:val="clear" w:color="auto" w:fill="C6EFCE"/>
            <w:noWrap/>
            <w:vAlign w:val="center"/>
          </w:tcPr>
          <w:p w14:paraId="1877D0D4"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47931EBF" w14:textId="77777777" w:rsidR="003F5418" w:rsidRDefault="002A6C25">
            <w:pPr>
              <w:pStyle w:val="P68B1DB1-Normal9"/>
              <w:jc w:val="center"/>
              <w:rPr>
                <w:noProof/>
              </w:rPr>
            </w:pPr>
            <w:r>
              <w:rPr>
                <w:noProof/>
              </w:rPr>
              <w:t xml:space="preserve">Az </w:t>
            </w:r>
            <w:r>
              <w:rPr>
                <w:noProof/>
              </w:rPr>
              <w:t>„IO” alkalmazás szélesebb körű elfogadása a T1 alkalmazásban</w:t>
            </w:r>
          </w:p>
        </w:tc>
      </w:tr>
      <w:tr w:rsidR="003F5418" w14:paraId="4336CAD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3E1754" w14:textId="77777777" w:rsidR="003F5418" w:rsidRDefault="002A6C25">
            <w:pPr>
              <w:pStyle w:val="P68B1DB1-Normal9"/>
              <w:jc w:val="center"/>
              <w:rPr>
                <w:noProof/>
              </w:rPr>
            </w:pPr>
            <w:r>
              <w:rPr>
                <w:noProof/>
              </w:rPr>
              <w:t>M1C1–128.</w:t>
            </w:r>
          </w:p>
        </w:tc>
        <w:tc>
          <w:tcPr>
            <w:tcW w:w="3195" w:type="dxa"/>
            <w:tcBorders>
              <w:top w:val="nil"/>
              <w:left w:val="nil"/>
              <w:bottom w:val="single" w:sz="4" w:space="0" w:color="auto"/>
              <w:right w:val="single" w:sz="4" w:space="0" w:color="auto"/>
            </w:tcBorders>
            <w:shd w:val="clear" w:color="auto" w:fill="C6EFCE"/>
            <w:noWrap/>
            <w:vAlign w:val="center"/>
          </w:tcPr>
          <w:p w14:paraId="5611E26E" w14:textId="77777777" w:rsidR="003F5418" w:rsidRDefault="002A6C25">
            <w:pPr>
              <w:pStyle w:val="P68B1DB1-Normal9"/>
              <w:rPr>
                <w:noProof/>
              </w:rPr>
            </w:pPr>
            <w:r>
              <w:rPr>
                <w:noProof/>
              </w:rPr>
              <w:t>Beruházás – Közzétételek digitalizálása</w:t>
            </w:r>
          </w:p>
        </w:tc>
        <w:tc>
          <w:tcPr>
            <w:tcW w:w="1438" w:type="dxa"/>
            <w:tcBorders>
              <w:top w:val="nil"/>
              <w:left w:val="nil"/>
              <w:bottom w:val="single" w:sz="4" w:space="0" w:color="auto"/>
              <w:right w:val="single" w:sz="4" w:space="0" w:color="auto"/>
            </w:tcBorders>
            <w:shd w:val="clear" w:color="auto" w:fill="C6EFCE"/>
            <w:noWrap/>
            <w:vAlign w:val="center"/>
          </w:tcPr>
          <w:p w14:paraId="07288BE7"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398BCCA6" w14:textId="77777777" w:rsidR="003F5418" w:rsidRDefault="002A6C25">
            <w:pPr>
              <w:pStyle w:val="P68B1DB1-Normal9"/>
              <w:jc w:val="center"/>
              <w:rPr>
                <w:noProof/>
              </w:rPr>
            </w:pPr>
            <w:r>
              <w:rPr>
                <w:noProof/>
              </w:rPr>
              <w:t>A T1 digitális nyilvános hirdetmények elfogadásának fokozása</w:t>
            </w:r>
          </w:p>
        </w:tc>
      </w:tr>
      <w:tr w:rsidR="003F5418" w14:paraId="1A37EA6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8100EA5" w14:textId="77777777" w:rsidR="003F5418" w:rsidRDefault="002A6C25">
            <w:pPr>
              <w:pStyle w:val="P68B1DB1-Normal9"/>
              <w:jc w:val="center"/>
              <w:rPr>
                <w:noProof/>
              </w:rPr>
            </w:pPr>
            <w:r>
              <w:rPr>
                <w:noProof/>
              </w:rPr>
              <w:t>M1C1–129</w:t>
            </w:r>
          </w:p>
        </w:tc>
        <w:tc>
          <w:tcPr>
            <w:tcW w:w="3195" w:type="dxa"/>
            <w:tcBorders>
              <w:top w:val="nil"/>
              <w:left w:val="nil"/>
              <w:bottom w:val="single" w:sz="4" w:space="0" w:color="auto"/>
              <w:right w:val="single" w:sz="4" w:space="0" w:color="auto"/>
            </w:tcBorders>
            <w:shd w:val="clear" w:color="auto" w:fill="C6EFCE"/>
            <w:noWrap/>
            <w:vAlign w:val="center"/>
          </w:tcPr>
          <w:p w14:paraId="0B0E8B70" w14:textId="77777777" w:rsidR="003F5418" w:rsidRDefault="002A6C25">
            <w:pPr>
              <w:pStyle w:val="P68B1DB1-Normal9"/>
              <w:rPr>
                <w:noProof/>
              </w:rPr>
            </w:pPr>
            <w:r>
              <w:rPr>
                <w:noProof/>
              </w:rPr>
              <w:t>Beruházás – A Belügyminisztérium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480803B4"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7682FD2F" w14:textId="77777777" w:rsidR="003F5418" w:rsidRDefault="002A6C25">
            <w:pPr>
              <w:pStyle w:val="P68B1DB1-Normal9"/>
              <w:jc w:val="center"/>
              <w:rPr>
                <w:noProof/>
              </w:rPr>
            </w:pPr>
            <w:r>
              <w:rPr>
                <w:noProof/>
              </w:rPr>
              <w:t>Belügyminisztérium – T1 teljes mértékben átalakított és digitalizált folyamatok</w:t>
            </w:r>
          </w:p>
        </w:tc>
      </w:tr>
      <w:tr w:rsidR="003F5418" w14:paraId="584281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E27AA9C" w14:textId="77777777" w:rsidR="003F5418" w:rsidRDefault="002A6C25">
            <w:pPr>
              <w:pStyle w:val="P68B1DB1-Normal9"/>
              <w:jc w:val="center"/>
              <w:rPr>
                <w:noProof/>
              </w:rPr>
            </w:pPr>
            <w:r>
              <w:rPr>
                <w:noProof/>
              </w:rPr>
              <w:t>M1C1–130</w:t>
            </w:r>
          </w:p>
        </w:tc>
        <w:tc>
          <w:tcPr>
            <w:tcW w:w="3195" w:type="dxa"/>
            <w:tcBorders>
              <w:top w:val="nil"/>
              <w:left w:val="nil"/>
              <w:bottom w:val="single" w:sz="4" w:space="0" w:color="auto"/>
              <w:right w:val="single" w:sz="4" w:space="0" w:color="auto"/>
            </w:tcBorders>
            <w:shd w:val="clear" w:color="auto" w:fill="C6EFCE"/>
            <w:noWrap/>
            <w:vAlign w:val="center"/>
          </w:tcPr>
          <w:p w14:paraId="02C909ED" w14:textId="77777777" w:rsidR="003F5418" w:rsidRDefault="002A6C25">
            <w:pPr>
              <w:pStyle w:val="P68B1DB1-Normal9"/>
              <w:rPr>
                <w:noProof/>
              </w:rPr>
            </w:pPr>
            <w:r>
              <w:rPr>
                <w:noProof/>
              </w:rPr>
              <w:t>Beruházás – Az Igazságügyi Minisztérium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758E8842"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780E50E6" w14:textId="77777777" w:rsidR="003F5418" w:rsidRDefault="002A6C25">
            <w:pPr>
              <w:pStyle w:val="P68B1DB1-Normal9"/>
              <w:jc w:val="center"/>
              <w:rPr>
                <w:noProof/>
              </w:rPr>
            </w:pPr>
            <w:r>
              <w:rPr>
                <w:noProof/>
              </w:rPr>
              <w:t>Digitalizált bírósági iratok T1</w:t>
            </w:r>
          </w:p>
        </w:tc>
      </w:tr>
      <w:tr w:rsidR="003F5418" w14:paraId="2AC8790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67BA59" w14:textId="77777777" w:rsidR="003F5418" w:rsidRDefault="002A6C25">
            <w:pPr>
              <w:pStyle w:val="P68B1DB1-Normal9"/>
              <w:jc w:val="center"/>
              <w:rPr>
                <w:noProof/>
              </w:rPr>
            </w:pPr>
            <w:r>
              <w:rPr>
                <w:noProof/>
              </w:rPr>
              <w:t>M1C1–131</w:t>
            </w:r>
          </w:p>
        </w:tc>
        <w:tc>
          <w:tcPr>
            <w:tcW w:w="3195" w:type="dxa"/>
            <w:tcBorders>
              <w:top w:val="nil"/>
              <w:left w:val="nil"/>
              <w:bottom w:val="single" w:sz="4" w:space="0" w:color="auto"/>
              <w:right w:val="single" w:sz="4" w:space="0" w:color="auto"/>
            </w:tcBorders>
            <w:shd w:val="clear" w:color="auto" w:fill="C6EFCE"/>
            <w:noWrap/>
            <w:vAlign w:val="center"/>
          </w:tcPr>
          <w:p w14:paraId="4864AB78" w14:textId="77777777" w:rsidR="003F5418" w:rsidRDefault="002A6C25">
            <w:pPr>
              <w:pStyle w:val="P68B1DB1-Normal9"/>
              <w:rPr>
                <w:noProof/>
              </w:rPr>
            </w:pPr>
            <w:r>
              <w:rPr>
                <w:noProof/>
              </w:rPr>
              <w:t>Beruházás – Az Igazságügyi Minisztérium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5912EAD7"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45C8288D" w14:textId="77777777" w:rsidR="003F5418" w:rsidRDefault="002A6C25">
            <w:pPr>
              <w:pStyle w:val="P68B1DB1-Normal9"/>
              <w:jc w:val="center"/>
              <w:rPr>
                <w:noProof/>
              </w:rPr>
            </w:pPr>
            <w:r>
              <w:rPr>
                <w:noProof/>
              </w:rPr>
              <w:t>Igazságügyi adattavak tudásrendszerek T1</w:t>
            </w:r>
          </w:p>
        </w:tc>
      </w:tr>
      <w:tr w:rsidR="003F5418" w14:paraId="789605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D79FD0" w14:textId="77777777" w:rsidR="003F5418" w:rsidRDefault="002A6C25">
            <w:pPr>
              <w:pStyle w:val="P68B1DB1-Normal9"/>
              <w:jc w:val="center"/>
              <w:rPr>
                <w:noProof/>
              </w:rPr>
            </w:pPr>
            <w:r>
              <w:rPr>
                <w:noProof/>
              </w:rPr>
              <w:t>M1C1–132</w:t>
            </w:r>
          </w:p>
        </w:tc>
        <w:tc>
          <w:tcPr>
            <w:tcW w:w="3195" w:type="dxa"/>
            <w:tcBorders>
              <w:top w:val="nil"/>
              <w:left w:val="nil"/>
              <w:bottom w:val="single" w:sz="4" w:space="0" w:color="auto"/>
              <w:right w:val="single" w:sz="4" w:space="0" w:color="auto"/>
            </w:tcBorders>
            <w:shd w:val="clear" w:color="auto" w:fill="C6EFCE"/>
            <w:noWrap/>
            <w:vAlign w:val="center"/>
          </w:tcPr>
          <w:p w14:paraId="561AD716" w14:textId="77777777" w:rsidR="003F5418" w:rsidRDefault="002A6C25">
            <w:pPr>
              <w:pStyle w:val="P68B1DB1-Normal9"/>
              <w:rPr>
                <w:noProof/>
              </w:rPr>
            </w:pPr>
            <w:r>
              <w:rPr>
                <w:noProof/>
              </w:rPr>
              <w:t>Beruházás – A Nemzeti Társadalombiztosítási Intézet (INPS) és a Nemzeti Munkahelyi Balesetbiztosítási Intézet (INAIL) digitalizálása</w:t>
            </w:r>
          </w:p>
        </w:tc>
        <w:tc>
          <w:tcPr>
            <w:tcW w:w="1438" w:type="dxa"/>
            <w:tcBorders>
              <w:top w:val="nil"/>
              <w:left w:val="nil"/>
              <w:bottom w:val="single" w:sz="4" w:space="0" w:color="auto"/>
              <w:right w:val="single" w:sz="4" w:space="0" w:color="auto"/>
            </w:tcBorders>
            <w:shd w:val="clear" w:color="auto" w:fill="C6EFCE"/>
            <w:noWrap/>
            <w:vAlign w:val="center"/>
          </w:tcPr>
          <w:p w14:paraId="5EBA4FBE"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2C920351" w14:textId="77777777" w:rsidR="003F5418" w:rsidRDefault="002A6C25">
            <w:pPr>
              <w:pStyle w:val="P68B1DB1-Normal9"/>
              <w:jc w:val="center"/>
              <w:rPr>
                <w:noProof/>
              </w:rPr>
            </w:pPr>
            <w:r>
              <w:rPr>
                <w:noProof/>
              </w:rPr>
              <w:t>INPS – „Egy kattintás a tervezés szerint” szolgáltatások/tartalom T2</w:t>
            </w:r>
          </w:p>
        </w:tc>
      </w:tr>
      <w:tr w:rsidR="003F5418" w14:paraId="7D34F5C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58401D" w14:textId="77777777" w:rsidR="003F5418" w:rsidRDefault="002A6C25">
            <w:pPr>
              <w:pStyle w:val="P68B1DB1-Normal9"/>
              <w:jc w:val="center"/>
              <w:rPr>
                <w:noProof/>
              </w:rPr>
            </w:pPr>
            <w:r>
              <w:rPr>
                <w:noProof/>
              </w:rPr>
              <w:t>M1C1–133</w:t>
            </w:r>
          </w:p>
        </w:tc>
        <w:tc>
          <w:tcPr>
            <w:tcW w:w="3195" w:type="dxa"/>
            <w:tcBorders>
              <w:top w:val="nil"/>
              <w:left w:val="nil"/>
              <w:bottom w:val="single" w:sz="4" w:space="0" w:color="auto"/>
              <w:right w:val="single" w:sz="4" w:space="0" w:color="auto"/>
            </w:tcBorders>
            <w:shd w:val="clear" w:color="auto" w:fill="C6EFCE"/>
            <w:noWrap/>
            <w:vAlign w:val="center"/>
          </w:tcPr>
          <w:p w14:paraId="0AA05A1A" w14:textId="77777777" w:rsidR="003F5418" w:rsidRDefault="002A6C25">
            <w:pPr>
              <w:pStyle w:val="P68B1DB1-Normal9"/>
              <w:rPr>
                <w:noProof/>
              </w:rPr>
            </w:pPr>
            <w:r>
              <w:rPr>
                <w:noProof/>
              </w:rPr>
              <w:t>Beruházás – A Nemzeti Társadalombiztosítási Intézet (INPS) és a Nemzeti Munkahelyi Balesetbiztosítási Intézet (INAIL) digitalizálása</w:t>
            </w:r>
          </w:p>
        </w:tc>
        <w:tc>
          <w:tcPr>
            <w:tcW w:w="1438" w:type="dxa"/>
            <w:tcBorders>
              <w:top w:val="nil"/>
              <w:left w:val="nil"/>
              <w:bottom w:val="single" w:sz="4" w:space="0" w:color="auto"/>
              <w:right w:val="single" w:sz="4" w:space="0" w:color="auto"/>
            </w:tcBorders>
            <w:shd w:val="clear" w:color="auto" w:fill="C6EFCE"/>
            <w:noWrap/>
            <w:vAlign w:val="center"/>
          </w:tcPr>
          <w:p w14:paraId="44AD4873"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46C135AD" w14:textId="77777777" w:rsidR="003F5418" w:rsidRDefault="002A6C25">
            <w:pPr>
              <w:pStyle w:val="P68B1DB1-Normal9"/>
              <w:jc w:val="center"/>
              <w:rPr>
                <w:noProof/>
              </w:rPr>
            </w:pPr>
            <w:r>
              <w:rPr>
                <w:noProof/>
              </w:rPr>
              <w:t>INPS – A továbbfejlesztett információs és kommunikációs technológiákkal (IKT) rendelkező munkavállalók T2</w:t>
            </w:r>
          </w:p>
        </w:tc>
      </w:tr>
      <w:tr w:rsidR="003F5418" w14:paraId="7CD396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C5BB84" w14:textId="77777777" w:rsidR="003F5418" w:rsidRDefault="002A6C25">
            <w:pPr>
              <w:pStyle w:val="P68B1DB1-Normal9"/>
              <w:jc w:val="center"/>
              <w:rPr>
                <w:noProof/>
              </w:rPr>
            </w:pPr>
            <w:r>
              <w:rPr>
                <w:noProof/>
              </w:rPr>
              <w:t>M1C1–134</w:t>
            </w:r>
          </w:p>
        </w:tc>
        <w:tc>
          <w:tcPr>
            <w:tcW w:w="3195" w:type="dxa"/>
            <w:tcBorders>
              <w:top w:val="nil"/>
              <w:left w:val="nil"/>
              <w:bottom w:val="single" w:sz="4" w:space="0" w:color="auto"/>
              <w:right w:val="single" w:sz="4" w:space="0" w:color="auto"/>
            </w:tcBorders>
            <w:shd w:val="clear" w:color="auto" w:fill="C6EFCE"/>
            <w:noWrap/>
            <w:vAlign w:val="center"/>
          </w:tcPr>
          <w:p w14:paraId="03B7AA46" w14:textId="77777777" w:rsidR="003F5418" w:rsidRDefault="002A6C25">
            <w:pPr>
              <w:pStyle w:val="P68B1DB1-Normal9"/>
              <w:rPr>
                <w:noProof/>
              </w:rPr>
            </w:pPr>
            <w:r>
              <w:rPr>
                <w:noProof/>
              </w:rPr>
              <w:t>Beruházás – A Nemzeti Társadalombiztosítási Intézet (INPS) és a Nemzeti Munkahelyi Balesetbiztosítási Intézet (INAIL) digitalizálása</w:t>
            </w:r>
          </w:p>
        </w:tc>
        <w:tc>
          <w:tcPr>
            <w:tcW w:w="1438" w:type="dxa"/>
            <w:tcBorders>
              <w:top w:val="nil"/>
              <w:left w:val="nil"/>
              <w:bottom w:val="single" w:sz="4" w:space="0" w:color="auto"/>
              <w:right w:val="single" w:sz="4" w:space="0" w:color="auto"/>
            </w:tcBorders>
            <w:shd w:val="clear" w:color="auto" w:fill="C6EFCE"/>
            <w:noWrap/>
            <w:vAlign w:val="center"/>
          </w:tcPr>
          <w:p w14:paraId="380BE186"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3AD79DF5" w14:textId="77777777" w:rsidR="003F5418" w:rsidRDefault="002A6C25">
            <w:pPr>
              <w:pStyle w:val="P68B1DB1-Normal9"/>
              <w:jc w:val="center"/>
              <w:rPr>
                <w:noProof/>
              </w:rPr>
            </w:pPr>
            <w:r>
              <w:rPr>
                <w:noProof/>
              </w:rPr>
              <w:t>INAIL – T1 teljesen átalakított és digitalizált folyamatok/szolgáltatások</w:t>
            </w:r>
          </w:p>
        </w:tc>
      </w:tr>
      <w:tr w:rsidR="003F5418" w14:paraId="38ABFC5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3D8B17" w14:textId="77777777" w:rsidR="003F5418" w:rsidRDefault="002A6C25">
            <w:pPr>
              <w:pStyle w:val="P68B1DB1-Normal9"/>
              <w:jc w:val="center"/>
              <w:rPr>
                <w:noProof/>
              </w:rPr>
            </w:pPr>
            <w:r>
              <w:rPr>
                <w:noProof/>
              </w:rPr>
              <w:t>M1C1–135</w:t>
            </w:r>
          </w:p>
        </w:tc>
        <w:tc>
          <w:tcPr>
            <w:tcW w:w="3195" w:type="dxa"/>
            <w:tcBorders>
              <w:top w:val="nil"/>
              <w:left w:val="nil"/>
              <w:bottom w:val="single" w:sz="4" w:space="0" w:color="auto"/>
              <w:right w:val="single" w:sz="4" w:space="0" w:color="auto"/>
            </w:tcBorders>
            <w:shd w:val="clear" w:color="auto" w:fill="C6EFCE"/>
            <w:noWrap/>
            <w:vAlign w:val="center"/>
          </w:tcPr>
          <w:p w14:paraId="400DC87F" w14:textId="77777777" w:rsidR="003F5418" w:rsidRDefault="002A6C25">
            <w:pPr>
              <w:pStyle w:val="P68B1DB1-Normal9"/>
              <w:rPr>
                <w:noProof/>
              </w:rPr>
            </w:pPr>
            <w:r>
              <w:rPr>
                <w:noProof/>
              </w:rPr>
              <w:t>Beruházás – A Védelmi Mini</w:t>
            </w:r>
            <w:r>
              <w:rPr>
                <w:noProof/>
              </w:rPr>
              <w:t>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6BD1937D"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62141D11" w14:textId="77777777" w:rsidR="003F5418" w:rsidRDefault="002A6C25">
            <w:pPr>
              <w:pStyle w:val="P68B1DB1-Normal9"/>
              <w:jc w:val="center"/>
              <w:rPr>
                <w:noProof/>
              </w:rPr>
            </w:pPr>
            <w:r>
              <w:rPr>
                <w:noProof/>
              </w:rPr>
              <w:t>Védelmi Minisztérium – Az eljárások digitalizálása T1</w:t>
            </w:r>
          </w:p>
        </w:tc>
      </w:tr>
      <w:tr w:rsidR="003F5418" w14:paraId="67E1B1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8FCE71B" w14:textId="77777777" w:rsidR="003F5418" w:rsidRDefault="002A6C25">
            <w:pPr>
              <w:pStyle w:val="P68B1DB1-Normal9"/>
              <w:jc w:val="center"/>
              <w:rPr>
                <w:noProof/>
              </w:rPr>
            </w:pPr>
            <w:r>
              <w:rPr>
                <w:noProof/>
              </w:rPr>
              <w:t>M1C1–136.</w:t>
            </w:r>
          </w:p>
        </w:tc>
        <w:tc>
          <w:tcPr>
            <w:tcW w:w="3195" w:type="dxa"/>
            <w:tcBorders>
              <w:top w:val="nil"/>
              <w:left w:val="nil"/>
              <w:bottom w:val="single" w:sz="4" w:space="0" w:color="auto"/>
              <w:right w:val="single" w:sz="4" w:space="0" w:color="auto"/>
            </w:tcBorders>
            <w:shd w:val="clear" w:color="auto" w:fill="C6EFCE"/>
            <w:noWrap/>
            <w:vAlign w:val="center"/>
          </w:tcPr>
          <w:p w14:paraId="593ACB8D" w14:textId="77777777" w:rsidR="003F5418" w:rsidRDefault="002A6C25">
            <w:pPr>
              <w:pStyle w:val="P68B1DB1-Normal9"/>
              <w:rPr>
                <w:noProof/>
              </w:rPr>
            </w:pPr>
            <w:r>
              <w:rPr>
                <w:noProof/>
              </w:rPr>
              <w:t>Beruházás – A Védelmi Minisztérium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3F9FCAC5"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7032CCA4" w14:textId="77777777" w:rsidR="003F5418" w:rsidRDefault="002A6C25">
            <w:pPr>
              <w:pStyle w:val="P68B1DB1-Normal9"/>
              <w:jc w:val="center"/>
              <w:rPr>
                <w:noProof/>
              </w:rPr>
            </w:pPr>
            <w:r>
              <w:rPr>
                <w:noProof/>
              </w:rPr>
              <w:t>Védelmi Minisztérium – A T1 tanúsítványok digitalizálása</w:t>
            </w:r>
          </w:p>
        </w:tc>
      </w:tr>
      <w:tr w:rsidR="003F5418" w14:paraId="571D029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523B21" w14:textId="77777777" w:rsidR="003F5418" w:rsidRDefault="002A6C25">
            <w:pPr>
              <w:pStyle w:val="P68B1DB1-Normal9"/>
              <w:jc w:val="center"/>
              <w:rPr>
                <w:noProof/>
              </w:rPr>
            </w:pPr>
            <w:r>
              <w:rPr>
                <w:noProof/>
              </w:rPr>
              <w:t>M1C1–137</w:t>
            </w:r>
          </w:p>
        </w:tc>
        <w:tc>
          <w:tcPr>
            <w:tcW w:w="3195" w:type="dxa"/>
            <w:tcBorders>
              <w:top w:val="nil"/>
              <w:left w:val="nil"/>
              <w:bottom w:val="single" w:sz="4" w:space="0" w:color="auto"/>
              <w:right w:val="single" w:sz="4" w:space="0" w:color="auto"/>
            </w:tcBorders>
            <w:shd w:val="clear" w:color="auto" w:fill="C6EFCE"/>
            <w:noWrap/>
            <w:vAlign w:val="center"/>
          </w:tcPr>
          <w:p w14:paraId="65B3410B" w14:textId="77777777" w:rsidR="003F5418" w:rsidRDefault="002A6C25">
            <w:pPr>
              <w:pStyle w:val="P68B1DB1-Normal9"/>
              <w:rPr>
                <w:noProof/>
              </w:rPr>
            </w:pPr>
            <w:r>
              <w:rPr>
                <w:noProof/>
              </w:rPr>
              <w:t xml:space="preserve">Beruházás – A Védelmi Minisztérium </w:t>
            </w:r>
            <w:r>
              <w:rPr>
                <w:noProof/>
              </w:rPr>
              <w:t>digitalizálása</w:t>
            </w:r>
          </w:p>
        </w:tc>
        <w:tc>
          <w:tcPr>
            <w:tcW w:w="1438" w:type="dxa"/>
            <w:tcBorders>
              <w:top w:val="nil"/>
              <w:left w:val="nil"/>
              <w:bottom w:val="single" w:sz="4" w:space="0" w:color="auto"/>
              <w:right w:val="single" w:sz="4" w:space="0" w:color="auto"/>
            </w:tcBorders>
            <w:shd w:val="clear" w:color="auto" w:fill="C6EFCE"/>
            <w:noWrap/>
            <w:vAlign w:val="center"/>
          </w:tcPr>
          <w:p w14:paraId="28D33DF5"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4AFC9640" w14:textId="77777777" w:rsidR="003F5418" w:rsidRDefault="002A6C25">
            <w:pPr>
              <w:pStyle w:val="P68B1DB1-Normal9"/>
              <w:jc w:val="center"/>
              <w:rPr>
                <w:noProof/>
              </w:rPr>
            </w:pPr>
            <w:r>
              <w:rPr>
                <w:noProof/>
              </w:rPr>
              <w:t>Védelmi Minisztérium – intézményi internetes portálok és intranetes portálok üzembe helyezése</w:t>
            </w:r>
          </w:p>
        </w:tc>
      </w:tr>
      <w:tr w:rsidR="003F5418" w14:paraId="233824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F87568" w14:textId="77777777" w:rsidR="003F5418" w:rsidRDefault="002A6C25">
            <w:pPr>
              <w:pStyle w:val="P68B1DB1-Normal9"/>
              <w:jc w:val="center"/>
              <w:rPr>
                <w:noProof/>
              </w:rPr>
            </w:pPr>
            <w:r>
              <w:rPr>
                <w:noProof/>
              </w:rPr>
              <w:t>M1C1–138.</w:t>
            </w:r>
          </w:p>
        </w:tc>
        <w:tc>
          <w:tcPr>
            <w:tcW w:w="3195" w:type="dxa"/>
            <w:tcBorders>
              <w:top w:val="nil"/>
              <w:left w:val="nil"/>
              <w:bottom w:val="single" w:sz="4" w:space="0" w:color="auto"/>
              <w:right w:val="single" w:sz="4" w:space="0" w:color="auto"/>
            </w:tcBorders>
            <w:shd w:val="clear" w:color="auto" w:fill="C6EFCE"/>
            <w:noWrap/>
            <w:vAlign w:val="center"/>
          </w:tcPr>
          <w:p w14:paraId="6CBCCC81" w14:textId="77777777" w:rsidR="003F5418" w:rsidRDefault="002A6C25">
            <w:pPr>
              <w:pStyle w:val="P68B1DB1-Normal9"/>
              <w:rPr>
                <w:noProof/>
              </w:rPr>
            </w:pPr>
            <w:r>
              <w:rPr>
                <w:noProof/>
              </w:rPr>
              <w:t>Beruházás – A Védelmi Minisztérium digitalizálása</w:t>
            </w:r>
          </w:p>
        </w:tc>
        <w:tc>
          <w:tcPr>
            <w:tcW w:w="1438" w:type="dxa"/>
            <w:tcBorders>
              <w:top w:val="nil"/>
              <w:left w:val="nil"/>
              <w:bottom w:val="single" w:sz="4" w:space="0" w:color="auto"/>
              <w:right w:val="single" w:sz="4" w:space="0" w:color="auto"/>
            </w:tcBorders>
            <w:shd w:val="clear" w:color="auto" w:fill="C6EFCE"/>
            <w:noWrap/>
            <w:vAlign w:val="center"/>
          </w:tcPr>
          <w:p w14:paraId="21FE53C5"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34E07D6A" w14:textId="77777777" w:rsidR="003F5418" w:rsidRDefault="002A6C25">
            <w:pPr>
              <w:pStyle w:val="P68B1DB1-Normal9"/>
              <w:jc w:val="center"/>
              <w:rPr>
                <w:noProof/>
              </w:rPr>
            </w:pPr>
            <w:r>
              <w:rPr>
                <w:noProof/>
              </w:rPr>
              <w:t>Védelmi Minisztérium – A nem misszió szempontjából kritikus alkalmazások</w:t>
            </w:r>
            <w:r>
              <w:rPr>
                <w:noProof/>
              </w:rPr>
              <w:t xml:space="preserve"> átminősítése az infrastrukturális nyitottság általi teljes körű információvédelem érdekében (S.C.I.P.I.O.) T1</w:t>
            </w:r>
          </w:p>
        </w:tc>
      </w:tr>
      <w:tr w:rsidR="003F5418" w14:paraId="45429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BEF39A7" w14:textId="77777777" w:rsidR="003F5418" w:rsidRDefault="002A6C25">
            <w:pPr>
              <w:pStyle w:val="P68B1DB1-Normal9"/>
              <w:jc w:val="center"/>
              <w:rPr>
                <w:noProof/>
              </w:rPr>
            </w:pPr>
            <w:r>
              <w:rPr>
                <w:noProof/>
              </w:rPr>
              <w:t>M1C2–29</w:t>
            </w:r>
          </w:p>
        </w:tc>
        <w:tc>
          <w:tcPr>
            <w:tcW w:w="3195" w:type="dxa"/>
            <w:tcBorders>
              <w:top w:val="nil"/>
              <w:left w:val="nil"/>
              <w:bottom w:val="single" w:sz="4" w:space="0" w:color="auto"/>
              <w:right w:val="single" w:sz="4" w:space="0" w:color="auto"/>
            </w:tcBorders>
            <w:shd w:val="clear" w:color="auto" w:fill="C6EFCE"/>
            <w:noWrap/>
            <w:vAlign w:val="center"/>
          </w:tcPr>
          <w:p w14:paraId="6383834C" w14:textId="77777777" w:rsidR="003F5418" w:rsidRDefault="002A6C25">
            <w:pPr>
              <w:pStyle w:val="P68B1DB1-Normal9"/>
              <w:rPr>
                <w:noProof/>
              </w:rPr>
            </w:pPr>
            <w:r>
              <w:rPr>
                <w:noProof/>
              </w:rPr>
              <w:t>Beruházás: Az ellátási láncok versenyképessége és rezilienciája</w:t>
            </w:r>
          </w:p>
        </w:tc>
        <w:tc>
          <w:tcPr>
            <w:tcW w:w="1438" w:type="dxa"/>
            <w:tcBorders>
              <w:top w:val="nil"/>
              <w:left w:val="nil"/>
              <w:bottom w:val="single" w:sz="4" w:space="0" w:color="auto"/>
              <w:right w:val="single" w:sz="4" w:space="0" w:color="auto"/>
            </w:tcBorders>
            <w:shd w:val="clear" w:color="auto" w:fill="C6EFCE"/>
            <w:noWrap/>
            <w:vAlign w:val="center"/>
          </w:tcPr>
          <w:p w14:paraId="4750ED53"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06AD6684" w14:textId="77777777" w:rsidR="003F5418" w:rsidRDefault="002A6C25">
            <w:pPr>
              <w:pStyle w:val="P68B1DB1-Normal9"/>
              <w:jc w:val="center"/>
              <w:rPr>
                <w:noProof/>
              </w:rPr>
            </w:pPr>
            <w:r>
              <w:rPr>
                <w:noProof/>
              </w:rPr>
              <w:t>Jóváhagyott fejlesztési szerződések</w:t>
            </w:r>
          </w:p>
        </w:tc>
      </w:tr>
      <w:tr w:rsidR="003F5418" w14:paraId="21F55A5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7C3D2B" w14:textId="77777777" w:rsidR="003F5418" w:rsidRDefault="002A6C25">
            <w:pPr>
              <w:pStyle w:val="P68B1DB1-Normal9"/>
              <w:jc w:val="center"/>
              <w:rPr>
                <w:noProof/>
              </w:rPr>
            </w:pPr>
            <w:r>
              <w:rPr>
                <w:noProof/>
              </w:rPr>
              <w:t>M2C1–15a</w:t>
            </w:r>
          </w:p>
        </w:tc>
        <w:tc>
          <w:tcPr>
            <w:tcW w:w="3195" w:type="dxa"/>
            <w:tcBorders>
              <w:top w:val="nil"/>
              <w:left w:val="nil"/>
              <w:bottom w:val="single" w:sz="4" w:space="0" w:color="auto"/>
              <w:right w:val="single" w:sz="4" w:space="0" w:color="auto"/>
            </w:tcBorders>
            <w:shd w:val="clear" w:color="auto" w:fill="C6EFCE"/>
            <w:noWrap/>
            <w:vAlign w:val="center"/>
          </w:tcPr>
          <w:p w14:paraId="07435418" w14:textId="77777777" w:rsidR="003F5418" w:rsidRDefault="002A6C25">
            <w:pPr>
              <w:pStyle w:val="P68B1DB1-Normal9"/>
              <w:rPr>
                <w:noProof/>
              </w:rPr>
            </w:pPr>
            <w:r>
              <w:rPr>
                <w:noProof/>
              </w:rPr>
              <w:t>Reform: Nemzeti hullad</w:t>
            </w:r>
            <w:r>
              <w:rPr>
                <w:noProof/>
              </w:rPr>
              <w:t>ékgazdálkodási program:  Beruházás – Új hulladékkezelő üzemek megvalósítása és a meglévő üzemek korszerűsítése</w:t>
            </w:r>
          </w:p>
        </w:tc>
        <w:tc>
          <w:tcPr>
            <w:tcW w:w="1438" w:type="dxa"/>
            <w:tcBorders>
              <w:top w:val="nil"/>
              <w:left w:val="nil"/>
              <w:bottom w:val="single" w:sz="4" w:space="0" w:color="auto"/>
              <w:right w:val="single" w:sz="4" w:space="0" w:color="auto"/>
            </w:tcBorders>
            <w:shd w:val="clear" w:color="auto" w:fill="C6EFCE"/>
            <w:noWrap/>
            <w:vAlign w:val="center"/>
          </w:tcPr>
          <w:p w14:paraId="3CFDDC69"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71FD6AC1" w14:textId="77777777" w:rsidR="003F5418" w:rsidRDefault="002A6C25">
            <w:pPr>
              <w:pStyle w:val="P68B1DB1-Normal9"/>
              <w:jc w:val="center"/>
              <w:rPr>
                <w:noProof/>
              </w:rPr>
            </w:pPr>
            <w:r>
              <w:rPr>
                <w:noProof/>
              </w:rPr>
              <w:t>Az illegális hulladéklerakók számának csökkentése (T2)</w:t>
            </w:r>
          </w:p>
        </w:tc>
      </w:tr>
      <w:tr w:rsidR="003F5418" w14:paraId="13FCC9F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C966DA0" w14:textId="77777777" w:rsidR="003F5418" w:rsidRDefault="002A6C25">
            <w:pPr>
              <w:pStyle w:val="P68B1DB1-Normal9"/>
              <w:jc w:val="center"/>
              <w:rPr>
                <w:noProof/>
              </w:rPr>
            </w:pPr>
            <w:r>
              <w:rPr>
                <w:noProof/>
              </w:rPr>
              <w:t>M2C1–15ter</w:t>
            </w:r>
          </w:p>
        </w:tc>
        <w:tc>
          <w:tcPr>
            <w:tcW w:w="3195" w:type="dxa"/>
            <w:tcBorders>
              <w:top w:val="nil"/>
              <w:left w:val="nil"/>
              <w:bottom w:val="single" w:sz="4" w:space="0" w:color="auto"/>
              <w:right w:val="single" w:sz="4" w:space="0" w:color="auto"/>
            </w:tcBorders>
            <w:shd w:val="clear" w:color="auto" w:fill="C6EFCE"/>
            <w:noWrap/>
            <w:vAlign w:val="center"/>
          </w:tcPr>
          <w:p w14:paraId="11F886AB" w14:textId="77777777" w:rsidR="003F5418" w:rsidRDefault="002A6C25">
            <w:pPr>
              <w:pStyle w:val="P68B1DB1-Normal9"/>
              <w:rPr>
                <w:noProof/>
              </w:rPr>
            </w:pPr>
            <w:r>
              <w:rPr>
                <w:noProof/>
              </w:rPr>
              <w:t>Reform: Nemzeti hulladékgazdálkodási program:  Beruházás</w:t>
            </w:r>
            <w:r>
              <w:rPr>
                <w:noProof/>
              </w:rPr>
              <w:t xml:space="preserve"> – Új hulladékkezelő üzemek megvalósítása és a meglévő üzemek korszerűsítése</w:t>
            </w:r>
          </w:p>
        </w:tc>
        <w:tc>
          <w:tcPr>
            <w:tcW w:w="1438" w:type="dxa"/>
            <w:tcBorders>
              <w:top w:val="nil"/>
              <w:left w:val="nil"/>
              <w:bottom w:val="single" w:sz="4" w:space="0" w:color="auto"/>
              <w:right w:val="single" w:sz="4" w:space="0" w:color="auto"/>
            </w:tcBorders>
            <w:shd w:val="clear" w:color="auto" w:fill="C6EFCE"/>
            <w:noWrap/>
            <w:vAlign w:val="center"/>
          </w:tcPr>
          <w:p w14:paraId="0653050C"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39F5564E" w14:textId="77777777" w:rsidR="003F5418" w:rsidRDefault="002A6C25">
            <w:pPr>
              <w:pStyle w:val="P68B1DB1-Normal9"/>
              <w:jc w:val="center"/>
              <w:rPr>
                <w:noProof/>
              </w:rPr>
            </w:pPr>
            <w:r>
              <w:rPr>
                <w:noProof/>
              </w:rPr>
              <w:t>Regionális különbségek az elkülönített gyűjtésben</w:t>
            </w:r>
          </w:p>
        </w:tc>
      </w:tr>
      <w:tr w:rsidR="003F5418" w14:paraId="468E98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DD34EA" w14:textId="77777777" w:rsidR="003F5418" w:rsidRDefault="002A6C25">
            <w:pPr>
              <w:pStyle w:val="P68B1DB1-Normal9"/>
              <w:jc w:val="center"/>
              <w:rPr>
                <w:noProof/>
              </w:rPr>
            </w:pPr>
            <w:r>
              <w:rPr>
                <w:noProof/>
              </w:rPr>
              <w:t>M2C1–15 quater</w:t>
            </w:r>
          </w:p>
        </w:tc>
        <w:tc>
          <w:tcPr>
            <w:tcW w:w="3195" w:type="dxa"/>
            <w:tcBorders>
              <w:top w:val="nil"/>
              <w:left w:val="nil"/>
              <w:bottom w:val="single" w:sz="4" w:space="0" w:color="auto"/>
              <w:right w:val="single" w:sz="4" w:space="0" w:color="auto"/>
            </w:tcBorders>
            <w:shd w:val="clear" w:color="auto" w:fill="C6EFCE"/>
            <w:noWrap/>
            <w:vAlign w:val="center"/>
          </w:tcPr>
          <w:p w14:paraId="3843DE95" w14:textId="77777777" w:rsidR="003F5418" w:rsidRDefault="002A6C25">
            <w:pPr>
              <w:pStyle w:val="P68B1DB1-Normal9"/>
              <w:rPr>
                <w:noProof/>
              </w:rPr>
            </w:pPr>
            <w:r>
              <w:rPr>
                <w:noProof/>
              </w:rPr>
              <w:t>Beruházás – Új hulladékkezelő üzemek megvalósítása és a meglévő üzemek korszerűsítése</w:t>
            </w:r>
          </w:p>
        </w:tc>
        <w:tc>
          <w:tcPr>
            <w:tcW w:w="1438" w:type="dxa"/>
            <w:tcBorders>
              <w:top w:val="nil"/>
              <w:left w:val="nil"/>
              <w:bottom w:val="single" w:sz="4" w:space="0" w:color="auto"/>
              <w:right w:val="single" w:sz="4" w:space="0" w:color="auto"/>
            </w:tcBorders>
            <w:shd w:val="clear" w:color="auto" w:fill="C6EFCE"/>
            <w:noWrap/>
            <w:vAlign w:val="center"/>
          </w:tcPr>
          <w:p w14:paraId="1EBED159"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1972074B" w14:textId="77777777" w:rsidR="003F5418" w:rsidRDefault="002A6C25">
            <w:pPr>
              <w:pStyle w:val="P68B1DB1-Normal9"/>
              <w:jc w:val="center"/>
              <w:rPr>
                <w:noProof/>
              </w:rPr>
            </w:pPr>
            <w:r>
              <w:rPr>
                <w:noProof/>
              </w:rPr>
              <w:t>A biohulladék</w:t>
            </w:r>
            <w:r>
              <w:rPr>
                <w:noProof/>
              </w:rPr>
              <w:t xml:space="preserve"> elkülönített gyűjtésére vonatkozó kötelezettség hatálybalépése</w:t>
            </w:r>
          </w:p>
        </w:tc>
      </w:tr>
      <w:tr w:rsidR="003F5418" w14:paraId="33DC747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7A2858" w14:textId="77777777" w:rsidR="003F5418" w:rsidRDefault="002A6C25">
            <w:pPr>
              <w:pStyle w:val="P68B1DB1-Normal9"/>
              <w:jc w:val="center"/>
              <w:rPr>
                <w:noProof/>
              </w:rPr>
            </w:pPr>
            <w:r>
              <w:rPr>
                <w:noProof/>
              </w:rPr>
              <w:t>M2C2–24</w:t>
            </w:r>
          </w:p>
        </w:tc>
        <w:tc>
          <w:tcPr>
            <w:tcW w:w="3195" w:type="dxa"/>
            <w:tcBorders>
              <w:top w:val="nil"/>
              <w:left w:val="nil"/>
              <w:bottom w:val="single" w:sz="4" w:space="0" w:color="auto"/>
              <w:right w:val="single" w:sz="4" w:space="0" w:color="auto"/>
            </w:tcBorders>
            <w:shd w:val="clear" w:color="auto" w:fill="C6EFCE"/>
            <w:noWrap/>
            <w:vAlign w:val="center"/>
          </w:tcPr>
          <w:p w14:paraId="546AB240" w14:textId="77777777" w:rsidR="003F5418" w:rsidRDefault="002A6C25">
            <w:pPr>
              <w:pStyle w:val="P68B1DB1-Normal9"/>
              <w:rPr>
                <w:noProof/>
              </w:rPr>
            </w:pPr>
            <w:r>
              <w:rPr>
                <w:noProof/>
              </w:rPr>
              <w:t xml:space="preserve">Beruházás: Gyors tömegszállítási rendszerek fejlesztése </w:t>
            </w:r>
          </w:p>
        </w:tc>
        <w:tc>
          <w:tcPr>
            <w:tcW w:w="1438" w:type="dxa"/>
            <w:tcBorders>
              <w:top w:val="nil"/>
              <w:left w:val="nil"/>
              <w:bottom w:val="single" w:sz="4" w:space="0" w:color="auto"/>
              <w:right w:val="single" w:sz="4" w:space="0" w:color="auto"/>
            </w:tcBorders>
            <w:shd w:val="clear" w:color="auto" w:fill="C6EFCE"/>
            <w:noWrap/>
            <w:vAlign w:val="center"/>
          </w:tcPr>
          <w:p w14:paraId="1C452BE0" w14:textId="77777777" w:rsidR="003F5418" w:rsidRDefault="002A6C25">
            <w:pPr>
              <w:pStyle w:val="P68B1DB1-Normal9"/>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4B0F60F" w14:textId="77777777" w:rsidR="003F5418" w:rsidRDefault="002A6C25">
            <w:pPr>
              <w:rPr>
                <w:noProof/>
                <w:color w:val="006100"/>
                <w:sz w:val="20"/>
              </w:rPr>
            </w:pPr>
            <w:r>
              <w:rPr>
                <w:noProof/>
                <w:color w:val="006100"/>
                <w:sz w:val="20"/>
              </w:rPr>
              <w:t>Metrók,</w:t>
            </w:r>
            <w:r>
              <w:rPr>
                <w:rStyle w:val="font81"/>
                <w:rFonts w:eastAsiaTheme="majorEastAsia"/>
                <w:noProof/>
              </w:rPr>
              <w:t>villamosok, trolibuszok és kötélpálya-nagyvárosi területek építésére vonatkozó</w:t>
            </w:r>
            <w:r>
              <w:rPr>
                <w:rStyle w:val="font71"/>
                <w:rFonts w:eastAsiaTheme="majorEastAsia"/>
                <w:noProof/>
              </w:rPr>
              <w:t xml:space="preserve"> </w:t>
            </w:r>
            <w:r>
              <w:rPr>
                <w:rStyle w:val="font81"/>
                <w:rFonts w:eastAsiaTheme="majorEastAsia"/>
                <w:noProof/>
              </w:rPr>
              <w:t xml:space="preserve">valamennyi közbeszerzési </w:t>
            </w:r>
            <w:r>
              <w:rPr>
                <w:rStyle w:val="font81"/>
                <w:rFonts w:eastAsiaTheme="majorEastAsia"/>
                <w:noProof/>
              </w:rPr>
              <w:t>szerződés</w:t>
            </w:r>
            <w:r>
              <w:rPr>
                <w:noProof/>
                <w:color w:val="006100"/>
                <w:sz w:val="20"/>
              </w:rPr>
              <w:t>odaítélése</w:t>
            </w:r>
          </w:p>
        </w:tc>
      </w:tr>
      <w:tr w:rsidR="003F5418" w14:paraId="672ECE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6BE878" w14:textId="77777777" w:rsidR="003F5418" w:rsidRDefault="002A6C25">
            <w:pPr>
              <w:pStyle w:val="P68B1DB1-Normal9"/>
              <w:jc w:val="center"/>
              <w:rPr>
                <w:noProof/>
              </w:rPr>
            </w:pPr>
            <w:r>
              <w:rPr>
                <w:noProof/>
              </w:rPr>
              <w:t>M2C2–32</w:t>
            </w:r>
          </w:p>
        </w:tc>
        <w:tc>
          <w:tcPr>
            <w:tcW w:w="3195" w:type="dxa"/>
            <w:tcBorders>
              <w:top w:val="nil"/>
              <w:left w:val="nil"/>
              <w:bottom w:val="single" w:sz="4" w:space="0" w:color="auto"/>
              <w:right w:val="single" w:sz="4" w:space="0" w:color="auto"/>
            </w:tcBorders>
            <w:shd w:val="clear" w:color="auto" w:fill="C6EFCE"/>
            <w:noWrap/>
            <w:vAlign w:val="center"/>
          </w:tcPr>
          <w:p w14:paraId="65C22021" w14:textId="77777777" w:rsidR="003F5418" w:rsidRDefault="002A6C25">
            <w:pPr>
              <w:pStyle w:val="P68B1DB1-Normal9"/>
              <w:rPr>
                <w:noProof/>
              </w:rPr>
            </w:pPr>
            <w:r>
              <w:rPr>
                <w:noProof/>
              </w:rPr>
              <w:t>Beruházás: A regionális tömegközlekedési autóbuszflotta megerősítése kibocsátásmentes, alacsony padlós autóbuszokkal</w:t>
            </w:r>
          </w:p>
        </w:tc>
        <w:tc>
          <w:tcPr>
            <w:tcW w:w="1438" w:type="dxa"/>
            <w:tcBorders>
              <w:top w:val="nil"/>
              <w:left w:val="nil"/>
              <w:bottom w:val="single" w:sz="4" w:space="0" w:color="auto"/>
              <w:right w:val="single" w:sz="4" w:space="0" w:color="auto"/>
            </w:tcBorders>
            <w:shd w:val="clear" w:color="auto" w:fill="C6EFCE"/>
            <w:noWrap/>
            <w:vAlign w:val="center"/>
          </w:tcPr>
          <w:p w14:paraId="63577857"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DB08017" w14:textId="77777777" w:rsidR="003F5418" w:rsidRDefault="002A6C25">
            <w:pPr>
              <w:pStyle w:val="P68B1DB1-Normal9"/>
              <w:jc w:val="center"/>
              <w:rPr>
                <w:noProof/>
              </w:rPr>
            </w:pPr>
            <w:r>
              <w:rPr>
                <w:noProof/>
              </w:rPr>
              <w:t>A regionális tömegközlekedési autóbuszflotta kibocsátásmentes, alacsony padlós autóbuszokkal való me</w:t>
            </w:r>
            <w:r>
              <w:rPr>
                <w:noProof/>
              </w:rPr>
              <w:t>gerősítésére irányuló valamennyi közbeszerzési szerződés odaítélése</w:t>
            </w:r>
          </w:p>
        </w:tc>
      </w:tr>
      <w:tr w:rsidR="003F5418" w14:paraId="4F9F1F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A4489B" w14:textId="77777777" w:rsidR="003F5418" w:rsidRDefault="002A6C25">
            <w:pPr>
              <w:pStyle w:val="P68B1DB1-Normal9"/>
              <w:jc w:val="center"/>
              <w:rPr>
                <w:noProof/>
              </w:rPr>
            </w:pPr>
            <w:r>
              <w:rPr>
                <w:noProof/>
              </w:rPr>
              <w:t>M2C3–7</w:t>
            </w:r>
          </w:p>
        </w:tc>
        <w:tc>
          <w:tcPr>
            <w:tcW w:w="3195" w:type="dxa"/>
            <w:tcBorders>
              <w:top w:val="nil"/>
              <w:left w:val="nil"/>
              <w:bottom w:val="single" w:sz="4" w:space="0" w:color="auto"/>
              <w:right w:val="single" w:sz="4" w:space="0" w:color="auto"/>
            </w:tcBorders>
            <w:shd w:val="clear" w:color="auto" w:fill="C6EFCE"/>
            <w:noWrap/>
            <w:vAlign w:val="center"/>
          </w:tcPr>
          <w:p w14:paraId="7E822165" w14:textId="77777777" w:rsidR="003F5418" w:rsidRDefault="002A6C25">
            <w:pPr>
              <w:pStyle w:val="P68B1DB1-Normal9"/>
              <w:rPr>
                <w:noProof/>
              </w:rPr>
            </w:pPr>
            <w:r>
              <w:rPr>
                <w:noProof/>
              </w:rPr>
              <w:t>Beruházás – Épületek építése, az igazságszolgáltatás ingatlanvagyonának átminősítése és megerősítése</w:t>
            </w:r>
          </w:p>
        </w:tc>
        <w:tc>
          <w:tcPr>
            <w:tcW w:w="1438" w:type="dxa"/>
            <w:tcBorders>
              <w:top w:val="nil"/>
              <w:left w:val="nil"/>
              <w:bottom w:val="single" w:sz="4" w:space="0" w:color="auto"/>
              <w:right w:val="single" w:sz="4" w:space="0" w:color="auto"/>
            </w:tcBorders>
            <w:shd w:val="clear" w:color="auto" w:fill="C6EFCE"/>
            <w:noWrap/>
            <w:vAlign w:val="center"/>
          </w:tcPr>
          <w:p w14:paraId="61481DA5"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6A629D2" w14:textId="77777777" w:rsidR="003F5418" w:rsidRDefault="002A6C25">
            <w:pPr>
              <w:pStyle w:val="P68B1DB1-Normal9"/>
              <w:jc w:val="center"/>
              <w:rPr>
                <w:noProof/>
              </w:rPr>
            </w:pPr>
            <w:r>
              <w:rPr>
                <w:noProof/>
              </w:rPr>
              <w:t>Az új épületek építésére, az igazságszolgáltatás ingatlanvagyonának ú</w:t>
            </w:r>
            <w:r>
              <w:rPr>
                <w:noProof/>
              </w:rPr>
              <w:t>jraminősítésére és megerősítésére irányuló valamennyi közbeszerzési szerződés odaítélését az ajánlatkérő szerv közbeszerzési eljárást követően írja alá.</w:t>
            </w:r>
          </w:p>
        </w:tc>
      </w:tr>
      <w:tr w:rsidR="003F5418" w14:paraId="6570F2A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94C6E2" w14:textId="77777777" w:rsidR="003F5418" w:rsidRDefault="002A6C25">
            <w:pPr>
              <w:pStyle w:val="P68B1DB1-Normal9"/>
              <w:jc w:val="center"/>
              <w:rPr>
                <w:noProof/>
              </w:rPr>
            </w:pPr>
            <w:r>
              <w:rPr>
                <w:noProof/>
              </w:rPr>
              <w:t>M2C4–33</w:t>
            </w:r>
          </w:p>
        </w:tc>
        <w:tc>
          <w:tcPr>
            <w:tcW w:w="3195" w:type="dxa"/>
            <w:tcBorders>
              <w:top w:val="nil"/>
              <w:left w:val="nil"/>
              <w:bottom w:val="single" w:sz="4" w:space="0" w:color="auto"/>
              <w:right w:val="single" w:sz="4" w:space="0" w:color="auto"/>
            </w:tcBorders>
            <w:shd w:val="clear" w:color="auto" w:fill="C6EFCE"/>
            <w:noWrap/>
            <w:vAlign w:val="center"/>
          </w:tcPr>
          <w:p w14:paraId="349E8ECA" w14:textId="77777777" w:rsidR="003F5418" w:rsidRDefault="002A6C25">
            <w:pPr>
              <w:pStyle w:val="P68B1DB1-Normal9"/>
              <w:rPr>
                <w:noProof/>
              </w:rPr>
            </w:pPr>
            <w:r>
              <w:rPr>
                <w:noProof/>
              </w:rPr>
              <w:t>Beruházás az öntöző agrorendszer</w:t>
            </w:r>
            <w:r>
              <w:rPr>
                <w:noProof/>
              </w:rPr>
              <w:t xml:space="preserve"> ellenálló képességébe a vízkészletekkel való jobb gazdálkodás érdekében</w:t>
            </w:r>
          </w:p>
        </w:tc>
        <w:tc>
          <w:tcPr>
            <w:tcW w:w="1438" w:type="dxa"/>
            <w:tcBorders>
              <w:top w:val="nil"/>
              <w:left w:val="nil"/>
              <w:bottom w:val="single" w:sz="4" w:space="0" w:color="auto"/>
              <w:right w:val="single" w:sz="4" w:space="0" w:color="auto"/>
            </w:tcBorders>
            <w:shd w:val="clear" w:color="auto" w:fill="C6EFCE"/>
            <w:noWrap/>
            <w:vAlign w:val="center"/>
          </w:tcPr>
          <w:p w14:paraId="41D8A82F"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FB8F3E2" w14:textId="77777777" w:rsidR="003F5418" w:rsidRDefault="002A6C25">
            <w:pPr>
              <w:pStyle w:val="P68B1DB1-Normal9"/>
              <w:jc w:val="center"/>
              <w:rPr>
                <w:noProof/>
              </w:rPr>
            </w:pPr>
            <w:r>
              <w:rPr>
                <w:noProof/>
              </w:rPr>
              <w:t>Finanszírozás odaítélése minden olyan projekt számára, amelynek célja az öntözési agrorendszer ellenálló képessége a vízkészletekkel való jobb gazdálkodás érdekében</w:t>
            </w:r>
          </w:p>
        </w:tc>
      </w:tr>
      <w:tr w:rsidR="003F5418" w14:paraId="597C19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19CA6F" w14:textId="77777777" w:rsidR="003F5418" w:rsidRDefault="002A6C25">
            <w:pPr>
              <w:pStyle w:val="P68B1DB1-Normal9"/>
              <w:jc w:val="center"/>
              <w:rPr>
                <w:noProof/>
              </w:rPr>
            </w:pPr>
            <w:r>
              <w:rPr>
                <w:noProof/>
              </w:rPr>
              <w:t>M2C4–36</w:t>
            </w:r>
          </w:p>
        </w:tc>
        <w:tc>
          <w:tcPr>
            <w:tcW w:w="3195" w:type="dxa"/>
            <w:tcBorders>
              <w:top w:val="nil"/>
              <w:left w:val="nil"/>
              <w:bottom w:val="single" w:sz="4" w:space="0" w:color="auto"/>
              <w:right w:val="single" w:sz="4" w:space="0" w:color="auto"/>
            </w:tcBorders>
            <w:shd w:val="clear" w:color="auto" w:fill="C6EFCE"/>
            <w:noWrap/>
            <w:vAlign w:val="center"/>
          </w:tcPr>
          <w:p w14:paraId="2D77CF07" w14:textId="77777777" w:rsidR="003F5418" w:rsidRDefault="002A6C25">
            <w:pPr>
              <w:pStyle w:val="P68B1DB1-Normal9"/>
              <w:rPr>
                <w:noProof/>
              </w:rPr>
            </w:pPr>
            <w:r>
              <w:rPr>
                <w:noProof/>
              </w:rPr>
              <w:t>Beruházás csatorna- és tisztítási beruházások</w:t>
            </w:r>
          </w:p>
        </w:tc>
        <w:tc>
          <w:tcPr>
            <w:tcW w:w="1438" w:type="dxa"/>
            <w:tcBorders>
              <w:top w:val="nil"/>
              <w:left w:val="nil"/>
              <w:bottom w:val="single" w:sz="4" w:space="0" w:color="auto"/>
              <w:right w:val="single" w:sz="4" w:space="0" w:color="auto"/>
            </w:tcBorders>
            <w:shd w:val="clear" w:color="auto" w:fill="C6EFCE"/>
            <w:noWrap/>
            <w:vAlign w:val="center"/>
          </w:tcPr>
          <w:p w14:paraId="684E1D0D"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17BD6FF0" w14:textId="77777777" w:rsidR="003F5418" w:rsidRDefault="002A6C25">
            <w:pPr>
              <w:pStyle w:val="P68B1DB1-Normal9"/>
              <w:jc w:val="center"/>
              <w:rPr>
                <w:noProof/>
              </w:rPr>
            </w:pPr>
            <w:r>
              <w:rPr>
                <w:noProof/>
              </w:rPr>
              <w:t>A szennyvízelvezetésre és -tisztításra vonatkozó valamennyi közbeszerzési szerződés odaítélése</w:t>
            </w:r>
          </w:p>
        </w:tc>
      </w:tr>
      <w:tr w:rsidR="003F5418" w14:paraId="432D99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9A474" w14:textId="77777777" w:rsidR="003F5418" w:rsidRDefault="002A6C25">
            <w:pPr>
              <w:pStyle w:val="P68B1DB1-Normal9"/>
              <w:jc w:val="center"/>
              <w:rPr>
                <w:noProof/>
              </w:rPr>
            </w:pPr>
            <w:r>
              <w:rPr>
                <w:noProof/>
              </w:rPr>
              <w:t>M3C1–4</w:t>
            </w:r>
          </w:p>
        </w:tc>
        <w:tc>
          <w:tcPr>
            <w:tcW w:w="3195" w:type="dxa"/>
            <w:tcBorders>
              <w:top w:val="nil"/>
              <w:left w:val="nil"/>
              <w:bottom w:val="single" w:sz="4" w:space="0" w:color="auto"/>
              <w:right w:val="single" w:sz="4" w:space="0" w:color="auto"/>
            </w:tcBorders>
            <w:shd w:val="clear" w:color="auto" w:fill="C6EFCE"/>
            <w:noWrap/>
            <w:vAlign w:val="center"/>
          </w:tcPr>
          <w:p w14:paraId="0656AECA" w14:textId="77777777" w:rsidR="003F5418" w:rsidRDefault="002A6C25">
            <w:pPr>
              <w:pStyle w:val="P68B1DB1-Normal9"/>
              <w:rPr>
                <w:noProof/>
              </w:rPr>
            </w:pPr>
            <w:r>
              <w:rPr>
                <w:noProof/>
              </w:rPr>
              <w:t>Beruházás – Nagy sebességű vasúti összeköttetések déli személyszállítás és árufuvarozás számára</w:t>
            </w:r>
          </w:p>
        </w:tc>
        <w:tc>
          <w:tcPr>
            <w:tcW w:w="1438" w:type="dxa"/>
            <w:tcBorders>
              <w:top w:val="nil"/>
              <w:left w:val="nil"/>
              <w:bottom w:val="single" w:sz="4" w:space="0" w:color="auto"/>
              <w:right w:val="single" w:sz="4" w:space="0" w:color="auto"/>
            </w:tcBorders>
            <w:shd w:val="clear" w:color="auto" w:fill="C6EFCE"/>
            <w:noWrap/>
            <w:vAlign w:val="center"/>
          </w:tcPr>
          <w:p w14:paraId="467C3B26" w14:textId="77777777" w:rsidR="003F5418" w:rsidRDefault="002A6C25">
            <w:pPr>
              <w:pStyle w:val="P68B1DB1-Normal9"/>
              <w:jc w:val="center"/>
              <w:rPr>
                <w:noProof/>
              </w:rPr>
            </w:pPr>
            <w:r>
              <w:rPr>
                <w:noProof/>
              </w:rPr>
              <w:t>Mérföldkő</w:t>
            </w:r>
          </w:p>
        </w:tc>
        <w:tc>
          <w:tcPr>
            <w:tcW w:w="4093" w:type="dxa"/>
            <w:tcBorders>
              <w:top w:val="nil"/>
              <w:left w:val="nil"/>
              <w:bottom w:val="single" w:sz="4" w:space="0" w:color="auto"/>
              <w:right w:val="single" w:sz="4" w:space="0" w:color="auto"/>
            </w:tcBorders>
            <w:shd w:val="clear" w:color="auto" w:fill="C6EFCE"/>
            <w:noWrap/>
            <w:vAlign w:val="center"/>
          </w:tcPr>
          <w:p w14:paraId="26F5EA63" w14:textId="77777777" w:rsidR="003F5418" w:rsidRDefault="002A6C25">
            <w:pPr>
              <w:pStyle w:val="P68B1DB1-Normal9"/>
              <w:jc w:val="center"/>
              <w:rPr>
                <w:noProof/>
              </w:rPr>
            </w:pPr>
            <w:r>
              <w:rPr>
                <w:noProof/>
              </w:rPr>
              <w:t>A Salerno Reggio Calabria vonalakon nagysebességű vasút építésére irányuló szerződés odaítélése</w:t>
            </w:r>
          </w:p>
        </w:tc>
      </w:tr>
      <w:tr w:rsidR="003F5418" w14:paraId="34A0B0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76D6727" w14:textId="77777777" w:rsidR="003F5418" w:rsidRDefault="002A6C25">
            <w:pPr>
              <w:pStyle w:val="P68B1DB1-Normal9"/>
              <w:jc w:val="center"/>
              <w:rPr>
                <w:noProof/>
              </w:rPr>
            </w:pPr>
            <w:r>
              <w:rPr>
                <w:noProof/>
              </w:rPr>
              <w:t>M3C1–17</w:t>
            </w:r>
          </w:p>
        </w:tc>
        <w:tc>
          <w:tcPr>
            <w:tcW w:w="3195" w:type="dxa"/>
            <w:tcBorders>
              <w:top w:val="nil"/>
              <w:left w:val="nil"/>
              <w:bottom w:val="single" w:sz="4" w:space="0" w:color="auto"/>
              <w:right w:val="single" w:sz="4" w:space="0" w:color="auto"/>
            </w:tcBorders>
            <w:shd w:val="clear" w:color="auto" w:fill="C6EFCE"/>
            <w:noWrap/>
            <w:vAlign w:val="center"/>
          </w:tcPr>
          <w:p w14:paraId="4B1B0CD2" w14:textId="77777777" w:rsidR="003F5418" w:rsidRDefault="002A6C25">
            <w:pPr>
              <w:pStyle w:val="P68B1DB1-Normal9"/>
              <w:rPr>
                <w:noProof/>
              </w:rPr>
            </w:pPr>
            <w:r>
              <w:rPr>
                <w:noProof/>
              </w:rPr>
              <w:t>Beruházás – A déli vasutak korszerűsítése, villamosítása és rezilienciája</w:t>
            </w:r>
          </w:p>
        </w:tc>
        <w:tc>
          <w:tcPr>
            <w:tcW w:w="1438" w:type="dxa"/>
            <w:tcBorders>
              <w:top w:val="nil"/>
              <w:left w:val="nil"/>
              <w:bottom w:val="single" w:sz="4" w:space="0" w:color="auto"/>
              <w:right w:val="single" w:sz="4" w:space="0" w:color="auto"/>
            </w:tcBorders>
            <w:shd w:val="clear" w:color="auto" w:fill="C6EFCE"/>
            <w:noWrap/>
            <w:vAlign w:val="center"/>
          </w:tcPr>
          <w:p w14:paraId="67C7C355" w14:textId="77777777" w:rsidR="003F5418" w:rsidRDefault="002A6C25">
            <w:pPr>
              <w:pStyle w:val="P68B1DB1-Normal9"/>
              <w:jc w:val="center"/>
              <w:rPr>
                <w:noProof/>
              </w:rPr>
            </w:pPr>
            <w:r>
              <w:rPr>
                <w:noProof/>
              </w:rPr>
              <w:t xml:space="preserve">Cél </w:t>
            </w:r>
          </w:p>
        </w:tc>
        <w:tc>
          <w:tcPr>
            <w:tcW w:w="4093" w:type="dxa"/>
            <w:tcBorders>
              <w:top w:val="nil"/>
              <w:left w:val="nil"/>
              <w:bottom w:val="single" w:sz="4" w:space="0" w:color="auto"/>
              <w:right w:val="single" w:sz="4" w:space="0" w:color="auto"/>
            </w:tcBorders>
            <w:shd w:val="clear" w:color="auto" w:fill="C6EFCE"/>
            <w:noWrap/>
            <w:vAlign w:val="center"/>
          </w:tcPr>
          <w:p w14:paraId="759D750F" w14:textId="77777777" w:rsidR="003F5418" w:rsidRDefault="002A6C25">
            <w:pPr>
              <w:pStyle w:val="P68B1DB1-Normal9"/>
              <w:jc w:val="center"/>
              <w:rPr>
                <w:noProof/>
              </w:rPr>
            </w:pPr>
            <w:r>
              <w:rPr>
                <w:noProof/>
              </w:rPr>
              <w:t xml:space="preserve">150 km-nyi, a vasutak korszerűsítéséhez, villamosításához és </w:t>
            </w:r>
            <w:r>
              <w:rPr>
                <w:noProof/>
              </w:rPr>
              <w:t>ellenálló képességéhez kapcsolódó, az engedélyezési és üzemeltetési szakaszra kész munkálatok elvégzése.</w:t>
            </w:r>
          </w:p>
        </w:tc>
      </w:tr>
      <w:tr w:rsidR="003F5418" w14:paraId="4FE4AE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3AD13A1" w14:textId="77777777" w:rsidR="003F5418" w:rsidRDefault="002A6C25">
            <w:pPr>
              <w:pStyle w:val="P68B1DB1-Normal9"/>
              <w:jc w:val="center"/>
              <w:rPr>
                <w:noProof/>
              </w:rPr>
            </w:pPr>
            <w:r>
              <w:rPr>
                <w:noProof/>
              </w:rPr>
              <w:t xml:space="preserve">M4C2–5 </w:t>
            </w:r>
          </w:p>
        </w:tc>
        <w:tc>
          <w:tcPr>
            <w:tcW w:w="3195" w:type="dxa"/>
            <w:tcBorders>
              <w:top w:val="nil"/>
              <w:left w:val="nil"/>
              <w:bottom w:val="single" w:sz="4" w:space="0" w:color="auto"/>
              <w:right w:val="single" w:sz="4" w:space="0" w:color="auto"/>
            </w:tcBorders>
            <w:shd w:val="clear" w:color="auto" w:fill="C6EFCE"/>
            <w:noWrap/>
            <w:vAlign w:val="center"/>
          </w:tcPr>
          <w:p w14:paraId="71D6D410" w14:textId="77777777" w:rsidR="003F5418" w:rsidRDefault="002A6C25">
            <w:pPr>
              <w:pStyle w:val="P68B1DB1-Normal9"/>
              <w:rPr>
                <w:noProof/>
              </w:rPr>
            </w:pPr>
            <w:r>
              <w:rPr>
                <w:noProof/>
              </w:rPr>
              <w:t xml:space="preserve">Beruházás: Jelentős nemzeti érdekű kutatási projektek (PRIN) </w:t>
            </w:r>
          </w:p>
        </w:tc>
        <w:tc>
          <w:tcPr>
            <w:tcW w:w="1438" w:type="dxa"/>
            <w:tcBorders>
              <w:top w:val="nil"/>
              <w:left w:val="nil"/>
              <w:bottom w:val="single" w:sz="4" w:space="0" w:color="auto"/>
              <w:right w:val="single" w:sz="4" w:space="0" w:color="auto"/>
            </w:tcBorders>
            <w:shd w:val="clear" w:color="auto" w:fill="C6EFCE"/>
            <w:noWrap/>
            <w:vAlign w:val="center"/>
          </w:tcPr>
          <w:p w14:paraId="59925C14"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5EE34541" w14:textId="77777777" w:rsidR="003F5418" w:rsidRDefault="002A6C25">
            <w:pPr>
              <w:pStyle w:val="P68B1DB1-Normal9"/>
              <w:jc w:val="center"/>
              <w:rPr>
                <w:noProof/>
              </w:rPr>
            </w:pPr>
            <w:r>
              <w:rPr>
                <w:noProof/>
              </w:rPr>
              <w:t xml:space="preserve">Az odaítélt kutatási projektek száma </w:t>
            </w:r>
          </w:p>
        </w:tc>
      </w:tr>
      <w:tr w:rsidR="003F5418" w14:paraId="795E180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FC91DC" w14:textId="77777777" w:rsidR="003F5418" w:rsidRDefault="002A6C25">
            <w:pPr>
              <w:pStyle w:val="P68B1DB1-Normal9"/>
              <w:jc w:val="center"/>
              <w:rPr>
                <w:noProof/>
              </w:rPr>
            </w:pPr>
            <w:r>
              <w:rPr>
                <w:noProof/>
              </w:rPr>
              <w:t>M6C1–8</w:t>
            </w:r>
          </w:p>
        </w:tc>
        <w:tc>
          <w:tcPr>
            <w:tcW w:w="3195" w:type="dxa"/>
            <w:tcBorders>
              <w:top w:val="nil"/>
              <w:left w:val="nil"/>
              <w:bottom w:val="single" w:sz="4" w:space="0" w:color="auto"/>
              <w:right w:val="single" w:sz="4" w:space="0" w:color="auto"/>
            </w:tcBorders>
            <w:shd w:val="clear" w:color="auto" w:fill="C6EFCE"/>
            <w:noWrap/>
            <w:vAlign w:val="center"/>
          </w:tcPr>
          <w:p w14:paraId="7E744D88" w14:textId="77777777" w:rsidR="003F5418" w:rsidRDefault="002A6C25">
            <w:pPr>
              <w:pStyle w:val="P68B1DB1-Normal9"/>
              <w:rPr>
                <w:noProof/>
              </w:rPr>
            </w:pPr>
            <w:r>
              <w:rPr>
                <w:noProof/>
              </w:rPr>
              <w:t>Beruházás: Az otthon</w:t>
            </w:r>
            <w:r>
              <w:rPr>
                <w:noProof/>
              </w:rPr>
              <w:t xml:space="preserve"> mint a gondozás és a távorvoslás első helye</w:t>
            </w:r>
          </w:p>
        </w:tc>
        <w:tc>
          <w:tcPr>
            <w:tcW w:w="1438" w:type="dxa"/>
            <w:tcBorders>
              <w:top w:val="nil"/>
              <w:left w:val="nil"/>
              <w:bottom w:val="single" w:sz="4" w:space="0" w:color="auto"/>
              <w:right w:val="single" w:sz="4" w:space="0" w:color="auto"/>
            </w:tcBorders>
            <w:shd w:val="clear" w:color="auto" w:fill="C6EFCE"/>
            <w:noWrap/>
            <w:vAlign w:val="center"/>
          </w:tcPr>
          <w:p w14:paraId="4ECF457A" w14:textId="77777777" w:rsidR="003F5418" w:rsidRDefault="002A6C25">
            <w:pPr>
              <w:pStyle w:val="P68B1DB1-Normal9"/>
              <w:jc w:val="center"/>
              <w:rPr>
                <w:noProof/>
              </w:rPr>
            </w:pPr>
            <w:r>
              <w:rPr>
                <w:noProof/>
              </w:rPr>
              <w:t>Cél</w:t>
            </w:r>
          </w:p>
        </w:tc>
        <w:tc>
          <w:tcPr>
            <w:tcW w:w="4093" w:type="dxa"/>
            <w:tcBorders>
              <w:top w:val="nil"/>
              <w:left w:val="nil"/>
              <w:bottom w:val="single" w:sz="4" w:space="0" w:color="auto"/>
              <w:right w:val="single" w:sz="4" w:space="0" w:color="auto"/>
            </w:tcBorders>
            <w:shd w:val="clear" w:color="auto" w:fill="C6EFCE"/>
            <w:noWrap/>
            <w:vAlign w:val="center"/>
          </w:tcPr>
          <w:p w14:paraId="00A948E5" w14:textId="77777777" w:rsidR="003F5418" w:rsidRDefault="002A6C25">
            <w:pPr>
              <w:pStyle w:val="P68B1DB1-Normal9"/>
              <w:jc w:val="center"/>
              <w:rPr>
                <w:noProof/>
              </w:rPr>
            </w:pPr>
            <w:r>
              <w:rPr>
                <w:noProof/>
              </w:rPr>
              <w:t>Régiónként legalább egy távorvoslási projekt (figyelembe véve mind az egyes régiókban megvalósítandó projekteket, mind pedig azokat, amelyek a régiók közötti konzorciumok részeként fejleszthetők ki)</w:t>
            </w:r>
          </w:p>
        </w:tc>
      </w:tr>
      <w:tr w:rsidR="003F5418" w14:paraId="62ED9378"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DF15C"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5CB129D1" w14:textId="77777777" w:rsidR="003F5418" w:rsidRDefault="003F5418">
            <w:pPr>
              <w:rPr>
                <w:noProof/>
                <w:color w:val="006100"/>
                <w:sz w:val="20"/>
              </w:rPr>
            </w:pPr>
          </w:p>
        </w:tc>
        <w:tc>
          <w:tcPr>
            <w:tcW w:w="1438" w:type="dxa"/>
            <w:tcBorders>
              <w:top w:val="single" w:sz="4" w:space="0" w:color="auto"/>
              <w:left w:val="nil"/>
              <w:bottom w:val="single" w:sz="4" w:space="0" w:color="auto"/>
              <w:right w:val="single" w:sz="4" w:space="0" w:color="auto"/>
            </w:tcBorders>
            <w:shd w:val="clear" w:color="auto" w:fill="C6EFCE"/>
            <w:noWrap/>
            <w:vAlign w:val="bottom"/>
          </w:tcPr>
          <w:p w14:paraId="139E1723" w14:textId="77777777" w:rsidR="003F5418" w:rsidRDefault="002A6C25">
            <w:pPr>
              <w:pStyle w:val="P68B1DB1-Normal9"/>
              <w:rPr>
                <w:noProof/>
              </w:rPr>
            </w:pPr>
            <w:r>
              <w:rPr>
                <w:noProof/>
              </w:rPr>
              <w:t>Részö</w:t>
            </w:r>
            <w:r>
              <w:rPr>
                <w:noProof/>
              </w:rPr>
              <w:t>sszeg</w:t>
            </w:r>
          </w:p>
        </w:tc>
        <w:tc>
          <w:tcPr>
            <w:tcW w:w="4093" w:type="dxa"/>
            <w:tcBorders>
              <w:top w:val="single" w:sz="4" w:space="0" w:color="auto"/>
              <w:left w:val="nil"/>
              <w:bottom w:val="single" w:sz="4" w:space="0" w:color="auto"/>
              <w:right w:val="single" w:sz="4" w:space="0" w:color="auto"/>
            </w:tcBorders>
            <w:shd w:val="clear" w:color="auto" w:fill="C6EFCE"/>
            <w:noWrap/>
            <w:vAlign w:val="bottom"/>
          </w:tcPr>
          <w:p w14:paraId="32EA55E2" w14:textId="705ABF10" w:rsidR="003F5418" w:rsidRDefault="002A6C25">
            <w:pPr>
              <w:pStyle w:val="P68B1DB1-Normal9"/>
              <w:rPr>
                <w:noProof/>
              </w:rPr>
            </w:pPr>
            <w:r>
              <w:rPr>
                <w:noProof/>
              </w:rPr>
              <w:t>9 030 593 086 EUR</w:t>
            </w:r>
          </w:p>
        </w:tc>
      </w:tr>
    </w:tbl>
    <w:p w14:paraId="4E2DA181" w14:textId="77777777" w:rsidR="003F5418" w:rsidRDefault="002A6C25">
      <w:pPr>
        <w:pStyle w:val="P68B1DB1-Normal35"/>
        <w:numPr>
          <w:ilvl w:val="1"/>
          <w:numId w:val="6"/>
        </w:numPr>
        <w:spacing w:before="120" w:after="120"/>
        <w:jc w:val="both"/>
        <w:rPr>
          <w:noProof/>
        </w:rPr>
      </w:pPr>
      <w:r>
        <w:rPr>
          <w:noProof/>
        </w:rPr>
        <w:t>Hatodik részlet (hiteltámogatás):</w:t>
      </w:r>
    </w:p>
    <w:tbl>
      <w:tblPr>
        <w:tblW w:w="10139" w:type="dxa"/>
        <w:tblInd w:w="113" w:type="dxa"/>
        <w:tblLook w:val="04A0" w:firstRow="1" w:lastRow="0" w:firstColumn="1" w:lastColumn="0" w:noHBand="0" w:noVBand="1"/>
      </w:tblPr>
      <w:tblGrid>
        <w:gridCol w:w="1438"/>
        <w:gridCol w:w="3195"/>
        <w:gridCol w:w="1425"/>
        <w:gridCol w:w="4106"/>
      </w:tblGrid>
      <w:tr w:rsidR="003F5418" w14:paraId="06CEC4C1" w14:textId="77777777">
        <w:trPr>
          <w:trHeight w:val="906"/>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799B884"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4873F2" w14:textId="77777777" w:rsidR="003F5418" w:rsidRDefault="002A6C25">
            <w:pPr>
              <w:pStyle w:val="P68B1DB1-Normal36"/>
              <w:jc w:val="center"/>
              <w:rPr>
                <w:noProof/>
              </w:rPr>
            </w:pPr>
            <w:r>
              <w:rPr>
                <w:noProof/>
              </w:rPr>
              <w:t>Kapcsolódó intézkedés (reform vagy beruházás)</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994FC81" w14:textId="77777777" w:rsidR="003F5418" w:rsidRDefault="002A6C25">
            <w:pPr>
              <w:pStyle w:val="P68B1DB1-Normal36"/>
              <w:jc w:val="center"/>
              <w:rPr>
                <w:noProof/>
              </w:rPr>
            </w:pPr>
            <w:r>
              <w:rPr>
                <w:noProof/>
              </w:rPr>
              <w:t>Mérföldkő/cél</w:t>
            </w:r>
          </w:p>
        </w:tc>
        <w:tc>
          <w:tcPr>
            <w:tcW w:w="410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3A7C8C9" w14:textId="77777777" w:rsidR="003F5418" w:rsidRDefault="002A6C25">
            <w:pPr>
              <w:pStyle w:val="P68B1DB1-Normal36"/>
              <w:jc w:val="center"/>
              <w:rPr>
                <w:noProof/>
              </w:rPr>
            </w:pPr>
            <w:r>
              <w:rPr>
                <w:noProof/>
              </w:rPr>
              <w:t>Név</w:t>
            </w:r>
          </w:p>
        </w:tc>
      </w:tr>
      <w:tr w:rsidR="003F5418" w14:paraId="1EE94F9A"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55ECBCC"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60BD26FA" w14:textId="77777777" w:rsidR="003F5418" w:rsidRDefault="003F5418">
            <w:pPr>
              <w:rPr>
                <w:b/>
                <w:noProof/>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538D24CD" w14:textId="77777777" w:rsidR="003F5418" w:rsidRDefault="003F5418">
            <w:pPr>
              <w:rPr>
                <w:b/>
                <w:noProof/>
              </w:rPr>
            </w:pPr>
          </w:p>
        </w:tc>
        <w:tc>
          <w:tcPr>
            <w:tcW w:w="4106" w:type="dxa"/>
            <w:vMerge/>
            <w:tcBorders>
              <w:top w:val="single" w:sz="4" w:space="0" w:color="auto"/>
              <w:left w:val="single" w:sz="4" w:space="0" w:color="auto"/>
              <w:bottom w:val="single" w:sz="4" w:space="0" w:color="auto"/>
              <w:right w:val="single" w:sz="4" w:space="0" w:color="auto"/>
            </w:tcBorders>
            <w:vAlign w:val="center"/>
            <w:hideMark/>
          </w:tcPr>
          <w:p w14:paraId="68C9C076" w14:textId="77777777" w:rsidR="003F5418" w:rsidRDefault="003F5418">
            <w:pPr>
              <w:rPr>
                <w:b/>
                <w:noProof/>
              </w:rPr>
            </w:pPr>
          </w:p>
        </w:tc>
      </w:tr>
      <w:tr w:rsidR="003F5418" w14:paraId="1FC5A5DB"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9F8D86" w14:textId="77777777" w:rsidR="003F5418" w:rsidRDefault="002A6C25">
            <w:pPr>
              <w:pStyle w:val="P68B1DB1-Normal9"/>
              <w:jc w:val="center"/>
              <w:rPr>
                <w:noProof/>
              </w:rPr>
            </w:pPr>
            <w:r>
              <w:rPr>
                <w:noProof/>
              </w:rPr>
              <w:t>M3C1–10</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3F0551EE" w14:textId="77777777" w:rsidR="003F5418" w:rsidRDefault="002A6C25">
            <w:pPr>
              <w:pStyle w:val="P68B1DB1-Normal9"/>
              <w:rPr>
                <w:noProof/>
              </w:rPr>
            </w:pPr>
            <w:r>
              <w:rPr>
                <w:noProof/>
              </w:rPr>
              <w:t>Beruházás – Diagonális összeköttetések</w:t>
            </w:r>
          </w:p>
        </w:tc>
        <w:tc>
          <w:tcPr>
            <w:tcW w:w="1425" w:type="dxa"/>
            <w:tcBorders>
              <w:top w:val="single" w:sz="4" w:space="0" w:color="auto"/>
              <w:left w:val="nil"/>
              <w:bottom w:val="single" w:sz="4" w:space="0" w:color="auto"/>
              <w:right w:val="single" w:sz="4" w:space="0" w:color="auto"/>
            </w:tcBorders>
            <w:shd w:val="clear" w:color="auto" w:fill="C6EFCE"/>
            <w:noWrap/>
            <w:vAlign w:val="center"/>
          </w:tcPr>
          <w:p w14:paraId="4A24E1DD" w14:textId="77777777" w:rsidR="003F5418" w:rsidRDefault="002A6C25">
            <w:pPr>
              <w:pStyle w:val="P68B1DB1-Normal9"/>
              <w:jc w:val="center"/>
              <w:rPr>
                <w:noProof/>
              </w:rPr>
            </w:pPr>
            <w:r>
              <w:rPr>
                <w:noProof/>
              </w:rPr>
              <w:t>Mérföldkő</w:t>
            </w:r>
          </w:p>
        </w:tc>
        <w:tc>
          <w:tcPr>
            <w:tcW w:w="4106" w:type="dxa"/>
            <w:tcBorders>
              <w:top w:val="single" w:sz="4" w:space="0" w:color="auto"/>
              <w:left w:val="nil"/>
              <w:bottom w:val="single" w:sz="4" w:space="0" w:color="auto"/>
              <w:right w:val="single" w:sz="4" w:space="0" w:color="auto"/>
            </w:tcBorders>
            <w:shd w:val="clear" w:color="auto" w:fill="C6EFCE"/>
            <w:noWrap/>
            <w:vAlign w:val="center"/>
          </w:tcPr>
          <w:p w14:paraId="03F9C34A" w14:textId="77777777" w:rsidR="003F5418" w:rsidRDefault="002A6C25">
            <w:pPr>
              <w:pStyle w:val="P68B1DB1-Normal9"/>
              <w:jc w:val="center"/>
              <w:rPr>
                <w:noProof/>
              </w:rPr>
            </w:pPr>
            <w:r>
              <w:rPr>
                <w:noProof/>
              </w:rPr>
              <w:t xml:space="preserve">Az Orte-Falconara és Taranto -Metaponto-Potenza-Battipaglia </w:t>
            </w:r>
            <w:r>
              <w:rPr>
                <w:noProof/>
              </w:rPr>
              <w:t>vonalak összeköttetéseinek kiépítésére irányuló szerződés(ek) odaítélése</w:t>
            </w:r>
          </w:p>
        </w:tc>
      </w:tr>
      <w:tr w:rsidR="003F5418" w14:paraId="5897FF7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789055" w14:textId="77777777" w:rsidR="003F5418" w:rsidRDefault="002A6C25">
            <w:pPr>
              <w:pStyle w:val="P68B1DB1-Normal9"/>
              <w:jc w:val="center"/>
              <w:rPr>
                <w:noProof/>
              </w:rPr>
            </w:pPr>
            <w:r>
              <w:rPr>
                <w:noProof/>
              </w:rPr>
              <w:t>M7–35</w:t>
            </w:r>
          </w:p>
        </w:tc>
        <w:tc>
          <w:tcPr>
            <w:tcW w:w="3195" w:type="dxa"/>
            <w:tcBorders>
              <w:top w:val="nil"/>
              <w:left w:val="nil"/>
              <w:bottom w:val="single" w:sz="4" w:space="0" w:color="auto"/>
              <w:right w:val="single" w:sz="4" w:space="0" w:color="auto"/>
            </w:tcBorders>
            <w:shd w:val="clear" w:color="auto" w:fill="C6EFCE"/>
            <w:noWrap/>
            <w:vAlign w:val="center"/>
          </w:tcPr>
          <w:p w14:paraId="3845FB8C" w14:textId="77777777" w:rsidR="003F5418" w:rsidRDefault="002A6C25">
            <w:pPr>
              <w:pStyle w:val="P68B1DB1-Normal9"/>
              <w:rPr>
                <w:noProof/>
              </w:rPr>
            </w:pPr>
            <w:r>
              <w:rPr>
                <w:noProof/>
              </w:rPr>
              <w:t>Beruházás: Adriai vonal, 1. szakasz (Sulmona kompresszorállomás és Sestino-Minerbio gázvezeték)</w:t>
            </w:r>
          </w:p>
        </w:tc>
        <w:tc>
          <w:tcPr>
            <w:tcW w:w="1425" w:type="dxa"/>
            <w:tcBorders>
              <w:top w:val="nil"/>
              <w:left w:val="nil"/>
              <w:bottom w:val="single" w:sz="4" w:space="0" w:color="auto"/>
              <w:right w:val="single" w:sz="4" w:space="0" w:color="auto"/>
            </w:tcBorders>
            <w:shd w:val="clear" w:color="auto" w:fill="C6EFCE"/>
            <w:noWrap/>
            <w:vAlign w:val="center"/>
          </w:tcPr>
          <w:p w14:paraId="6FD00EA3"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1BCE68D2" w14:textId="77777777" w:rsidR="003F5418" w:rsidRDefault="002A6C25">
            <w:pPr>
              <w:pStyle w:val="P68B1DB1-Normal9"/>
              <w:jc w:val="center"/>
              <w:rPr>
                <w:noProof/>
              </w:rPr>
            </w:pPr>
            <w:r>
              <w:rPr>
                <w:noProof/>
              </w:rPr>
              <w:t>A vonatkozó környezeti hatásvizsgálatok elfogadása és aktualizálása (V</w:t>
            </w:r>
            <w:r>
              <w:rPr>
                <w:noProof/>
              </w:rPr>
              <w:t>IncA)</w:t>
            </w:r>
          </w:p>
        </w:tc>
      </w:tr>
      <w:tr w:rsidR="003F5418" w14:paraId="0A9556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A2FE3B3" w14:textId="77777777" w:rsidR="003F5418" w:rsidRDefault="002A6C25">
            <w:pPr>
              <w:pStyle w:val="P68B1DB1-Normal9"/>
              <w:jc w:val="center"/>
              <w:rPr>
                <w:noProof/>
              </w:rPr>
            </w:pPr>
            <w:r>
              <w:rPr>
                <w:noProof/>
              </w:rPr>
              <w:t>7–40. INTÉZKEDÉS</w:t>
            </w:r>
          </w:p>
        </w:tc>
        <w:tc>
          <w:tcPr>
            <w:tcW w:w="3195" w:type="dxa"/>
            <w:tcBorders>
              <w:top w:val="nil"/>
              <w:left w:val="nil"/>
              <w:bottom w:val="single" w:sz="4" w:space="0" w:color="auto"/>
              <w:right w:val="single" w:sz="4" w:space="0" w:color="auto"/>
            </w:tcBorders>
            <w:shd w:val="clear" w:color="auto" w:fill="C6EFCE"/>
            <w:noWrap/>
            <w:vAlign w:val="center"/>
          </w:tcPr>
          <w:p w14:paraId="7A3F2CB4" w14:textId="77777777" w:rsidR="003F5418" w:rsidRDefault="002A6C25">
            <w:pPr>
              <w:pStyle w:val="P68B1DB1-Normal9"/>
              <w:rPr>
                <w:noProof/>
              </w:rPr>
            </w:pPr>
            <w:r>
              <w:rPr>
                <w:noProof/>
              </w:rPr>
              <w:t>Beruházás: Transzione 5.0 Zöld</w:t>
            </w:r>
          </w:p>
        </w:tc>
        <w:tc>
          <w:tcPr>
            <w:tcW w:w="1425" w:type="dxa"/>
            <w:tcBorders>
              <w:top w:val="nil"/>
              <w:left w:val="nil"/>
              <w:bottom w:val="single" w:sz="4" w:space="0" w:color="auto"/>
              <w:right w:val="single" w:sz="4" w:space="0" w:color="auto"/>
            </w:tcBorders>
            <w:shd w:val="clear" w:color="auto" w:fill="C6EFCE"/>
            <w:noWrap/>
            <w:vAlign w:val="center"/>
          </w:tcPr>
          <w:p w14:paraId="64A2FE0F"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5BF96B46" w14:textId="77777777" w:rsidR="003F5418" w:rsidRDefault="002A6C25">
            <w:pPr>
              <w:pStyle w:val="P68B1DB1-Normal9"/>
              <w:jc w:val="center"/>
              <w:rPr>
                <w:noProof/>
              </w:rPr>
            </w:pPr>
            <w:r>
              <w:rPr>
                <w:noProof/>
              </w:rPr>
              <w:t>A támogatható beavatkozások kritériumait megállapító jogi aktus hatálybalépése</w:t>
            </w:r>
          </w:p>
        </w:tc>
      </w:tr>
      <w:tr w:rsidR="003F5418" w14:paraId="2B038F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322E7C" w14:textId="77777777" w:rsidR="003F5418" w:rsidRDefault="002A6C25">
            <w:pPr>
              <w:pStyle w:val="P68B1DB1-Normal9"/>
              <w:jc w:val="center"/>
              <w:rPr>
                <w:noProof/>
              </w:rPr>
            </w:pPr>
            <w:r>
              <w:rPr>
                <w:noProof/>
              </w:rPr>
              <w:t>M2C1–15</w:t>
            </w:r>
          </w:p>
        </w:tc>
        <w:tc>
          <w:tcPr>
            <w:tcW w:w="3195" w:type="dxa"/>
            <w:tcBorders>
              <w:top w:val="nil"/>
              <w:left w:val="nil"/>
              <w:bottom w:val="single" w:sz="4" w:space="0" w:color="auto"/>
              <w:right w:val="single" w:sz="4" w:space="0" w:color="auto"/>
            </w:tcBorders>
            <w:shd w:val="clear" w:color="auto" w:fill="C6EFCE"/>
            <w:noWrap/>
            <w:vAlign w:val="center"/>
          </w:tcPr>
          <w:p w14:paraId="062E087E" w14:textId="77777777" w:rsidR="003F5418" w:rsidRDefault="002A6C25">
            <w:pPr>
              <w:pStyle w:val="P68B1DB1-Normal9"/>
              <w:rPr>
                <w:noProof/>
              </w:rPr>
            </w:pPr>
            <w:r>
              <w:rPr>
                <w:noProof/>
              </w:rPr>
              <w:t>Reform: Nemzeti hulladékgazdálkodási program;   Beruházás – Új hulladékkezelő üzemek megvalósítása és a</w:t>
            </w:r>
            <w:r>
              <w:rPr>
                <w:noProof/>
              </w:rPr>
              <w:t xml:space="preserve"> meglévő üzemek korszerűsítése</w:t>
            </w:r>
          </w:p>
        </w:tc>
        <w:tc>
          <w:tcPr>
            <w:tcW w:w="1425" w:type="dxa"/>
            <w:tcBorders>
              <w:top w:val="nil"/>
              <w:left w:val="nil"/>
              <w:bottom w:val="single" w:sz="4" w:space="0" w:color="auto"/>
              <w:right w:val="single" w:sz="4" w:space="0" w:color="auto"/>
            </w:tcBorders>
            <w:shd w:val="clear" w:color="auto" w:fill="C6EFCE"/>
            <w:noWrap/>
            <w:vAlign w:val="center"/>
          </w:tcPr>
          <w:p w14:paraId="2F087B27" w14:textId="77777777" w:rsidR="003F5418" w:rsidRDefault="002A6C25">
            <w:pPr>
              <w:pStyle w:val="P68B1DB1-Normal9"/>
              <w:jc w:val="center"/>
              <w:rPr>
                <w:noProof/>
              </w:rPr>
            </w:pPr>
            <w:r>
              <w:rPr>
                <w:noProof/>
              </w:rPr>
              <w:t>Cél</w:t>
            </w:r>
          </w:p>
        </w:tc>
        <w:tc>
          <w:tcPr>
            <w:tcW w:w="4106" w:type="dxa"/>
            <w:tcBorders>
              <w:top w:val="nil"/>
              <w:left w:val="nil"/>
              <w:bottom w:val="single" w:sz="4" w:space="0" w:color="auto"/>
              <w:right w:val="single" w:sz="4" w:space="0" w:color="auto"/>
            </w:tcBorders>
            <w:shd w:val="clear" w:color="auto" w:fill="C6EFCE"/>
            <w:noWrap/>
            <w:vAlign w:val="center"/>
          </w:tcPr>
          <w:p w14:paraId="7369558A" w14:textId="77777777" w:rsidR="003F5418" w:rsidRDefault="002A6C25">
            <w:pPr>
              <w:pStyle w:val="P68B1DB1-Normal9"/>
              <w:jc w:val="center"/>
              <w:rPr>
                <w:noProof/>
              </w:rPr>
            </w:pPr>
            <w:r>
              <w:rPr>
                <w:noProof/>
              </w:rPr>
              <w:t xml:space="preserve">Az illegális hulladéklerakók számának csökkentése (T1)  </w:t>
            </w:r>
          </w:p>
        </w:tc>
      </w:tr>
      <w:tr w:rsidR="003F5418" w14:paraId="0536010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98E83F" w14:textId="77777777" w:rsidR="003F5418" w:rsidRDefault="002A6C25">
            <w:pPr>
              <w:pStyle w:val="P68B1DB1-Normal9"/>
              <w:jc w:val="center"/>
              <w:rPr>
                <w:noProof/>
              </w:rPr>
            </w:pPr>
            <w:r>
              <w:rPr>
                <w:noProof/>
              </w:rPr>
              <w:t>M2C1–22</w:t>
            </w:r>
          </w:p>
        </w:tc>
        <w:tc>
          <w:tcPr>
            <w:tcW w:w="3195" w:type="dxa"/>
            <w:tcBorders>
              <w:top w:val="nil"/>
              <w:left w:val="nil"/>
              <w:bottom w:val="single" w:sz="4" w:space="0" w:color="auto"/>
              <w:right w:val="single" w:sz="4" w:space="0" w:color="auto"/>
            </w:tcBorders>
            <w:shd w:val="clear" w:color="auto" w:fill="C6EFCE"/>
            <w:noWrap/>
            <w:vAlign w:val="center"/>
          </w:tcPr>
          <w:p w14:paraId="7F12A17C" w14:textId="77777777" w:rsidR="003F5418" w:rsidRDefault="002A6C25">
            <w:pPr>
              <w:pStyle w:val="P68B1DB1-Normal9"/>
              <w:rPr>
                <w:noProof/>
              </w:rPr>
            </w:pPr>
            <w:r>
              <w:rPr>
                <w:noProof/>
              </w:rPr>
              <w:t>Beruházás: Fondo Contratti di Filiera (FCF) az agrár-élelmiszeripari, halászati és akvakultúra-ágazat, az erdészet,</w:t>
            </w:r>
            <w:r>
              <w:rPr>
                <w:noProof/>
              </w:rPr>
              <w:t xml:space="preserve"> a virágkertészet és a növényiskolák ellátási láncaira vonatkozó szerződések támogatása céljából</w:t>
            </w:r>
          </w:p>
        </w:tc>
        <w:tc>
          <w:tcPr>
            <w:tcW w:w="1425" w:type="dxa"/>
            <w:tcBorders>
              <w:top w:val="nil"/>
              <w:left w:val="nil"/>
              <w:bottom w:val="single" w:sz="4" w:space="0" w:color="auto"/>
              <w:right w:val="single" w:sz="4" w:space="0" w:color="auto"/>
            </w:tcBorders>
            <w:shd w:val="clear" w:color="auto" w:fill="C6EFCE"/>
            <w:noWrap/>
            <w:vAlign w:val="center"/>
          </w:tcPr>
          <w:p w14:paraId="08CA01C5"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48B28F73" w14:textId="77777777" w:rsidR="003F5418" w:rsidRDefault="002A6C25">
            <w:pPr>
              <w:pStyle w:val="P68B1DB1-Normal9"/>
              <w:jc w:val="center"/>
              <w:rPr>
                <w:noProof/>
              </w:rPr>
            </w:pPr>
            <w:r>
              <w:rPr>
                <w:noProof/>
              </w:rPr>
              <w:t>Végrehajtási megállapodás</w:t>
            </w:r>
          </w:p>
        </w:tc>
      </w:tr>
      <w:tr w:rsidR="003F5418" w14:paraId="47C191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D31423" w14:textId="77777777" w:rsidR="003F5418" w:rsidRDefault="002A6C25">
            <w:pPr>
              <w:pStyle w:val="P68B1DB1-Normal9"/>
              <w:jc w:val="center"/>
              <w:rPr>
                <w:noProof/>
              </w:rPr>
            </w:pPr>
            <w:r>
              <w:rPr>
                <w:noProof/>
              </w:rPr>
              <w:t>M2C2–31</w:t>
            </w:r>
          </w:p>
        </w:tc>
        <w:tc>
          <w:tcPr>
            <w:tcW w:w="3195" w:type="dxa"/>
            <w:tcBorders>
              <w:top w:val="nil"/>
              <w:left w:val="nil"/>
              <w:bottom w:val="single" w:sz="4" w:space="0" w:color="auto"/>
              <w:right w:val="single" w:sz="4" w:space="0" w:color="auto"/>
            </w:tcBorders>
            <w:shd w:val="clear" w:color="auto" w:fill="C6EFCE"/>
            <w:noWrap/>
            <w:vAlign w:val="center"/>
          </w:tcPr>
          <w:p w14:paraId="53B82FF8" w14:textId="77777777" w:rsidR="003F5418" w:rsidRDefault="002A6C25">
            <w:pPr>
              <w:pStyle w:val="P68B1DB1-Normal9"/>
              <w:rPr>
                <w:noProof/>
              </w:rPr>
            </w:pPr>
            <w:r>
              <w:rPr>
                <w:noProof/>
              </w:rPr>
              <w:t>Beruházás: A nemzeti tűzoltóság parancsnokságának megújítása</w:t>
            </w:r>
          </w:p>
        </w:tc>
        <w:tc>
          <w:tcPr>
            <w:tcW w:w="1425" w:type="dxa"/>
            <w:tcBorders>
              <w:top w:val="nil"/>
              <w:left w:val="nil"/>
              <w:bottom w:val="single" w:sz="4" w:space="0" w:color="auto"/>
              <w:right w:val="single" w:sz="4" w:space="0" w:color="auto"/>
            </w:tcBorders>
            <w:shd w:val="clear" w:color="auto" w:fill="C6EFCE"/>
            <w:noWrap/>
            <w:vAlign w:val="center"/>
          </w:tcPr>
          <w:p w14:paraId="5C153235"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3433F16C" w14:textId="77777777" w:rsidR="003F5418" w:rsidRDefault="002A6C25">
            <w:pPr>
              <w:pStyle w:val="P68B1DB1-Normal9"/>
              <w:jc w:val="center"/>
              <w:rPr>
                <w:noProof/>
              </w:rPr>
            </w:pPr>
            <w:r>
              <w:rPr>
                <w:noProof/>
              </w:rPr>
              <w:t xml:space="preserve">A nemzeti tűzoltóság parancsnokságának </w:t>
            </w:r>
            <w:r>
              <w:rPr>
                <w:noProof/>
              </w:rPr>
              <w:t>megújítására irányuló valamennyi közbeszerzési szerződés odaítélése</w:t>
            </w:r>
          </w:p>
        </w:tc>
      </w:tr>
      <w:tr w:rsidR="003F5418" w14:paraId="628E6FC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007013" w14:textId="77777777" w:rsidR="003F5418" w:rsidRDefault="002A6C25">
            <w:pPr>
              <w:pStyle w:val="P68B1DB1-Normal9"/>
              <w:jc w:val="center"/>
              <w:rPr>
                <w:noProof/>
              </w:rPr>
            </w:pPr>
            <w:r>
              <w:rPr>
                <w:noProof/>
              </w:rPr>
              <w:t>M2C4–6</w:t>
            </w:r>
          </w:p>
        </w:tc>
        <w:tc>
          <w:tcPr>
            <w:tcW w:w="3195" w:type="dxa"/>
            <w:tcBorders>
              <w:top w:val="nil"/>
              <w:left w:val="nil"/>
              <w:bottom w:val="single" w:sz="4" w:space="0" w:color="auto"/>
              <w:right w:val="single" w:sz="4" w:space="0" w:color="auto"/>
            </w:tcBorders>
            <w:shd w:val="clear" w:color="auto" w:fill="C6EFCE"/>
            <w:noWrap/>
            <w:vAlign w:val="center"/>
          </w:tcPr>
          <w:p w14:paraId="73D86B21" w14:textId="77777777" w:rsidR="003F5418" w:rsidRDefault="002A6C25">
            <w:pPr>
              <w:pStyle w:val="P68B1DB1-Normal9"/>
              <w:rPr>
                <w:noProof/>
              </w:rPr>
            </w:pPr>
            <w:r>
              <w:rPr>
                <w:noProof/>
              </w:rPr>
              <w:t>Beruházás: A nemzeti parkok digitalizálása</w:t>
            </w:r>
          </w:p>
        </w:tc>
        <w:tc>
          <w:tcPr>
            <w:tcW w:w="1425" w:type="dxa"/>
            <w:tcBorders>
              <w:top w:val="nil"/>
              <w:left w:val="nil"/>
              <w:bottom w:val="single" w:sz="4" w:space="0" w:color="auto"/>
              <w:right w:val="single" w:sz="4" w:space="0" w:color="auto"/>
            </w:tcBorders>
            <w:shd w:val="clear" w:color="auto" w:fill="C6EFCE"/>
            <w:noWrap/>
            <w:vAlign w:val="center"/>
          </w:tcPr>
          <w:p w14:paraId="5092D636" w14:textId="77777777" w:rsidR="003F5418" w:rsidRDefault="002A6C25">
            <w:pPr>
              <w:pStyle w:val="P68B1DB1-Normal9"/>
              <w:jc w:val="center"/>
              <w:rPr>
                <w:noProof/>
              </w:rPr>
            </w:pPr>
            <w:r>
              <w:rPr>
                <w:noProof/>
              </w:rPr>
              <w:t>Cél</w:t>
            </w:r>
          </w:p>
        </w:tc>
        <w:tc>
          <w:tcPr>
            <w:tcW w:w="4106" w:type="dxa"/>
            <w:tcBorders>
              <w:top w:val="nil"/>
              <w:left w:val="nil"/>
              <w:bottom w:val="single" w:sz="4" w:space="0" w:color="auto"/>
              <w:right w:val="single" w:sz="4" w:space="0" w:color="auto"/>
            </w:tcBorders>
            <w:shd w:val="clear" w:color="auto" w:fill="C6EFCE"/>
            <w:noWrap/>
            <w:vAlign w:val="center"/>
          </w:tcPr>
          <w:p w14:paraId="2C30ADF6" w14:textId="77777777" w:rsidR="003F5418" w:rsidRDefault="002A6C25">
            <w:pPr>
              <w:pStyle w:val="P68B1DB1-Normal9"/>
              <w:jc w:val="center"/>
              <w:rPr>
                <w:noProof/>
              </w:rPr>
            </w:pPr>
            <w:r>
              <w:rPr>
                <w:noProof/>
              </w:rPr>
              <w:t>Az adminisztráció egyszerűsítése és a nemzeti parkokba és védett tengeri területekbe látogatóknak nyújtott digitális szolgáltatások f</w:t>
            </w:r>
            <w:r>
              <w:rPr>
                <w:noProof/>
              </w:rPr>
              <w:t xml:space="preserve">ejlesztése </w:t>
            </w:r>
          </w:p>
        </w:tc>
      </w:tr>
      <w:tr w:rsidR="003F5418" w14:paraId="509D33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5A2A8B" w14:textId="77777777" w:rsidR="003F5418" w:rsidRDefault="002A6C25">
            <w:pPr>
              <w:pStyle w:val="P68B1DB1-Normal9"/>
              <w:jc w:val="center"/>
              <w:rPr>
                <w:noProof/>
              </w:rPr>
            </w:pPr>
            <w:r>
              <w:rPr>
                <w:noProof/>
              </w:rPr>
              <w:t>M3C2–10</w:t>
            </w:r>
          </w:p>
        </w:tc>
        <w:tc>
          <w:tcPr>
            <w:tcW w:w="3195" w:type="dxa"/>
            <w:tcBorders>
              <w:top w:val="nil"/>
              <w:left w:val="nil"/>
              <w:bottom w:val="single" w:sz="4" w:space="0" w:color="auto"/>
              <w:right w:val="single" w:sz="4" w:space="0" w:color="auto"/>
            </w:tcBorders>
            <w:shd w:val="clear" w:color="auto" w:fill="C6EFCE"/>
            <w:noWrap/>
            <w:vAlign w:val="center"/>
          </w:tcPr>
          <w:p w14:paraId="101EE10E" w14:textId="77777777" w:rsidR="003F5418" w:rsidRDefault="002A6C25">
            <w:pPr>
              <w:pStyle w:val="P68B1DB1-Normal9"/>
              <w:rPr>
                <w:noProof/>
              </w:rPr>
            </w:pPr>
            <w:r>
              <w:rPr>
                <w:noProof/>
              </w:rPr>
              <w:t>Reform: Nemzeti digitális logisztikai platform létrehozása az árufuvarozási és/vagy személyszállítási szolgáltatások digitalizálásának bevezetése érdekében</w:t>
            </w:r>
          </w:p>
        </w:tc>
        <w:tc>
          <w:tcPr>
            <w:tcW w:w="1425" w:type="dxa"/>
            <w:tcBorders>
              <w:top w:val="nil"/>
              <w:left w:val="nil"/>
              <w:bottom w:val="single" w:sz="4" w:space="0" w:color="auto"/>
              <w:right w:val="single" w:sz="4" w:space="0" w:color="auto"/>
            </w:tcBorders>
            <w:shd w:val="clear" w:color="auto" w:fill="C6EFCE"/>
            <w:noWrap/>
            <w:vAlign w:val="center"/>
          </w:tcPr>
          <w:p w14:paraId="0BAC7F4D"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739C5CB3" w14:textId="77777777" w:rsidR="003F5418" w:rsidRDefault="002A6C25">
            <w:pPr>
              <w:pStyle w:val="P68B1DB1-Normal9"/>
              <w:jc w:val="center"/>
              <w:rPr>
                <w:noProof/>
              </w:rPr>
            </w:pPr>
            <w:r>
              <w:rPr>
                <w:noProof/>
              </w:rPr>
              <w:t xml:space="preserve">Nemzeti digitális logisztikai platform </w:t>
            </w:r>
          </w:p>
        </w:tc>
      </w:tr>
      <w:tr w:rsidR="003F5418" w14:paraId="3A27674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DD7FA2" w14:textId="77777777" w:rsidR="003F5418" w:rsidRDefault="002A6C25">
            <w:pPr>
              <w:pStyle w:val="P68B1DB1-Normal9"/>
              <w:jc w:val="center"/>
              <w:rPr>
                <w:noProof/>
              </w:rPr>
            </w:pPr>
            <w:r>
              <w:rPr>
                <w:noProof/>
              </w:rPr>
              <w:t>M5C3–12</w:t>
            </w:r>
          </w:p>
        </w:tc>
        <w:tc>
          <w:tcPr>
            <w:tcW w:w="3195" w:type="dxa"/>
            <w:tcBorders>
              <w:top w:val="nil"/>
              <w:left w:val="nil"/>
              <w:bottom w:val="single" w:sz="4" w:space="0" w:color="auto"/>
              <w:right w:val="single" w:sz="4" w:space="0" w:color="auto"/>
            </w:tcBorders>
            <w:shd w:val="clear" w:color="auto" w:fill="C6EFCE"/>
            <w:noWrap/>
            <w:vAlign w:val="center"/>
          </w:tcPr>
          <w:p w14:paraId="01764BB6" w14:textId="77777777" w:rsidR="003F5418" w:rsidRDefault="002A6C25">
            <w:pPr>
              <w:pStyle w:val="P68B1DB1-Normal9"/>
              <w:rPr>
                <w:noProof/>
              </w:rPr>
            </w:pPr>
            <w:r>
              <w:rPr>
                <w:noProof/>
              </w:rPr>
              <w:t xml:space="preserve">Beruházás: </w:t>
            </w:r>
            <w:r>
              <w:rPr>
                <w:noProof/>
              </w:rPr>
              <w:t>Infrastrukturális beruházások a különleges gazdasági övezet számára</w:t>
            </w:r>
          </w:p>
        </w:tc>
        <w:tc>
          <w:tcPr>
            <w:tcW w:w="1425" w:type="dxa"/>
            <w:tcBorders>
              <w:top w:val="nil"/>
              <w:left w:val="nil"/>
              <w:bottom w:val="single" w:sz="4" w:space="0" w:color="auto"/>
              <w:right w:val="single" w:sz="4" w:space="0" w:color="auto"/>
            </w:tcBorders>
            <w:shd w:val="clear" w:color="auto" w:fill="C6EFCE"/>
            <w:noWrap/>
            <w:vAlign w:val="center"/>
          </w:tcPr>
          <w:p w14:paraId="32434123" w14:textId="77777777" w:rsidR="003F5418" w:rsidRDefault="002A6C25">
            <w:pPr>
              <w:pStyle w:val="P68B1DB1-Normal9"/>
              <w:jc w:val="center"/>
              <w:rPr>
                <w:noProof/>
              </w:rPr>
            </w:pPr>
            <w:r>
              <w:rPr>
                <w:noProof/>
              </w:rPr>
              <w:t>Cél</w:t>
            </w:r>
          </w:p>
        </w:tc>
        <w:tc>
          <w:tcPr>
            <w:tcW w:w="4106" w:type="dxa"/>
            <w:tcBorders>
              <w:top w:val="nil"/>
              <w:left w:val="nil"/>
              <w:bottom w:val="single" w:sz="4" w:space="0" w:color="auto"/>
              <w:right w:val="single" w:sz="4" w:space="0" w:color="auto"/>
            </w:tcBorders>
            <w:shd w:val="clear" w:color="auto" w:fill="C6EFCE"/>
            <w:noWrap/>
            <w:vAlign w:val="center"/>
          </w:tcPr>
          <w:p w14:paraId="5926A226" w14:textId="77777777" w:rsidR="003F5418" w:rsidRDefault="002A6C25">
            <w:pPr>
              <w:pStyle w:val="P68B1DB1-Normal9"/>
              <w:jc w:val="center"/>
              <w:rPr>
                <w:noProof/>
              </w:rPr>
            </w:pPr>
            <w:r>
              <w:rPr>
                <w:noProof/>
              </w:rPr>
              <w:t>Infrastrukturális beavatkozások megkezdése a különleges gazdasági övezetekben</w:t>
            </w:r>
          </w:p>
        </w:tc>
      </w:tr>
      <w:tr w:rsidR="003F5418" w14:paraId="358744E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B109E0" w14:textId="77777777" w:rsidR="003F5418" w:rsidRDefault="002A6C25">
            <w:pPr>
              <w:pStyle w:val="P68B1DB1-Normal9"/>
              <w:jc w:val="center"/>
              <w:rPr>
                <w:noProof/>
              </w:rPr>
            </w:pPr>
            <w:r>
              <w:rPr>
                <w:noProof/>
              </w:rPr>
              <w:t>M6C2–15</w:t>
            </w:r>
          </w:p>
        </w:tc>
        <w:tc>
          <w:tcPr>
            <w:tcW w:w="3195" w:type="dxa"/>
            <w:tcBorders>
              <w:top w:val="nil"/>
              <w:left w:val="nil"/>
              <w:bottom w:val="single" w:sz="4" w:space="0" w:color="auto"/>
              <w:right w:val="single" w:sz="4" w:space="0" w:color="auto"/>
            </w:tcBorders>
            <w:shd w:val="clear" w:color="auto" w:fill="C6EFCE"/>
            <w:noWrap/>
            <w:vAlign w:val="center"/>
          </w:tcPr>
          <w:p w14:paraId="66D48102" w14:textId="77777777" w:rsidR="003F5418" w:rsidRDefault="002A6C25">
            <w:pPr>
              <w:pStyle w:val="P68B1DB1-Normal39"/>
              <w:rPr>
                <w:noProof/>
              </w:rPr>
            </w:pPr>
            <w:r>
              <w:rPr>
                <w:noProof/>
              </w:rPr>
              <w:t>Beruházás: Az egészségügyi rendszer szakemberei műszaki-szakmai, digitális és vezetői készségeine</w:t>
            </w:r>
            <w:r>
              <w:rPr>
                <w:noProof/>
              </w:rPr>
              <w:t>k fejlesztése</w:t>
            </w:r>
          </w:p>
        </w:tc>
        <w:tc>
          <w:tcPr>
            <w:tcW w:w="1425" w:type="dxa"/>
            <w:tcBorders>
              <w:top w:val="nil"/>
              <w:left w:val="nil"/>
              <w:bottom w:val="single" w:sz="4" w:space="0" w:color="auto"/>
              <w:right w:val="single" w:sz="4" w:space="0" w:color="auto"/>
            </w:tcBorders>
            <w:shd w:val="clear" w:color="auto" w:fill="C6EFCE"/>
            <w:noWrap/>
            <w:vAlign w:val="center"/>
          </w:tcPr>
          <w:p w14:paraId="01661122" w14:textId="77777777" w:rsidR="003F5418" w:rsidRDefault="002A6C25">
            <w:pPr>
              <w:pStyle w:val="P68B1DB1-Normal39"/>
              <w:jc w:val="center"/>
              <w:rPr>
                <w:noProof/>
              </w:rPr>
            </w:pPr>
            <w:r>
              <w:rPr>
                <w:noProof/>
              </w:rPr>
              <w:t>Cél</w:t>
            </w:r>
          </w:p>
        </w:tc>
        <w:tc>
          <w:tcPr>
            <w:tcW w:w="4106" w:type="dxa"/>
            <w:tcBorders>
              <w:top w:val="nil"/>
              <w:left w:val="nil"/>
              <w:bottom w:val="single" w:sz="4" w:space="0" w:color="auto"/>
              <w:right w:val="single" w:sz="4" w:space="0" w:color="auto"/>
            </w:tcBorders>
            <w:shd w:val="clear" w:color="auto" w:fill="C6EFCE"/>
            <w:noWrap/>
            <w:vAlign w:val="center"/>
          </w:tcPr>
          <w:p w14:paraId="43ABEBF1" w14:textId="77777777" w:rsidR="003F5418" w:rsidRDefault="002A6C25">
            <w:pPr>
              <w:pStyle w:val="P68B1DB1-Normal39"/>
              <w:jc w:val="center"/>
              <w:rPr>
                <w:noProof/>
              </w:rPr>
            </w:pPr>
            <w:r>
              <w:rPr>
                <w:noProof/>
              </w:rPr>
              <w:t>További ösztöndíjakat ítélnek oda az általános orvosi szakorvosi képzéshez.</w:t>
            </w:r>
          </w:p>
        </w:tc>
      </w:tr>
      <w:tr w:rsidR="003F5418" w14:paraId="7C1E31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6C5599" w14:textId="77777777" w:rsidR="003F5418" w:rsidRDefault="002A6C25">
            <w:pPr>
              <w:pStyle w:val="P68B1DB1-Normal9"/>
              <w:jc w:val="center"/>
              <w:rPr>
                <w:noProof/>
              </w:rPr>
            </w:pPr>
            <w:r>
              <w:rPr>
                <w:noProof/>
              </w:rPr>
              <w:t>M7–36. INTÉZKEDÉS</w:t>
            </w:r>
          </w:p>
        </w:tc>
        <w:tc>
          <w:tcPr>
            <w:tcW w:w="3195" w:type="dxa"/>
            <w:tcBorders>
              <w:top w:val="nil"/>
              <w:left w:val="nil"/>
              <w:bottom w:val="single" w:sz="4" w:space="0" w:color="auto"/>
              <w:right w:val="single" w:sz="4" w:space="0" w:color="auto"/>
            </w:tcBorders>
            <w:shd w:val="clear" w:color="auto" w:fill="C6EFCE"/>
            <w:noWrap/>
            <w:vAlign w:val="center"/>
          </w:tcPr>
          <w:p w14:paraId="541CA114" w14:textId="77777777" w:rsidR="003F5418" w:rsidRDefault="002A6C25">
            <w:pPr>
              <w:pStyle w:val="P68B1DB1-Normal9"/>
              <w:rPr>
                <w:noProof/>
              </w:rPr>
            </w:pPr>
            <w:r>
              <w:rPr>
                <w:noProof/>
              </w:rPr>
              <w:t>Beruházás: Adriai vonal, 1. szakasz (Sulmona kompresszorállomás és Sestino-Minerbio gázvezeték)</w:t>
            </w:r>
          </w:p>
        </w:tc>
        <w:tc>
          <w:tcPr>
            <w:tcW w:w="1425" w:type="dxa"/>
            <w:tcBorders>
              <w:top w:val="nil"/>
              <w:left w:val="nil"/>
              <w:bottom w:val="single" w:sz="4" w:space="0" w:color="auto"/>
              <w:right w:val="single" w:sz="4" w:space="0" w:color="auto"/>
            </w:tcBorders>
            <w:shd w:val="clear" w:color="auto" w:fill="C6EFCE"/>
            <w:noWrap/>
            <w:vAlign w:val="center"/>
          </w:tcPr>
          <w:p w14:paraId="695C5594"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164BFC63" w14:textId="77777777" w:rsidR="003F5418" w:rsidRDefault="002A6C25">
            <w:pPr>
              <w:pStyle w:val="P68B1DB1-Normal9"/>
              <w:jc w:val="center"/>
              <w:rPr>
                <w:noProof/>
              </w:rPr>
            </w:pPr>
            <w:r>
              <w:rPr>
                <w:noProof/>
              </w:rPr>
              <w:t>Szerződések odaítélése</w:t>
            </w:r>
          </w:p>
        </w:tc>
      </w:tr>
      <w:tr w:rsidR="003F5418" w14:paraId="537428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6AD0B6" w14:textId="77777777" w:rsidR="003F5418" w:rsidRDefault="002A6C25">
            <w:pPr>
              <w:pStyle w:val="P68B1DB1-Normal9"/>
              <w:jc w:val="center"/>
              <w:rPr>
                <w:noProof/>
              </w:rPr>
            </w:pPr>
            <w:r>
              <w:rPr>
                <w:noProof/>
              </w:rPr>
              <w:t xml:space="preserve">7–38. </w:t>
            </w:r>
            <w:r>
              <w:rPr>
                <w:noProof/>
              </w:rPr>
              <w:t>INTÉZKEDÉS</w:t>
            </w:r>
          </w:p>
        </w:tc>
        <w:tc>
          <w:tcPr>
            <w:tcW w:w="3195" w:type="dxa"/>
            <w:tcBorders>
              <w:top w:val="nil"/>
              <w:left w:val="nil"/>
              <w:bottom w:val="single" w:sz="4" w:space="0" w:color="auto"/>
              <w:right w:val="single" w:sz="4" w:space="0" w:color="auto"/>
            </w:tcBorders>
            <w:shd w:val="clear" w:color="auto" w:fill="C6EFCE"/>
            <w:noWrap/>
            <w:vAlign w:val="center"/>
          </w:tcPr>
          <w:p w14:paraId="75D5943B" w14:textId="77777777" w:rsidR="003F5418" w:rsidRDefault="002A6C25">
            <w:pPr>
              <w:pStyle w:val="P68B1DB1-Normal9"/>
              <w:rPr>
                <w:noProof/>
              </w:rPr>
            </w:pPr>
            <w:r>
              <w:rPr>
                <w:noProof/>
              </w:rPr>
              <w:t>Beruházás: Határokon átnyúló gázkiviteli infrastruktúra</w:t>
            </w:r>
          </w:p>
        </w:tc>
        <w:tc>
          <w:tcPr>
            <w:tcW w:w="1425" w:type="dxa"/>
            <w:tcBorders>
              <w:top w:val="nil"/>
              <w:left w:val="nil"/>
              <w:bottom w:val="single" w:sz="4" w:space="0" w:color="auto"/>
              <w:right w:val="single" w:sz="4" w:space="0" w:color="auto"/>
            </w:tcBorders>
            <w:shd w:val="clear" w:color="auto" w:fill="C6EFCE"/>
            <w:noWrap/>
            <w:vAlign w:val="center"/>
          </w:tcPr>
          <w:p w14:paraId="1DA48B87" w14:textId="77777777" w:rsidR="003F5418" w:rsidRDefault="002A6C25">
            <w:pPr>
              <w:pStyle w:val="P68B1DB1-Normal9"/>
              <w:jc w:val="center"/>
              <w:rPr>
                <w:noProof/>
              </w:rPr>
            </w:pPr>
            <w:r>
              <w:rPr>
                <w:noProof/>
              </w:rPr>
              <w:t>Mérföldkő</w:t>
            </w:r>
          </w:p>
        </w:tc>
        <w:tc>
          <w:tcPr>
            <w:tcW w:w="4106" w:type="dxa"/>
            <w:tcBorders>
              <w:top w:val="nil"/>
              <w:left w:val="nil"/>
              <w:bottom w:val="single" w:sz="4" w:space="0" w:color="auto"/>
              <w:right w:val="single" w:sz="4" w:space="0" w:color="auto"/>
            </w:tcBorders>
            <w:shd w:val="clear" w:color="auto" w:fill="C6EFCE"/>
            <w:noWrap/>
            <w:vAlign w:val="center"/>
          </w:tcPr>
          <w:p w14:paraId="4C8989B1" w14:textId="77777777" w:rsidR="003F5418" w:rsidRDefault="002A6C25">
            <w:pPr>
              <w:pStyle w:val="P68B1DB1-Normal9"/>
              <w:jc w:val="center"/>
              <w:rPr>
                <w:noProof/>
              </w:rPr>
            </w:pPr>
            <w:r>
              <w:rPr>
                <w:noProof/>
              </w:rPr>
              <w:t>Szerződések odaítélése</w:t>
            </w:r>
          </w:p>
        </w:tc>
      </w:tr>
      <w:tr w:rsidR="003F5418" w14:paraId="76CE044F"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3D4231"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0B211371" w14:textId="77777777" w:rsidR="003F5418" w:rsidRDefault="003F5418">
            <w:pPr>
              <w:rPr>
                <w:noProof/>
                <w:color w:val="006100"/>
                <w:sz w:val="20"/>
              </w:rPr>
            </w:pPr>
          </w:p>
        </w:tc>
        <w:tc>
          <w:tcPr>
            <w:tcW w:w="1425" w:type="dxa"/>
            <w:tcBorders>
              <w:top w:val="single" w:sz="4" w:space="0" w:color="auto"/>
              <w:left w:val="nil"/>
              <w:bottom w:val="single" w:sz="4" w:space="0" w:color="auto"/>
              <w:right w:val="single" w:sz="4" w:space="0" w:color="auto"/>
            </w:tcBorders>
            <w:shd w:val="clear" w:color="auto" w:fill="C6EFCE"/>
            <w:noWrap/>
            <w:vAlign w:val="bottom"/>
          </w:tcPr>
          <w:p w14:paraId="0EF38E07" w14:textId="77777777" w:rsidR="003F5418" w:rsidRDefault="002A6C25">
            <w:pPr>
              <w:pStyle w:val="P68B1DB1-Normal9"/>
              <w:rPr>
                <w:noProof/>
              </w:rPr>
            </w:pPr>
            <w:r>
              <w:rPr>
                <w:noProof/>
              </w:rPr>
              <w:t>Részösszeg</w:t>
            </w:r>
          </w:p>
        </w:tc>
        <w:tc>
          <w:tcPr>
            <w:tcW w:w="4106" w:type="dxa"/>
            <w:tcBorders>
              <w:top w:val="single" w:sz="4" w:space="0" w:color="auto"/>
              <w:left w:val="nil"/>
              <w:bottom w:val="single" w:sz="4" w:space="0" w:color="auto"/>
              <w:right w:val="single" w:sz="4" w:space="0" w:color="auto"/>
            </w:tcBorders>
            <w:shd w:val="clear" w:color="auto" w:fill="C6EFCE"/>
            <w:noWrap/>
            <w:vAlign w:val="bottom"/>
          </w:tcPr>
          <w:p w14:paraId="309C49F5" w14:textId="211A190F" w:rsidR="003F5418" w:rsidRDefault="002A6C25">
            <w:pPr>
              <w:pStyle w:val="P68B1DB1-Normal9"/>
              <w:rPr>
                <w:noProof/>
              </w:rPr>
            </w:pPr>
            <w:r>
              <w:rPr>
                <w:noProof/>
              </w:rPr>
              <w:t>7 908 481 227 EUR</w:t>
            </w:r>
          </w:p>
        </w:tc>
      </w:tr>
    </w:tbl>
    <w:p w14:paraId="468B195F" w14:textId="77777777" w:rsidR="003F5418" w:rsidRDefault="002A6C25">
      <w:pPr>
        <w:pStyle w:val="P68B1DB1-Normal35"/>
        <w:numPr>
          <w:ilvl w:val="1"/>
          <w:numId w:val="6"/>
        </w:numPr>
        <w:spacing w:before="120" w:after="120"/>
        <w:jc w:val="both"/>
        <w:rPr>
          <w:noProof/>
        </w:rPr>
      </w:pPr>
      <w:r>
        <w:rPr>
          <w:noProof/>
        </w:rPr>
        <w:t>Hetedik részlet (hiteltámogatás):</w:t>
      </w:r>
    </w:p>
    <w:tbl>
      <w:tblPr>
        <w:tblW w:w="10152" w:type="dxa"/>
        <w:tblInd w:w="113" w:type="dxa"/>
        <w:tblLook w:val="04A0" w:firstRow="1" w:lastRow="0" w:firstColumn="1" w:lastColumn="0" w:noHBand="0" w:noVBand="1"/>
      </w:tblPr>
      <w:tblGrid>
        <w:gridCol w:w="1438"/>
        <w:gridCol w:w="3195"/>
        <w:gridCol w:w="1416"/>
        <w:gridCol w:w="4166"/>
      </w:tblGrid>
      <w:tr w:rsidR="003F5418" w14:paraId="10846351"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1592FD8" w14:textId="77777777" w:rsidR="003F5418" w:rsidRDefault="002A6C25">
            <w:pPr>
              <w:pStyle w:val="P68B1DB1-Normal36"/>
              <w:jc w:val="center"/>
              <w:rPr>
                <w:noProof/>
              </w:rPr>
            </w:pPr>
            <w:r>
              <w:rPr>
                <w:noProof/>
              </w:rPr>
              <w:t>Sorszám</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58D659C" w14:textId="77777777" w:rsidR="003F5418" w:rsidRDefault="002A6C25">
            <w:pPr>
              <w:pStyle w:val="P68B1DB1-Normal36"/>
              <w:jc w:val="center"/>
              <w:rPr>
                <w:noProof/>
              </w:rPr>
            </w:pPr>
            <w:r>
              <w:rPr>
                <w:noProof/>
              </w:rPr>
              <w:t>Kapcsolódó intézkedés (reform vagy beruházás)</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C7FD9FB" w14:textId="77777777" w:rsidR="003F5418" w:rsidRDefault="002A6C25">
            <w:pPr>
              <w:pStyle w:val="P68B1DB1-Normal36"/>
              <w:jc w:val="center"/>
              <w:rPr>
                <w:noProof/>
              </w:rPr>
            </w:pPr>
            <w:r>
              <w:rPr>
                <w:noProof/>
              </w:rPr>
              <w:t>Mérföldkő/cél</w:t>
            </w:r>
          </w:p>
        </w:tc>
        <w:tc>
          <w:tcPr>
            <w:tcW w:w="416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FDA3087" w14:textId="77777777" w:rsidR="003F5418" w:rsidRDefault="002A6C25">
            <w:pPr>
              <w:pStyle w:val="P68B1DB1-Normal36"/>
              <w:jc w:val="center"/>
              <w:rPr>
                <w:noProof/>
              </w:rPr>
            </w:pPr>
            <w:r>
              <w:rPr>
                <w:noProof/>
              </w:rPr>
              <w:t>Név</w:t>
            </w:r>
          </w:p>
        </w:tc>
      </w:tr>
      <w:tr w:rsidR="003F5418" w14:paraId="7A47DC2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1E2DDB6" w14:textId="77777777" w:rsidR="003F5418" w:rsidRDefault="003F5418">
            <w:pPr>
              <w:rPr>
                <w:b/>
                <w:noProof/>
              </w:rPr>
            </w:pPr>
          </w:p>
        </w:tc>
        <w:tc>
          <w:tcPr>
            <w:tcW w:w="3195" w:type="dxa"/>
            <w:vMerge/>
            <w:tcBorders>
              <w:top w:val="single" w:sz="4" w:space="0" w:color="auto"/>
              <w:left w:val="single" w:sz="4" w:space="0" w:color="auto"/>
              <w:bottom w:val="single" w:sz="4" w:space="0" w:color="auto"/>
              <w:right w:val="single" w:sz="4" w:space="0" w:color="auto"/>
            </w:tcBorders>
            <w:vAlign w:val="center"/>
            <w:hideMark/>
          </w:tcPr>
          <w:p w14:paraId="37606D4E" w14:textId="77777777" w:rsidR="003F5418" w:rsidRDefault="003F5418">
            <w:pPr>
              <w:rPr>
                <w:b/>
                <w:noProof/>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094E092E" w14:textId="77777777" w:rsidR="003F5418" w:rsidRDefault="003F5418">
            <w:pPr>
              <w:rPr>
                <w:b/>
                <w:noProof/>
              </w:rPr>
            </w:pPr>
          </w:p>
        </w:tc>
        <w:tc>
          <w:tcPr>
            <w:tcW w:w="4166" w:type="dxa"/>
            <w:vMerge/>
            <w:tcBorders>
              <w:top w:val="single" w:sz="4" w:space="0" w:color="auto"/>
              <w:left w:val="single" w:sz="4" w:space="0" w:color="auto"/>
              <w:bottom w:val="single" w:sz="4" w:space="0" w:color="auto"/>
              <w:right w:val="single" w:sz="4" w:space="0" w:color="auto"/>
            </w:tcBorders>
            <w:vAlign w:val="center"/>
            <w:hideMark/>
          </w:tcPr>
          <w:p w14:paraId="11C2D3E6" w14:textId="77777777" w:rsidR="003F5418" w:rsidRDefault="003F5418">
            <w:pPr>
              <w:rPr>
                <w:b/>
                <w:noProof/>
              </w:rPr>
            </w:pPr>
          </w:p>
        </w:tc>
      </w:tr>
      <w:tr w:rsidR="003F5418" w14:paraId="4AC0DEFC"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D55D1F" w14:textId="77777777" w:rsidR="003F5418" w:rsidRDefault="002A6C25">
            <w:pPr>
              <w:pStyle w:val="P68B1DB1-Normal9"/>
              <w:jc w:val="center"/>
              <w:rPr>
                <w:noProof/>
              </w:rPr>
            </w:pPr>
            <w:r>
              <w:rPr>
                <w:noProof/>
              </w:rPr>
              <w:t>M1C1–139.</w:t>
            </w:r>
          </w:p>
        </w:tc>
        <w:tc>
          <w:tcPr>
            <w:tcW w:w="3195" w:type="dxa"/>
            <w:tcBorders>
              <w:top w:val="single" w:sz="4" w:space="0" w:color="auto"/>
              <w:left w:val="nil"/>
              <w:bottom w:val="single" w:sz="4" w:space="0" w:color="auto"/>
              <w:right w:val="single" w:sz="4" w:space="0" w:color="auto"/>
            </w:tcBorders>
            <w:shd w:val="clear" w:color="auto" w:fill="C6EFCE"/>
            <w:noWrap/>
            <w:vAlign w:val="center"/>
          </w:tcPr>
          <w:p w14:paraId="61623478" w14:textId="77777777" w:rsidR="003F5418" w:rsidRDefault="002A6C25">
            <w:pPr>
              <w:pStyle w:val="P68B1DB1-Normal9"/>
              <w:rPr>
                <w:noProof/>
              </w:rPr>
            </w:pPr>
            <w:r>
              <w:rPr>
                <w:noProof/>
              </w:rPr>
              <w:t>Beruházás – Felhő biztosítása a helyi kifizető ügynökségek számára</w:t>
            </w:r>
          </w:p>
        </w:tc>
        <w:tc>
          <w:tcPr>
            <w:tcW w:w="1378" w:type="dxa"/>
            <w:tcBorders>
              <w:top w:val="single" w:sz="4" w:space="0" w:color="auto"/>
              <w:left w:val="nil"/>
              <w:bottom w:val="single" w:sz="4" w:space="0" w:color="auto"/>
              <w:right w:val="single" w:sz="4" w:space="0" w:color="auto"/>
            </w:tcBorders>
            <w:shd w:val="clear" w:color="auto" w:fill="C6EFCE"/>
            <w:noWrap/>
            <w:vAlign w:val="center"/>
          </w:tcPr>
          <w:p w14:paraId="0F83C101" w14:textId="77777777" w:rsidR="003F5418" w:rsidRDefault="002A6C25">
            <w:pPr>
              <w:pStyle w:val="P68B1DB1-Normal9"/>
              <w:jc w:val="center"/>
              <w:rPr>
                <w:noProof/>
              </w:rPr>
            </w:pPr>
            <w:r>
              <w:rPr>
                <w:noProof/>
              </w:rPr>
              <w:t>Cél</w:t>
            </w:r>
          </w:p>
        </w:tc>
        <w:tc>
          <w:tcPr>
            <w:tcW w:w="4166" w:type="dxa"/>
            <w:tcBorders>
              <w:top w:val="single" w:sz="4" w:space="0" w:color="auto"/>
              <w:left w:val="nil"/>
              <w:bottom w:val="single" w:sz="4" w:space="0" w:color="auto"/>
              <w:right w:val="single" w:sz="4" w:space="0" w:color="auto"/>
            </w:tcBorders>
            <w:shd w:val="clear" w:color="auto" w:fill="C6EFCE"/>
            <w:noWrap/>
            <w:vAlign w:val="center"/>
          </w:tcPr>
          <w:p w14:paraId="4C8FFBEF" w14:textId="77777777" w:rsidR="003F5418" w:rsidRDefault="002A6C25">
            <w:pPr>
              <w:pStyle w:val="P68B1DB1-Normal9"/>
              <w:jc w:val="center"/>
              <w:rPr>
                <w:noProof/>
              </w:rPr>
            </w:pPr>
            <w:r>
              <w:rPr>
                <w:noProof/>
              </w:rPr>
              <w:t>Felhőalapú szolgáltatás a helyi közigazgatás számára T1</w:t>
            </w:r>
          </w:p>
        </w:tc>
      </w:tr>
      <w:tr w:rsidR="003F5418" w14:paraId="61A6DD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437373F" w14:textId="77777777" w:rsidR="003F5418" w:rsidRDefault="002A6C25">
            <w:pPr>
              <w:pStyle w:val="P68B1DB1-Normal9"/>
              <w:jc w:val="center"/>
              <w:rPr>
                <w:noProof/>
              </w:rPr>
            </w:pPr>
            <w:r>
              <w:rPr>
                <w:noProof/>
              </w:rPr>
              <w:t>M2C2–25</w:t>
            </w:r>
          </w:p>
        </w:tc>
        <w:tc>
          <w:tcPr>
            <w:tcW w:w="3195" w:type="dxa"/>
            <w:tcBorders>
              <w:top w:val="nil"/>
              <w:left w:val="nil"/>
              <w:bottom w:val="single" w:sz="4" w:space="0" w:color="auto"/>
              <w:right w:val="single" w:sz="4" w:space="0" w:color="auto"/>
            </w:tcBorders>
            <w:shd w:val="clear" w:color="auto" w:fill="C6EFCE"/>
            <w:noWrap/>
            <w:vAlign w:val="center"/>
          </w:tcPr>
          <w:p w14:paraId="354F5397" w14:textId="77777777" w:rsidR="003F5418" w:rsidRDefault="002A6C25">
            <w:pPr>
              <w:pStyle w:val="P68B1DB1-Normal9"/>
              <w:rPr>
                <w:noProof/>
              </w:rPr>
            </w:pPr>
            <w:r>
              <w:rPr>
                <w:noProof/>
              </w:rPr>
              <w:t xml:space="preserve">Beruházás: Gyors tömegszállítási rendszerek fejlesztése </w:t>
            </w:r>
          </w:p>
        </w:tc>
        <w:tc>
          <w:tcPr>
            <w:tcW w:w="1378" w:type="dxa"/>
            <w:tcBorders>
              <w:top w:val="nil"/>
              <w:left w:val="nil"/>
              <w:bottom w:val="single" w:sz="4" w:space="0" w:color="auto"/>
              <w:right w:val="single" w:sz="4" w:space="0" w:color="auto"/>
            </w:tcBorders>
            <w:shd w:val="clear" w:color="auto" w:fill="C6EFCE"/>
            <w:noWrap/>
            <w:vAlign w:val="center"/>
          </w:tcPr>
          <w:p w14:paraId="3F468A51"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103523B0" w14:textId="77777777" w:rsidR="003F5418" w:rsidRDefault="002A6C25">
            <w:pPr>
              <w:pStyle w:val="P68B1DB1-Normal40"/>
              <w:jc w:val="center"/>
              <w:rPr>
                <w:noProof/>
                <w:color w:val="006100"/>
              </w:rPr>
            </w:pPr>
            <w:r>
              <w:rPr>
                <w:noProof/>
                <w:color w:val="006100"/>
              </w:rPr>
              <w:t>A kibocsátásmentes járművek beszerzésére irányuló</w:t>
            </w:r>
            <w:r>
              <w:rPr>
                <w:noProof/>
                <w:color w:val="000000" w:themeColor="text1"/>
              </w:rPr>
              <w:t xml:space="preserve"> </w:t>
            </w:r>
            <w:r>
              <w:rPr>
                <w:noProof/>
                <w:color w:val="006100"/>
              </w:rPr>
              <w:t>val</w:t>
            </w:r>
            <w:r>
              <w:rPr>
                <w:noProof/>
                <w:color w:val="006100"/>
              </w:rPr>
              <w:t>amennyi közbeszerzési szerződés odaítélése és a gyors tömegközlekedési rendszerek infrastruktúrájának korszerűsítésére irányuló beavatkozások</w:t>
            </w:r>
          </w:p>
        </w:tc>
      </w:tr>
      <w:tr w:rsidR="003F5418" w14:paraId="36869F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995B4D0" w14:textId="77777777" w:rsidR="003F5418" w:rsidRDefault="002A6C25">
            <w:pPr>
              <w:pStyle w:val="P68B1DB1-Normal9"/>
              <w:jc w:val="center"/>
              <w:rPr>
                <w:noProof/>
              </w:rPr>
            </w:pPr>
            <w:r>
              <w:rPr>
                <w:noProof/>
              </w:rPr>
              <w:t>M2C4–11</w:t>
            </w:r>
          </w:p>
        </w:tc>
        <w:tc>
          <w:tcPr>
            <w:tcW w:w="3195" w:type="dxa"/>
            <w:tcBorders>
              <w:top w:val="nil"/>
              <w:left w:val="nil"/>
              <w:bottom w:val="single" w:sz="4" w:space="0" w:color="auto"/>
              <w:right w:val="single" w:sz="4" w:space="0" w:color="auto"/>
            </w:tcBorders>
            <w:shd w:val="clear" w:color="auto" w:fill="C6EFCE"/>
            <w:noWrap/>
            <w:vAlign w:val="center"/>
          </w:tcPr>
          <w:p w14:paraId="5F4673E4" w14:textId="77777777" w:rsidR="003F5418" w:rsidRDefault="002A6C25">
            <w:pPr>
              <w:pStyle w:val="P68B1DB1-Normal9"/>
              <w:rPr>
                <w:noProof/>
              </w:rPr>
            </w:pPr>
            <w:r>
              <w:rPr>
                <w:noProof/>
              </w:rPr>
              <w:t xml:space="preserve">Beruházás: Az árvíz- és hidrogeológiai kockázatok csökkentésére irányuló intézkedések – Beavatkozás </w:t>
            </w:r>
            <w:r>
              <w:rPr>
                <w:noProof/>
              </w:rPr>
              <w:t>Emilia Romagnában, Toscanában és Marche-ban</w:t>
            </w:r>
          </w:p>
        </w:tc>
        <w:tc>
          <w:tcPr>
            <w:tcW w:w="1378" w:type="dxa"/>
            <w:tcBorders>
              <w:top w:val="nil"/>
              <w:left w:val="nil"/>
              <w:bottom w:val="single" w:sz="4" w:space="0" w:color="auto"/>
              <w:right w:val="single" w:sz="4" w:space="0" w:color="auto"/>
            </w:tcBorders>
            <w:shd w:val="clear" w:color="auto" w:fill="C6EFCE"/>
            <w:noWrap/>
            <w:vAlign w:val="center"/>
          </w:tcPr>
          <w:p w14:paraId="2CD8D3FC"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15494271" w14:textId="77777777" w:rsidR="003F5418" w:rsidRDefault="002A6C25">
            <w:pPr>
              <w:pStyle w:val="P68B1DB1-Normal9"/>
              <w:jc w:val="center"/>
              <w:rPr>
                <w:noProof/>
              </w:rPr>
            </w:pPr>
            <w:r>
              <w:rPr>
                <w:noProof/>
              </w:rPr>
              <w:t>A beavatkozások azonosítása a veszélyhelyzeti biztos rendeletével (rendeleteivel)</w:t>
            </w:r>
          </w:p>
        </w:tc>
      </w:tr>
      <w:tr w:rsidR="003F5418" w14:paraId="32DEA1E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8E9472" w14:textId="77777777" w:rsidR="003F5418" w:rsidRDefault="002A6C25">
            <w:pPr>
              <w:pStyle w:val="P68B1DB1-Normal9"/>
              <w:jc w:val="center"/>
              <w:rPr>
                <w:noProof/>
              </w:rPr>
            </w:pPr>
            <w:r>
              <w:rPr>
                <w:noProof/>
              </w:rPr>
              <w:t>M7–46. INTÉZKEDÉS</w:t>
            </w:r>
          </w:p>
        </w:tc>
        <w:tc>
          <w:tcPr>
            <w:tcW w:w="3195" w:type="dxa"/>
            <w:tcBorders>
              <w:top w:val="nil"/>
              <w:left w:val="nil"/>
              <w:bottom w:val="single" w:sz="4" w:space="0" w:color="auto"/>
              <w:right w:val="single" w:sz="4" w:space="0" w:color="auto"/>
            </w:tcBorders>
            <w:shd w:val="clear" w:color="auto" w:fill="C6EFCE"/>
            <w:noWrap/>
            <w:vAlign w:val="center"/>
          </w:tcPr>
          <w:p w14:paraId="29E1C443" w14:textId="77777777" w:rsidR="003F5418" w:rsidRDefault="002A6C25">
            <w:pPr>
              <w:pStyle w:val="P68B1DB1-Normal9"/>
              <w:rPr>
                <w:noProof/>
              </w:rPr>
            </w:pPr>
            <w:r>
              <w:rPr>
                <w:noProof/>
              </w:rPr>
              <w:t>Beruházás: Az állami és szociális lakások energetikai felújítására szolgáló pénzügyi eszköz</w:t>
            </w:r>
          </w:p>
        </w:tc>
        <w:tc>
          <w:tcPr>
            <w:tcW w:w="1378" w:type="dxa"/>
            <w:tcBorders>
              <w:top w:val="nil"/>
              <w:left w:val="nil"/>
              <w:bottom w:val="single" w:sz="4" w:space="0" w:color="auto"/>
              <w:right w:val="single" w:sz="4" w:space="0" w:color="auto"/>
            </w:tcBorders>
            <w:shd w:val="clear" w:color="auto" w:fill="C6EFCE"/>
            <w:noWrap/>
            <w:vAlign w:val="center"/>
          </w:tcPr>
          <w:p w14:paraId="553318ED"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24502D17" w14:textId="77777777" w:rsidR="003F5418" w:rsidRDefault="002A6C25">
            <w:pPr>
              <w:pStyle w:val="P68B1DB1-Normal9"/>
              <w:jc w:val="center"/>
              <w:rPr>
                <w:noProof/>
              </w:rPr>
            </w:pPr>
            <w:r>
              <w:rPr>
                <w:noProof/>
              </w:rPr>
              <w:t>A feladatmeghatározás céljának meghatározása</w:t>
            </w:r>
          </w:p>
        </w:tc>
      </w:tr>
      <w:tr w:rsidR="003F5418" w14:paraId="7F341C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F5C687" w14:textId="77777777" w:rsidR="003F5418" w:rsidRDefault="002A6C25">
            <w:pPr>
              <w:pStyle w:val="P68B1DB1-Normal9"/>
              <w:jc w:val="center"/>
              <w:rPr>
                <w:noProof/>
              </w:rPr>
            </w:pPr>
            <w:r>
              <w:rPr>
                <w:noProof/>
              </w:rPr>
              <w:t>M1C1–140</w:t>
            </w:r>
          </w:p>
        </w:tc>
        <w:tc>
          <w:tcPr>
            <w:tcW w:w="3195" w:type="dxa"/>
            <w:tcBorders>
              <w:top w:val="nil"/>
              <w:left w:val="nil"/>
              <w:bottom w:val="single" w:sz="4" w:space="0" w:color="auto"/>
              <w:right w:val="single" w:sz="4" w:space="0" w:color="auto"/>
            </w:tcBorders>
            <w:shd w:val="clear" w:color="auto" w:fill="C6EFCE"/>
            <w:noWrap/>
            <w:vAlign w:val="center"/>
          </w:tcPr>
          <w:p w14:paraId="6CCDF7F1" w14:textId="77777777" w:rsidR="003F5418" w:rsidRDefault="002A6C25">
            <w:pPr>
              <w:pStyle w:val="P68B1DB1-Normal9"/>
              <w:rPr>
                <w:noProof/>
              </w:rPr>
            </w:pPr>
            <w:r>
              <w:rPr>
                <w:noProof/>
              </w:rPr>
              <w:t>Beruházás – Polgári tapasztalatok – A digitális közszolgáltatások minőségének és használhatóságának javítása</w:t>
            </w:r>
          </w:p>
        </w:tc>
        <w:tc>
          <w:tcPr>
            <w:tcW w:w="1378" w:type="dxa"/>
            <w:tcBorders>
              <w:top w:val="nil"/>
              <w:left w:val="nil"/>
              <w:bottom w:val="single" w:sz="4" w:space="0" w:color="auto"/>
              <w:right w:val="single" w:sz="4" w:space="0" w:color="auto"/>
            </w:tcBorders>
            <w:shd w:val="clear" w:color="auto" w:fill="C6EFCE"/>
            <w:noWrap/>
            <w:vAlign w:val="center"/>
          </w:tcPr>
          <w:p w14:paraId="34ADBCA8"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082B4649" w14:textId="77777777" w:rsidR="003F5418" w:rsidRDefault="002A6C25">
            <w:pPr>
              <w:pStyle w:val="P68B1DB1-Normal9"/>
              <w:jc w:val="center"/>
              <w:rPr>
                <w:noProof/>
              </w:rPr>
            </w:pPr>
            <w:r>
              <w:rPr>
                <w:noProof/>
              </w:rPr>
              <w:t>A digitális közszolgáltatások minőségének és használhatóságának javítása T1</w:t>
            </w:r>
          </w:p>
        </w:tc>
      </w:tr>
      <w:tr w:rsidR="003F5418" w14:paraId="2AEC86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D32C356" w14:textId="77777777" w:rsidR="003F5418" w:rsidRDefault="002A6C25">
            <w:pPr>
              <w:pStyle w:val="P68B1DB1-Normal9"/>
              <w:jc w:val="center"/>
              <w:rPr>
                <w:noProof/>
              </w:rPr>
            </w:pPr>
            <w:r>
              <w:rPr>
                <w:noProof/>
              </w:rPr>
              <w:t>M1C1–141</w:t>
            </w:r>
          </w:p>
        </w:tc>
        <w:tc>
          <w:tcPr>
            <w:tcW w:w="3195" w:type="dxa"/>
            <w:tcBorders>
              <w:top w:val="nil"/>
              <w:left w:val="nil"/>
              <w:bottom w:val="single" w:sz="4" w:space="0" w:color="auto"/>
              <w:right w:val="single" w:sz="4" w:space="0" w:color="auto"/>
            </w:tcBorders>
            <w:shd w:val="clear" w:color="auto" w:fill="C6EFCE"/>
            <w:noWrap/>
            <w:vAlign w:val="center"/>
          </w:tcPr>
          <w:p w14:paraId="6F7C6FF7" w14:textId="77777777" w:rsidR="003F5418" w:rsidRDefault="002A6C25">
            <w:pPr>
              <w:pStyle w:val="P68B1DB1-Normal9"/>
              <w:rPr>
                <w:noProof/>
              </w:rPr>
            </w:pPr>
            <w:r>
              <w:rPr>
                <w:noProof/>
              </w:rPr>
              <w:t>Beruházás – A Védelmi Minisztérium digitalizálása</w:t>
            </w:r>
          </w:p>
        </w:tc>
        <w:tc>
          <w:tcPr>
            <w:tcW w:w="1378" w:type="dxa"/>
            <w:tcBorders>
              <w:top w:val="nil"/>
              <w:left w:val="nil"/>
              <w:bottom w:val="single" w:sz="4" w:space="0" w:color="auto"/>
              <w:right w:val="single" w:sz="4" w:space="0" w:color="auto"/>
            </w:tcBorders>
            <w:shd w:val="clear" w:color="auto" w:fill="C6EFCE"/>
            <w:noWrap/>
            <w:vAlign w:val="center"/>
          </w:tcPr>
          <w:p w14:paraId="13E039A4"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1C0FF311" w14:textId="77777777" w:rsidR="003F5418" w:rsidRDefault="002A6C25">
            <w:pPr>
              <w:pStyle w:val="P68B1DB1-Normal9"/>
              <w:jc w:val="center"/>
              <w:rPr>
                <w:noProof/>
              </w:rPr>
            </w:pPr>
            <w:r>
              <w:rPr>
                <w:noProof/>
              </w:rPr>
              <w:t>A védelmi minisztérium eljárásainak digitalizálása T2</w:t>
            </w:r>
          </w:p>
        </w:tc>
      </w:tr>
      <w:tr w:rsidR="003F5418" w14:paraId="4FB9F31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EE826FC" w14:textId="77777777" w:rsidR="003F5418" w:rsidRDefault="002A6C25">
            <w:pPr>
              <w:pStyle w:val="P68B1DB1-Normal9"/>
              <w:jc w:val="center"/>
              <w:rPr>
                <w:noProof/>
              </w:rPr>
            </w:pPr>
            <w:r>
              <w:rPr>
                <w:noProof/>
              </w:rPr>
              <w:t>M1C1–142</w:t>
            </w:r>
          </w:p>
        </w:tc>
        <w:tc>
          <w:tcPr>
            <w:tcW w:w="3195" w:type="dxa"/>
            <w:tcBorders>
              <w:top w:val="nil"/>
              <w:left w:val="nil"/>
              <w:bottom w:val="single" w:sz="4" w:space="0" w:color="auto"/>
              <w:right w:val="single" w:sz="4" w:space="0" w:color="auto"/>
            </w:tcBorders>
            <w:shd w:val="clear" w:color="auto" w:fill="C6EFCE"/>
            <w:noWrap/>
            <w:vAlign w:val="center"/>
          </w:tcPr>
          <w:p w14:paraId="3B2C7F8B" w14:textId="77777777" w:rsidR="003F5418" w:rsidRDefault="002A6C25">
            <w:pPr>
              <w:pStyle w:val="P68B1DB1-Normal9"/>
              <w:rPr>
                <w:noProof/>
              </w:rPr>
            </w:pPr>
            <w:r>
              <w:rPr>
                <w:noProof/>
              </w:rPr>
              <w:t>Beruházás – A Védelmi Minisztérium digitalizálása</w:t>
            </w:r>
          </w:p>
        </w:tc>
        <w:tc>
          <w:tcPr>
            <w:tcW w:w="1378" w:type="dxa"/>
            <w:tcBorders>
              <w:top w:val="nil"/>
              <w:left w:val="nil"/>
              <w:bottom w:val="single" w:sz="4" w:space="0" w:color="auto"/>
              <w:right w:val="single" w:sz="4" w:space="0" w:color="auto"/>
            </w:tcBorders>
            <w:shd w:val="clear" w:color="auto" w:fill="C6EFCE"/>
            <w:noWrap/>
            <w:vAlign w:val="center"/>
          </w:tcPr>
          <w:p w14:paraId="3525C3D9"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04D73932" w14:textId="77777777" w:rsidR="003F5418" w:rsidRDefault="002A6C25">
            <w:pPr>
              <w:pStyle w:val="P68B1DB1-Normal9"/>
              <w:jc w:val="center"/>
              <w:rPr>
                <w:noProof/>
              </w:rPr>
            </w:pPr>
            <w:r>
              <w:rPr>
                <w:noProof/>
              </w:rPr>
              <w:t>A Védelmi Minisztérium T2 tanúsítványainak digitalizálása</w:t>
            </w:r>
          </w:p>
        </w:tc>
      </w:tr>
      <w:tr w:rsidR="003F5418" w14:paraId="0BA40D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AF1DC9" w14:textId="77777777" w:rsidR="003F5418" w:rsidRDefault="002A6C25">
            <w:pPr>
              <w:pStyle w:val="P68B1DB1-Normal9"/>
              <w:jc w:val="center"/>
              <w:rPr>
                <w:noProof/>
              </w:rPr>
            </w:pPr>
            <w:r>
              <w:rPr>
                <w:noProof/>
              </w:rPr>
              <w:t>M1C1–143.</w:t>
            </w:r>
          </w:p>
        </w:tc>
        <w:tc>
          <w:tcPr>
            <w:tcW w:w="3195" w:type="dxa"/>
            <w:tcBorders>
              <w:top w:val="nil"/>
              <w:left w:val="nil"/>
              <w:bottom w:val="single" w:sz="4" w:space="0" w:color="auto"/>
              <w:right w:val="single" w:sz="4" w:space="0" w:color="auto"/>
            </w:tcBorders>
            <w:shd w:val="clear" w:color="auto" w:fill="C6EFCE"/>
            <w:noWrap/>
            <w:vAlign w:val="center"/>
          </w:tcPr>
          <w:p w14:paraId="7816617D" w14:textId="77777777" w:rsidR="003F5418" w:rsidRDefault="002A6C25">
            <w:pPr>
              <w:pStyle w:val="P68B1DB1-Normal9"/>
              <w:rPr>
                <w:noProof/>
              </w:rPr>
            </w:pPr>
            <w:r>
              <w:rPr>
                <w:noProof/>
              </w:rPr>
              <w:t xml:space="preserve">Beruházás – A </w:t>
            </w:r>
            <w:r>
              <w:rPr>
                <w:noProof/>
              </w:rPr>
              <w:t>Védelmi Minisztérium digitalizálása</w:t>
            </w:r>
          </w:p>
        </w:tc>
        <w:tc>
          <w:tcPr>
            <w:tcW w:w="1378" w:type="dxa"/>
            <w:tcBorders>
              <w:top w:val="nil"/>
              <w:left w:val="nil"/>
              <w:bottom w:val="single" w:sz="4" w:space="0" w:color="auto"/>
              <w:right w:val="single" w:sz="4" w:space="0" w:color="auto"/>
            </w:tcBorders>
            <w:shd w:val="clear" w:color="auto" w:fill="C6EFCE"/>
            <w:noWrap/>
            <w:vAlign w:val="center"/>
          </w:tcPr>
          <w:p w14:paraId="0DA6DE77"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55B13DFE" w14:textId="77777777" w:rsidR="003F5418" w:rsidRDefault="002A6C25">
            <w:pPr>
              <w:pStyle w:val="P68B1DB1-Normal9"/>
              <w:jc w:val="center"/>
              <w:rPr>
                <w:noProof/>
              </w:rPr>
            </w:pPr>
            <w:r>
              <w:rPr>
                <w:noProof/>
              </w:rPr>
              <w:t>Védelmi Minisztérium – A nem misszió szempontjából kritikus alkalmazások átminősítése az infrastrukturális nyitottság által biztosított teljes körű információvédelem érdekében (S.C.I.P.I.O.) T2</w:t>
            </w:r>
          </w:p>
        </w:tc>
      </w:tr>
      <w:tr w:rsidR="003F5418" w14:paraId="14A5C76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F953BAF" w14:textId="77777777" w:rsidR="003F5418" w:rsidRDefault="002A6C25">
            <w:pPr>
              <w:pStyle w:val="P68B1DB1-Normal9"/>
              <w:jc w:val="center"/>
              <w:rPr>
                <w:noProof/>
              </w:rPr>
            </w:pPr>
            <w:r>
              <w:rPr>
                <w:noProof/>
              </w:rPr>
              <w:t>M1C2–19</w:t>
            </w:r>
          </w:p>
        </w:tc>
        <w:tc>
          <w:tcPr>
            <w:tcW w:w="3195" w:type="dxa"/>
            <w:tcBorders>
              <w:top w:val="nil"/>
              <w:left w:val="nil"/>
              <w:bottom w:val="single" w:sz="4" w:space="0" w:color="auto"/>
              <w:right w:val="single" w:sz="4" w:space="0" w:color="auto"/>
            </w:tcBorders>
            <w:shd w:val="clear" w:color="auto" w:fill="C6EFCE"/>
            <w:noWrap/>
            <w:vAlign w:val="center"/>
          </w:tcPr>
          <w:p w14:paraId="0B1F7681" w14:textId="77777777" w:rsidR="003F5418" w:rsidRDefault="002A6C25">
            <w:pPr>
              <w:pStyle w:val="P68B1DB1-Normal9"/>
              <w:rPr>
                <w:noProof/>
              </w:rPr>
            </w:pPr>
            <w:r>
              <w:rPr>
                <w:noProof/>
              </w:rPr>
              <w:t>Beruházás: Gy</w:t>
            </w:r>
            <w:r>
              <w:rPr>
                <w:noProof/>
              </w:rPr>
              <w:t>ors internetkapcsolat (Ultra-Broadband és 5G)</w:t>
            </w:r>
          </w:p>
        </w:tc>
        <w:tc>
          <w:tcPr>
            <w:tcW w:w="1378" w:type="dxa"/>
            <w:tcBorders>
              <w:top w:val="nil"/>
              <w:left w:val="nil"/>
              <w:bottom w:val="single" w:sz="4" w:space="0" w:color="auto"/>
              <w:right w:val="single" w:sz="4" w:space="0" w:color="auto"/>
            </w:tcBorders>
            <w:shd w:val="clear" w:color="auto" w:fill="C6EFCE"/>
            <w:noWrap/>
            <w:vAlign w:val="center"/>
          </w:tcPr>
          <w:p w14:paraId="5111E2BE"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36346F7C" w14:textId="77777777" w:rsidR="003F5418" w:rsidRDefault="002A6C25">
            <w:pPr>
              <w:pStyle w:val="P68B1DB1-Normal9"/>
              <w:jc w:val="center"/>
              <w:rPr>
                <w:noProof/>
              </w:rPr>
            </w:pPr>
            <w:r>
              <w:rPr>
                <w:noProof/>
              </w:rPr>
              <w:t>A szigetek ultraszéles sávú összeköttetéssel rendelkeznek</w:t>
            </w:r>
          </w:p>
        </w:tc>
      </w:tr>
      <w:tr w:rsidR="003F5418" w14:paraId="0E0C7F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E0A991" w14:textId="77777777" w:rsidR="003F5418" w:rsidRDefault="002A6C25">
            <w:pPr>
              <w:pStyle w:val="P68B1DB1-Normal9"/>
              <w:jc w:val="center"/>
              <w:rPr>
                <w:noProof/>
              </w:rPr>
            </w:pPr>
            <w:r>
              <w:rPr>
                <w:noProof/>
              </w:rPr>
              <w:t>M1C2–30</w:t>
            </w:r>
          </w:p>
        </w:tc>
        <w:tc>
          <w:tcPr>
            <w:tcW w:w="3195" w:type="dxa"/>
            <w:tcBorders>
              <w:top w:val="nil"/>
              <w:left w:val="nil"/>
              <w:bottom w:val="single" w:sz="4" w:space="0" w:color="auto"/>
              <w:right w:val="single" w:sz="4" w:space="0" w:color="auto"/>
            </w:tcBorders>
            <w:shd w:val="clear" w:color="auto" w:fill="C6EFCE"/>
            <w:noWrap/>
            <w:vAlign w:val="center"/>
          </w:tcPr>
          <w:p w14:paraId="63D5FB03" w14:textId="77777777" w:rsidR="003F5418" w:rsidRDefault="002A6C25">
            <w:pPr>
              <w:pStyle w:val="P68B1DB1-Normal9"/>
              <w:rPr>
                <w:noProof/>
              </w:rPr>
            </w:pPr>
            <w:r>
              <w:rPr>
                <w:noProof/>
              </w:rPr>
              <w:t>Beruházás. Az ökológiai átálláshoz, a nettó zéró technológiákhoz, valamint a stratégiai ellátási láncok versenyképességéhez és rezilienciáj</w:t>
            </w:r>
            <w:r>
              <w:rPr>
                <w:noProof/>
              </w:rPr>
              <w:t>ához szükséges termelési rendszer támogatása</w:t>
            </w:r>
          </w:p>
        </w:tc>
        <w:tc>
          <w:tcPr>
            <w:tcW w:w="1378" w:type="dxa"/>
            <w:tcBorders>
              <w:top w:val="nil"/>
              <w:left w:val="nil"/>
              <w:bottom w:val="single" w:sz="4" w:space="0" w:color="auto"/>
              <w:right w:val="single" w:sz="4" w:space="0" w:color="auto"/>
            </w:tcBorders>
            <w:shd w:val="clear" w:color="auto" w:fill="C6EFCE"/>
            <w:noWrap/>
            <w:vAlign w:val="center"/>
          </w:tcPr>
          <w:p w14:paraId="230B8C0A" w14:textId="77777777" w:rsidR="003F5418" w:rsidRDefault="002A6C25">
            <w:pPr>
              <w:pStyle w:val="P68B1DB1-Normal9"/>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0D082F55" w14:textId="77777777" w:rsidR="003F5418" w:rsidRDefault="002A6C25">
            <w:pPr>
              <w:pStyle w:val="P68B1DB1-Normal9"/>
              <w:rPr>
                <w:noProof/>
              </w:rPr>
            </w:pPr>
            <w:r>
              <w:rPr>
                <w:noProof/>
              </w:rPr>
              <w:t>Végrehajtási megállapodás</w:t>
            </w:r>
          </w:p>
        </w:tc>
      </w:tr>
      <w:tr w:rsidR="003F5418" w14:paraId="644A04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79F2D9" w14:textId="77777777" w:rsidR="003F5418" w:rsidRDefault="002A6C25">
            <w:pPr>
              <w:pStyle w:val="P68B1DB1-Normal9"/>
              <w:jc w:val="center"/>
              <w:rPr>
                <w:noProof/>
              </w:rPr>
            </w:pPr>
            <w:r>
              <w:rPr>
                <w:noProof/>
              </w:rPr>
              <w:t>M1C2–31</w:t>
            </w:r>
          </w:p>
        </w:tc>
        <w:tc>
          <w:tcPr>
            <w:tcW w:w="3195" w:type="dxa"/>
            <w:tcBorders>
              <w:top w:val="nil"/>
              <w:left w:val="nil"/>
              <w:bottom w:val="single" w:sz="4" w:space="0" w:color="auto"/>
              <w:right w:val="single" w:sz="4" w:space="0" w:color="auto"/>
            </w:tcBorders>
            <w:shd w:val="clear" w:color="auto" w:fill="C6EFCE"/>
            <w:noWrap/>
            <w:vAlign w:val="center"/>
          </w:tcPr>
          <w:p w14:paraId="31661E56" w14:textId="77777777" w:rsidR="003F5418" w:rsidRDefault="002A6C25">
            <w:pPr>
              <w:pStyle w:val="P68B1DB1-Normal9"/>
              <w:rPr>
                <w:noProof/>
              </w:rPr>
            </w:pPr>
            <w:r>
              <w:rPr>
                <w:noProof/>
              </w:rPr>
              <w:t xml:space="preserve">Beruházás: A termelési rendszer támogatása az ökológiai átállás, a nettó zéró technológiák, valamint a stratégiai ellátási láncok versenyképessége és rezilienciája </w:t>
            </w:r>
            <w:r>
              <w:rPr>
                <w:noProof/>
              </w:rPr>
              <w:t>érdekében</w:t>
            </w:r>
          </w:p>
        </w:tc>
        <w:tc>
          <w:tcPr>
            <w:tcW w:w="1378" w:type="dxa"/>
            <w:tcBorders>
              <w:top w:val="nil"/>
              <w:left w:val="nil"/>
              <w:bottom w:val="single" w:sz="4" w:space="0" w:color="auto"/>
              <w:right w:val="single" w:sz="4" w:space="0" w:color="auto"/>
            </w:tcBorders>
            <w:shd w:val="clear" w:color="auto" w:fill="C6EFCE"/>
            <w:noWrap/>
            <w:vAlign w:val="center"/>
          </w:tcPr>
          <w:p w14:paraId="35A6A93A" w14:textId="77777777" w:rsidR="003F5418" w:rsidRDefault="002A6C25">
            <w:pPr>
              <w:pStyle w:val="P68B1DB1-Normal9"/>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55B6E3B2" w14:textId="77777777" w:rsidR="003F5418" w:rsidRDefault="002A6C25">
            <w:pPr>
              <w:pStyle w:val="P68B1DB1-Normal9"/>
              <w:rPr>
                <w:noProof/>
              </w:rPr>
            </w:pPr>
            <w:r>
              <w:rPr>
                <w:noProof/>
              </w:rPr>
              <w:t>Az olaszországi Vállalkozásügyi Minisztérium és Made befejezte a beruházást</w:t>
            </w:r>
          </w:p>
        </w:tc>
      </w:tr>
      <w:tr w:rsidR="003F5418" w14:paraId="1F746C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9783A4" w14:textId="77777777" w:rsidR="003F5418" w:rsidRDefault="002A6C25">
            <w:pPr>
              <w:pStyle w:val="P68B1DB1-Normal9"/>
              <w:jc w:val="center"/>
              <w:rPr>
                <w:noProof/>
              </w:rPr>
            </w:pPr>
            <w:r>
              <w:rPr>
                <w:noProof/>
              </w:rPr>
              <w:t>M1C3–27</w:t>
            </w:r>
          </w:p>
        </w:tc>
        <w:tc>
          <w:tcPr>
            <w:tcW w:w="3195" w:type="dxa"/>
            <w:tcBorders>
              <w:top w:val="nil"/>
              <w:left w:val="nil"/>
              <w:bottom w:val="single" w:sz="4" w:space="0" w:color="auto"/>
              <w:right w:val="single" w:sz="4" w:space="0" w:color="auto"/>
            </w:tcBorders>
            <w:shd w:val="clear" w:color="auto" w:fill="C6EFCE"/>
            <w:noWrap/>
            <w:vAlign w:val="center"/>
          </w:tcPr>
          <w:p w14:paraId="7DA1E219" w14:textId="77777777" w:rsidR="003F5418" w:rsidRDefault="002A6C25">
            <w:pPr>
              <w:pStyle w:val="P68B1DB1-Normal9"/>
              <w:rPr>
                <w:noProof/>
              </w:rPr>
            </w:pPr>
            <w:r>
              <w:rPr>
                <w:noProof/>
              </w:rPr>
              <w:t>Beruházás – 4.3 Caput Mundi-Next Generation EU turisztikai nagyrendezvényekért</w:t>
            </w:r>
          </w:p>
        </w:tc>
        <w:tc>
          <w:tcPr>
            <w:tcW w:w="1378" w:type="dxa"/>
            <w:tcBorders>
              <w:top w:val="nil"/>
              <w:left w:val="nil"/>
              <w:bottom w:val="single" w:sz="4" w:space="0" w:color="auto"/>
              <w:right w:val="single" w:sz="4" w:space="0" w:color="auto"/>
            </w:tcBorders>
            <w:shd w:val="clear" w:color="auto" w:fill="C6EFCE"/>
            <w:noWrap/>
            <w:vAlign w:val="center"/>
          </w:tcPr>
          <w:p w14:paraId="466BC9C6"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302891F7" w14:textId="77777777" w:rsidR="003F5418" w:rsidRDefault="002A6C25">
            <w:pPr>
              <w:pStyle w:val="P68B1DB1-Normal9"/>
              <w:jc w:val="center"/>
              <w:rPr>
                <w:noProof/>
              </w:rPr>
            </w:pPr>
            <w:r>
              <w:rPr>
                <w:noProof/>
              </w:rPr>
              <w:t>Azon kulturális és turisztikai helyszínek száma, amelyek átképzése á</w:t>
            </w:r>
            <w:r>
              <w:rPr>
                <w:noProof/>
              </w:rPr>
              <w:t xml:space="preserve">tlagosan elérte a Stato Avanzamento Lavori (SAL) 50%-át (első tétel) </w:t>
            </w:r>
          </w:p>
        </w:tc>
      </w:tr>
      <w:tr w:rsidR="003F5418" w14:paraId="0CA9B4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07FA80D" w14:textId="77777777" w:rsidR="003F5418" w:rsidRDefault="002A6C25">
            <w:pPr>
              <w:pStyle w:val="P68B1DB1-Normal9"/>
              <w:jc w:val="center"/>
              <w:rPr>
                <w:noProof/>
              </w:rPr>
            </w:pPr>
            <w:r>
              <w:rPr>
                <w:noProof/>
              </w:rPr>
              <w:t>M2C1–16a</w:t>
            </w:r>
          </w:p>
        </w:tc>
        <w:tc>
          <w:tcPr>
            <w:tcW w:w="3195" w:type="dxa"/>
            <w:tcBorders>
              <w:top w:val="nil"/>
              <w:left w:val="nil"/>
              <w:bottom w:val="single" w:sz="4" w:space="0" w:color="auto"/>
              <w:right w:val="single" w:sz="4" w:space="0" w:color="auto"/>
            </w:tcBorders>
            <w:shd w:val="clear" w:color="auto" w:fill="C6EFCE"/>
            <w:noWrap/>
            <w:vAlign w:val="center"/>
          </w:tcPr>
          <w:p w14:paraId="4C5EECEA" w14:textId="77777777" w:rsidR="003F5418" w:rsidRDefault="002A6C25">
            <w:pPr>
              <w:pStyle w:val="P68B1DB1-Normal9"/>
              <w:rPr>
                <w:noProof/>
              </w:rPr>
            </w:pPr>
            <w:r>
              <w:rPr>
                <w:noProof/>
              </w:rPr>
              <w:t>Beruházás – Új hulladékkezelő üzemek megvalósítása és a meglévő üzemek korszerűsítése</w:t>
            </w:r>
          </w:p>
        </w:tc>
        <w:tc>
          <w:tcPr>
            <w:tcW w:w="1378" w:type="dxa"/>
            <w:tcBorders>
              <w:top w:val="nil"/>
              <w:left w:val="nil"/>
              <w:bottom w:val="single" w:sz="4" w:space="0" w:color="auto"/>
              <w:right w:val="single" w:sz="4" w:space="0" w:color="auto"/>
            </w:tcBorders>
            <w:shd w:val="clear" w:color="auto" w:fill="C6EFCE"/>
            <w:noWrap/>
            <w:vAlign w:val="center"/>
          </w:tcPr>
          <w:p w14:paraId="70B39FF3"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360C3067" w14:textId="77777777" w:rsidR="003F5418" w:rsidRDefault="002A6C25">
            <w:pPr>
              <w:pStyle w:val="P68B1DB1-Normal9"/>
              <w:jc w:val="center"/>
              <w:rPr>
                <w:noProof/>
              </w:rPr>
            </w:pPr>
            <w:r>
              <w:rPr>
                <w:noProof/>
              </w:rPr>
              <w:t>Szabálytalan hulladéklerakók</w:t>
            </w:r>
          </w:p>
        </w:tc>
      </w:tr>
      <w:tr w:rsidR="003F5418" w14:paraId="4DD4351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57CF2EC" w14:textId="77777777" w:rsidR="003F5418" w:rsidRDefault="002A6C25">
            <w:pPr>
              <w:pStyle w:val="P68B1DB1-Normal9"/>
              <w:jc w:val="center"/>
              <w:rPr>
                <w:noProof/>
              </w:rPr>
            </w:pPr>
            <w:r>
              <w:rPr>
                <w:noProof/>
              </w:rPr>
              <w:t>M2C1–16ter</w:t>
            </w:r>
          </w:p>
        </w:tc>
        <w:tc>
          <w:tcPr>
            <w:tcW w:w="3195" w:type="dxa"/>
            <w:tcBorders>
              <w:top w:val="nil"/>
              <w:left w:val="nil"/>
              <w:bottom w:val="single" w:sz="4" w:space="0" w:color="auto"/>
              <w:right w:val="single" w:sz="4" w:space="0" w:color="auto"/>
            </w:tcBorders>
            <w:shd w:val="clear" w:color="auto" w:fill="C6EFCE"/>
            <w:noWrap/>
            <w:vAlign w:val="center"/>
          </w:tcPr>
          <w:p w14:paraId="058042B2" w14:textId="77777777" w:rsidR="003F5418" w:rsidRDefault="002A6C25">
            <w:pPr>
              <w:pStyle w:val="P68B1DB1-Normal9"/>
              <w:rPr>
                <w:noProof/>
              </w:rPr>
            </w:pPr>
            <w:r>
              <w:rPr>
                <w:noProof/>
              </w:rPr>
              <w:t xml:space="preserve">Reform 1.2. Nemzeti hulladékgazdálkodási </w:t>
            </w:r>
            <w:r>
              <w:rPr>
                <w:noProof/>
              </w:rPr>
              <w:t>beruházás 1.1 – Új hulladékkezelő üzemek megvalósítása és meglévő üzemek korszerűsítése</w:t>
            </w:r>
          </w:p>
        </w:tc>
        <w:tc>
          <w:tcPr>
            <w:tcW w:w="1378" w:type="dxa"/>
            <w:tcBorders>
              <w:top w:val="nil"/>
              <w:left w:val="nil"/>
              <w:bottom w:val="single" w:sz="4" w:space="0" w:color="auto"/>
              <w:right w:val="single" w:sz="4" w:space="0" w:color="auto"/>
            </w:tcBorders>
            <w:shd w:val="clear" w:color="auto" w:fill="C6EFCE"/>
            <w:noWrap/>
            <w:vAlign w:val="center"/>
          </w:tcPr>
          <w:p w14:paraId="248B5CEA"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117843F8" w14:textId="77777777" w:rsidR="003F5418" w:rsidRDefault="002A6C25">
            <w:pPr>
              <w:pStyle w:val="P68B1DB1-Normal9"/>
              <w:jc w:val="center"/>
              <w:rPr>
                <w:noProof/>
              </w:rPr>
            </w:pPr>
            <w:r>
              <w:rPr>
                <w:noProof/>
              </w:rPr>
              <w:t>Regionális különbségek az elkülönített gyűjtési arányokban</w:t>
            </w:r>
          </w:p>
        </w:tc>
      </w:tr>
      <w:tr w:rsidR="003F5418" w14:paraId="0973AC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105B5CE" w14:textId="77777777" w:rsidR="003F5418" w:rsidRDefault="002A6C25">
            <w:pPr>
              <w:pStyle w:val="P68B1DB1-Normal9"/>
              <w:jc w:val="center"/>
              <w:rPr>
                <w:noProof/>
              </w:rPr>
            </w:pPr>
            <w:r>
              <w:rPr>
                <w:noProof/>
              </w:rPr>
              <w:t>M2C1–25</w:t>
            </w:r>
          </w:p>
        </w:tc>
        <w:tc>
          <w:tcPr>
            <w:tcW w:w="3195" w:type="dxa"/>
            <w:tcBorders>
              <w:top w:val="nil"/>
              <w:left w:val="nil"/>
              <w:bottom w:val="single" w:sz="4" w:space="0" w:color="auto"/>
              <w:right w:val="single" w:sz="4" w:space="0" w:color="auto"/>
            </w:tcBorders>
            <w:shd w:val="clear" w:color="auto" w:fill="C6EFCE"/>
            <w:noWrap/>
            <w:vAlign w:val="center"/>
          </w:tcPr>
          <w:p w14:paraId="331C82BE" w14:textId="77777777" w:rsidR="003F5418" w:rsidRDefault="002A6C25">
            <w:pPr>
              <w:pStyle w:val="P68B1DB1-Normal9"/>
              <w:rPr>
                <w:noProof/>
              </w:rPr>
            </w:pPr>
            <w:r>
              <w:rPr>
                <w:noProof/>
              </w:rPr>
              <w:t>Beruházás: Fondo Contratti di Filiera (FCF) az agrár-élelmiszeripari, halászati és akvakultúra-á</w:t>
            </w:r>
            <w:r>
              <w:rPr>
                <w:noProof/>
              </w:rPr>
              <w:t>gazat, az erdészet, a virágkertészet és a növényiskolák ellátási láncaira vonatkozó szerződések támogatása céljából</w:t>
            </w:r>
          </w:p>
        </w:tc>
        <w:tc>
          <w:tcPr>
            <w:tcW w:w="1378" w:type="dxa"/>
            <w:tcBorders>
              <w:top w:val="nil"/>
              <w:left w:val="nil"/>
              <w:bottom w:val="single" w:sz="4" w:space="0" w:color="auto"/>
              <w:right w:val="single" w:sz="4" w:space="0" w:color="auto"/>
            </w:tcBorders>
            <w:shd w:val="clear" w:color="auto" w:fill="C6EFCE"/>
            <w:noWrap/>
            <w:vAlign w:val="center"/>
          </w:tcPr>
          <w:p w14:paraId="67D083DE"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455FDB7A" w14:textId="77777777" w:rsidR="003F5418" w:rsidRDefault="002A6C25">
            <w:pPr>
              <w:pStyle w:val="P68B1DB1-Normal9"/>
              <w:jc w:val="center"/>
              <w:rPr>
                <w:noProof/>
              </w:rPr>
            </w:pPr>
            <w:r>
              <w:rPr>
                <w:noProof/>
              </w:rPr>
              <w:t>A minisztérium átutalta a források teljes összegét</w:t>
            </w:r>
          </w:p>
        </w:tc>
      </w:tr>
      <w:tr w:rsidR="003F5418" w14:paraId="5DB09F8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AE0B96" w14:textId="77777777" w:rsidR="003F5418" w:rsidRDefault="002A6C25">
            <w:pPr>
              <w:pStyle w:val="P68B1DB1-Normal9"/>
              <w:jc w:val="center"/>
              <w:rPr>
                <w:noProof/>
              </w:rPr>
            </w:pPr>
            <w:r>
              <w:rPr>
                <w:noProof/>
              </w:rPr>
              <w:t>M2C2–9</w:t>
            </w:r>
          </w:p>
        </w:tc>
        <w:tc>
          <w:tcPr>
            <w:tcW w:w="3195" w:type="dxa"/>
            <w:tcBorders>
              <w:top w:val="nil"/>
              <w:left w:val="nil"/>
              <w:bottom w:val="single" w:sz="4" w:space="0" w:color="auto"/>
              <w:right w:val="single" w:sz="4" w:space="0" w:color="auto"/>
            </w:tcBorders>
            <w:shd w:val="clear" w:color="auto" w:fill="C6EFCE"/>
            <w:noWrap/>
            <w:vAlign w:val="center"/>
          </w:tcPr>
          <w:p w14:paraId="70FF45D7" w14:textId="77777777" w:rsidR="003F5418" w:rsidRDefault="002A6C25">
            <w:pPr>
              <w:pStyle w:val="P68B1DB1-Normal9"/>
              <w:rPr>
                <w:noProof/>
              </w:rPr>
            </w:pPr>
            <w:r>
              <w:rPr>
                <w:noProof/>
              </w:rPr>
              <w:t>Beruházás: Az intelligens hálózatok megerősítése</w:t>
            </w:r>
          </w:p>
        </w:tc>
        <w:tc>
          <w:tcPr>
            <w:tcW w:w="1378" w:type="dxa"/>
            <w:tcBorders>
              <w:top w:val="nil"/>
              <w:left w:val="nil"/>
              <w:bottom w:val="single" w:sz="4" w:space="0" w:color="auto"/>
              <w:right w:val="single" w:sz="4" w:space="0" w:color="auto"/>
            </w:tcBorders>
            <w:shd w:val="clear" w:color="auto" w:fill="C6EFCE"/>
            <w:noWrap/>
            <w:vAlign w:val="center"/>
          </w:tcPr>
          <w:p w14:paraId="0C274CD5"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5ABB4771" w14:textId="77777777" w:rsidR="003F5418" w:rsidRDefault="002A6C25">
            <w:pPr>
              <w:pStyle w:val="P68B1DB1-Normal9"/>
              <w:jc w:val="center"/>
              <w:rPr>
                <w:noProof/>
              </w:rPr>
            </w:pPr>
            <w:r>
              <w:rPr>
                <w:noProof/>
              </w:rPr>
              <w:t xml:space="preserve">Intelligens </w:t>
            </w:r>
            <w:r>
              <w:rPr>
                <w:noProof/>
              </w:rPr>
              <w:t>hálózatok – A megújuló energiák elosztására szolgáló hálózati kapacitás növelése</w:t>
            </w:r>
          </w:p>
        </w:tc>
      </w:tr>
      <w:tr w:rsidR="003F5418" w14:paraId="0552D1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E3EF74" w14:textId="77777777" w:rsidR="003F5418" w:rsidRDefault="002A6C25">
            <w:pPr>
              <w:pStyle w:val="P68B1DB1-Normal9"/>
              <w:jc w:val="center"/>
              <w:rPr>
                <w:noProof/>
              </w:rPr>
            </w:pPr>
            <w:r>
              <w:rPr>
                <w:noProof/>
              </w:rPr>
              <w:t>M2C2–34</w:t>
            </w:r>
          </w:p>
        </w:tc>
        <w:tc>
          <w:tcPr>
            <w:tcW w:w="3195" w:type="dxa"/>
            <w:tcBorders>
              <w:top w:val="nil"/>
              <w:left w:val="nil"/>
              <w:bottom w:val="single" w:sz="4" w:space="0" w:color="auto"/>
              <w:right w:val="single" w:sz="4" w:space="0" w:color="auto"/>
            </w:tcBorders>
            <w:shd w:val="clear" w:color="auto" w:fill="C6EFCE"/>
            <w:noWrap/>
            <w:vAlign w:val="center"/>
          </w:tcPr>
          <w:p w14:paraId="52661BF1" w14:textId="77777777" w:rsidR="003F5418" w:rsidRDefault="002A6C25">
            <w:pPr>
              <w:pStyle w:val="P68B1DB1-Normal9"/>
              <w:rPr>
                <w:noProof/>
              </w:rPr>
            </w:pPr>
            <w:r>
              <w:rPr>
                <w:noProof/>
              </w:rPr>
              <w:t>Beruházás: A regionális tömegközlekedési autóbuszflotta megerősítése kibocsátásmentes, alacsony padlós autóbuszokkal</w:t>
            </w:r>
          </w:p>
        </w:tc>
        <w:tc>
          <w:tcPr>
            <w:tcW w:w="1378" w:type="dxa"/>
            <w:tcBorders>
              <w:top w:val="nil"/>
              <w:left w:val="nil"/>
              <w:bottom w:val="single" w:sz="4" w:space="0" w:color="auto"/>
              <w:right w:val="single" w:sz="4" w:space="0" w:color="auto"/>
            </w:tcBorders>
            <w:shd w:val="clear" w:color="auto" w:fill="C6EFCE"/>
            <w:noWrap/>
            <w:vAlign w:val="center"/>
          </w:tcPr>
          <w:p w14:paraId="324ACE7C"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7AE02E08" w14:textId="77777777" w:rsidR="003F5418" w:rsidRDefault="002A6C25">
            <w:pPr>
              <w:pStyle w:val="P68B1DB1-Normal9"/>
              <w:jc w:val="center"/>
              <w:rPr>
                <w:noProof/>
              </w:rPr>
            </w:pPr>
            <w:r>
              <w:rPr>
                <w:noProof/>
              </w:rPr>
              <w:t>A T1 megvásárolt kibocsátásmentes, alacsony p</w:t>
            </w:r>
            <w:r>
              <w:rPr>
                <w:noProof/>
              </w:rPr>
              <w:t>adlós autóbuszok száma</w:t>
            </w:r>
          </w:p>
        </w:tc>
      </w:tr>
      <w:tr w:rsidR="003F5418" w14:paraId="748BFA8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3F1187" w14:textId="77777777" w:rsidR="003F5418" w:rsidRDefault="002A6C25">
            <w:pPr>
              <w:pStyle w:val="P68B1DB1-Normal9"/>
              <w:jc w:val="center"/>
              <w:rPr>
                <w:noProof/>
              </w:rPr>
            </w:pPr>
            <w:r>
              <w:rPr>
                <w:noProof/>
              </w:rPr>
              <w:t>M2C2–34 Bis</w:t>
            </w:r>
          </w:p>
        </w:tc>
        <w:tc>
          <w:tcPr>
            <w:tcW w:w="3195" w:type="dxa"/>
            <w:tcBorders>
              <w:top w:val="nil"/>
              <w:left w:val="nil"/>
              <w:bottom w:val="single" w:sz="4" w:space="0" w:color="auto"/>
              <w:right w:val="single" w:sz="4" w:space="0" w:color="auto"/>
            </w:tcBorders>
            <w:shd w:val="clear" w:color="auto" w:fill="C6EFCE"/>
            <w:noWrap/>
            <w:vAlign w:val="center"/>
          </w:tcPr>
          <w:p w14:paraId="6F903E0F" w14:textId="77777777" w:rsidR="003F5418" w:rsidRDefault="002A6C25">
            <w:pPr>
              <w:pStyle w:val="P68B1DB1-Normal9"/>
              <w:rPr>
                <w:noProof/>
              </w:rPr>
            </w:pPr>
            <w:r>
              <w:rPr>
                <w:noProof/>
              </w:rPr>
              <w:t>Beruházás:  A regionális tömegközlekedési vasúti flotta kibocsátásmentes vonatokkal és egyetemes szolgáltatással történő megerősítése</w:t>
            </w:r>
          </w:p>
        </w:tc>
        <w:tc>
          <w:tcPr>
            <w:tcW w:w="1378" w:type="dxa"/>
            <w:tcBorders>
              <w:top w:val="nil"/>
              <w:left w:val="nil"/>
              <w:bottom w:val="single" w:sz="4" w:space="0" w:color="auto"/>
              <w:right w:val="single" w:sz="4" w:space="0" w:color="auto"/>
            </w:tcBorders>
            <w:shd w:val="clear" w:color="auto" w:fill="C6EFCE"/>
            <w:noWrap/>
            <w:vAlign w:val="center"/>
          </w:tcPr>
          <w:p w14:paraId="0BA9B35F"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085308F9" w14:textId="77777777" w:rsidR="003F5418" w:rsidRDefault="002A6C25">
            <w:pPr>
              <w:pStyle w:val="P68B1DB1-Normal9"/>
              <w:jc w:val="center"/>
              <w:rPr>
                <w:noProof/>
              </w:rPr>
            </w:pPr>
            <w:r>
              <w:rPr>
                <w:noProof/>
              </w:rPr>
              <w:t>Kibocsátásmentes vonatok száma T1</w:t>
            </w:r>
          </w:p>
        </w:tc>
      </w:tr>
      <w:tr w:rsidR="003F5418" w14:paraId="38CC2C3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9178847" w14:textId="77777777" w:rsidR="003F5418" w:rsidRDefault="002A6C25">
            <w:pPr>
              <w:pStyle w:val="P68B1DB1-Normal9"/>
              <w:jc w:val="center"/>
              <w:rPr>
                <w:noProof/>
              </w:rPr>
            </w:pPr>
            <w:r>
              <w:rPr>
                <w:noProof/>
              </w:rPr>
              <w:t>M2C2–38a. intézkedés</w:t>
            </w:r>
          </w:p>
        </w:tc>
        <w:tc>
          <w:tcPr>
            <w:tcW w:w="3195" w:type="dxa"/>
            <w:tcBorders>
              <w:top w:val="nil"/>
              <w:left w:val="nil"/>
              <w:bottom w:val="single" w:sz="4" w:space="0" w:color="auto"/>
              <w:right w:val="single" w:sz="4" w:space="0" w:color="auto"/>
            </w:tcBorders>
            <w:shd w:val="clear" w:color="auto" w:fill="C6EFCE"/>
            <w:noWrap/>
            <w:vAlign w:val="center"/>
          </w:tcPr>
          <w:p w14:paraId="56D3E748" w14:textId="77777777" w:rsidR="003F5418" w:rsidRDefault="002A6C25">
            <w:pPr>
              <w:pStyle w:val="P68B1DB1-Normal9"/>
              <w:rPr>
                <w:noProof/>
              </w:rPr>
            </w:pPr>
            <w:r>
              <w:rPr>
                <w:noProof/>
              </w:rPr>
              <w:t xml:space="preserve">Beruházás: Megújuló </w:t>
            </w:r>
            <w:r>
              <w:rPr>
                <w:noProof/>
              </w:rPr>
              <w:t>energiaforrások és akkumulátorok</w:t>
            </w:r>
          </w:p>
        </w:tc>
        <w:tc>
          <w:tcPr>
            <w:tcW w:w="1378" w:type="dxa"/>
            <w:tcBorders>
              <w:top w:val="nil"/>
              <w:left w:val="nil"/>
              <w:bottom w:val="single" w:sz="4" w:space="0" w:color="auto"/>
              <w:right w:val="single" w:sz="4" w:space="0" w:color="auto"/>
            </w:tcBorders>
            <w:shd w:val="clear" w:color="auto" w:fill="C6EFCE"/>
            <w:noWrap/>
            <w:vAlign w:val="center"/>
          </w:tcPr>
          <w:p w14:paraId="1A5C86AE"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6AA78CA9" w14:textId="77777777" w:rsidR="003F5418" w:rsidRDefault="002A6C25">
            <w:pPr>
              <w:pStyle w:val="P68B1DB1-Normal9"/>
              <w:jc w:val="center"/>
              <w:rPr>
                <w:noProof/>
              </w:rPr>
            </w:pPr>
            <w:r>
              <w:rPr>
                <w:noProof/>
              </w:rPr>
              <w:t>Végrehajtási megállapodás</w:t>
            </w:r>
          </w:p>
        </w:tc>
      </w:tr>
      <w:tr w:rsidR="003F5418" w14:paraId="5E5C9E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BC97814" w14:textId="77777777" w:rsidR="003F5418" w:rsidRDefault="002A6C25">
            <w:pPr>
              <w:pStyle w:val="P68B1DB1-Normal9"/>
              <w:jc w:val="center"/>
              <w:rPr>
                <w:noProof/>
              </w:rPr>
            </w:pPr>
            <w:r>
              <w:rPr>
                <w:noProof/>
              </w:rPr>
              <w:t>M2C2–39</w:t>
            </w:r>
          </w:p>
        </w:tc>
        <w:tc>
          <w:tcPr>
            <w:tcW w:w="3195" w:type="dxa"/>
            <w:tcBorders>
              <w:top w:val="nil"/>
              <w:left w:val="nil"/>
              <w:bottom w:val="single" w:sz="4" w:space="0" w:color="auto"/>
              <w:right w:val="single" w:sz="4" w:space="0" w:color="auto"/>
            </w:tcBorders>
            <w:shd w:val="clear" w:color="auto" w:fill="C6EFCE"/>
            <w:noWrap/>
            <w:vAlign w:val="center"/>
          </w:tcPr>
          <w:p w14:paraId="4B1043EC" w14:textId="77777777" w:rsidR="003F5418" w:rsidRDefault="002A6C25">
            <w:pPr>
              <w:pStyle w:val="P68B1DB1-Normal9"/>
              <w:rPr>
                <w:noProof/>
              </w:rPr>
            </w:pPr>
            <w:r>
              <w:rPr>
                <w:noProof/>
              </w:rPr>
              <w:t>Beruházás: Megújuló energiaforrások és akkumulátorok</w:t>
            </w:r>
          </w:p>
        </w:tc>
        <w:tc>
          <w:tcPr>
            <w:tcW w:w="1378" w:type="dxa"/>
            <w:tcBorders>
              <w:top w:val="nil"/>
              <w:left w:val="nil"/>
              <w:bottom w:val="single" w:sz="4" w:space="0" w:color="auto"/>
              <w:right w:val="single" w:sz="4" w:space="0" w:color="auto"/>
            </w:tcBorders>
            <w:shd w:val="clear" w:color="auto" w:fill="C6EFCE"/>
            <w:noWrap/>
            <w:vAlign w:val="center"/>
          </w:tcPr>
          <w:p w14:paraId="4A0A9877"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1387DE02" w14:textId="77777777" w:rsidR="003F5418" w:rsidRDefault="002A6C25">
            <w:pPr>
              <w:pStyle w:val="P68B1DB1-Normal9"/>
              <w:jc w:val="center"/>
              <w:rPr>
                <w:noProof/>
              </w:rPr>
            </w:pPr>
            <w:r>
              <w:rPr>
                <w:noProof/>
              </w:rPr>
              <w:t>Az olaszországi Vállalkozásügyi Minisztérium és Made befejezte a pénzeszközöknek az Invitalia S.p.A részére történő</w:t>
            </w:r>
            <w:r>
              <w:rPr>
                <w:noProof/>
              </w:rPr>
              <w:t xml:space="preserve"> átutalását.</w:t>
            </w:r>
          </w:p>
        </w:tc>
      </w:tr>
      <w:tr w:rsidR="003F5418" w14:paraId="3762665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47373D" w14:textId="77777777" w:rsidR="003F5418" w:rsidRDefault="002A6C25">
            <w:pPr>
              <w:pStyle w:val="P68B1DB1-Normal9"/>
              <w:jc w:val="center"/>
              <w:rPr>
                <w:noProof/>
              </w:rPr>
            </w:pPr>
            <w:r>
              <w:rPr>
                <w:noProof/>
              </w:rPr>
              <w:t xml:space="preserve">M2C2–42 A) </w:t>
            </w:r>
          </w:p>
        </w:tc>
        <w:tc>
          <w:tcPr>
            <w:tcW w:w="3195" w:type="dxa"/>
            <w:tcBorders>
              <w:top w:val="nil"/>
              <w:left w:val="nil"/>
              <w:bottom w:val="single" w:sz="4" w:space="0" w:color="auto"/>
              <w:right w:val="single" w:sz="4" w:space="0" w:color="auto"/>
            </w:tcBorders>
            <w:shd w:val="clear" w:color="auto" w:fill="C6EFCE"/>
            <w:noWrap/>
            <w:vAlign w:val="center"/>
          </w:tcPr>
          <w:p w14:paraId="211EE66B" w14:textId="77777777" w:rsidR="003F5418" w:rsidRDefault="002A6C25">
            <w:pPr>
              <w:pStyle w:val="P68B1DB1-Normal9"/>
              <w:rPr>
                <w:noProof/>
              </w:rPr>
            </w:pPr>
            <w:r>
              <w:rPr>
                <w:noProof/>
              </w:rPr>
              <w:t xml:space="preserve">Beruházás – Az ökológiai átállásban aktív induló vállalkozások és kockázati tőke támogatása.  </w:t>
            </w:r>
          </w:p>
        </w:tc>
        <w:tc>
          <w:tcPr>
            <w:tcW w:w="1378" w:type="dxa"/>
            <w:tcBorders>
              <w:top w:val="nil"/>
              <w:left w:val="nil"/>
              <w:bottom w:val="single" w:sz="4" w:space="0" w:color="auto"/>
              <w:right w:val="single" w:sz="4" w:space="0" w:color="auto"/>
            </w:tcBorders>
            <w:shd w:val="clear" w:color="auto" w:fill="C6EFCE"/>
            <w:noWrap/>
            <w:vAlign w:val="center"/>
          </w:tcPr>
          <w:p w14:paraId="397A66BF" w14:textId="77777777" w:rsidR="003F5418" w:rsidRDefault="002A6C25">
            <w:pPr>
              <w:pStyle w:val="P68B1DB1-Normal9"/>
              <w:jc w:val="center"/>
              <w:rPr>
                <w:noProof/>
              </w:rPr>
            </w:pPr>
            <w:r>
              <w:rPr>
                <w:noProof/>
              </w:rPr>
              <w:t xml:space="preserve">Mérföldkő </w:t>
            </w:r>
          </w:p>
        </w:tc>
        <w:tc>
          <w:tcPr>
            <w:tcW w:w="4166" w:type="dxa"/>
            <w:tcBorders>
              <w:top w:val="nil"/>
              <w:left w:val="nil"/>
              <w:bottom w:val="single" w:sz="4" w:space="0" w:color="auto"/>
              <w:right w:val="single" w:sz="4" w:space="0" w:color="auto"/>
            </w:tcBorders>
            <w:shd w:val="clear" w:color="auto" w:fill="C6EFCE"/>
            <w:noWrap/>
            <w:vAlign w:val="center"/>
          </w:tcPr>
          <w:p w14:paraId="27C478FE" w14:textId="77777777" w:rsidR="003F5418" w:rsidRDefault="002A6C25">
            <w:pPr>
              <w:pStyle w:val="P68B1DB1-Normal9"/>
              <w:jc w:val="center"/>
              <w:rPr>
                <w:noProof/>
              </w:rPr>
            </w:pPr>
            <w:r>
              <w:rPr>
                <w:noProof/>
              </w:rPr>
              <w:t xml:space="preserve">A minisztérium befejezte a CDP Venture Capital SGR részére történő pénzátutalást </w:t>
            </w:r>
          </w:p>
        </w:tc>
      </w:tr>
      <w:tr w:rsidR="003F5418" w14:paraId="5B9EBF9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FBF430" w14:textId="77777777" w:rsidR="003F5418" w:rsidRDefault="002A6C25">
            <w:pPr>
              <w:pStyle w:val="P68B1DB1-Normal9"/>
              <w:jc w:val="center"/>
              <w:rPr>
                <w:noProof/>
              </w:rPr>
            </w:pPr>
            <w:r>
              <w:rPr>
                <w:noProof/>
              </w:rPr>
              <w:t>M2C2–44. INTÉZKEDÉS</w:t>
            </w:r>
          </w:p>
        </w:tc>
        <w:tc>
          <w:tcPr>
            <w:tcW w:w="3195" w:type="dxa"/>
            <w:tcBorders>
              <w:top w:val="nil"/>
              <w:left w:val="nil"/>
              <w:bottom w:val="single" w:sz="4" w:space="0" w:color="auto"/>
              <w:right w:val="single" w:sz="4" w:space="0" w:color="auto"/>
            </w:tcBorders>
            <w:shd w:val="clear" w:color="auto" w:fill="C6EFCE"/>
            <w:noWrap/>
            <w:vAlign w:val="center"/>
          </w:tcPr>
          <w:p w14:paraId="60D3A935" w14:textId="77777777" w:rsidR="003F5418" w:rsidRDefault="002A6C25">
            <w:pPr>
              <w:pStyle w:val="P68B1DB1-Normal9"/>
              <w:rPr>
                <w:noProof/>
              </w:rPr>
            </w:pPr>
            <w:r>
              <w:rPr>
                <w:noProof/>
              </w:rPr>
              <w:t xml:space="preserve">Beruházás: </w:t>
            </w:r>
            <w:r>
              <w:rPr>
                <w:noProof/>
              </w:rPr>
              <w:t>Agrárműrendszerek fejlesztése</w:t>
            </w:r>
          </w:p>
        </w:tc>
        <w:tc>
          <w:tcPr>
            <w:tcW w:w="1378" w:type="dxa"/>
            <w:tcBorders>
              <w:top w:val="nil"/>
              <w:left w:val="nil"/>
              <w:bottom w:val="single" w:sz="4" w:space="0" w:color="auto"/>
              <w:right w:val="single" w:sz="4" w:space="0" w:color="auto"/>
            </w:tcBorders>
            <w:shd w:val="clear" w:color="auto" w:fill="C6EFCE"/>
            <w:noWrap/>
            <w:vAlign w:val="center"/>
          </w:tcPr>
          <w:p w14:paraId="330F32F1"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69221579" w14:textId="77777777" w:rsidR="003F5418" w:rsidRDefault="002A6C25">
            <w:pPr>
              <w:pStyle w:val="P68B1DB1-Normal9"/>
              <w:jc w:val="center"/>
              <w:rPr>
                <w:noProof/>
              </w:rPr>
            </w:pPr>
            <w:r>
              <w:rPr>
                <w:noProof/>
              </w:rPr>
              <w:t>A fotovoltaikus napelemek mezőgazdasági fotovoltaikus rendszerekbe történő telepítésére irányuló valamennyi közbeszerzési szerződés odaítélése</w:t>
            </w:r>
          </w:p>
        </w:tc>
      </w:tr>
      <w:tr w:rsidR="003F5418" w14:paraId="30A09C5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27D3C5" w14:textId="77777777" w:rsidR="003F5418" w:rsidRDefault="002A6C25">
            <w:pPr>
              <w:pStyle w:val="P68B1DB1-Normal9"/>
              <w:jc w:val="center"/>
              <w:rPr>
                <w:noProof/>
              </w:rPr>
            </w:pPr>
            <w:r>
              <w:rPr>
                <w:noProof/>
              </w:rPr>
              <w:t>M2C4–22</w:t>
            </w:r>
          </w:p>
        </w:tc>
        <w:tc>
          <w:tcPr>
            <w:tcW w:w="3195" w:type="dxa"/>
            <w:tcBorders>
              <w:top w:val="nil"/>
              <w:left w:val="nil"/>
              <w:bottom w:val="single" w:sz="4" w:space="0" w:color="auto"/>
              <w:right w:val="single" w:sz="4" w:space="0" w:color="auto"/>
            </w:tcBorders>
            <w:shd w:val="clear" w:color="auto" w:fill="C6EFCE"/>
            <w:noWrap/>
            <w:vAlign w:val="center"/>
          </w:tcPr>
          <w:p w14:paraId="36F43250" w14:textId="77777777" w:rsidR="003F5418" w:rsidRDefault="002A6C25">
            <w:pPr>
              <w:pStyle w:val="P68B1DB1-Normal9"/>
              <w:rPr>
                <w:noProof/>
              </w:rPr>
            </w:pPr>
            <w:r>
              <w:rPr>
                <w:noProof/>
              </w:rPr>
              <w:t>Beruházás A Po-övezet újranaturálása</w:t>
            </w:r>
          </w:p>
        </w:tc>
        <w:tc>
          <w:tcPr>
            <w:tcW w:w="1378" w:type="dxa"/>
            <w:tcBorders>
              <w:top w:val="nil"/>
              <w:left w:val="nil"/>
              <w:bottom w:val="single" w:sz="4" w:space="0" w:color="auto"/>
              <w:right w:val="single" w:sz="4" w:space="0" w:color="auto"/>
            </w:tcBorders>
            <w:shd w:val="clear" w:color="auto" w:fill="C6EFCE"/>
            <w:noWrap/>
            <w:vAlign w:val="center"/>
          </w:tcPr>
          <w:p w14:paraId="513B09BE"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60F1A054" w14:textId="77777777" w:rsidR="003F5418" w:rsidRDefault="002A6C25">
            <w:pPr>
              <w:pStyle w:val="P68B1DB1-Normal9"/>
              <w:jc w:val="center"/>
              <w:rPr>
                <w:noProof/>
              </w:rPr>
            </w:pPr>
            <w:r>
              <w:rPr>
                <w:noProof/>
              </w:rPr>
              <w:t xml:space="preserve">A folyómeder </w:t>
            </w:r>
            <w:r>
              <w:rPr>
                <w:noProof/>
              </w:rPr>
              <w:t xml:space="preserve">mesterségességének csökkentése a T1 Po terület újranaturálásához </w:t>
            </w:r>
          </w:p>
        </w:tc>
      </w:tr>
      <w:tr w:rsidR="003F5418" w14:paraId="7AA4824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10A29D8" w14:textId="77777777" w:rsidR="003F5418" w:rsidRDefault="002A6C25">
            <w:pPr>
              <w:pStyle w:val="P68B1DB1-Normal9"/>
              <w:jc w:val="center"/>
              <w:rPr>
                <w:noProof/>
              </w:rPr>
            </w:pPr>
            <w:r>
              <w:rPr>
                <w:noProof/>
              </w:rPr>
              <w:t>M2C4–31</w:t>
            </w:r>
          </w:p>
        </w:tc>
        <w:tc>
          <w:tcPr>
            <w:tcW w:w="3195" w:type="dxa"/>
            <w:tcBorders>
              <w:top w:val="nil"/>
              <w:left w:val="nil"/>
              <w:bottom w:val="single" w:sz="4" w:space="0" w:color="auto"/>
              <w:right w:val="single" w:sz="4" w:space="0" w:color="auto"/>
            </w:tcBorders>
            <w:shd w:val="clear" w:color="auto" w:fill="C6EFCE"/>
            <w:noWrap/>
            <w:vAlign w:val="center"/>
          </w:tcPr>
          <w:p w14:paraId="0DF42D92" w14:textId="77777777" w:rsidR="003F5418" w:rsidRDefault="002A6C25">
            <w:pPr>
              <w:pStyle w:val="P68B1DB1-Normal9"/>
              <w:rPr>
                <w:noProof/>
              </w:rPr>
            </w:pPr>
            <w:r>
              <w:rPr>
                <w:noProof/>
              </w:rPr>
              <w:t>Beruházás. A vízelosztó hálózatok veszteségeinek csökkentése, beleértve a hálózatok digitalizálását és nyomon követését</w:t>
            </w:r>
          </w:p>
        </w:tc>
        <w:tc>
          <w:tcPr>
            <w:tcW w:w="1378" w:type="dxa"/>
            <w:tcBorders>
              <w:top w:val="nil"/>
              <w:left w:val="nil"/>
              <w:bottom w:val="single" w:sz="4" w:space="0" w:color="auto"/>
              <w:right w:val="single" w:sz="4" w:space="0" w:color="auto"/>
            </w:tcBorders>
            <w:shd w:val="clear" w:color="auto" w:fill="C6EFCE"/>
            <w:noWrap/>
            <w:vAlign w:val="center"/>
          </w:tcPr>
          <w:p w14:paraId="6B84F54E"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66C3A52C" w14:textId="77777777" w:rsidR="003F5418" w:rsidRDefault="002A6C25">
            <w:pPr>
              <w:pStyle w:val="P68B1DB1-Normal9"/>
              <w:jc w:val="center"/>
              <w:rPr>
                <w:noProof/>
              </w:rPr>
            </w:pPr>
            <w:r>
              <w:rPr>
                <w:noProof/>
              </w:rPr>
              <w:t>A vízelosztó hálózatokba történő beavatkozások, beleértve</w:t>
            </w:r>
            <w:r>
              <w:rPr>
                <w:noProof/>
              </w:rPr>
              <w:t xml:space="preserve"> a T1 hálózatok digitalizálását és nyomon követését</w:t>
            </w:r>
          </w:p>
        </w:tc>
      </w:tr>
      <w:tr w:rsidR="003F5418" w14:paraId="2CE6CB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275403" w14:textId="77777777" w:rsidR="003F5418" w:rsidRDefault="002A6C25">
            <w:pPr>
              <w:pStyle w:val="P68B1DB1-Normal9"/>
              <w:jc w:val="center"/>
              <w:rPr>
                <w:noProof/>
              </w:rPr>
            </w:pPr>
            <w:r>
              <w:rPr>
                <w:noProof/>
              </w:rPr>
              <w:t>M2C4–34</w:t>
            </w:r>
          </w:p>
        </w:tc>
        <w:tc>
          <w:tcPr>
            <w:tcW w:w="3195" w:type="dxa"/>
            <w:tcBorders>
              <w:top w:val="nil"/>
              <w:left w:val="nil"/>
              <w:bottom w:val="single" w:sz="4" w:space="0" w:color="auto"/>
              <w:right w:val="single" w:sz="4" w:space="0" w:color="auto"/>
            </w:tcBorders>
            <w:shd w:val="clear" w:color="auto" w:fill="C6EFCE"/>
            <w:noWrap/>
            <w:vAlign w:val="center"/>
          </w:tcPr>
          <w:p w14:paraId="43CEA5C5" w14:textId="77777777" w:rsidR="003F5418" w:rsidRDefault="002A6C25">
            <w:pPr>
              <w:pStyle w:val="P68B1DB1-Normal9"/>
              <w:rPr>
                <w:noProof/>
              </w:rPr>
            </w:pPr>
            <w:r>
              <w:rPr>
                <w:noProof/>
              </w:rPr>
              <w:t>Beruházás az öntöző agrorendszer ellenálló képességébe a vízkészletekkel való jobb gazdálkodás érdekében</w:t>
            </w:r>
          </w:p>
        </w:tc>
        <w:tc>
          <w:tcPr>
            <w:tcW w:w="1378" w:type="dxa"/>
            <w:tcBorders>
              <w:top w:val="nil"/>
              <w:left w:val="nil"/>
              <w:bottom w:val="single" w:sz="4" w:space="0" w:color="auto"/>
              <w:right w:val="single" w:sz="4" w:space="0" w:color="auto"/>
            </w:tcBorders>
            <w:shd w:val="clear" w:color="auto" w:fill="C6EFCE"/>
            <w:noWrap/>
            <w:vAlign w:val="center"/>
          </w:tcPr>
          <w:p w14:paraId="69BA569F"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2C9A0CB8" w14:textId="77777777" w:rsidR="003F5418" w:rsidRDefault="002A6C25">
            <w:pPr>
              <w:pStyle w:val="P68B1DB1-Normal9"/>
              <w:jc w:val="center"/>
              <w:rPr>
                <w:noProof/>
              </w:rPr>
            </w:pPr>
            <w:r>
              <w:rPr>
                <w:noProof/>
              </w:rPr>
              <w:t>Az öntözési agrorendszer ellenálló képességét célzó beavatkozások a T1 vízkészletekkel</w:t>
            </w:r>
            <w:r>
              <w:rPr>
                <w:noProof/>
              </w:rPr>
              <w:t xml:space="preserve"> való jobb gazdálkodás érdekében</w:t>
            </w:r>
          </w:p>
        </w:tc>
      </w:tr>
      <w:tr w:rsidR="003F5418" w14:paraId="371DEE8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80E76" w14:textId="77777777" w:rsidR="003F5418" w:rsidRDefault="002A6C25">
            <w:pPr>
              <w:pStyle w:val="P68B1DB1-Normal9"/>
              <w:jc w:val="center"/>
              <w:rPr>
                <w:noProof/>
              </w:rPr>
            </w:pPr>
            <w:r>
              <w:rPr>
                <w:noProof/>
              </w:rPr>
              <w:t>M2C4–35</w:t>
            </w:r>
          </w:p>
        </w:tc>
        <w:tc>
          <w:tcPr>
            <w:tcW w:w="3195" w:type="dxa"/>
            <w:tcBorders>
              <w:top w:val="nil"/>
              <w:left w:val="nil"/>
              <w:bottom w:val="single" w:sz="4" w:space="0" w:color="auto"/>
              <w:right w:val="single" w:sz="4" w:space="0" w:color="auto"/>
            </w:tcBorders>
            <w:shd w:val="clear" w:color="auto" w:fill="C6EFCE"/>
            <w:noWrap/>
            <w:vAlign w:val="center"/>
          </w:tcPr>
          <w:p w14:paraId="0EEF9F3C" w14:textId="77777777" w:rsidR="003F5418" w:rsidRDefault="002A6C25">
            <w:pPr>
              <w:pStyle w:val="P68B1DB1-Normal9"/>
              <w:rPr>
                <w:noProof/>
              </w:rPr>
            </w:pPr>
            <w:r>
              <w:rPr>
                <w:noProof/>
              </w:rPr>
              <w:t>Beruházás az öntöző agrorendszer ellenálló képességébe a vízkészletekkel való jobb gazdálkodás érdekében</w:t>
            </w:r>
          </w:p>
        </w:tc>
        <w:tc>
          <w:tcPr>
            <w:tcW w:w="1378" w:type="dxa"/>
            <w:tcBorders>
              <w:top w:val="nil"/>
              <w:left w:val="nil"/>
              <w:bottom w:val="single" w:sz="4" w:space="0" w:color="auto"/>
              <w:right w:val="single" w:sz="4" w:space="0" w:color="auto"/>
            </w:tcBorders>
            <w:shd w:val="clear" w:color="auto" w:fill="C6EFCE"/>
            <w:noWrap/>
            <w:vAlign w:val="center"/>
          </w:tcPr>
          <w:p w14:paraId="19BC7686"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6E1BAF38" w14:textId="77777777" w:rsidR="003F5418" w:rsidRDefault="002A6C25">
            <w:pPr>
              <w:pStyle w:val="P68B1DB1-Normal9"/>
              <w:jc w:val="center"/>
              <w:rPr>
                <w:noProof/>
              </w:rPr>
            </w:pPr>
            <w:r>
              <w:rPr>
                <w:noProof/>
              </w:rPr>
              <w:t xml:space="preserve">Az öntözési agrorendszer ellenálló képességét célzó beavatkozások a T1 vízkészletekkel való jobb </w:t>
            </w:r>
            <w:r>
              <w:rPr>
                <w:noProof/>
              </w:rPr>
              <w:t>gazdálkodás érdekében</w:t>
            </w:r>
          </w:p>
        </w:tc>
      </w:tr>
      <w:tr w:rsidR="003F5418" w14:paraId="37E68B2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908F2F" w14:textId="77777777" w:rsidR="003F5418" w:rsidRDefault="002A6C25">
            <w:pPr>
              <w:pStyle w:val="P68B1DB1-Normal9"/>
              <w:jc w:val="center"/>
              <w:rPr>
                <w:noProof/>
              </w:rPr>
            </w:pPr>
            <w:r>
              <w:rPr>
                <w:noProof/>
              </w:rPr>
              <w:t>M3C1–15</w:t>
            </w:r>
          </w:p>
        </w:tc>
        <w:tc>
          <w:tcPr>
            <w:tcW w:w="3195" w:type="dxa"/>
            <w:tcBorders>
              <w:top w:val="nil"/>
              <w:left w:val="nil"/>
              <w:bottom w:val="single" w:sz="4" w:space="0" w:color="auto"/>
              <w:right w:val="single" w:sz="4" w:space="0" w:color="auto"/>
            </w:tcBorders>
            <w:shd w:val="clear" w:color="auto" w:fill="C6EFCE"/>
            <w:noWrap/>
            <w:vAlign w:val="center"/>
          </w:tcPr>
          <w:p w14:paraId="1FD1B17A" w14:textId="77777777" w:rsidR="003F5418" w:rsidRDefault="002A6C25">
            <w:pPr>
              <w:pStyle w:val="P68B1DB1-Normal9"/>
              <w:rPr>
                <w:noProof/>
              </w:rPr>
            </w:pPr>
            <w:r>
              <w:rPr>
                <w:noProof/>
              </w:rPr>
              <w:t>Beruházás – A nagyvárosi csomópontok és a kulcsfontosságú nemzeti kapcsolatok megerősítése</w:t>
            </w:r>
          </w:p>
        </w:tc>
        <w:tc>
          <w:tcPr>
            <w:tcW w:w="1378" w:type="dxa"/>
            <w:tcBorders>
              <w:top w:val="nil"/>
              <w:left w:val="nil"/>
              <w:bottom w:val="single" w:sz="4" w:space="0" w:color="auto"/>
              <w:right w:val="single" w:sz="4" w:space="0" w:color="auto"/>
            </w:tcBorders>
            <w:shd w:val="clear" w:color="auto" w:fill="C6EFCE"/>
            <w:noWrap/>
            <w:vAlign w:val="center"/>
          </w:tcPr>
          <w:p w14:paraId="4A926006"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6C7AA3B0" w14:textId="77777777" w:rsidR="003F5418" w:rsidRDefault="002A6C25">
            <w:pPr>
              <w:pStyle w:val="P68B1DB1-Normal9"/>
              <w:jc w:val="center"/>
              <w:rPr>
                <w:noProof/>
              </w:rPr>
            </w:pPr>
            <w:r>
              <w:rPr>
                <w:noProof/>
              </w:rPr>
              <w:t>700 km korszerűsített vonalszakasz nagyvárosi csomópontokon és fő nemzeti összeköttetéseken</w:t>
            </w:r>
          </w:p>
        </w:tc>
      </w:tr>
      <w:tr w:rsidR="003F5418" w14:paraId="1A036EA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752685" w14:textId="77777777" w:rsidR="003F5418" w:rsidRDefault="002A6C25">
            <w:pPr>
              <w:pStyle w:val="P68B1DB1-Normal9"/>
              <w:jc w:val="center"/>
              <w:rPr>
                <w:noProof/>
              </w:rPr>
            </w:pPr>
            <w:r>
              <w:rPr>
                <w:noProof/>
              </w:rPr>
              <w:t>M3C1–19</w:t>
            </w:r>
          </w:p>
        </w:tc>
        <w:tc>
          <w:tcPr>
            <w:tcW w:w="3195" w:type="dxa"/>
            <w:tcBorders>
              <w:top w:val="nil"/>
              <w:left w:val="nil"/>
              <w:bottom w:val="single" w:sz="4" w:space="0" w:color="auto"/>
              <w:right w:val="single" w:sz="4" w:space="0" w:color="auto"/>
            </w:tcBorders>
            <w:shd w:val="clear" w:color="auto" w:fill="C6EFCE"/>
            <w:noWrap/>
            <w:vAlign w:val="center"/>
          </w:tcPr>
          <w:p w14:paraId="03537D82" w14:textId="77777777" w:rsidR="003F5418" w:rsidRDefault="002A6C25">
            <w:pPr>
              <w:pStyle w:val="P68B1DB1-Normal9"/>
              <w:rPr>
                <w:noProof/>
              </w:rPr>
            </w:pPr>
            <w:r>
              <w:rPr>
                <w:noProof/>
              </w:rPr>
              <w:t xml:space="preserve">Beruházás – Vasúti állomások </w:t>
            </w:r>
            <w:r>
              <w:rPr>
                <w:noProof/>
              </w:rPr>
              <w:t>korszerűsítése (RFI-kezelés; délen)</w:t>
            </w:r>
          </w:p>
        </w:tc>
        <w:tc>
          <w:tcPr>
            <w:tcW w:w="1378" w:type="dxa"/>
            <w:tcBorders>
              <w:top w:val="nil"/>
              <w:left w:val="nil"/>
              <w:bottom w:val="single" w:sz="4" w:space="0" w:color="auto"/>
              <w:right w:val="single" w:sz="4" w:space="0" w:color="auto"/>
            </w:tcBorders>
            <w:shd w:val="clear" w:color="auto" w:fill="C6EFCE"/>
            <w:noWrap/>
            <w:vAlign w:val="center"/>
          </w:tcPr>
          <w:p w14:paraId="350298C1"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3FAAE441" w14:textId="77777777" w:rsidR="003F5418" w:rsidRDefault="002A6C25">
            <w:pPr>
              <w:pStyle w:val="P68B1DB1-Normal9"/>
              <w:jc w:val="center"/>
              <w:rPr>
                <w:noProof/>
              </w:rPr>
            </w:pPr>
            <w:r>
              <w:rPr>
                <w:noProof/>
              </w:rPr>
              <w:t>Korszerűsített és hozzáférhető vasútállomások</w:t>
            </w:r>
          </w:p>
        </w:tc>
      </w:tr>
      <w:tr w:rsidR="003F5418" w14:paraId="1B74DC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0B9AD41" w14:textId="77777777" w:rsidR="003F5418" w:rsidRDefault="002A6C25">
            <w:pPr>
              <w:pStyle w:val="P68B1DB1-Normal9"/>
              <w:jc w:val="center"/>
              <w:rPr>
                <w:noProof/>
              </w:rPr>
            </w:pPr>
            <w:r>
              <w:rPr>
                <w:noProof/>
              </w:rPr>
              <w:t>M4C2–21a</w:t>
            </w:r>
          </w:p>
        </w:tc>
        <w:tc>
          <w:tcPr>
            <w:tcW w:w="3195" w:type="dxa"/>
            <w:tcBorders>
              <w:top w:val="nil"/>
              <w:left w:val="nil"/>
              <w:bottom w:val="single" w:sz="4" w:space="0" w:color="auto"/>
              <w:right w:val="single" w:sz="4" w:space="0" w:color="auto"/>
            </w:tcBorders>
            <w:shd w:val="clear" w:color="auto" w:fill="C6EFCE"/>
            <w:noWrap/>
            <w:vAlign w:val="center"/>
          </w:tcPr>
          <w:p w14:paraId="3E385840" w14:textId="77777777" w:rsidR="003F5418" w:rsidRDefault="002A6C25">
            <w:pPr>
              <w:pStyle w:val="P68B1DB1-Normal9"/>
              <w:rPr>
                <w:noProof/>
              </w:rPr>
            </w:pPr>
            <w:r>
              <w:rPr>
                <w:noProof/>
              </w:rPr>
              <w:t xml:space="preserve">Beruházás – Az induló vállalkozások finanszírozása </w:t>
            </w:r>
          </w:p>
        </w:tc>
        <w:tc>
          <w:tcPr>
            <w:tcW w:w="1378" w:type="dxa"/>
            <w:tcBorders>
              <w:top w:val="nil"/>
              <w:left w:val="nil"/>
              <w:bottom w:val="single" w:sz="4" w:space="0" w:color="auto"/>
              <w:right w:val="single" w:sz="4" w:space="0" w:color="auto"/>
            </w:tcBorders>
            <w:shd w:val="clear" w:color="auto" w:fill="C6EFCE"/>
            <w:noWrap/>
            <w:vAlign w:val="center"/>
          </w:tcPr>
          <w:p w14:paraId="129E6D96"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62DEE144" w14:textId="77777777" w:rsidR="003F5418" w:rsidRDefault="002A6C25">
            <w:pPr>
              <w:pStyle w:val="P68B1DB1-Normal9"/>
              <w:jc w:val="center"/>
              <w:rPr>
                <w:noProof/>
              </w:rPr>
            </w:pPr>
            <w:r>
              <w:rPr>
                <w:noProof/>
              </w:rPr>
              <w:t>A minisztérium befejezte a CDP Venture Capital SGR részére történő pénzátutalást</w:t>
            </w:r>
          </w:p>
        </w:tc>
      </w:tr>
      <w:tr w:rsidR="003F5418" w14:paraId="03D2B67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370D37" w14:textId="77777777" w:rsidR="003F5418" w:rsidRDefault="002A6C25">
            <w:pPr>
              <w:pStyle w:val="P68B1DB1-Normal9"/>
              <w:jc w:val="center"/>
              <w:rPr>
                <w:noProof/>
              </w:rPr>
            </w:pPr>
            <w:r>
              <w:rPr>
                <w:noProof/>
              </w:rPr>
              <w:t>M6C1–7</w:t>
            </w:r>
          </w:p>
        </w:tc>
        <w:tc>
          <w:tcPr>
            <w:tcW w:w="3195" w:type="dxa"/>
            <w:tcBorders>
              <w:top w:val="nil"/>
              <w:left w:val="nil"/>
              <w:bottom w:val="single" w:sz="4" w:space="0" w:color="auto"/>
              <w:right w:val="single" w:sz="4" w:space="0" w:color="auto"/>
            </w:tcBorders>
            <w:shd w:val="clear" w:color="auto" w:fill="C6EFCE"/>
            <w:noWrap/>
            <w:vAlign w:val="center"/>
          </w:tcPr>
          <w:p w14:paraId="7402D59D" w14:textId="77777777" w:rsidR="003F5418" w:rsidRDefault="002A6C25">
            <w:pPr>
              <w:pStyle w:val="P68B1DB1-Normal9"/>
              <w:rPr>
                <w:noProof/>
              </w:rPr>
            </w:pPr>
            <w:r>
              <w:rPr>
                <w:noProof/>
              </w:rPr>
              <w:t>Beruházás: Az otthon mint a gondozás és a távorvoslás első helye</w:t>
            </w:r>
          </w:p>
        </w:tc>
        <w:tc>
          <w:tcPr>
            <w:tcW w:w="1378" w:type="dxa"/>
            <w:tcBorders>
              <w:top w:val="nil"/>
              <w:left w:val="nil"/>
              <w:bottom w:val="single" w:sz="4" w:space="0" w:color="auto"/>
              <w:right w:val="single" w:sz="4" w:space="0" w:color="auto"/>
            </w:tcBorders>
            <w:shd w:val="clear" w:color="auto" w:fill="C6EFCE"/>
            <w:noWrap/>
            <w:vAlign w:val="center"/>
          </w:tcPr>
          <w:p w14:paraId="2BC9D1C3"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7880E4B4" w14:textId="77777777" w:rsidR="003F5418" w:rsidRDefault="002A6C25">
            <w:pPr>
              <w:pStyle w:val="P68B1DB1-Normal9"/>
              <w:jc w:val="center"/>
              <w:rPr>
                <w:noProof/>
              </w:rPr>
            </w:pPr>
            <w:r>
              <w:rPr>
                <w:noProof/>
              </w:rPr>
              <w:t>Teljes mértékben működőképes koordinációs központok (második csoport)</w:t>
            </w:r>
          </w:p>
        </w:tc>
      </w:tr>
      <w:tr w:rsidR="003F5418" w14:paraId="35A2D75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ADDA01" w14:textId="77777777" w:rsidR="003F5418" w:rsidRDefault="002A6C25">
            <w:pPr>
              <w:pStyle w:val="P68B1DB1-Normal9"/>
              <w:jc w:val="center"/>
              <w:rPr>
                <w:noProof/>
              </w:rPr>
            </w:pPr>
            <w:r>
              <w:rPr>
                <w:noProof/>
              </w:rPr>
              <w:t>7–43. INTÉZKEDÉS</w:t>
            </w:r>
          </w:p>
        </w:tc>
        <w:tc>
          <w:tcPr>
            <w:tcW w:w="3195" w:type="dxa"/>
            <w:tcBorders>
              <w:top w:val="nil"/>
              <w:left w:val="nil"/>
              <w:bottom w:val="single" w:sz="4" w:space="0" w:color="auto"/>
              <w:right w:val="single" w:sz="4" w:space="0" w:color="auto"/>
            </w:tcBorders>
            <w:shd w:val="clear" w:color="auto" w:fill="C6EFCE"/>
            <w:noWrap/>
            <w:vAlign w:val="center"/>
          </w:tcPr>
          <w:p w14:paraId="399120BF" w14:textId="77777777" w:rsidR="003F5418" w:rsidRDefault="002A6C25">
            <w:pPr>
              <w:pStyle w:val="P68B1DB1-Normal9"/>
              <w:rPr>
                <w:noProof/>
              </w:rPr>
            </w:pPr>
            <w:r>
              <w:rPr>
                <w:noProof/>
              </w:rPr>
              <w:t>Beruházás: A kkv-k megújuló energiaforrásokból történő saját termeléséhez nyújtott támogatás</w:t>
            </w:r>
          </w:p>
        </w:tc>
        <w:tc>
          <w:tcPr>
            <w:tcW w:w="1378" w:type="dxa"/>
            <w:tcBorders>
              <w:top w:val="nil"/>
              <w:left w:val="nil"/>
              <w:bottom w:val="single" w:sz="4" w:space="0" w:color="auto"/>
              <w:right w:val="single" w:sz="4" w:space="0" w:color="auto"/>
            </w:tcBorders>
            <w:shd w:val="clear" w:color="auto" w:fill="C6EFCE"/>
            <w:noWrap/>
            <w:vAlign w:val="center"/>
          </w:tcPr>
          <w:p w14:paraId="0FA204B3"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559AFB2D" w14:textId="77777777" w:rsidR="003F5418" w:rsidRDefault="002A6C25">
            <w:pPr>
              <w:pStyle w:val="P68B1DB1-Normal9"/>
              <w:jc w:val="center"/>
              <w:rPr>
                <w:noProof/>
              </w:rPr>
            </w:pPr>
            <w:r>
              <w:rPr>
                <w:noProof/>
              </w:rPr>
              <w:t>Végrehajtási megállapodás</w:t>
            </w:r>
          </w:p>
        </w:tc>
      </w:tr>
      <w:tr w:rsidR="003F5418" w14:paraId="383E103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2D322D" w14:textId="77777777" w:rsidR="003F5418" w:rsidRDefault="002A6C25">
            <w:pPr>
              <w:pStyle w:val="P68B1DB1-Normal9"/>
              <w:jc w:val="center"/>
              <w:rPr>
                <w:noProof/>
              </w:rPr>
            </w:pPr>
            <w:r>
              <w:rPr>
                <w:noProof/>
              </w:rPr>
              <w:t>7–44. INTÉZKEDÉS</w:t>
            </w:r>
          </w:p>
        </w:tc>
        <w:tc>
          <w:tcPr>
            <w:tcW w:w="3195" w:type="dxa"/>
            <w:tcBorders>
              <w:top w:val="nil"/>
              <w:left w:val="nil"/>
              <w:bottom w:val="single" w:sz="4" w:space="0" w:color="auto"/>
              <w:right w:val="single" w:sz="4" w:space="0" w:color="auto"/>
            </w:tcBorders>
            <w:shd w:val="clear" w:color="auto" w:fill="C6EFCE"/>
            <w:noWrap/>
            <w:vAlign w:val="center"/>
          </w:tcPr>
          <w:p w14:paraId="37EAB9F2" w14:textId="77777777" w:rsidR="003F5418" w:rsidRDefault="002A6C25">
            <w:pPr>
              <w:pStyle w:val="P68B1DB1-Normal9"/>
              <w:rPr>
                <w:noProof/>
              </w:rPr>
            </w:pPr>
            <w:r>
              <w:rPr>
                <w:noProof/>
              </w:rPr>
              <w:t>Beruházás: A kkv-k megújuló energiaforrásokból történő saját termeléséhez nyújtott támogatás</w:t>
            </w:r>
          </w:p>
        </w:tc>
        <w:tc>
          <w:tcPr>
            <w:tcW w:w="1378" w:type="dxa"/>
            <w:tcBorders>
              <w:top w:val="nil"/>
              <w:left w:val="nil"/>
              <w:bottom w:val="single" w:sz="4" w:space="0" w:color="auto"/>
              <w:right w:val="single" w:sz="4" w:space="0" w:color="auto"/>
            </w:tcBorders>
            <w:shd w:val="clear" w:color="auto" w:fill="C6EFCE"/>
            <w:noWrap/>
            <w:vAlign w:val="center"/>
          </w:tcPr>
          <w:p w14:paraId="42EC4B56" w14:textId="77777777" w:rsidR="003F5418" w:rsidRDefault="002A6C25">
            <w:pPr>
              <w:pStyle w:val="P68B1DB1-Normal9"/>
              <w:jc w:val="center"/>
              <w:rPr>
                <w:noProof/>
              </w:rPr>
            </w:pPr>
            <w:r>
              <w:rPr>
                <w:noProof/>
              </w:rPr>
              <w:t>Mérföldkő</w:t>
            </w:r>
          </w:p>
        </w:tc>
        <w:tc>
          <w:tcPr>
            <w:tcW w:w="4166" w:type="dxa"/>
            <w:tcBorders>
              <w:top w:val="nil"/>
              <w:left w:val="nil"/>
              <w:bottom w:val="single" w:sz="4" w:space="0" w:color="auto"/>
              <w:right w:val="single" w:sz="4" w:space="0" w:color="auto"/>
            </w:tcBorders>
            <w:shd w:val="clear" w:color="auto" w:fill="C6EFCE"/>
            <w:noWrap/>
            <w:vAlign w:val="center"/>
          </w:tcPr>
          <w:p w14:paraId="7E12F496" w14:textId="77777777" w:rsidR="003F5418" w:rsidRDefault="002A6C25">
            <w:pPr>
              <w:pStyle w:val="P68B1DB1-Normal9"/>
              <w:jc w:val="center"/>
              <w:rPr>
                <w:noProof/>
              </w:rPr>
            </w:pPr>
            <w:r>
              <w:rPr>
                <w:noProof/>
              </w:rPr>
              <w:t>Az olaszországi Vállalkozásügyi Minisztérium és Made befejezte a pénzeszközöknek az Invitalia részé</w:t>
            </w:r>
            <w:r>
              <w:rPr>
                <w:noProof/>
              </w:rPr>
              <w:t>re történő átutalását.</w:t>
            </w:r>
          </w:p>
        </w:tc>
      </w:tr>
      <w:tr w:rsidR="003F5418" w14:paraId="1D932D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764FB5" w14:textId="77777777" w:rsidR="003F5418" w:rsidRDefault="002A6C25">
            <w:pPr>
              <w:pStyle w:val="P68B1DB1-Normal9"/>
              <w:jc w:val="center"/>
              <w:rPr>
                <w:noProof/>
              </w:rPr>
            </w:pPr>
            <w:r>
              <w:rPr>
                <w:noProof/>
              </w:rPr>
              <w:t>M2C4–20</w:t>
            </w:r>
          </w:p>
        </w:tc>
        <w:tc>
          <w:tcPr>
            <w:tcW w:w="3195" w:type="dxa"/>
            <w:tcBorders>
              <w:top w:val="nil"/>
              <w:left w:val="nil"/>
              <w:bottom w:val="single" w:sz="4" w:space="0" w:color="auto"/>
              <w:right w:val="single" w:sz="4" w:space="0" w:color="auto"/>
            </w:tcBorders>
            <w:shd w:val="clear" w:color="auto" w:fill="C6EFCE"/>
            <w:noWrap/>
            <w:vAlign w:val="center"/>
          </w:tcPr>
          <w:p w14:paraId="5CDCA207" w14:textId="77777777" w:rsidR="003F5418" w:rsidRDefault="002A6C25">
            <w:pPr>
              <w:pStyle w:val="P68B1DB1-Normal9"/>
              <w:rPr>
                <w:noProof/>
              </w:rPr>
            </w:pPr>
            <w:r>
              <w:rPr>
                <w:noProof/>
              </w:rPr>
              <w:t>Beruházások. 3.1.: A városi és városkörnyéki erdők védelme és fejlesztése</w:t>
            </w:r>
          </w:p>
        </w:tc>
        <w:tc>
          <w:tcPr>
            <w:tcW w:w="1378" w:type="dxa"/>
            <w:tcBorders>
              <w:top w:val="nil"/>
              <w:left w:val="nil"/>
              <w:bottom w:val="single" w:sz="4" w:space="0" w:color="auto"/>
              <w:right w:val="single" w:sz="4" w:space="0" w:color="auto"/>
            </w:tcBorders>
            <w:shd w:val="clear" w:color="auto" w:fill="C6EFCE"/>
            <w:noWrap/>
            <w:vAlign w:val="center"/>
          </w:tcPr>
          <w:p w14:paraId="1740C721" w14:textId="77777777" w:rsidR="003F5418" w:rsidRDefault="002A6C25">
            <w:pPr>
              <w:pStyle w:val="P68B1DB1-Normal9"/>
              <w:jc w:val="center"/>
              <w:rPr>
                <w:noProof/>
              </w:rPr>
            </w:pPr>
            <w:r>
              <w:rPr>
                <w:noProof/>
              </w:rPr>
              <w:t>Cél</w:t>
            </w:r>
          </w:p>
        </w:tc>
        <w:tc>
          <w:tcPr>
            <w:tcW w:w="4166" w:type="dxa"/>
            <w:tcBorders>
              <w:top w:val="nil"/>
              <w:left w:val="nil"/>
              <w:bottom w:val="single" w:sz="4" w:space="0" w:color="auto"/>
              <w:right w:val="single" w:sz="4" w:space="0" w:color="auto"/>
            </w:tcBorders>
            <w:shd w:val="clear" w:color="auto" w:fill="C6EFCE"/>
            <w:noWrap/>
            <w:vAlign w:val="center"/>
          </w:tcPr>
          <w:p w14:paraId="2B23F5A3" w14:textId="77777777" w:rsidR="003F5418" w:rsidRDefault="002A6C25">
            <w:pPr>
              <w:pStyle w:val="P68B1DB1-Normal9"/>
              <w:jc w:val="center"/>
              <w:rPr>
                <w:noProof/>
              </w:rPr>
            </w:pPr>
            <w:r>
              <w:rPr>
                <w:noProof/>
              </w:rPr>
              <w:t xml:space="preserve">A T2 városi és városkörnyéki zöldterületek védelmére és hasznosítására szolgáló növényfák </w:t>
            </w:r>
          </w:p>
        </w:tc>
      </w:tr>
      <w:tr w:rsidR="003F5418" w14:paraId="0420FE87"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57BFC4" w14:textId="77777777" w:rsidR="003F5418" w:rsidRDefault="003F5418">
            <w:pPr>
              <w:jc w:val="center"/>
              <w:rPr>
                <w:noProof/>
                <w:color w:val="006100"/>
                <w:sz w:val="20"/>
              </w:rPr>
            </w:pPr>
          </w:p>
        </w:tc>
        <w:tc>
          <w:tcPr>
            <w:tcW w:w="3195" w:type="dxa"/>
            <w:tcBorders>
              <w:top w:val="single" w:sz="4" w:space="0" w:color="auto"/>
              <w:left w:val="nil"/>
              <w:bottom w:val="single" w:sz="4" w:space="0" w:color="auto"/>
              <w:right w:val="single" w:sz="4" w:space="0" w:color="auto"/>
            </w:tcBorders>
            <w:shd w:val="clear" w:color="auto" w:fill="C6EFCE"/>
            <w:noWrap/>
            <w:vAlign w:val="bottom"/>
          </w:tcPr>
          <w:p w14:paraId="6B6483EA" w14:textId="77777777" w:rsidR="003F5418" w:rsidRDefault="003F5418">
            <w:pPr>
              <w:rPr>
                <w:noProof/>
                <w:color w:val="006100"/>
                <w:sz w:val="20"/>
              </w:rPr>
            </w:pPr>
          </w:p>
        </w:tc>
        <w:tc>
          <w:tcPr>
            <w:tcW w:w="1378" w:type="dxa"/>
            <w:tcBorders>
              <w:top w:val="single" w:sz="4" w:space="0" w:color="auto"/>
              <w:left w:val="nil"/>
              <w:bottom w:val="single" w:sz="4" w:space="0" w:color="auto"/>
              <w:right w:val="single" w:sz="4" w:space="0" w:color="auto"/>
            </w:tcBorders>
            <w:shd w:val="clear" w:color="auto" w:fill="C6EFCE"/>
            <w:noWrap/>
            <w:vAlign w:val="bottom"/>
          </w:tcPr>
          <w:p w14:paraId="0A258D51" w14:textId="77777777" w:rsidR="003F5418" w:rsidRDefault="002A6C25">
            <w:pPr>
              <w:pStyle w:val="P68B1DB1-Normal9"/>
              <w:rPr>
                <w:noProof/>
              </w:rPr>
            </w:pPr>
            <w:r>
              <w:rPr>
                <w:noProof/>
              </w:rPr>
              <w:t>Részösszeg</w:t>
            </w:r>
          </w:p>
        </w:tc>
        <w:tc>
          <w:tcPr>
            <w:tcW w:w="4166" w:type="dxa"/>
            <w:tcBorders>
              <w:top w:val="single" w:sz="4" w:space="0" w:color="auto"/>
              <w:left w:val="nil"/>
              <w:bottom w:val="single" w:sz="4" w:space="0" w:color="auto"/>
              <w:right w:val="single" w:sz="4" w:space="0" w:color="auto"/>
            </w:tcBorders>
            <w:shd w:val="clear" w:color="auto" w:fill="C6EFCE"/>
            <w:noWrap/>
            <w:vAlign w:val="bottom"/>
          </w:tcPr>
          <w:p w14:paraId="5DAAFFB7" w14:textId="251912A9" w:rsidR="003F5418" w:rsidRDefault="002A6C25">
            <w:pPr>
              <w:pStyle w:val="P68B1DB1-Normal9"/>
              <w:rPr>
                <w:noProof/>
              </w:rPr>
            </w:pPr>
            <w:r>
              <w:rPr>
                <w:noProof/>
              </w:rPr>
              <w:t>15 715 972 025 EUR</w:t>
            </w:r>
          </w:p>
        </w:tc>
      </w:tr>
    </w:tbl>
    <w:p w14:paraId="00D13BDE" w14:textId="77777777" w:rsidR="003F5418" w:rsidRDefault="002A6C25">
      <w:pPr>
        <w:pStyle w:val="P68B1DB1-Normal35"/>
        <w:numPr>
          <w:ilvl w:val="1"/>
          <w:numId w:val="6"/>
        </w:numPr>
        <w:spacing w:before="120" w:after="120"/>
        <w:jc w:val="both"/>
        <w:rPr>
          <w:noProof/>
        </w:rPr>
      </w:pPr>
      <w:r>
        <w:rPr>
          <w:noProof/>
        </w:rPr>
        <w:t xml:space="preserve">Nyolcadik részlet </w:t>
      </w:r>
      <w:r>
        <w:rPr>
          <w:noProof/>
        </w:rPr>
        <w:t>(hiteltámogatás):</w:t>
      </w:r>
    </w:p>
    <w:tbl>
      <w:tblPr>
        <w:tblW w:w="10015" w:type="dxa"/>
        <w:tblInd w:w="113" w:type="dxa"/>
        <w:tblLook w:val="04A0" w:firstRow="1" w:lastRow="0" w:firstColumn="1" w:lastColumn="0" w:noHBand="0" w:noVBand="1"/>
      </w:tblPr>
      <w:tblGrid>
        <w:gridCol w:w="1438"/>
        <w:gridCol w:w="3105"/>
        <w:gridCol w:w="1423"/>
        <w:gridCol w:w="4074"/>
      </w:tblGrid>
      <w:tr w:rsidR="003F5418" w14:paraId="34CBD9E4"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5F25750" w14:textId="77777777" w:rsidR="003F5418" w:rsidRDefault="002A6C25">
            <w:pPr>
              <w:pStyle w:val="P68B1DB1-Normal36"/>
              <w:jc w:val="center"/>
              <w:rPr>
                <w:noProof/>
              </w:rPr>
            </w:pPr>
            <w:r>
              <w:rPr>
                <w:noProof/>
              </w:rPr>
              <w:t>Sorszám</w:t>
            </w:r>
          </w:p>
        </w:tc>
        <w:tc>
          <w:tcPr>
            <w:tcW w:w="310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D0C8395" w14:textId="77777777" w:rsidR="003F5418" w:rsidRDefault="002A6C25">
            <w:pPr>
              <w:pStyle w:val="P68B1DB1-Normal36"/>
              <w:jc w:val="center"/>
              <w:rPr>
                <w:noProof/>
              </w:rPr>
            </w:pPr>
            <w:r>
              <w:rPr>
                <w:noProof/>
              </w:rPr>
              <w:t>Kapcsolódó intézkedés (reform vagy beruházás)</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420E9B0" w14:textId="77777777" w:rsidR="003F5418" w:rsidRDefault="002A6C25">
            <w:pPr>
              <w:pStyle w:val="P68B1DB1-Normal36"/>
              <w:jc w:val="center"/>
              <w:rPr>
                <w:noProof/>
              </w:rPr>
            </w:pPr>
            <w:r>
              <w:rPr>
                <w:noProof/>
              </w:rPr>
              <w:t>Mérföldkő/cél</w:t>
            </w:r>
          </w:p>
        </w:tc>
        <w:tc>
          <w:tcPr>
            <w:tcW w:w="407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DB1B078" w14:textId="77777777" w:rsidR="003F5418" w:rsidRDefault="002A6C25">
            <w:pPr>
              <w:pStyle w:val="P68B1DB1-Normal36"/>
              <w:jc w:val="center"/>
              <w:rPr>
                <w:noProof/>
              </w:rPr>
            </w:pPr>
            <w:r>
              <w:rPr>
                <w:noProof/>
              </w:rPr>
              <w:t>Név</w:t>
            </w:r>
          </w:p>
        </w:tc>
      </w:tr>
      <w:tr w:rsidR="003F5418" w14:paraId="787E9A39"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B72C1B2" w14:textId="77777777" w:rsidR="003F5418" w:rsidRDefault="003F5418">
            <w:pPr>
              <w:rPr>
                <w:b/>
                <w:noProof/>
              </w:rPr>
            </w:pPr>
          </w:p>
        </w:tc>
        <w:tc>
          <w:tcPr>
            <w:tcW w:w="3105" w:type="dxa"/>
            <w:vMerge/>
            <w:tcBorders>
              <w:top w:val="single" w:sz="4" w:space="0" w:color="auto"/>
              <w:left w:val="single" w:sz="4" w:space="0" w:color="auto"/>
              <w:bottom w:val="single" w:sz="4" w:space="0" w:color="auto"/>
              <w:right w:val="single" w:sz="4" w:space="0" w:color="auto"/>
            </w:tcBorders>
            <w:vAlign w:val="center"/>
            <w:hideMark/>
          </w:tcPr>
          <w:p w14:paraId="4C7D702D" w14:textId="77777777" w:rsidR="003F5418" w:rsidRDefault="003F5418">
            <w:pPr>
              <w:rPr>
                <w:b/>
                <w:noProof/>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03455621" w14:textId="77777777" w:rsidR="003F5418" w:rsidRDefault="003F5418">
            <w:pPr>
              <w:rPr>
                <w:b/>
                <w:noProof/>
              </w:rPr>
            </w:pPr>
          </w:p>
        </w:tc>
        <w:tc>
          <w:tcPr>
            <w:tcW w:w="4074" w:type="dxa"/>
            <w:vMerge/>
            <w:tcBorders>
              <w:top w:val="single" w:sz="4" w:space="0" w:color="auto"/>
              <w:left w:val="single" w:sz="4" w:space="0" w:color="auto"/>
              <w:bottom w:val="single" w:sz="4" w:space="0" w:color="auto"/>
              <w:right w:val="single" w:sz="4" w:space="0" w:color="auto"/>
            </w:tcBorders>
            <w:vAlign w:val="center"/>
            <w:hideMark/>
          </w:tcPr>
          <w:p w14:paraId="1605D30F" w14:textId="77777777" w:rsidR="003F5418" w:rsidRDefault="003F5418">
            <w:pPr>
              <w:rPr>
                <w:b/>
                <w:noProof/>
              </w:rPr>
            </w:pPr>
          </w:p>
        </w:tc>
      </w:tr>
      <w:tr w:rsidR="003F5418" w14:paraId="47782386"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EF8142" w14:textId="77777777" w:rsidR="003F5418" w:rsidRDefault="002A6C25">
            <w:pPr>
              <w:pStyle w:val="P68B1DB1-Normal9"/>
              <w:jc w:val="center"/>
              <w:rPr>
                <w:noProof/>
              </w:rPr>
            </w:pPr>
            <w:r>
              <w:rPr>
                <w:noProof/>
              </w:rPr>
              <w:t>M5C2–16</w:t>
            </w:r>
          </w:p>
        </w:tc>
        <w:tc>
          <w:tcPr>
            <w:tcW w:w="3105" w:type="dxa"/>
            <w:tcBorders>
              <w:top w:val="single" w:sz="4" w:space="0" w:color="auto"/>
              <w:left w:val="nil"/>
              <w:bottom w:val="single" w:sz="4" w:space="0" w:color="auto"/>
              <w:right w:val="single" w:sz="4" w:space="0" w:color="auto"/>
            </w:tcBorders>
            <w:shd w:val="clear" w:color="auto" w:fill="C6EFCE"/>
            <w:noWrap/>
            <w:vAlign w:val="center"/>
          </w:tcPr>
          <w:p w14:paraId="1E3E80E5" w14:textId="77777777" w:rsidR="003F5418" w:rsidRDefault="002A6C25">
            <w:pPr>
              <w:pStyle w:val="P68B1DB1-Normal9"/>
              <w:rPr>
                <w:noProof/>
              </w:rPr>
            </w:pPr>
            <w:r>
              <w:rPr>
                <w:noProof/>
              </w:rPr>
              <w:t>Beruházás – Városi integrált tervek – Az illegális telepek felszámolása a mezőgazdasági munkaerő-kizsákmányolás elleni küzdelem érdekében</w:t>
            </w:r>
          </w:p>
        </w:tc>
        <w:tc>
          <w:tcPr>
            <w:tcW w:w="1423" w:type="dxa"/>
            <w:tcBorders>
              <w:top w:val="single" w:sz="4" w:space="0" w:color="auto"/>
              <w:left w:val="nil"/>
              <w:bottom w:val="single" w:sz="4" w:space="0" w:color="auto"/>
              <w:right w:val="single" w:sz="4" w:space="0" w:color="auto"/>
            </w:tcBorders>
            <w:shd w:val="clear" w:color="auto" w:fill="C6EFCE"/>
            <w:noWrap/>
            <w:vAlign w:val="center"/>
          </w:tcPr>
          <w:p w14:paraId="5EE38258" w14:textId="77777777" w:rsidR="003F5418" w:rsidRDefault="002A6C25">
            <w:pPr>
              <w:pStyle w:val="P68B1DB1-Normal9"/>
              <w:jc w:val="center"/>
              <w:rPr>
                <w:noProof/>
              </w:rPr>
            </w:pPr>
            <w:r>
              <w:rPr>
                <w:noProof/>
              </w:rPr>
              <w:t>Cél</w:t>
            </w:r>
          </w:p>
        </w:tc>
        <w:tc>
          <w:tcPr>
            <w:tcW w:w="4074" w:type="dxa"/>
            <w:tcBorders>
              <w:top w:val="single" w:sz="4" w:space="0" w:color="auto"/>
              <w:left w:val="nil"/>
              <w:bottom w:val="single" w:sz="4" w:space="0" w:color="auto"/>
              <w:right w:val="single" w:sz="4" w:space="0" w:color="auto"/>
            </w:tcBorders>
            <w:shd w:val="clear" w:color="auto" w:fill="C6EFCE"/>
            <w:noWrap/>
            <w:vAlign w:val="center"/>
          </w:tcPr>
          <w:p w14:paraId="590C49CD" w14:textId="77777777" w:rsidR="003F5418" w:rsidRDefault="002A6C25">
            <w:pPr>
              <w:pStyle w:val="P68B1DB1-Normal9"/>
              <w:jc w:val="center"/>
              <w:rPr>
                <w:noProof/>
              </w:rPr>
            </w:pPr>
            <w:r>
              <w:rPr>
                <w:noProof/>
              </w:rPr>
              <w:t>A projekttevékenységek a helyi tervekben illegális telepként azonosított területeken fejeződnek be</w:t>
            </w:r>
          </w:p>
        </w:tc>
      </w:tr>
      <w:tr w:rsidR="003F5418" w14:paraId="7A24E3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F7B4A7" w14:textId="77777777" w:rsidR="003F5418" w:rsidRDefault="002A6C25">
            <w:pPr>
              <w:pStyle w:val="P68B1DB1-Normal9"/>
              <w:jc w:val="center"/>
              <w:rPr>
                <w:noProof/>
              </w:rPr>
            </w:pPr>
            <w:r>
              <w:rPr>
                <w:noProof/>
              </w:rPr>
              <w:t>M7–47. INTÉZKEDÉS</w:t>
            </w:r>
          </w:p>
        </w:tc>
        <w:tc>
          <w:tcPr>
            <w:tcW w:w="3105" w:type="dxa"/>
            <w:tcBorders>
              <w:top w:val="nil"/>
              <w:left w:val="nil"/>
              <w:bottom w:val="single" w:sz="4" w:space="0" w:color="auto"/>
              <w:right w:val="single" w:sz="4" w:space="0" w:color="auto"/>
            </w:tcBorders>
            <w:shd w:val="clear" w:color="auto" w:fill="C6EFCE"/>
            <w:noWrap/>
            <w:vAlign w:val="center"/>
          </w:tcPr>
          <w:p w14:paraId="47DA56DD" w14:textId="77777777" w:rsidR="003F5418" w:rsidRDefault="002A6C25">
            <w:pPr>
              <w:pStyle w:val="P68B1DB1-Normal9"/>
              <w:rPr>
                <w:noProof/>
              </w:rPr>
            </w:pPr>
            <w:r>
              <w:rPr>
                <w:noProof/>
              </w:rPr>
              <w:t>Beruházás: Az állami és szociális lakások energetikai felújítására szolgáló pénzügyi eszköz</w:t>
            </w:r>
          </w:p>
        </w:tc>
        <w:tc>
          <w:tcPr>
            <w:tcW w:w="1423" w:type="dxa"/>
            <w:tcBorders>
              <w:top w:val="nil"/>
              <w:left w:val="nil"/>
              <w:bottom w:val="single" w:sz="4" w:space="0" w:color="auto"/>
              <w:right w:val="single" w:sz="4" w:space="0" w:color="auto"/>
            </w:tcBorders>
            <w:shd w:val="clear" w:color="auto" w:fill="C6EFCE"/>
            <w:noWrap/>
            <w:vAlign w:val="center"/>
          </w:tcPr>
          <w:p w14:paraId="1E434137" w14:textId="77777777" w:rsidR="003F5418" w:rsidRDefault="002A6C25">
            <w:pPr>
              <w:pStyle w:val="P68B1DB1-Normal9"/>
              <w:jc w:val="center"/>
              <w:rPr>
                <w:noProof/>
              </w:rPr>
            </w:pPr>
            <w:r>
              <w:rPr>
                <w:noProof/>
              </w:rPr>
              <w:t>Mérföldkő</w:t>
            </w:r>
          </w:p>
        </w:tc>
        <w:tc>
          <w:tcPr>
            <w:tcW w:w="4074" w:type="dxa"/>
            <w:tcBorders>
              <w:top w:val="nil"/>
              <w:left w:val="nil"/>
              <w:bottom w:val="single" w:sz="4" w:space="0" w:color="auto"/>
              <w:right w:val="single" w:sz="4" w:space="0" w:color="auto"/>
            </w:tcBorders>
            <w:shd w:val="clear" w:color="auto" w:fill="C6EFCE"/>
            <w:noWrap/>
            <w:vAlign w:val="center"/>
          </w:tcPr>
          <w:p w14:paraId="1529A829" w14:textId="77777777" w:rsidR="003F5418" w:rsidRDefault="002A6C25">
            <w:pPr>
              <w:pStyle w:val="P68B1DB1-Normal9"/>
              <w:jc w:val="center"/>
              <w:rPr>
                <w:noProof/>
              </w:rPr>
            </w:pPr>
            <w:r>
              <w:rPr>
                <w:noProof/>
              </w:rPr>
              <w:t>Végrehajtási megállapodás</w:t>
            </w:r>
          </w:p>
        </w:tc>
      </w:tr>
      <w:tr w:rsidR="003F5418" w14:paraId="167DE08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44A83B" w14:textId="77777777" w:rsidR="003F5418" w:rsidRDefault="002A6C25">
            <w:pPr>
              <w:pStyle w:val="P68B1DB1-Normal9"/>
              <w:jc w:val="center"/>
              <w:rPr>
                <w:noProof/>
              </w:rPr>
            </w:pPr>
            <w:r>
              <w:rPr>
                <w:noProof/>
              </w:rPr>
              <w:t xml:space="preserve">M7–48. </w:t>
            </w:r>
            <w:r>
              <w:rPr>
                <w:noProof/>
              </w:rPr>
              <w:t>INTÉZKEDÉS</w:t>
            </w:r>
          </w:p>
        </w:tc>
        <w:tc>
          <w:tcPr>
            <w:tcW w:w="3105" w:type="dxa"/>
            <w:tcBorders>
              <w:top w:val="nil"/>
              <w:left w:val="nil"/>
              <w:bottom w:val="single" w:sz="4" w:space="0" w:color="auto"/>
              <w:right w:val="single" w:sz="4" w:space="0" w:color="auto"/>
            </w:tcBorders>
            <w:shd w:val="clear" w:color="auto" w:fill="C6EFCE"/>
            <w:noWrap/>
            <w:vAlign w:val="center"/>
          </w:tcPr>
          <w:p w14:paraId="08F6E170" w14:textId="77777777" w:rsidR="003F5418" w:rsidRDefault="002A6C25">
            <w:pPr>
              <w:pStyle w:val="P68B1DB1-Normal9"/>
              <w:rPr>
                <w:noProof/>
              </w:rPr>
            </w:pPr>
            <w:r>
              <w:rPr>
                <w:noProof/>
              </w:rPr>
              <w:t>Beruházás: Az állami és szociális lakások energetikai felújítására szolgáló pénzügyi eszköz</w:t>
            </w:r>
          </w:p>
        </w:tc>
        <w:tc>
          <w:tcPr>
            <w:tcW w:w="1423" w:type="dxa"/>
            <w:tcBorders>
              <w:top w:val="nil"/>
              <w:left w:val="nil"/>
              <w:bottom w:val="single" w:sz="4" w:space="0" w:color="auto"/>
              <w:right w:val="single" w:sz="4" w:space="0" w:color="auto"/>
            </w:tcBorders>
            <w:shd w:val="clear" w:color="auto" w:fill="C6EFCE"/>
            <w:noWrap/>
            <w:vAlign w:val="center"/>
          </w:tcPr>
          <w:p w14:paraId="02333EDD" w14:textId="77777777" w:rsidR="003F5418" w:rsidRDefault="002A6C25">
            <w:pPr>
              <w:pStyle w:val="P68B1DB1-Normal9"/>
              <w:jc w:val="center"/>
              <w:rPr>
                <w:noProof/>
              </w:rPr>
            </w:pPr>
            <w:r>
              <w:rPr>
                <w:noProof/>
              </w:rPr>
              <w:t>Mérföldkő</w:t>
            </w:r>
          </w:p>
        </w:tc>
        <w:tc>
          <w:tcPr>
            <w:tcW w:w="4074" w:type="dxa"/>
            <w:tcBorders>
              <w:top w:val="nil"/>
              <w:left w:val="nil"/>
              <w:bottom w:val="single" w:sz="4" w:space="0" w:color="auto"/>
              <w:right w:val="single" w:sz="4" w:space="0" w:color="auto"/>
            </w:tcBorders>
            <w:shd w:val="clear" w:color="auto" w:fill="C6EFCE"/>
            <w:noWrap/>
            <w:vAlign w:val="center"/>
          </w:tcPr>
          <w:p w14:paraId="02FF481B" w14:textId="77777777" w:rsidR="003F5418" w:rsidRDefault="002A6C25">
            <w:pPr>
              <w:pStyle w:val="P68B1DB1-Normal9"/>
              <w:jc w:val="center"/>
              <w:rPr>
                <w:noProof/>
              </w:rPr>
            </w:pPr>
            <w:r>
              <w:rPr>
                <w:noProof/>
              </w:rPr>
              <w:t>A minisztérium befejezte a beruházást</w:t>
            </w:r>
          </w:p>
        </w:tc>
      </w:tr>
      <w:tr w:rsidR="003F5418" w14:paraId="6BD0F74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61C0FD3" w14:textId="77777777" w:rsidR="003F5418" w:rsidRDefault="002A6C25">
            <w:pPr>
              <w:pStyle w:val="P68B1DB1-Normal9"/>
              <w:jc w:val="center"/>
              <w:rPr>
                <w:noProof/>
              </w:rPr>
            </w:pPr>
            <w:r>
              <w:rPr>
                <w:noProof/>
              </w:rPr>
              <w:t>M1C1–144</w:t>
            </w:r>
          </w:p>
        </w:tc>
        <w:tc>
          <w:tcPr>
            <w:tcW w:w="3105" w:type="dxa"/>
            <w:tcBorders>
              <w:top w:val="nil"/>
              <w:left w:val="nil"/>
              <w:bottom w:val="single" w:sz="4" w:space="0" w:color="auto"/>
              <w:right w:val="single" w:sz="4" w:space="0" w:color="auto"/>
            </w:tcBorders>
            <w:shd w:val="clear" w:color="auto" w:fill="C6EFCE"/>
            <w:noWrap/>
            <w:vAlign w:val="center"/>
          </w:tcPr>
          <w:p w14:paraId="2D981A57" w14:textId="77777777" w:rsidR="003F5418" w:rsidRDefault="002A6C25">
            <w:pPr>
              <w:pStyle w:val="P68B1DB1-Normal9"/>
              <w:rPr>
                <w:noProof/>
              </w:rPr>
            </w:pPr>
            <w:r>
              <w:rPr>
                <w:noProof/>
              </w:rPr>
              <w:t>Beruházás – Polgári befogadás – A digitális közszolgáltatások hozzáférhetőségének javítása</w:t>
            </w:r>
          </w:p>
        </w:tc>
        <w:tc>
          <w:tcPr>
            <w:tcW w:w="1423" w:type="dxa"/>
            <w:tcBorders>
              <w:top w:val="nil"/>
              <w:left w:val="nil"/>
              <w:bottom w:val="single" w:sz="4" w:space="0" w:color="auto"/>
              <w:right w:val="single" w:sz="4" w:space="0" w:color="auto"/>
            </w:tcBorders>
            <w:shd w:val="clear" w:color="auto" w:fill="C6EFCE"/>
            <w:noWrap/>
            <w:vAlign w:val="center"/>
          </w:tcPr>
          <w:p w14:paraId="3F3759A4"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4976C0D8" w14:textId="77777777" w:rsidR="003F5418" w:rsidRDefault="002A6C25">
            <w:pPr>
              <w:pStyle w:val="P68B1DB1-Normal9"/>
              <w:jc w:val="center"/>
              <w:rPr>
                <w:noProof/>
              </w:rPr>
            </w:pPr>
            <w:r>
              <w:rPr>
                <w:noProof/>
              </w:rPr>
              <w:t>A digitális közszolgáltatások hozzáférhetőségének javítása</w:t>
            </w:r>
          </w:p>
        </w:tc>
      </w:tr>
      <w:tr w:rsidR="003F5418" w14:paraId="034631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AAA822E" w14:textId="77777777" w:rsidR="003F5418" w:rsidRDefault="002A6C25">
            <w:pPr>
              <w:pStyle w:val="P68B1DB1-Normal9"/>
              <w:jc w:val="center"/>
              <w:rPr>
                <w:noProof/>
              </w:rPr>
            </w:pPr>
            <w:r>
              <w:rPr>
                <w:noProof/>
              </w:rPr>
              <w:t>M1C3–16</w:t>
            </w:r>
          </w:p>
        </w:tc>
        <w:tc>
          <w:tcPr>
            <w:tcW w:w="3105" w:type="dxa"/>
            <w:tcBorders>
              <w:top w:val="nil"/>
              <w:left w:val="nil"/>
              <w:bottom w:val="single" w:sz="4" w:space="0" w:color="auto"/>
              <w:right w:val="single" w:sz="4" w:space="0" w:color="auto"/>
            </w:tcBorders>
            <w:shd w:val="clear" w:color="auto" w:fill="C6EFCE"/>
            <w:noWrap/>
            <w:vAlign w:val="center"/>
          </w:tcPr>
          <w:p w14:paraId="0A510B6F" w14:textId="77777777" w:rsidR="003F5418" w:rsidRDefault="002A6C25">
            <w:pPr>
              <w:pStyle w:val="P68B1DB1-Normal9"/>
              <w:rPr>
                <w:noProof/>
              </w:rPr>
            </w:pPr>
            <w:r>
              <w:rPr>
                <w:noProof/>
              </w:rPr>
              <w:t>Beruházás – 2.1. Kis történelmi városok vonzereje</w:t>
            </w:r>
          </w:p>
        </w:tc>
        <w:tc>
          <w:tcPr>
            <w:tcW w:w="1423" w:type="dxa"/>
            <w:tcBorders>
              <w:top w:val="nil"/>
              <w:left w:val="nil"/>
              <w:bottom w:val="single" w:sz="4" w:space="0" w:color="auto"/>
              <w:right w:val="single" w:sz="4" w:space="0" w:color="auto"/>
            </w:tcBorders>
            <w:shd w:val="clear" w:color="auto" w:fill="C6EFCE"/>
            <w:noWrap/>
            <w:vAlign w:val="center"/>
          </w:tcPr>
          <w:p w14:paraId="62306A4D"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766B0906" w14:textId="77777777" w:rsidR="003F5418" w:rsidRDefault="002A6C25">
            <w:pPr>
              <w:pStyle w:val="P68B1DB1-Normal9"/>
              <w:jc w:val="center"/>
              <w:rPr>
                <w:noProof/>
              </w:rPr>
            </w:pPr>
            <w:r>
              <w:rPr>
                <w:noProof/>
              </w:rPr>
              <w:t>A kulturális vagy turisztikai helyszínek fejlesztése érdekében végrehajtott beavatkozások</w:t>
            </w:r>
          </w:p>
        </w:tc>
      </w:tr>
      <w:tr w:rsidR="003F5418" w14:paraId="72963E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6E3F5CD" w14:textId="77777777" w:rsidR="003F5418" w:rsidRDefault="002A6C25">
            <w:pPr>
              <w:pStyle w:val="P68B1DB1-Normal9"/>
              <w:jc w:val="center"/>
              <w:rPr>
                <w:noProof/>
              </w:rPr>
            </w:pPr>
            <w:r>
              <w:rPr>
                <w:noProof/>
              </w:rPr>
              <w:t>M2C1–23</w:t>
            </w:r>
          </w:p>
        </w:tc>
        <w:tc>
          <w:tcPr>
            <w:tcW w:w="3105" w:type="dxa"/>
            <w:tcBorders>
              <w:top w:val="nil"/>
              <w:left w:val="nil"/>
              <w:bottom w:val="single" w:sz="4" w:space="0" w:color="auto"/>
              <w:right w:val="single" w:sz="4" w:space="0" w:color="auto"/>
            </w:tcBorders>
            <w:shd w:val="clear" w:color="auto" w:fill="C6EFCE"/>
            <w:noWrap/>
            <w:vAlign w:val="center"/>
          </w:tcPr>
          <w:p w14:paraId="625977F7" w14:textId="77777777" w:rsidR="003F5418" w:rsidRDefault="002A6C25">
            <w:pPr>
              <w:pStyle w:val="P68B1DB1-Normal9"/>
              <w:rPr>
                <w:noProof/>
              </w:rPr>
            </w:pPr>
            <w:r>
              <w:rPr>
                <w:noProof/>
              </w:rPr>
              <w:t xml:space="preserve">Beruházás: Fondo Contratti di </w:t>
            </w:r>
            <w:r>
              <w:rPr>
                <w:noProof/>
              </w:rPr>
              <w:t>Filiera (FCF) az agrár-élelmiszeripari, halászati és akvakultúra-ágazat, az erdészet, a virágkertészet és a növényiskolák ellátási láncaira vonatkozó szerződések támogatása céljából</w:t>
            </w:r>
          </w:p>
        </w:tc>
        <w:tc>
          <w:tcPr>
            <w:tcW w:w="1423" w:type="dxa"/>
            <w:tcBorders>
              <w:top w:val="nil"/>
              <w:left w:val="nil"/>
              <w:bottom w:val="single" w:sz="4" w:space="0" w:color="auto"/>
              <w:right w:val="single" w:sz="4" w:space="0" w:color="auto"/>
            </w:tcBorders>
            <w:shd w:val="clear" w:color="auto" w:fill="C6EFCE"/>
            <w:noWrap/>
            <w:vAlign w:val="center"/>
          </w:tcPr>
          <w:p w14:paraId="1D5C1BF2"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71A8C4E3" w14:textId="77777777" w:rsidR="003F5418" w:rsidRDefault="002A6C25">
            <w:pPr>
              <w:pStyle w:val="P68B1DB1-Normal9"/>
              <w:jc w:val="center"/>
              <w:rPr>
                <w:noProof/>
              </w:rPr>
            </w:pPr>
            <w:r>
              <w:rPr>
                <w:noProof/>
              </w:rPr>
              <w:t>A végső kedvezményezettekkel aláírt jogi megállapodások</w:t>
            </w:r>
          </w:p>
        </w:tc>
      </w:tr>
      <w:tr w:rsidR="003F5418" w14:paraId="1B62A3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EBDFBB" w14:textId="77777777" w:rsidR="003F5418" w:rsidRDefault="002A6C25">
            <w:pPr>
              <w:pStyle w:val="P68B1DB1-Normal9"/>
              <w:jc w:val="center"/>
              <w:rPr>
                <w:noProof/>
              </w:rPr>
            </w:pPr>
            <w:r>
              <w:rPr>
                <w:noProof/>
              </w:rPr>
              <w:t>M2C2–4</w:t>
            </w:r>
          </w:p>
        </w:tc>
        <w:tc>
          <w:tcPr>
            <w:tcW w:w="3105" w:type="dxa"/>
            <w:tcBorders>
              <w:top w:val="nil"/>
              <w:left w:val="nil"/>
              <w:bottom w:val="single" w:sz="4" w:space="0" w:color="auto"/>
              <w:right w:val="single" w:sz="4" w:space="0" w:color="auto"/>
            </w:tcBorders>
            <w:shd w:val="clear" w:color="auto" w:fill="C6EFCE"/>
            <w:noWrap/>
            <w:vAlign w:val="center"/>
          </w:tcPr>
          <w:p w14:paraId="5BF2B750" w14:textId="77777777" w:rsidR="003F5418" w:rsidRDefault="002A6C25">
            <w:pPr>
              <w:pStyle w:val="P68B1DB1-Normal9"/>
              <w:rPr>
                <w:noProof/>
              </w:rPr>
            </w:pPr>
            <w:r>
              <w:rPr>
                <w:noProof/>
              </w:rPr>
              <w:t>Beruhá</w:t>
            </w:r>
            <w:r>
              <w:rPr>
                <w:noProof/>
              </w:rPr>
              <w:t>zás: biometán fejlesztése a körforgásos gazdaság előmozdításának kritériumai szerint</w:t>
            </w:r>
          </w:p>
        </w:tc>
        <w:tc>
          <w:tcPr>
            <w:tcW w:w="1423" w:type="dxa"/>
            <w:tcBorders>
              <w:top w:val="nil"/>
              <w:left w:val="nil"/>
              <w:bottom w:val="single" w:sz="4" w:space="0" w:color="auto"/>
              <w:right w:val="single" w:sz="4" w:space="0" w:color="auto"/>
            </w:tcBorders>
            <w:shd w:val="clear" w:color="auto" w:fill="C6EFCE"/>
            <w:noWrap/>
            <w:vAlign w:val="center"/>
          </w:tcPr>
          <w:p w14:paraId="096F629D"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1126DFC1" w14:textId="77777777" w:rsidR="003F5418" w:rsidRDefault="002A6C25">
            <w:pPr>
              <w:pStyle w:val="P68B1DB1-Normal9"/>
              <w:jc w:val="center"/>
              <w:rPr>
                <w:noProof/>
              </w:rPr>
            </w:pPr>
            <w:r>
              <w:rPr>
                <w:noProof/>
              </w:rPr>
              <w:t>További biometán-termelési kapacitás</w:t>
            </w:r>
          </w:p>
        </w:tc>
      </w:tr>
      <w:tr w:rsidR="003F5418" w14:paraId="4F7FD0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2352A54" w14:textId="77777777" w:rsidR="003F5418" w:rsidRDefault="002A6C25">
            <w:pPr>
              <w:pStyle w:val="P68B1DB1-Normal9"/>
              <w:jc w:val="center"/>
              <w:rPr>
                <w:noProof/>
              </w:rPr>
            </w:pPr>
            <w:r>
              <w:rPr>
                <w:noProof/>
              </w:rPr>
              <w:t>M2C4–9</w:t>
            </w:r>
          </w:p>
        </w:tc>
        <w:tc>
          <w:tcPr>
            <w:tcW w:w="3105" w:type="dxa"/>
            <w:tcBorders>
              <w:top w:val="nil"/>
              <w:left w:val="nil"/>
              <w:bottom w:val="single" w:sz="4" w:space="0" w:color="auto"/>
              <w:right w:val="single" w:sz="4" w:space="0" w:color="auto"/>
            </w:tcBorders>
            <w:shd w:val="clear" w:color="auto" w:fill="C6EFCE"/>
            <w:noWrap/>
            <w:vAlign w:val="center"/>
          </w:tcPr>
          <w:p w14:paraId="3CA5B893" w14:textId="77777777" w:rsidR="003F5418" w:rsidRDefault="002A6C25">
            <w:pPr>
              <w:pStyle w:val="P68B1DB1-Normal9"/>
              <w:rPr>
                <w:noProof/>
              </w:rPr>
            </w:pPr>
            <w:r>
              <w:rPr>
                <w:noProof/>
              </w:rPr>
              <w:t>Beruházás Fejlett és integrált monitoring- és előrejelzési rendszer bevezetése</w:t>
            </w:r>
          </w:p>
        </w:tc>
        <w:tc>
          <w:tcPr>
            <w:tcW w:w="1423" w:type="dxa"/>
            <w:tcBorders>
              <w:top w:val="nil"/>
              <w:left w:val="nil"/>
              <w:bottom w:val="single" w:sz="4" w:space="0" w:color="auto"/>
              <w:right w:val="single" w:sz="4" w:space="0" w:color="auto"/>
            </w:tcBorders>
            <w:shd w:val="clear" w:color="auto" w:fill="C6EFCE"/>
            <w:noWrap/>
            <w:vAlign w:val="center"/>
          </w:tcPr>
          <w:p w14:paraId="3CA6B3FF"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62541A3F" w14:textId="77777777" w:rsidR="003F5418" w:rsidRDefault="002A6C25">
            <w:pPr>
              <w:pStyle w:val="P68B1DB1-Normal9"/>
              <w:jc w:val="center"/>
              <w:rPr>
                <w:noProof/>
              </w:rPr>
            </w:pPr>
            <w:r>
              <w:rPr>
                <w:noProof/>
              </w:rPr>
              <w:t xml:space="preserve">Fejlett és integrált nyomonkövetési és </w:t>
            </w:r>
            <w:r>
              <w:rPr>
                <w:noProof/>
              </w:rPr>
              <w:t xml:space="preserve">előrejelzési rendszer telepítése a hidrológiai kockázatok azonosítására </w:t>
            </w:r>
          </w:p>
        </w:tc>
      </w:tr>
      <w:tr w:rsidR="003F5418" w14:paraId="3BC782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635B9D" w14:textId="77777777" w:rsidR="003F5418" w:rsidRDefault="002A6C25">
            <w:pPr>
              <w:pStyle w:val="P68B1DB1-Normal9"/>
              <w:jc w:val="center"/>
              <w:rPr>
                <w:noProof/>
              </w:rPr>
            </w:pPr>
            <w:r>
              <w:rPr>
                <w:noProof/>
              </w:rPr>
              <w:t>M2C4–11a</w:t>
            </w:r>
          </w:p>
        </w:tc>
        <w:tc>
          <w:tcPr>
            <w:tcW w:w="3105" w:type="dxa"/>
            <w:tcBorders>
              <w:top w:val="nil"/>
              <w:left w:val="nil"/>
              <w:bottom w:val="single" w:sz="4" w:space="0" w:color="auto"/>
              <w:right w:val="single" w:sz="4" w:space="0" w:color="auto"/>
            </w:tcBorders>
            <w:shd w:val="clear" w:color="auto" w:fill="C6EFCE"/>
            <w:noWrap/>
            <w:vAlign w:val="center"/>
          </w:tcPr>
          <w:p w14:paraId="7FBE987B" w14:textId="77777777" w:rsidR="003F5418" w:rsidRDefault="002A6C25">
            <w:pPr>
              <w:pStyle w:val="P68B1DB1-Normal9"/>
              <w:rPr>
                <w:noProof/>
              </w:rPr>
            </w:pPr>
            <w:r>
              <w:rPr>
                <w:noProof/>
              </w:rPr>
              <w:t>Beruházás: Az árvíz- és hidrogeológiai kockázatok csökkentésére irányuló intézkedések – Beavatkozás Emilia Romagnában, Toscanában és Marche-ban</w:t>
            </w:r>
          </w:p>
        </w:tc>
        <w:tc>
          <w:tcPr>
            <w:tcW w:w="1423" w:type="dxa"/>
            <w:tcBorders>
              <w:top w:val="nil"/>
              <w:left w:val="nil"/>
              <w:bottom w:val="single" w:sz="4" w:space="0" w:color="auto"/>
              <w:right w:val="single" w:sz="4" w:space="0" w:color="auto"/>
            </w:tcBorders>
            <w:shd w:val="clear" w:color="auto" w:fill="C6EFCE"/>
            <w:noWrap/>
            <w:vAlign w:val="center"/>
          </w:tcPr>
          <w:p w14:paraId="4DECB007" w14:textId="77777777" w:rsidR="003F5418" w:rsidRDefault="002A6C25">
            <w:pPr>
              <w:pStyle w:val="P68B1DB1-Normal9"/>
              <w:jc w:val="center"/>
              <w:rPr>
                <w:noProof/>
              </w:rPr>
            </w:pPr>
            <w:r>
              <w:rPr>
                <w:noProof/>
              </w:rPr>
              <w:t>Mérföldkő</w:t>
            </w:r>
          </w:p>
        </w:tc>
        <w:tc>
          <w:tcPr>
            <w:tcW w:w="4074" w:type="dxa"/>
            <w:tcBorders>
              <w:top w:val="nil"/>
              <w:left w:val="nil"/>
              <w:bottom w:val="single" w:sz="4" w:space="0" w:color="auto"/>
              <w:right w:val="single" w:sz="4" w:space="0" w:color="auto"/>
            </w:tcBorders>
            <w:shd w:val="clear" w:color="auto" w:fill="C6EFCE"/>
            <w:noWrap/>
            <w:vAlign w:val="center"/>
          </w:tcPr>
          <w:p w14:paraId="0C29D470" w14:textId="77777777" w:rsidR="003F5418" w:rsidRDefault="002A6C25">
            <w:pPr>
              <w:pStyle w:val="P68B1DB1-Normal9"/>
              <w:jc w:val="center"/>
              <w:rPr>
                <w:noProof/>
              </w:rPr>
            </w:pPr>
            <w:r>
              <w:rPr>
                <w:noProof/>
              </w:rPr>
              <w:t xml:space="preserve">Az Emilia-Romagna, </w:t>
            </w:r>
            <w:r>
              <w:rPr>
                <w:noProof/>
              </w:rPr>
              <w:t>Toscana és Marche területén végrehajtott beavatkozásokra vonatkozó valamennyi közbeszerzési szerződés odaítélése</w:t>
            </w:r>
          </w:p>
        </w:tc>
      </w:tr>
      <w:tr w:rsidR="003F5418" w14:paraId="2F73E79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FEB78A9" w14:textId="77777777" w:rsidR="003F5418" w:rsidRDefault="002A6C25">
            <w:pPr>
              <w:pStyle w:val="P68B1DB1-Normal9"/>
              <w:jc w:val="center"/>
              <w:rPr>
                <w:noProof/>
              </w:rPr>
            </w:pPr>
            <w:r>
              <w:rPr>
                <w:noProof/>
              </w:rPr>
              <w:t>M2C4–26</w:t>
            </w:r>
          </w:p>
        </w:tc>
        <w:tc>
          <w:tcPr>
            <w:tcW w:w="3105" w:type="dxa"/>
            <w:tcBorders>
              <w:top w:val="nil"/>
              <w:left w:val="nil"/>
              <w:bottom w:val="single" w:sz="4" w:space="0" w:color="auto"/>
              <w:right w:val="single" w:sz="4" w:space="0" w:color="auto"/>
            </w:tcBorders>
            <w:shd w:val="clear" w:color="auto" w:fill="C6EFCE"/>
            <w:noWrap/>
            <w:vAlign w:val="center"/>
          </w:tcPr>
          <w:p w14:paraId="3780D63E" w14:textId="77777777" w:rsidR="003F5418" w:rsidRDefault="002A6C25">
            <w:pPr>
              <w:pStyle w:val="P68B1DB1-Normal9"/>
              <w:rPr>
                <w:noProof/>
              </w:rPr>
            </w:pPr>
            <w:r>
              <w:rPr>
                <w:noProof/>
              </w:rPr>
              <w:t>Beruházás. A tengerfenék és a tengeri élőhelyek helyreállítása és védelme</w:t>
            </w:r>
          </w:p>
        </w:tc>
        <w:tc>
          <w:tcPr>
            <w:tcW w:w="1423" w:type="dxa"/>
            <w:tcBorders>
              <w:top w:val="nil"/>
              <w:left w:val="nil"/>
              <w:bottom w:val="single" w:sz="4" w:space="0" w:color="auto"/>
              <w:right w:val="single" w:sz="4" w:space="0" w:color="auto"/>
            </w:tcBorders>
            <w:shd w:val="clear" w:color="auto" w:fill="C6EFCE"/>
            <w:noWrap/>
            <w:vAlign w:val="center"/>
          </w:tcPr>
          <w:p w14:paraId="64A7E342"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17C659E8" w14:textId="77777777" w:rsidR="003F5418" w:rsidRDefault="002A6C25">
            <w:pPr>
              <w:pStyle w:val="P68B1DB1-Normal9"/>
              <w:jc w:val="center"/>
              <w:rPr>
                <w:noProof/>
              </w:rPr>
            </w:pPr>
            <w:r>
              <w:rPr>
                <w:noProof/>
              </w:rPr>
              <w:t xml:space="preserve">A tengerfenék és a tengeri élőhelyek helyreállítása és védelme </w:t>
            </w:r>
          </w:p>
        </w:tc>
      </w:tr>
      <w:tr w:rsidR="003F5418" w14:paraId="02CC8D1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8811DA" w14:textId="77777777" w:rsidR="003F5418" w:rsidRDefault="002A6C25">
            <w:pPr>
              <w:pStyle w:val="P68B1DB1-Normal9"/>
              <w:jc w:val="center"/>
              <w:rPr>
                <w:noProof/>
              </w:rPr>
            </w:pPr>
            <w:r>
              <w:rPr>
                <w:noProof/>
              </w:rPr>
              <w:t>M3C1–13</w:t>
            </w:r>
          </w:p>
        </w:tc>
        <w:tc>
          <w:tcPr>
            <w:tcW w:w="3105" w:type="dxa"/>
            <w:tcBorders>
              <w:top w:val="nil"/>
              <w:left w:val="nil"/>
              <w:bottom w:val="single" w:sz="4" w:space="0" w:color="auto"/>
              <w:right w:val="single" w:sz="4" w:space="0" w:color="auto"/>
            </w:tcBorders>
            <w:shd w:val="clear" w:color="auto" w:fill="C6EFCE"/>
            <w:noWrap/>
            <w:vAlign w:val="center"/>
          </w:tcPr>
          <w:p w14:paraId="5B21A00D" w14:textId="77777777" w:rsidR="003F5418" w:rsidRDefault="002A6C25">
            <w:pPr>
              <w:pStyle w:val="P68B1DB1-Normal9"/>
              <w:rPr>
                <w:noProof/>
              </w:rPr>
            </w:pPr>
            <w:r>
              <w:rPr>
                <w:noProof/>
              </w:rPr>
              <w:t>Beruházás – Az európai vasúti közlekedésirányítási rendszer (ERTMS) bevezetése</w:t>
            </w:r>
          </w:p>
        </w:tc>
        <w:tc>
          <w:tcPr>
            <w:tcW w:w="1423" w:type="dxa"/>
            <w:tcBorders>
              <w:top w:val="nil"/>
              <w:left w:val="nil"/>
              <w:bottom w:val="single" w:sz="4" w:space="0" w:color="auto"/>
              <w:right w:val="single" w:sz="4" w:space="0" w:color="auto"/>
            </w:tcBorders>
            <w:shd w:val="clear" w:color="auto" w:fill="C6EFCE"/>
            <w:noWrap/>
            <w:vAlign w:val="center"/>
          </w:tcPr>
          <w:p w14:paraId="3405F3FB"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636DB52E" w14:textId="77777777" w:rsidR="003F5418" w:rsidRDefault="002A6C25">
            <w:pPr>
              <w:pStyle w:val="P68B1DB1-Normal9"/>
              <w:jc w:val="center"/>
              <w:rPr>
                <w:noProof/>
              </w:rPr>
            </w:pPr>
            <w:r>
              <w:rPr>
                <w:noProof/>
              </w:rPr>
              <w:t>1 400 km vasútvonal fel van szerelve az európai vasúti közlekedésirányítási rendszerrel</w:t>
            </w:r>
          </w:p>
        </w:tc>
      </w:tr>
      <w:tr w:rsidR="003F5418" w14:paraId="7E344AE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C4E5E7C" w14:textId="77777777" w:rsidR="003F5418" w:rsidRDefault="002A6C25">
            <w:pPr>
              <w:pStyle w:val="P68B1DB1-Normal9"/>
              <w:jc w:val="center"/>
              <w:rPr>
                <w:noProof/>
              </w:rPr>
            </w:pPr>
            <w:r>
              <w:rPr>
                <w:noProof/>
              </w:rPr>
              <w:t>M4C2–6</w:t>
            </w:r>
          </w:p>
        </w:tc>
        <w:tc>
          <w:tcPr>
            <w:tcW w:w="3105" w:type="dxa"/>
            <w:tcBorders>
              <w:top w:val="nil"/>
              <w:left w:val="nil"/>
              <w:bottom w:val="single" w:sz="4" w:space="0" w:color="auto"/>
              <w:right w:val="single" w:sz="4" w:space="0" w:color="auto"/>
            </w:tcBorders>
            <w:shd w:val="clear" w:color="auto" w:fill="C6EFCE"/>
            <w:noWrap/>
            <w:vAlign w:val="center"/>
          </w:tcPr>
          <w:p w14:paraId="658BA9CB" w14:textId="77777777" w:rsidR="003F5418" w:rsidRDefault="002A6C25">
            <w:pPr>
              <w:pStyle w:val="P68B1DB1-Normal9"/>
              <w:rPr>
                <w:noProof/>
              </w:rPr>
            </w:pPr>
            <w:r>
              <w:rPr>
                <w:noProof/>
              </w:rPr>
              <w:t>Beru</w:t>
            </w:r>
            <w:r>
              <w:rPr>
                <w:noProof/>
              </w:rPr>
              <w:t>házás: Jelentős nemzeti érdekű kutatási projektek (PRIN)</w:t>
            </w:r>
          </w:p>
        </w:tc>
        <w:tc>
          <w:tcPr>
            <w:tcW w:w="1423" w:type="dxa"/>
            <w:tcBorders>
              <w:top w:val="nil"/>
              <w:left w:val="nil"/>
              <w:bottom w:val="single" w:sz="4" w:space="0" w:color="auto"/>
              <w:right w:val="single" w:sz="4" w:space="0" w:color="auto"/>
            </w:tcBorders>
            <w:shd w:val="clear" w:color="auto" w:fill="C6EFCE"/>
            <w:noWrap/>
            <w:vAlign w:val="center"/>
          </w:tcPr>
          <w:p w14:paraId="39FDAD22"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53E7C9C4" w14:textId="77777777" w:rsidR="003F5418" w:rsidRDefault="002A6C25">
            <w:pPr>
              <w:pStyle w:val="P68B1DB1-Normal9"/>
              <w:jc w:val="center"/>
              <w:rPr>
                <w:noProof/>
              </w:rPr>
            </w:pPr>
            <w:r>
              <w:rPr>
                <w:noProof/>
              </w:rPr>
              <w:t>Az odaítélt kutatási projektek száma</w:t>
            </w:r>
          </w:p>
        </w:tc>
      </w:tr>
      <w:tr w:rsidR="003F5418" w14:paraId="33110D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2B676D" w14:textId="77777777" w:rsidR="003F5418" w:rsidRDefault="002A6C25">
            <w:pPr>
              <w:pStyle w:val="P68B1DB1-Normal9"/>
              <w:jc w:val="center"/>
              <w:rPr>
                <w:noProof/>
              </w:rPr>
            </w:pPr>
            <w:r>
              <w:rPr>
                <w:noProof/>
              </w:rPr>
              <w:t>M4C2–7</w:t>
            </w:r>
          </w:p>
        </w:tc>
        <w:tc>
          <w:tcPr>
            <w:tcW w:w="3105" w:type="dxa"/>
            <w:tcBorders>
              <w:top w:val="nil"/>
              <w:left w:val="nil"/>
              <w:bottom w:val="single" w:sz="4" w:space="0" w:color="auto"/>
              <w:right w:val="single" w:sz="4" w:space="0" w:color="auto"/>
            </w:tcBorders>
            <w:shd w:val="clear" w:color="auto" w:fill="C6EFCE"/>
            <w:noWrap/>
            <w:vAlign w:val="center"/>
          </w:tcPr>
          <w:p w14:paraId="172B87DB" w14:textId="77777777" w:rsidR="003F5418" w:rsidRDefault="002A6C25">
            <w:pPr>
              <w:pStyle w:val="P68B1DB1-Normal9"/>
              <w:rPr>
                <w:noProof/>
              </w:rPr>
            </w:pPr>
            <w:r>
              <w:rPr>
                <w:noProof/>
              </w:rPr>
              <w:t>Beruházás: Jelentős nemzeti érdekű kutatási projektek (PRIN)</w:t>
            </w:r>
          </w:p>
        </w:tc>
        <w:tc>
          <w:tcPr>
            <w:tcW w:w="1423" w:type="dxa"/>
            <w:tcBorders>
              <w:top w:val="nil"/>
              <w:left w:val="nil"/>
              <w:bottom w:val="single" w:sz="4" w:space="0" w:color="auto"/>
              <w:right w:val="single" w:sz="4" w:space="0" w:color="auto"/>
            </w:tcBorders>
            <w:shd w:val="clear" w:color="auto" w:fill="C6EFCE"/>
            <w:noWrap/>
            <w:vAlign w:val="center"/>
          </w:tcPr>
          <w:p w14:paraId="7C07AC6E"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4D6EE9ED" w14:textId="77777777" w:rsidR="003F5418" w:rsidRDefault="002A6C25">
            <w:pPr>
              <w:pStyle w:val="P68B1DB1-Normal9"/>
              <w:jc w:val="center"/>
              <w:rPr>
                <w:noProof/>
              </w:rPr>
            </w:pPr>
            <w:r>
              <w:rPr>
                <w:noProof/>
              </w:rPr>
              <w:t>A határozott időre alkalmazott kutatók száma</w:t>
            </w:r>
          </w:p>
        </w:tc>
      </w:tr>
      <w:tr w:rsidR="003F5418" w14:paraId="3A1D09E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42B07F" w14:textId="77777777" w:rsidR="003F5418" w:rsidRDefault="002A6C25">
            <w:pPr>
              <w:pStyle w:val="P68B1DB1-Normal9"/>
              <w:jc w:val="center"/>
              <w:rPr>
                <w:noProof/>
              </w:rPr>
            </w:pPr>
            <w:r>
              <w:rPr>
                <w:noProof/>
              </w:rPr>
              <w:t>M4C2–8</w:t>
            </w:r>
          </w:p>
        </w:tc>
        <w:tc>
          <w:tcPr>
            <w:tcW w:w="3105" w:type="dxa"/>
            <w:tcBorders>
              <w:top w:val="nil"/>
              <w:left w:val="nil"/>
              <w:bottom w:val="single" w:sz="4" w:space="0" w:color="auto"/>
              <w:right w:val="single" w:sz="4" w:space="0" w:color="auto"/>
            </w:tcBorders>
            <w:shd w:val="clear" w:color="auto" w:fill="C6EFCE"/>
            <w:noWrap/>
            <w:vAlign w:val="center"/>
          </w:tcPr>
          <w:p w14:paraId="0979C7CA" w14:textId="77777777" w:rsidR="003F5418" w:rsidRDefault="002A6C25">
            <w:pPr>
              <w:pStyle w:val="P68B1DB1-Normal9"/>
              <w:rPr>
                <w:noProof/>
              </w:rPr>
            </w:pPr>
            <w:r>
              <w:rPr>
                <w:noProof/>
              </w:rPr>
              <w:t xml:space="preserve">Beruházás: Az egyetemekre, </w:t>
            </w:r>
            <w:r>
              <w:rPr>
                <w:noProof/>
              </w:rPr>
              <w:t>kutatóközpontokra, vállalatokra, valamint az alapkutatási projektek finanszírozására is kiterjesztett partnerségek</w:t>
            </w:r>
          </w:p>
        </w:tc>
        <w:tc>
          <w:tcPr>
            <w:tcW w:w="1423" w:type="dxa"/>
            <w:tcBorders>
              <w:top w:val="nil"/>
              <w:left w:val="nil"/>
              <w:bottom w:val="single" w:sz="4" w:space="0" w:color="auto"/>
              <w:right w:val="single" w:sz="4" w:space="0" w:color="auto"/>
            </w:tcBorders>
            <w:shd w:val="clear" w:color="auto" w:fill="C6EFCE"/>
            <w:noWrap/>
            <w:vAlign w:val="center"/>
          </w:tcPr>
          <w:p w14:paraId="1FF24715"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2C9DBB09" w14:textId="77777777" w:rsidR="003F5418" w:rsidRDefault="002A6C25">
            <w:pPr>
              <w:pStyle w:val="P68B1DB1-Normal9"/>
              <w:jc w:val="center"/>
              <w:rPr>
                <w:noProof/>
              </w:rPr>
            </w:pPr>
            <w:r>
              <w:rPr>
                <w:noProof/>
              </w:rPr>
              <w:t>A kutatóintézetek és magáncégek között létrejött, tervezett alapkutatási partnerségek keretében felvett, határozott időre alkalmazott kut</w:t>
            </w:r>
            <w:r>
              <w:rPr>
                <w:noProof/>
              </w:rPr>
              <w:t>atók száma</w:t>
            </w:r>
          </w:p>
        </w:tc>
      </w:tr>
      <w:tr w:rsidR="003F5418" w14:paraId="0162AE2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11E79F" w14:textId="77777777" w:rsidR="003F5418" w:rsidRDefault="002A6C25">
            <w:pPr>
              <w:pStyle w:val="P68B1DB1-Normal9"/>
              <w:jc w:val="center"/>
              <w:rPr>
                <w:noProof/>
              </w:rPr>
            </w:pPr>
            <w:r>
              <w:rPr>
                <w:noProof/>
              </w:rPr>
              <w:t>M4C2–22</w:t>
            </w:r>
          </w:p>
        </w:tc>
        <w:tc>
          <w:tcPr>
            <w:tcW w:w="3105" w:type="dxa"/>
            <w:tcBorders>
              <w:top w:val="nil"/>
              <w:left w:val="nil"/>
              <w:bottom w:val="single" w:sz="4" w:space="0" w:color="auto"/>
              <w:right w:val="single" w:sz="4" w:space="0" w:color="auto"/>
            </w:tcBorders>
            <w:shd w:val="clear" w:color="auto" w:fill="C6EFCE"/>
            <w:noWrap/>
            <w:vAlign w:val="center"/>
          </w:tcPr>
          <w:p w14:paraId="54EF662C" w14:textId="77777777" w:rsidR="003F5418" w:rsidRDefault="002A6C25">
            <w:pPr>
              <w:pStyle w:val="P68B1DB1-Normal9"/>
              <w:rPr>
                <w:noProof/>
              </w:rPr>
            </w:pPr>
            <w:r>
              <w:rPr>
                <w:noProof/>
              </w:rPr>
              <w:t>Beruházás: KÖZÖS EURÓPAI ÉRDEKET SZOLGÁLÓ FONTOS PROJEKTEK</w:t>
            </w:r>
          </w:p>
        </w:tc>
        <w:tc>
          <w:tcPr>
            <w:tcW w:w="1423" w:type="dxa"/>
            <w:tcBorders>
              <w:top w:val="nil"/>
              <w:left w:val="nil"/>
              <w:bottom w:val="single" w:sz="4" w:space="0" w:color="auto"/>
              <w:right w:val="single" w:sz="4" w:space="0" w:color="auto"/>
            </w:tcBorders>
            <w:shd w:val="clear" w:color="auto" w:fill="C6EFCE"/>
            <w:noWrap/>
            <w:vAlign w:val="center"/>
          </w:tcPr>
          <w:p w14:paraId="7F2F94A6"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5F66AF5F" w14:textId="77777777" w:rsidR="003F5418" w:rsidRDefault="002A6C25">
            <w:pPr>
              <w:pStyle w:val="P68B1DB1-Normal9"/>
              <w:jc w:val="center"/>
              <w:rPr>
                <w:noProof/>
              </w:rPr>
            </w:pPr>
            <w:r>
              <w:rPr>
                <w:noProof/>
              </w:rPr>
              <w:t>Támogatásban részesült projektek száma</w:t>
            </w:r>
          </w:p>
        </w:tc>
      </w:tr>
      <w:tr w:rsidR="003F5418" w14:paraId="10E5B87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BFAB17" w14:textId="77777777" w:rsidR="003F5418" w:rsidRDefault="002A6C25">
            <w:pPr>
              <w:pStyle w:val="P68B1DB1-Normal9"/>
              <w:jc w:val="center"/>
              <w:rPr>
                <w:noProof/>
              </w:rPr>
            </w:pPr>
            <w:r>
              <w:rPr>
                <w:noProof/>
              </w:rPr>
              <w:t>M2C4–37</w:t>
            </w:r>
          </w:p>
        </w:tc>
        <w:tc>
          <w:tcPr>
            <w:tcW w:w="3105" w:type="dxa"/>
            <w:tcBorders>
              <w:top w:val="nil"/>
              <w:left w:val="nil"/>
              <w:bottom w:val="single" w:sz="4" w:space="0" w:color="auto"/>
              <w:right w:val="single" w:sz="4" w:space="0" w:color="auto"/>
            </w:tcBorders>
            <w:shd w:val="clear" w:color="auto" w:fill="C6EFCE"/>
            <w:noWrap/>
            <w:vAlign w:val="center"/>
          </w:tcPr>
          <w:p w14:paraId="71136F8A" w14:textId="77777777" w:rsidR="003F5418" w:rsidRDefault="002A6C25">
            <w:pPr>
              <w:pStyle w:val="P68B1DB1-Normal9"/>
              <w:rPr>
                <w:noProof/>
              </w:rPr>
            </w:pPr>
            <w:r>
              <w:rPr>
                <w:noProof/>
              </w:rPr>
              <w:t>Beruházás csatorna- és tisztítási beruházások</w:t>
            </w:r>
          </w:p>
        </w:tc>
        <w:tc>
          <w:tcPr>
            <w:tcW w:w="1423" w:type="dxa"/>
            <w:tcBorders>
              <w:top w:val="nil"/>
              <w:left w:val="nil"/>
              <w:bottom w:val="single" w:sz="4" w:space="0" w:color="auto"/>
              <w:right w:val="single" w:sz="4" w:space="0" w:color="auto"/>
            </w:tcBorders>
            <w:shd w:val="clear" w:color="auto" w:fill="C6EFCE"/>
            <w:noWrap/>
            <w:vAlign w:val="center"/>
          </w:tcPr>
          <w:p w14:paraId="11AAF2CD" w14:textId="77777777" w:rsidR="003F5418" w:rsidRDefault="002A6C25">
            <w:pPr>
              <w:pStyle w:val="P68B1DB1-Normal9"/>
              <w:jc w:val="center"/>
              <w:rPr>
                <w:noProof/>
              </w:rPr>
            </w:pPr>
            <w:r>
              <w:rPr>
                <w:noProof/>
              </w:rPr>
              <w:t>Cél</w:t>
            </w:r>
          </w:p>
        </w:tc>
        <w:tc>
          <w:tcPr>
            <w:tcW w:w="4074" w:type="dxa"/>
            <w:tcBorders>
              <w:top w:val="nil"/>
              <w:left w:val="nil"/>
              <w:bottom w:val="single" w:sz="4" w:space="0" w:color="auto"/>
              <w:right w:val="single" w:sz="4" w:space="0" w:color="auto"/>
            </w:tcBorders>
            <w:shd w:val="clear" w:color="auto" w:fill="C6EFCE"/>
            <w:noWrap/>
            <w:vAlign w:val="center"/>
          </w:tcPr>
          <w:p w14:paraId="66316B13" w14:textId="77777777" w:rsidR="003F5418" w:rsidRDefault="002A6C25">
            <w:pPr>
              <w:pStyle w:val="P68B1DB1-Normal9"/>
              <w:jc w:val="center"/>
              <w:rPr>
                <w:noProof/>
              </w:rPr>
            </w:pPr>
            <w:r>
              <w:rPr>
                <w:noProof/>
              </w:rPr>
              <w:t>A T1 szennyvízelvezetésre és -tisztításra irányuló beavatkozások</w:t>
            </w:r>
          </w:p>
        </w:tc>
      </w:tr>
      <w:tr w:rsidR="003F5418" w14:paraId="1C94888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314D5" w14:textId="77777777" w:rsidR="003F5418" w:rsidRDefault="003F5418">
            <w:pPr>
              <w:jc w:val="center"/>
              <w:rPr>
                <w:noProof/>
                <w:color w:val="006100"/>
                <w:sz w:val="20"/>
              </w:rPr>
            </w:pPr>
          </w:p>
        </w:tc>
        <w:tc>
          <w:tcPr>
            <w:tcW w:w="3105" w:type="dxa"/>
            <w:tcBorders>
              <w:top w:val="single" w:sz="4" w:space="0" w:color="auto"/>
              <w:left w:val="nil"/>
              <w:bottom w:val="single" w:sz="4" w:space="0" w:color="auto"/>
              <w:right w:val="single" w:sz="4" w:space="0" w:color="auto"/>
            </w:tcBorders>
            <w:shd w:val="clear" w:color="auto" w:fill="C6EFCE"/>
            <w:noWrap/>
            <w:vAlign w:val="bottom"/>
          </w:tcPr>
          <w:p w14:paraId="3DA31A87" w14:textId="77777777" w:rsidR="003F5418" w:rsidRDefault="003F5418">
            <w:pPr>
              <w:rPr>
                <w:noProof/>
                <w:color w:val="006100"/>
                <w:sz w:val="20"/>
              </w:rPr>
            </w:pPr>
          </w:p>
        </w:tc>
        <w:tc>
          <w:tcPr>
            <w:tcW w:w="1423" w:type="dxa"/>
            <w:tcBorders>
              <w:top w:val="single" w:sz="4" w:space="0" w:color="auto"/>
              <w:left w:val="nil"/>
              <w:bottom w:val="single" w:sz="4" w:space="0" w:color="auto"/>
              <w:right w:val="single" w:sz="4" w:space="0" w:color="auto"/>
            </w:tcBorders>
            <w:shd w:val="clear" w:color="auto" w:fill="C6EFCE"/>
            <w:noWrap/>
            <w:vAlign w:val="bottom"/>
          </w:tcPr>
          <w:p w14:paraId="353D7D24" w14:textId="77777777" w:rsidR="003F5418" w:rsidRDefault="002A6C25">
            <w:pPr>
              <w:pStyle w:val="P68B1DB1-Normal9"/>
              <w:rPr>
                <w:noProof/>
              </w:rPr>
            </w:pPr>
            <w:r>
              <w:rPr>
                <w:noProof/>
              </w:rPr>
              <w:t>Részösszeg</w:t>
            </w:r>
          </w:p>
        </w:tc>
        <w:tc>
          <w:tcPr>
            <w:tcW w:w="4074" w:type="dxa"/>
            <w:tcBorders>
              <w:top w:val="single" w:sz="4" w:space="0" w:color="auto"/>
              <w:left w:val="nil"/>
              <w:bottom w:val="single" w:sz="4" w:space="0" w:color="auto"/>
              <w:right w:val="single" w:sz="4" w:space="0" w:color="auto"/>
            </w:tcBorders>
            <w:shd w:val="clear" w:color="auto" w:fill="C6EFCE"/>
            <w:noWrap/>
            <w:vAlign w:val="bottom"/>
          </w:tcPr>
          <w:p w14:paraId="12F6AE97" w14:textId="1F629A9C" w:rsidR="003F5418" w:rsidRDefault="002A6C25">
            <w:pPr>
              <w:pStyle w:val="P68B1DB1-Normal9"/>
              <w:rPr>
                <w:noProof/>
              </w:rPr>
            </w:pPr>
            <w:r>
              <w:rPr>
                <w:noProof/>
              </w:rPr>
              <w:t>11 184 566 013 EUR</w:t>
            </w:r>
          </w:p>
        </w:tc>
      </w:tr>
    </w:tbl>
    <w:p w14:paraId="3A9DC861" w14:textId="1160506B" w:rsidR="003F5418" w:rsidRDefault="003F5418">
      <w:pPr>
        <w:spacing w:before="120" w:after="120"/>
        <w:jc w:val="both"/>
        <w:rPr>
          <w:rFonts w:eastAsia="Calibri"/>
          <w:noProof/>
        </w:rPr>
      </w:pPr>
    </w:p>
    <w:p w14:paraId="36F9D3C4" w14:textId="77777777" w:rsidR="003F5418" w:rsidRDefault="002A6C25">
      <w:pPr>
        <w:pStyle w:val="P68B1DB1-Normal35"/>
        <w:spacing w:after="160" w:line="259" w:lineRule="auto"/>
        <w:rPr>
          <w:noProof/>
        </w:rPr>
      </w:pPr>
      <w:r>
        <w:rPr>
          <w:noProof/>
        </w:rPr>
        <w:br w:type="page"/>
      </w:r>
    </w:p>
    <w:p w14:paraId="0946B3A9" w14:textId="0A8C1211" w:rsidR="003F5418" w:rsidRDefault="002A6C25">
      <w:pPr>
        <w:pStyle w:val="P68B1DB1-Normal35"/>
        <w:numPr>
          <w:ilvl w:val="1"/>
          <w:numId w:val="6"/>
        </w:numPr>
        <w:spacing w:before="120" w:after="120"/>
        <w:jc w:val="both"/>
        <w:rPr>
          <w:noProof/>
        </w:rPr>
      </w:pPr>
      <w:r>
        <w:rPr>
          <w:noProof/>
        </w:rPr>
        <w:t>Kilencedik rész (hiteltámogatás):</w:t>
      </w:r>
    </w:p>
    <w:tbl>
      <w:tblPr>
        <w:tblW w:w="10072" w:type="dxa"/>
        <w:tblInd w:w="113" w:type="dxa"/>
        <w:tblLook w:val="04A0" w:firstRow="1" w:lastRow="0" w:firstColumn="1" w:lastColumn="0" w:noHBand="0" w:noVBand="1"/>
      </w:tblPr>
      <w:tblGrid>
        <w:gridCol w:w="1413"/>
        <w:gridCol w:w="3075"/>
        <w:gridCol w:w="1528"/>
        <w:gridCol w:w="4056"/>
      </w:tblGrid>
      <w:tr w:rsidR="003F5418" w14:paraId="36F096D7"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7866FD3C" w14:textId="77777777" w:rsidR="003F5418" w:rsidRDefault="002A6C25">
            <w:pPr>
              <w:pStyle w:val="P68B1DB1-Normal36"/>
              <w:jc w:val="center"/>
              <w:rPr>
                <w:noProof/>
              </w:rPr>
            </w:pPr>
            <w:r>
              <w:rPr>
                <w:noProof/>
              </w:rPr>
              <w:t>Sorszám</w:t>
            </w:r>
          </w:p>
        </w:tc>
        <w:tc>
          <w:tcPr>
            <w:tcW w:w="3075"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20DD265" w14:textId="77777777" w:rsidR="003F5418" w:rsidRDefault="002A6C25">
            <w:pPr>
              <w:pStyle w:val="P68B1DB1-Normal36"/>
              <w:jc w:val="center"/>
              <w:rPr>
                <w:noProof/>
              </w:rPr>
            </w:pPr>
            <w:r>
              <w:rPr>
                <w:noProof/>
              </w:rPr>
              <w:t>Kapcsolódó intézkedés (reform vagy beruházás)</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74D403E" w14:textId="77777777" w:rsidR="003F5418" w:rsidRDefault="002A6C25">
            <w:pPr>
              <w:pStyle w:val="P68B1DB1-Normal36"/>
              <w:jc w:val="center"/>
              <w:rPr>
                <w:noProof/>
              </w:rPr>
            </w:pPr>
            <w:r>
              <w:rPr>
                <w:noProof/>
              </w:rPr>
              <w:t>Mérföldkő/cél</w:t>
            </w:r>
          </w:p>
        </w:tc>
        <w:tc>
          <w:tcPr>
            <w:tcW w:w="4056"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9A62BF1" w14:textId="77777777" w:rsidR="003F5418" w:rsidRDefault="002A6C25">
            <w:pPr>
              <w:pStyle w:val="P68B1DB1-Normal36"/>
              <w:jc w:val="center"/>
              <w:rPr>
                <w:noProof/>
              </w:rPr>
            </w:pPr>
            <w:r>
              <w:rPr>
                <w:noProof/>
              </w:rPr>
              <w:t>Név</w:t>
            </w:r>
          </w:p>
        </w:tc>
      </w:tr>
      <w:tr w:rsidR="003F5418" w14:paraId="36E63106"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6D78B39" w14:textId="77777777" w:rsidR="003F5418" w:rsidRDefault="003F5418">
            <w:pPr>
              <w:rPr>
                <w:b/>
                <w:noProof/>
              </w:rPr>
            </w:pP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5604F0BB" w14:textId="77777777" w:rsidR="003F5418" w:rsidRDefault="003F5418">
            <w:pPr>
              <w:rPr>
                <w:b/>
                <w:noProof/>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16942CC6" w14:textId="77777777" w:rsidR="003F5418" w:rsidRDefault="003F5418">
            <w:pPr>
              <w:rPr>
                <w:b/>
                <w:noProof/>
              </w:rPr>
            </w:pPr>
          </w:p>
        </w:tc>
        <w:tc>
          <w:tcPr>
            <w:tcW w:w="4056" w:type="dxa"/>
            <w:vMerge/>
            <w:tcBorders>
              <w:top w:val="single" w:sz="4" w:space="0" w:color="auto"/>
              <w:left w:val="single" w:sz="4" w:space="0" w:color="auto"/>
              <w:bottom w:val="single" w:sz="4" w:space="0" w:color="auto"/>
              <w:right w:val="single" w:sz="4" w:space="0" w:color="auto"/>
            </w:tcBorders>
            <w:vAlign w:val="center"/>
            <w:hideMark/>
          </w:tcPr>
          <w:p w14:paraId="4D865E8D" w14:textId="77777777" w:rsidR="003F5418" w:rsidRDefault="003F5418">
            <w:pPr>
              <w:rPr>
                <w:b/>
                <w:noProof/>
              </w:rPr>
            </w:pPr>
          </w:p>
        </w:tc>
      </w:tr>
      <w:tr w:rsidR="003F5418" w14:paraId="76A5FBE3"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F378F0" w14:textId="77777777" w:rsidR="003F5418" w:rsidRDefault="002A6C25">
            <w:pPr>
              <w:pStyle w:val="P68B1DB1-Normal9"/>
              <w:jc w:val="center"/>
              <w:rPr>
                <w:noProof/>
              </w:rPr>
            </w:pPr>
            <w:r>
              <w:rPr>
                <w:noProof/>
              </w:rPr>
              <w:t>M1C1–145.</w:t>
            </w:r>
          </w:p>
        </w:tc>
        <w:tc>
          <w:tcPr>
            <w:tcW w:w="3075" w:type="dxa"/>
            <w:tcBorders>
              <w:top w:val="single" w:sz="4" w:space="0" w:color="auto"/>
              <w:left w:val="nil"/>
              <w:bottom w:val="single" w:sz="4" w:space="0" w:color="auto"/>
              <w:right w:val="single" w:sz="4" w:space="0" w:color="auto"/>
            </w:tcBorders>
            <w:shd w:val="clear" w:color="auto" w:fill="C6EFCE"/>
            <w:noWrap/>
            <w:vAlign w:val="center"/>
          </w:tcPr>
          <w:p w14:paraId="12736D27" w14:textId="77777777" w:rsidR="003F5418" w:rsidRDefault="002A6C25">
            <w:pPr>
              <w:pStyle w:val="P68B1DB1-Normal9"/>
              <w:rPr>
                <w:noProof/>
              </w:rPr>
            </w:pPr>
            <w:r>
              <w:rPr>
                <w:noProof/>
              </w:rPr>
              <w:t xml:space="preserve">Beruházás – A nemzeti digitális személyazonossági platformok (SPID, CIE) és a nemzeti nyilvántartás </w:t>
            </w:r>
            <w:r>
              <w:rPr>
                <w:noProof/>
              </w:rPr>
              <w:t>(ANPR) átvételének növelése</w:t>
            </w:r>
          </w:p>
        </w:tc>
        <w:tc>
          <w:tcPr>
            <w:tcW w:w="1528" w:type="dxa"/>
            <w:tcBorders>
              <w:top w:val="single" w:sz="4" w:space="0" w:color="auto"/>
              <w:left w:val="nil"/>
              <w:bottom w:val="single" w:sz="4" w:space="0" w:color="auto"/>
              <w:right w:val="single" w:sz="4" w:space="0" w:color="auto"/>
            </w:tcBorders>
            <w:shd w:val="clear" w:color="auto" w:fill="C6EFCE"/>
            <w:noWrap/>
            <w:vAlign w:val="center"/>
          </w:tcPr>
          <w:p w14:paraId="712F1C19" w14:textId="77777777" w:rsidR="003F5418" w:rsidRDefault="002A6C25">
            <w:pPr>
              <w:pStyle w:val="P68B1DB1-Normal9"/>
              <w:jc w:val="center"/>
              <w:rPr>
                <w:noProof/>
              </w:rPr>
            </w:pPr>
            <w:r>
              <w:rPr>
                <w:noProof/>
              </w:rPr>
              <w:t>Cél</w:t>
            </w:r>
          </w:p>
        </w:tc>
        <w:tc>
          <w:tcPr>
            <w:tcW w:w="4056" w:type="dxa"/>
            <w:tcBorders>
              <w:top w:val="single" w:sz="4" w:space="0" w:color="auto"/>
              <w:left w:val="nil"/>
              <w:bottom w:val="single" w:sz="4" w:space="0" w:color="auto"/>
              <w:right w:val="single" w:sz="4" w:space="0" w:color="auto"/>
            </w:tcBorders>
            <w:shd w:val="clear" w:color="auto" w:fill="C6EFCE"/>
            <w:noWrap/>
            <w:vAlign w:val="center"/>
          </w:tcPr>
          <w:p w14:paraId="3755EE5B" w14:textId="77777777" w:rsidR="003F5418" w:rsidRDefault="002A6C25">
            <w:pPr>
              <w:pStyle w:val="P68B1DB1-Normal9"/>
              <w:jc w:val="center"/>
              <w:rPr>
                <w:noProof/>
              </w:rPr>
            </w:pPr>
            <w:r>
              <w:rPr>
                <w:noProof/>
              </w:rPr>
              <w:t>Nemzeti digitális személyazonossági platformok (SPID, CIE) és a nemzeti nyilvántartás (ANPR)</w:t>
            </w:r>
          </w:p>
        </w:tc>
      </w:tr>
      <w:tr w:rsidR="003F5418" w14:paraId="084078D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BD23B5" w14:textId="77777777" w:rsidR="003F5418" w:rsidRDefault="002A6C25">
            <w:pPr>
              <w:pStyle w:val="P68B1DB1-Normal9"/>
              <w:jc w:val="center"/>
              <w:rPr>
                <w:noProof/>
              </w:rPr>
            </w:pPr>
            <w:r>
              <w:rPr>
                <w:noProof/>
              </w:rPr>
              <w:t>M1C3–17</w:t>
            </w:r>
          </w:p>
        </w:tc>
        <w:tc>
          <w:tcPr>
            <w:tcW w:w="3075" w:type="dxa"/>
            <w:tcBorders>
              <w:top w:val="nil"/>
              <w:left w:val="nil"/>
              <w:bottom w:val="single" w:sz="4" w:space="0" w:color="auto"/>
              <w:right w:val="single" w:sz="4" w:space="0" w:color="auto"/>
            </w:tcBorders>
            <w:shd w:val="clear" w:color="auto" w:fill="C6EFCE"/>
            <w:noWrap/>
            <w:vAlign w:val="center"/>
          </w:tcPr>
          <w:p w14:paraId="6B0FB47D" w14:textId="77777777" w:rsidR="003F5418" w:rsidRDefault="002A6C25">
            <w:pPr>
              <w:pStyle w:val="P68B1DB1-Normal9"/>
              <w:rPr>
                <w:noProof/>
              </w:rPr>
            </w:pPr>
            <w:r>
              <w:rPr>
                <w:noProof/>
              </w:rPr>
              <w:t>Beruházás – 2.2. A vidéki építészet és táj védelme és fejlesztése</w:t>
            </w:r>
          </w:p>
        </w:tc>
        <w:tc>
          <w:tcPr>
            <w:tcW w:w="1528" w:type="dxa"/>
            <w:tcBorders>
              <w:top w:val="nil"/>
              <w:left w:val="nil"/>
              <w:bottom w:val="single" w:sz="4" w:space="0" w:color="auto"/>
              <w:right w:val="single" w:sz="4" w:space="0" w:color="auto"/>
            </w:tcBorders>
            <w:shd w:val="clear" w:color="auto" w:fill="C6EFCE"/>
            <w:noWrap/>
            <w:vAlign w:val="center"/>
          </w:tcPr>
          <w:p w14:paraId="548C022A"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A3BEEAF" w14:textId="77777777" w:rsidR="003F5418" w:rsidRDefault="002A6C25">
            <w:pPr>
              <w:pStyle w:val="P68B1DB1-Normal9"/>
              <w:jc w:val="center"/>
              <w:rPr>
                <w:noProof/>
              </w:rPr>
            </w:pPr>
            <w:r>
              <w:rPr>
                <w:noProof/>
              </w:rPr>
              <w:t>A vidéki építészet és táj védelmét és javítását célz</w:t>
            </w:r>
            <w:r>
              <w:rPr>
                <w:noProof/>
              </w:rPr>
              <w:t>ó beavatkozások lezárása</w:t>
            </w:r>
          </w:p>
        </w:tc>
      </w:tr>
      <w:tr w:rsidR="003F5418" w14:paraId="35C941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6935C3" w14:textId="77777777" w:rsidR="003F5418" w:rsidRDefault="002A6C25">
            <w:pPr>
              <w:pStyle w:val="P68B1DB1-Normal9"/>
              <w:jc w:val="center"/>
              <w:rPr>
                <w:noProof/>
              </w:rPr>
            </w:pPr>
            <w:r>
              <w:rPr>
                <w:noProof/>
              </w:rPr>
              <w:t>M1C3–18</w:t>
            </w:r>
          </w:p>
        </w:tc>
        <w:tc>
          <w:tcPr>
            <w:tcW w:w="3075" w:type="dxa"/>
            <w:tcBorders>
              <w:top w:val="nil"/>
              <w:left w:val="nil"/>
              <w:bottom w:val="single" w:sz="4" w:space="0" w:color="auto"/>
              <w:right w:val="single" w:sz="4" w:space="0" w:color="auto"/>
            </w:tcBorders>
            <w:shd w:val="clear" w:color="auto" w:fill="C6EFCE"/>
            <w:noWrap/>
            <w:vAlign w:val="center"/>
          </w:tcPr>
          <w:p w14:paraId="5B404943" w14:textId="77777777" w:rsidR="003F5418" w:rsidRDefault="002A6C25">
            <w:pPr>
              <w:pStyle w:val="P68B1DB1-Normal9"/>
              <w:rPr>
                <w:noProof/>
              </w:rPr>
            </w:pPr>
            <w:r>
              <w:rPr>
                <w:noProof/>
              </w:rPr>
              <w:t>Beruházás A helymeghatározás javítását célzó programok: parkok és történelmi kertek</w:t>
            </w:r>
          </w:p>
        </w:tc>
        <w:tc>
          <w:tcPr>
            <w:tcW w:w="1528" w:type="dxa"/>
            <w:tcBorders>
              <w:top w:val="nil"/>
              <w:left w:val="nil"/>
              <w:bottom w:val="single" w:sz="4" w:space="0" w:color="auto"/>
              <w:right w:val="single" w:sz="4" w:space="0" w:color="auto"/>
            </w:tcBorders>
            <w:shd w:val="clear" w:color="auto" w:fill="C6EFCE"/>
            <w:noWrap/>
            <w:vAlign w:val="center"/>
          </w:tcPr>
          <w:p w14:paraId="4C477DDC"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6DB437B0" w14:textId="77777777" w:rsidR="003F5418" w:rsidRDefault="002A6C25">
            <w:pPr>
              <w:pStyle w:val="P68B1DB1-Normal9"/>
              <w:jc w:val="center"/>
              <w:rPr>
                <w:noProof/>
              </w:rPr>
            </w:pPr>
            <w:r>
              <w:rPr>
                <w:noProof/>
              </w:rPr>
              <w:t>Az átalakított parkok és történelmi kertek száma</w:t>
            </w:r>
          </w:p>
        </w:tc>
      </w:tr>
      <w:tr w:rsidR="003F5418" w14:paraId="0DC846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EEB18A" w14:textId="77777777" w:rsidR="003F5418" w:rsidRDefault="002A6C25">
            <w:pPr>
              <w:pStyle w:val="P68B1DB1-Normal9"/>
              <w:jc w:val="center"/>
              <w:rPr>
                <w:noProof/>
              </w:rPr>
            </w:pPr>
            <w:r>
              <w:rPr>
                <w:noProof/>
              </w:rPr>
              <w:t>M1C3–19</w:t>
            </w:r>
          </w:p>
        </w:tc>
        <w:tc>
          <w:tcPr>
            <w:tcW w:w="3075" w:type="dxa"/>
            <w:tcBorders>
              <w:top w:val="nil"/>
              <w:left w:val="nil"/>
              <w:bottom w:val="single" w:sz="4" w:space="0" w:color="auto"/>
              <w:right w:val="single" w:sz="4" w:space="0" w:color="auto"/>
            </w:tcBorders>
            <w:shd w:val="clear" w:color="auto" w:fill="C6EFCE"/>
            <w:noWrap/>
            <w:vAlign w:val="center"/>
          </w:tcPr>
          <w:p w14:paraId="541DC0F7" w14:textId="77777777" w:rsidR="003F5418" w:rsidRDefault="002A6C25">
            <w:pPr>
              <w:pStyle w:val="P68B1DB1-Normal9"/>
              <w:rPr>
                <w:noProof/>
              </w:rPr>
            </w:pPr>
            <w:r>
              <w:rPr>
                <w:noProof/>
              </w:rPr>
              <w:t>Beruházás – 2.4. Az imahelyek szeizmikus biztonsága, a FEC (Fondo Edifici di</w:t>
            </w:r>
            <w:r>
              <w:rPr>
                <w:noProof/>
              </w:rPr>
              <w:t xml:space="preserve"> Culto) örökségének és a műalkotások menedékhelyeinek helyreállítása (Recovery Art)</w:t>
            </w:r>
          </w:p>
        </w:tc>
        <w:tc>
          <w:tcPr>
            <w:tcW w:w="1528" w:type="dxa"/>
            <w:tcBorders>
              <w:top w:val="nil"/>
              <w:left w:val="nil"/>
              <w:bottom w:val="single" w:sz="4" w:space="0" w:color="auto"/>
              <w:right w:val="single" w:sz="4" w:space="0" w:color="auto"/>
            </w:tcBorders>
            <w:shd w:val="clear" w:color="auto" w:fill="C6EFCE"/>
            <w:noWrap/>
            <w:vAlign w:val="center"/>
          </w:tcPr>
          <w:p w14:paraId="1480A8A9"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26D32893" w14:textId="77777777" w:rsidR="003F5418" w:rsidRDefault="002A6C25">
            <w:pPr>
              <w:pStyle w:val="P68B1DB1-Normal9"/>
              <w:jc w:val="center"/>
              <w:rPr>
                <w:noProof/>
              </w:rPr>
            </w:pPr>
            <w:r>
              <w:rPr>
                <w:noProof/>
              </w:rPr>
              <w:t>A szeizmikus biztonságot célzó beavatkozások az imahelyeken, a FEC (Fondo Edifici di Culto) örökségének és a műalkotások menedékhelyeinek helyreállítása</w:t>
            </w:r>
          </w:p>
        </w:tc>
      </w:tr>
      <w:tr w:rsidR="003F5418" w14:paraId="492D21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3EBD76" w14:textId="77777777" w:rsidR="003F5418" w:rsidRDefault="002A6C25">
            <w:pPr>
              <w:pStyle w:val="P68B1DB1-Normal9"/>
              <w:jc w:val="center"/>
              <w:rPr>
                <w:noProof/>
              </w:rPr>
            </w:pPr>
            <w:r>
              <w:rPr>
                <w:noProof/>
              </w:rPr>
              <w:t>M1C3–28</w:t>
            </w:r>
          </w:p>
        </w:tc>
        <w:tc>
          <w:tcPr>
            <w:tcW w:w="3075" w:type="dxa"/>
            <w:tcBorders>
              <w:top w:val="nil"/>
              <w:left w:val="nil"/>
              <w:bottom w:val="single" w:sz="4" w:space="0" w:color="auto"/>
              <w:right w:val="single" w:sz="4" w:space="0" w:color="auto"/>
            </w:tcBorders>
            <w:shd w:val="clear" w:color="auto" w:fill="C6EFCE"/>
            <w:noWrap/>
            <w:vAlign w:val="center"/>
          </w:tcPr>
          <w:p w14:paraId="1CF73382" w14:textId="77777777" w:rsidR="003F5418" w:rsidRDefault="002A6C25">
            <w:pPr>
              <w:pStyle w:val="P68B1DB1-Normal9"/>
              <w:rPr>
                <w:noProof/>
              </w:rPr>
            </w:pPr>
            <w:r>
              <w:rPr>
                <w:noProof/>
              </w:rPr>
              <w:t>Beruhá</w:t>
            </w:r>
            <w:r>
              <w:rPr>
                <w:noProof/>
              </w:rPr>
              <w:t>zás:  Az idegenforgalmi vállalkozások versenyképességét szolgáló alapok</w:t>
            </w:r>
          </w:p>
        </w:tc>
        <w:tc>
          <w:tcPr>
            <w:tcW w:w="1528" w:type="dxa"/>
            <w:tcBorders>
              <w:top w:val="nil"/>
              <w:left w:val="nil"/>
              <w:bottom w:val="single" w:sz="4" w:space="0" w:color="auto"/>
              <w:right w:val="single" w:sz="4" w:space="0" w:color="auto"/>
            </w:tcBorders>
            <w:shd w:val="clear" w:color="auto" w:fill="C6EFCE"/>
            <w:noWrap/>
            <w:vAlign w:val="center"/>
          </w:tcPr>
          <w:p w14:paraId="527FBB52"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0942225E" w14:textId="77777777" w:rsidR="003F5418" w:rsidRDefault="002A6C25">
            <w:pPr>
              <w:pStyle w:val="P68B1DB1-Normal9"/>
              <w:jc w:val="center"/>
              <w:rPr>
                <w:noProof/>
              </w:rPr>
            </w:pPr>
            <w:r>
              <w:rPr>
                <w:noProof/>
              </w:rPr>
              <w:t xml:space="preserve">Az infrastruktúrákra és/vagy szolgáltatásokra vonatkozó adójóváírás által támogatott idegenforgalmi vállalkozások száma; </w:t>
            </w:r>
          </w:p>
        </w:tc>
      </w:tr>
      <w:tr w:rsidR="003F5418" w14:paraId="33144A6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57E752" w14:textId="77777777" w:rsidR="003F5418" w:rsidRDefault="002A6C25">
            <w:pPr>
              <w:pStyle w:val="P68B1DB1-Normal9"/>
              <w:jc w:val="center"/>
              <w:rPr>
                <w:noProof/>
              </w:rPr>
            </w:pPr>
            <w:r>
              <w:rPr>
                <w:noProof/>
              </w:rPr>
              <w:t>M1C3–32</w:t>
            </w:r>
          </w:p>
        </w:tc>
        <w:tc>
          <w:tcPr>
            <w:tcW w:w="3075" w:type="dxa"/>
            <w:tcBorders>
              <w:top w:val="nil"/>
              <w:left w:val="nil"/>
              <w:bottom w:val="single" w:sz="4" w:space="0" w:color="auto"/>
              <w:right w:val="single" w:sz="4" w:space="0" w:color="auto"/>
            </w:tcBorders>
            <w:shd w:val="clear" w:color="auto" w:fill="C6EFCE"/>
            <w:noWrap/>
            <w:vAlign w:val="center"/>
          </w:tcPr>
          <w:p w14:paraId="3E522B53" w14:textId="77777777" w:rsidR="003F5418" w:rsidRDefault="002A6C25">
            <w:pPr>
              <w:pStyle w:val="P68B1DB1-Normal9"/>
              <w:rPr>
                <w:noProof/>
              </w:rPr>
            </w:pPr>
            <w:r>
              <w:rPr>
                <w:noProof/>
              </w:rPr>
              <w:t>Beruházás:  Az</w:t>
            </w:r>
            <w:r>
              <w:rPr>
                <w:noProof/>
              </w:rPr>
              <w:t xml:space="preserve"> idegenforgalmi vállalkozások versenyképességét szolgáló alapok </w:t>
            </w:r>
          </w:p>
        </w:tc>
        <w:tc>
          <w:tcPr>
            <w:tcW w:w="1528" w:type="dxa"/>
            <w:tcBorders>
              <w:top w:val="nil"/>
              <w:left w:val="nil"/>
              <w:bottom w:val="single" w:sz="4" w:space="0" w:color="auto"/>
              <w:right w:val="single" w:sz="4" w:space="0" w:color="auto"/>
            </w:tcBorders>
            <w:shd w:val="clear" w:color="auto" w:fill="C6EFCE"/>
            <w:noWrap/>
            <w:vAlign w:val="center"/>
          </w:tcPr>
          <w:p w14:paraId="7154F6A0" w14:textId="77777777" w:rsidR="003F5418" w:rsidRDefault="002A6C25">
            <w:pPr>
              <w:pStyle w:val="P68B1DB1-Normal9"/>
              <w:jc w:val="center"/>
              <w:rPr>
                <w:noProof/>
              </w:rPr>
            </w:pPr>
            <w:r>
              <w:rPr>
                <w:noProof/>
              </w:rPr>
              <w:t xml:space="preserve">Cél </w:t>
            </w:r>
          </w:p>
        </w:tc>
        <w:tc>
          <w:tcPr>
            <w:tcW w:w="4056" w:type="dxa"/>
            <w:tcBorders>
              <w:top w:val="nil"/>
              <w:left w:val="nil"/>
              <w:bottom w:val="single" w:sz="4" w:space="0" w:color="auto"/>
              <w:right w:val="single" w:sz="4" w:space="0" w:color="auto"/>
            </w:tcBorders>
            <w:shd w:val="clear" w:color="auto" w:fill="C6EFCE"/>
            <w:noWrap/>
            <w:vAlign w:val="center"/>
          </w:tcPr>
          <w:p w14:paraId="63865268" w14:textId="77777777" w:rsidR="003F5418" w:rsidRDefault="002A6C25">
            <w:pPr>
              <w:pStyle w:val="P68B1DB1-Normal9"/>
              <w:jc w:val="center"/>
              <w:rPr>
                <w:noProof/>
              </w:rPr>
            </w:pPr>
            <w:r>
              <w:rPr>
                <w:noProof/>
              </w:rPr>
              <w:t xml:space="preserve"> A kkv-garanciaalapon keresztül támogatandó idegenforgalmi vállalkozások száma </w:t>
            </w:r>
          </w:p>
        </w:tc>
      </w:tr>
      <w:tr w:rsidR="003F5418" w14:paraId="63F29C5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773D77" w14:textId="77777777" w:rsidR="003F5418" w:rsidRDefault="002A6C25">
            <w:pPr>
              <w:pStyle w:val="P68B1DB1-Normal9"/>
              <w:jc w:val="center"/>
              <w:rPr>
                <w:noProof/>
              </w:rPr>
            </w:pPr>
            <w:r>
              <w:rPr>
                <w:noProof/>
              </w:rPr>
              <w:t>M1C3–34</w:t>
            </w:r>
          </w:p>
        </w:tc>
        <w:tc>
          <w:tcPr>
            <w:tcW w:w="3075" w:type="dxa"/>
            <w:tcBorders>
              <w:top w:val="nil"/>
              <w:left w:val="nil"/>
              <w:bottom w:val="single" w:sz="4" w:space="0" w:color="auto"/>
              <w:right w:val="single" w:sz="4" w:space="0" w:color="auto"/>
            </w:tcBorders>
            <w:shd w:val="clear" w:color="auto" w:fill="C6EFCE"/>
            <w:noWrap/>
            <w:vAlign w:val="center"/>
          </w:tcPr>
          <w:p w14:paraId="757DD538" w14:textId="77777777" w:rsidR="003F5418" w:rsidRDefault="002A6C25">
            <w:pPr>
              <w:pStyle w:val="P68B1DB1-Normal9"/>
              <w:rPr>
                <w:noProof/>
              </w:rPr>
            </w:pPr>
            <w:r>
              <w:rPr>
                <w:noProof/>
              </w:rPr>
              <w:t>Beruházás: Az idegenforgalmi vállalkozások versenyképességét szolgáló alapok</w:t>
            </w:r>
          </w:p>
        </w:tc>
        <w:tc>
          <w:tcPr>
            <w:tcW w:w="1528" w:type="dxa"/>
            <w:tcBorders>
              <w:top w:val="nil"/>
              <w:left w:val="nil"/>
              <w:bottom w:val="single" w:sz="4" w:space="0" w:color="auto"/>
              <w:right w:val="single" w:sz="4" w:space="0" w:color="auto"/>
            </w:tcBorders>
            <w:shd w:val="clear" w:color="auto" w:fill="C6EFCE"/>
            <w:noWrap/>
            <w:vAlign w:val="center"/>
          </w:tcPr>
          <w:p w14:paraId="7769C11F" w14:textId="77777777" w:rsidR="003F5418" w:rsidRDefault="002A6C25">
            <w:pPr>
              <w:pStyle w:val="P68B1DB1-Normal9"/>
              <w:jc w:val="center"/>
              <w:rPr>
                <w:noProof/>
              </w:rPr>
            </w:pPr>
            <w:r>
              <w:rPr>
                <w:noProof/>
              </w:rPr>
              <w:t xml:space="preserve">Cél </w:t>
            </w:r>
          </w:p>
        </w:tc>
        <w:tc>
          <w:tcPr>
            <w:tcW w:w="4056" w:type="dxa"/>
            <w:tcBorders>
              <w:top w:val="nil"/>
              <w:left w:val="nil"/>
              <w:bottom w:val="single" w:sz="4" w:space="0" w:color="auto"/>
              <w:right w:val="single" w:sz="4" w:space="0" w:color="auto"/>
            </w:tcBorders>
            <w:shd w:val="clear" w:color="auto" w:fill="C6EFCE"/>
            <w:noWrap/>
            <w:vAlign w:val="center"/>
          </w:tcPr>
          <w:p w14:paraId="2F22C52A" w14:textId="77777777" w:rsidR="003F5418" w:rsidRDefault="002A6C25">
            <w:pPr>
              <w:pStyle w:val="P68B1DB1-Normal9"/>
              <w:jc w:val="center"/>
              <w:rPr>
                <w:noProof/>
              </w:rPr>
            </w:pPr>
            <w:r>
              <w:rPr>
                <w:noProof/>
              </w:rPr>
              <w:t xml:space="preserve"> A Nemzeti Turi</w:t>
            </w:r>
            <w:r>
              <w:rPr>
                <w:noProof/>
              </w:rPr>
              <w:t xml:space="preserve">sztikai Alap által turizmusra átalakított ingatlanok száma  </w:t>
            </w:r>
          </w:p>
        </w:tc>
      </w:tr>
      <w:tr w:rsidR="003F5418" w14:paraId="65A3683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63DB3D" w14:textId="77777777" w:rsidR="003F5418" w:rsidRDefault="002A6C25">
            <w:pPr>
              <w:pStyle w:val="P68B1DB1-Normal9"/>
              <w:jc w:val="center"/>
              <w:rPr>
                <w:noProof/>
              </w:rPr>
            </w:pPr>
            <w:r>
              <w:rPr>
                <w:noProof/>
              </w:rPr>
              <w:t>M2C1–17</w:t>
            </w:r>
          </w:p>
        </w:tc>
        <w:tc>
          <w:tcPr>
            <w:tcW w:w="3075" w:type="dxa"/>
            <w:tcBorders>
              <w:top w:val="nil"/>
              <w:left w:val="nil"/>
              <w:bottom w:val="single" w:sz="4" w:space="0" w:color="auto"/>
              <w:right w:val="single" w:sz="4" w:space="0" w:color="auto"/>
            </w:tcBorders>
            <w:shd w:val="clear" w:color="auto" w:fill="C6EFCE"/>
            <w:noWrap/>
            <w:vAlign w:val="center"/>
          </w:tcPr>
          <w:p w14:paraId="2ADEB11E"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3C3D8C6A"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2040810C" w14:textId="77777777" w:rsidR="003F5418" w:rsidRDefault="002A6C25">
            <w:pPr>
              <w:pStyle w:val="P68B1DB1-Normal9"/>
              <w:jc w:val="center"/>
              <w:rPr>
                <w:noProof/>
              </w:rPr>
            </w:pPr>
            <w:r>
              <w:rPr>
                <w:noProof/>
              </w:rPr>
              <w:t xml:space="preserve">A települési hulladék újrafeldolgozási aránya a körforgásos gazdaságra vonatkozó cselekvési tervben  </w:t>
            </w:r>
          </w:p>
        </w:tc>
      </w:tr>
      <w:tr w:rsidR="003F5418" w14:paraId="59F1C8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8E23BC2" w14:textId="77777777" w:rsidR="003F5418" w:rsidRDefault="002A6C25">
            <w:pPr>
              <w:pStyle w:val="P68B1DB1-Normal9"/>
              <w:jc w:val="center"/>
              <w:rPr>
                <w:noProof/>
              </w:rPr>
            </w:pPr>
            <w:r>
              <w:rPr>
                <w:noProof/>
              </w:rPr>
              <w:t>M2C1–17a</w:t>
            </w:r>
          </w:p>
        </w:tc>
        <w:tc>
          <w:tcPr>
            <w:tcW w:w="3075" w:type="dxa"/>
            <w:tcBorders>
              <w:top w:val="nil"/>
              <w:left w:val="nil"/>
              <w:bottom w:val="single" w:sz="4" w:space="0" w:color="auto"/>
              <w:right w:val="single" w:sz="4" w:space="0" w:color="auto"/>
            </w:tcBorders>
            <w:shd w:val="clear" w:color="auto" w:fill="C6EFCE"/>
            <w:noWrap/>
            <w:vAlign w:val="center"/>
          </w:tcPr>
          <w:p w14:paraId="2A1B4E48" w14:textId="77777777" w:rsidR="003F5418" w:rsidRDefault="002A6C25">
            <w:pPr>
              <w:pStyle w:val="P68B1DB1-Normal9"/>
              <w:rPr>
                <w:noProof/>
              </w:rPr>
            </w:pPr>
            <w:r>
              <w:rPr>
                <w:noProof/>
              </w:rPr>
              <w:t xml:space="preserve">Beruházás – A </w:t>
            </w:r>
            <w:r>
              <w:rPr>
                <w:noProof/>
              </w:rPr>
              <w:t>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7496DA99"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5A4D137F" w14:textId="77777777" w:rsidR="003F5418" w:rsidRDefault="002A6C25">
            <w:pPr>
              <w:pStyle w:val="P68B1DB1-Normal9"/>
              <w:jc w:val="center"/>
              <w:rPr>
                <w:noProof/>
              </w:rPr>
            </w:pPr>
            <w:r>
              <w:rPr>
                <w:noProof/>
              </w:rPr>
              <w:t>A csomagolási hulladék újrafeldolgozási aránya a körforgásos gazdaságra vonatkozó cselekvési tervben</w:t>
            </w:r>
          </w:p>
        </w:tc>
      </w:tr>
      <w:tr w:rsidR="003F5418" w14:paraId="45B69C7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BB7F07E" w14:textId="77777777" w:rsidR="003F5418" w:rsidRDefault="002A6C25">
            <w:pPr>
              <w:pStyle w:val="P68B1DB1-Normal9"/>
              <w:jc w:val="center"/>
              <w:rPr>
                <w:noProof/>
              </w:rPr>
            </w:pPr>
            <w:r>
              <w:rPr>
                <w:noProof/>
              </w:rPr>
              <w:t>M2C1–17ter</w:t>
            </w:r>
          </w:p>
        </w:tc>
        <w:tc>
          <w:tcPr>
            <w:tcW w:w="3075" w:type="dxa"/>
            <w:tcBorders>
              <w:top w:val="nil"/>
              <w:left w:val="nil"/>
              <w:bottom w:val="single" w:sz="4" w:space="0" w:color="auto"/>
              <w:right w:val="single" w:sz="4" w:space="0" w:color="auto"/>
            </w:tcBorders>
            <w:shd w:val="clear" w:color="auto" w:fill="C6EFCE"/>
            <w:noWrap/>
            <w:vAlign w:val="center"/>
          </w:tcPr>
          <w:p w14:paraId="4A91EB2A"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5AF7787B"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62D5F8CC" w14:textId="77777777" w:rsidR="003F5418" w:rsidRDefault="002A6C25">
            <w:pPr>
              <w:pStyle w:val="P68B1DB1-Normal9"/>
              <w:jc w:val="center"/>
              <w:rPr>
                <w:noProof/>
              </w:rPr>
            </w:pPr>
            <w:r>
              <w:rPr>
                <w:noProof/>
              </w:rPr>
              <w:t xml:space="preserve">A fa csomagolóanyagok újrafeldolgozási </w:t>
            </w:r>
            <w:r>
              <w:rPr>
                <w:noProof/>
              </w:rPr>
              <w:t>aránya a körforgásos gazdaságra vonatkozó cselekvési tervben</w:t>
            </w:r>
          </w:p>
        </w:tc>
      </w:tr>
      <w:tr w:rsidR="003F5418" w14:paraId="4D04076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9CC8AA" w14:textId="77777777" w:rsidR="003F5418" w:rsidRDefault="002A6C25">
            <w:pPr>
              <w:pStyle w:val="P68B1DB1-Normal9"/>
              <w:jc w:val="center"/>
              <w:rPr>
                <w:noProof/>
              </w:rPr>
            </w:pPr>
            <w:r>
              <w:rPr>
                <w:noProof/>
              </w:rPr>
              <w:t>M2C1–17quater</w:t>
            </w:r>
          </w:p>
        </w:tc>
        <w:tc>
          <w:tcPr>
            <w:tcW w:w="3075" w:type="dxa"/>
            <w:tcBorders>
              <w:top w:val="nil"/>
              <w:left w:val="nil"/>
              <w:bottom w:val="single" w:sz="4" w:space="0" w:color="auto"/>
              <w:right w:val="single" w:sz="4" w:space="0" w:color="auto"/>
            </w:tcBorders>
            <w:shd w:val="clear" w:color="auto" w:fill="C6EFCE"/>
            <w:noWrap/>
            <w:vAlign w:val="center"/>
          </w:tcPr>
          <w:p w14:paraId="5ECACFE9"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259719A7"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30BFE6BF" w14:textId="77777777" w:rsidR="003F5418" w:rsidRDefault="002A6C25">
            <w:pPr>
              <w:pStyle w:val="P68B1DB1-Normal9"/>
              <w:jc w:val="center"/>
              <w:rPr>
                <w:noProof/>
              </w:rPr>
            </w:pPr>
            <w:r>
              <w:rPr>
                <w:noProof/>
              </w:rPr>
              <w:t>A vasfém csomagolóanyagok újrafeldolgozási aránya a körforgásos gazdaságra vonatkozó cselekvési tervben</w:t>
            </w:r>
          </w:p>
        </w:tc>
      </w:tr>
      <w:tr w:rsidR="003F5418" w14:paraId="539DC38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9BCD7C" w14:textId="77777777" w:rsidR="003F5418" w:rsidRDefault="002A6C25">
            <w:pPr>
              <w:pStyle w:val="P68B1DB1-Normal9"/>
              <w:jc w:val="center"/>
              <w:rPr>
                <w:noProof/>
              </w:rPr>
            </w:pPr>
            <w:r>
              <w:rPr>
                <w:noProof/>
              </w:rPr>
              <w:t>M2C1–17 kvv</w:t>
            </w:r>
          </w:p>
        </w:tc>
        <w:tc>
          <w:tcPr>
            <w:tcW w:w="3075" w:type="dxa"/>
            <w:tcBorders>
              <w:top w:val="nil"/>
              <w:left w:val="nil"/>
              <w:bottom w:val="single" w:sz="4" w:space="0" w:color="auto"/>
              <w:right w:val="single" w:sz="4" w:space="0" w:color="auto"/>
            </w:tcBorders>
            <w:shd w:val="clear" w:color="auto" w:fill="C6EFCE"/>
            <w:noWrap/>
            <w:vAlign w:val="center"/>
          </w:tcPr>
          <w:p w14:paraId="2A26DF32" w14:textId="77777777" w:rsidR="003F5418" w:rsidRDefault="002A6C25">
            <w:pPr>
              <w:pStyle w:val="P68B1DB1-Normal9"/>
              <w:rPr>
                <w:noProof/>
              </w:rPr>
            </w:pPr>
            <w:r>
              <w:rPr>
                <w:noProof/>
              </w:rPr>
              <w:t>Beruh</w:t>
            </w:r>
            <w:r>
              <w:rPr>
                <w:noProof/>
              </w:rPr>
              <w:t>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304D5024"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210839CA" w14:textId="77777777" w:rsidR="003F5418" w:rsidRDefault="002A6C25">
            <w:pPr>
              <w:pStyle w:val="P68B1DB1-Normal9"/>
              <w:jc w:val="center"/>
              <w:rPr>
                <w:noProof/>
              </w:rPr>
            </w:pPr>
            <w:r>
              <w:rPr>
                <w:noProof/>
              </w:rPr>
              <w:t>Az alumíniumcsomagolás újrafeldolgozási aránya a körforgásos gazdaságra vonatkozó cselekvési tervben</w:t>
            </w:r>
          </w:p>
        </w:tc>
      </w:tr>
      <w:tr w:rsidR="003F5418" w14:paraId="54FD01A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625D37" w14:textId="77777777" w:rsidR="003F5418" w:rsidRDefault="002A6C25">
            <w:pPr>
              <w:pStyle w:val="P68B1DB1-Normal9"/>
              <w:jc w:val="center"/>
              <w:rPr>
                <w:noProof/>
              </w:rPr>
            </w:pPr>
            <w:r>
              <w:rPr>
                <w:noProof/>
              </w:rPr>
              <w:t>M2C1–17 nemek</w:t>
            </w:r>
          </w:p>
        </w:tc>
        <w:tc>
          <w:tcPr>
            <w:tcW w:w="3075" w:type="dxa"/>
            <w:tcBorders>
              <w:top w:val="nil"/>
              <w:left w:val="nil"/>
              <w:bottom w:val="single" w:sz="4" w:space="0" w:color="auto"/>
              <w:right w:val="single" w:sz="4" w:space="0" w:color="auto"/>
            </w:tcBorders>
            <w:shd w:val="clear" w:color="auto" w:fill="C6EFCE"/>
            <w:noWrap/>
            <w:vAlign w:val="center"/>
          </w:tcPr>
          <w:p w14:paraId="669F0502"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7D900B7E"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A15E4F3" w14:textId="77777777" w:rsidR="003F5418" w:rsidRDefault="002A6C25">
            <w:pPr>
              <w:pStyle w:val="P68B1DB1-Normal9"/>
              <w:jc w:val="center"/>
              <w:rPr>
                <w:noProof/>
              </w:rPr>
            </w:pPr>
            <w:r>
              <w:rPr>
                <w:noProof/>
              </w:rPr>
              <w:t xml:space="preserve">Az üvegcsomagolás </w:t>
            </w:r>
            <w:r>
              <w:rPr>
                <w:noProof/>
              </w:rPr>
              <w:t>újrafeldolgozási aránya a körforgásos gazdaságra vonatkozó cselekvési tervben</w:t>
            </w:r>
          </w:p>
        </w:tc>
      </w:tr>
      <w:tr w:rsidR="003F5418" w14:paraId="13EEE8D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934AF5F" w14:textId="77777777" w:rsidR="003F5418" w:rsidRDefault="002A6C25">
            <w:pPr>
              <w:pStyle w:val="P68B1DB1-Normal9"/>
              <w:jc w:val="center"/>
              <w:rPr>
                <w:noProof/>
              </w:rPr>
            </w:pPr>
            <w:r>
              <w:rPr>
                <w:noProof/>
              </w:rPr>
              <w:t>M2C1–17 szepties</w:t>
            </w:r>
          </w:p>
        </w:tc>
        <w:tc>
          <w:tcPr>
            <w:tcW w:w="3075" w:type="dxa"/>
            <w:tcBorders>
              <w:top w:val="nil"/>
              <w:left w:val="nil"/>
              <w:bottom w:val="single" w:sz="4" w:space="0" w:color="auto"/>
              <w:right w:val="single" w:sz="4" w:space="0" w:color="auto"/>
            </w:tcBorders>
            <w:shd w:val="clear" w:color="auto" w:fill="C6EFCE"/>
            <w:noWrap/>
            <w:vAlign w:val="center"/>
          </w:tcPr>
          <w:p w14:paraId="45388B3B"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2542275C"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75ECAE7D" w14:textId="77777777" w:rsidR="003F5418" w:rsidRDefault="002A6C25">
            <w:pPr>
              <w:pStyle w:val="P68B1DB1-Normal9"/>
              <w:jc w:val="center"/>
              <w:rPr>
                <w:noProof/>
              </w:rPr>
            </w:pPr>
            <w:r>
              <w:rPr>
                <w:noProof/>
              </w:rPr>
              <w:t>A papír és a karton újrafeldolgozási aránya a körforgásos gazdaságra vonatkozó cselekvési tervben</w:t>
            </w:r>
          </w:p>
        </w:tc>
      </w:tr>
      <w:tr w:rsidR="003F5418" w14:paraId="573C0A0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F6794FD" w14:textId="77777777" w:rsidR="003F5418" w:rsidRDefault="002A6C25">
            <w:pPr>
              <w:pStyle w:val="P68B1DB1-Normal9"/>
              <w:jc w:val="center"/>
              <w:rPr>
                <w:noProof/>
              </w:rPr>
            </w:pPr>
            <w:r>
              <w:rPr>
                <w:noProof/>
              </w:rPr>
              <w:t>M2C</w:t>
            </w:r>
            <w:r>
              <w:rPr>
                <w:noProof/>
              </w:rPr>
              <w:t>1–17 okty</w:t>
            </w:r>
          </w:p>
        </w:tc>
        <w:tc>
          <w:tcPr>
            <w:tcW w:w="3075" w:type="dxa"/>
            <w:tcBorders>
              <w:top w:val="nil"/>
              <w:left w:val="nil"/>
              <w:bottom w:val="single" w:sz="4" w:space="0" w:color="auto"/>
              <w:right w:val="single" w:sz="4" w:space="0" w:color="auto"/>
            </w:tcBorders>
            <w:shd w:val="clear" w:color="auto" w:fill="C6EFCE"/>
            <w:noWrap/>
            <w:vAlign w:val="center"/>
          </w:tcPr>
          <w:p w14:paraId="53CB84AD" w14:textId="77777777" w:rsidR="003F5418" w:rsidRDefault="002A6C25">
            <w:pPr>
              <w:pStyle w:val="P68B1DB1-Normal9"/>
              <w:rPr>
                <w:noProof/>
              </w:rPr>
            </w:pP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41ADC7B9"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42D3ED1B" w14:textId="77777777" w:rsidR="003F5418" w:rsidRDefault="002A6C25">
            <w:pPr>
              <w:pStyle w:val="P68B1DB1-Normal9"/>
              <w:jc w:val="center"/>
              <w:rPr>
                <w:noProof/>
              </w:rPr>
            </w:pPr>
            <w:r>
              <w:rPr>
                <w:noProof/>
              </w:rPr>
              <w:t>A műanyag csomagolás újrafeldolgozási aránya a körforgásos gazdaságra vonatkozó cselekvési tervben</w:t>
            </w:r>
          </w:p>
        </w:tc>
      </w:tr>
      <w:tr w:rsidR="003F5418" w14:paraId="6674567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559E452" w14:textId="77777777" w:rsidR="003F5418" w:rsidRDefault="002A6C25">
            <w:pPr>
              <w:pStyle w:val="P68B1DB1-Normal9"/>
              <w:jc w:val="center"/>
              <w:rPr>
                <w:noProof/>
              </w:rPr>
            </w:pPr>
            <w:r>
              <w:rPr>
                <w:noProof/>
              </w:rPr>
              <w:t>M2C1–17 nemzetségek</w:t>
            </w:r>
          </w:p>
        </w:tc>
        <w:tc>
          <w:tcPr>
            <w:tcW w:w="3075" w:type="dxa"/>
            <w:tcBorders>
              <w:top w:val="nil"/>
              <w:left w:val="nil"/>
              <w:bottom w:val="single" w:sz="4" w:space="0" w:color="auto"/>
              <w:right w:val="single" w:sz="4" w:space="0" w:color="auto"/>
            </w:tcBorders>
            <w:shd w:val="clear" w:color="auto" w:fill="C6EFCE"/>
            <w:noWrap/>
            <w:vAlign w:val="center"/>
          </w:tcPr>
          <w:p w14:paraId="5498EA97" w14:textId="77777777" w:rsidR="003F5418" w:rsidRDefault="002A6C25">
            <w:pPr>
              <w:pStyle w:val="P68B1DB1-Normal9"/>
              <w:rPr>
                <w:noProof/>
              </w:rPr>
            </w:pPr>
            <w:r>
              <w:rPr>
                <w:noProof/>
              </w:rPr>
              <w:t xml:space="preserve">Reform: A körforgásos gazdaságra vonatkozó nemzeti program; </w:t>
            </w:r>
            <w:r>
              <w:rPr>
                <w:noProof/>
              </w:rPr>
              <w:t>Beruházás – A körforgásos gazdaság kiemelt projektjei</w:t>
            </w:r>
          </w:p>
        </w:tc>
        <w:tc>
          <w:tcPr>
            <w:tcW w:w="1528" w:type="dxa"/>
            <w:tcBorders>
              <w:top w:val="nil"/>
              <w:left w:val="nil"/>
              <w:bottom w:val="single" w:sz="4" w:space="0" w:color="auto"/>
              <w:right w:val="single" w:sz="4" w:space="0" w:color="auto"/>
            </w:tcBorders>
            <w:shd w:val="clear" w:color="auto" w:fill="C6EFCE"/>
            <w:noWrap/>
            <w:vAlign w:val="center"/>
          </w:tcPr>
          <w:p w14:paraId="096C83AB" w14:textId="77777777" w:rsidR="003F5418" w:rsidRDefault="002A6C25">
            <w:pPr>
              <w:pStyle w:val="P68B1DB1-Normal9"/>
              <w:jc w:val="center"/>
              <w:rPr>
                <w:noProof/>
              </w:rPr>
            </w:pPr>
            <w:r>
              <w:rPr>
                <w:noProof/>
              </w:rPr>
              <w:t>Mérföldkő</w:t>
            </w:r>
          </w:p>
        </w:tc>
        <w:tc>
          <w:tcPr>
            <w:tcW w:w="4056" w:type="dxa"/>
            <w:tcBorders>
              <w:top w:val="nil"/>
              <w:left w:val="nil"/>
              <w:bottom w:val="single" w:sz="4" w:space="0" w:color="auto"/>
              <w:right w:val="single" w:sz="4" w:space="0" w:color="auto"/>
            </w:tcBorders>
            <w:shd w:val="clear" w:color="auto" w:fill="C6EFCE"/>
            <w:noWrap/>
            <w:vAlign w:val="center"/>
          </w:tcPr>
          <w:p w14:paraId="2303DE50" w14:textId="77777777" w:rsidR="003F5418" w:rsidRDefault="002A6C25">
            <w:pPr>
              <w:pStyle w:val="P68B1DB1-Normal9"/>
              <w:jc w:val="center"/>
              <w:rPr>
                <w:noProof/>
              </w:rPr>
            </w:pPr>
            <w:r>
              <w:rPr>
                <w:noProof/>
              </w:rPr>
              <w:t>A háztartások és textíliák által termelt veszélyes hulladékfrakciók elkülönített gyűjtésének hatálybalépése</w:t>
            </w:r>
          </w:p>
        </w:tc>
      </w:tr>
      <w:tr w:rsidR="003F5418" w14:paraId="3A0607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825DDF0" w14:textId="77777777" w:rsidR="003F5418" w:rsidRDefault="002A6C25">
            <w:pPr>
              <w:pStyle w:val="P68B1DB1-Normal9"/>
              <w:jc w:val="center"/>
              <w:rPr>
                <w:noProof/>
              </w:rPr>
            </w:pPr>
            <w:r>
              <w:rPr>
                <w:noProof/>
              </w:rPr>
              <w:t>M2C2–40</w:t>
            </w:r>
          </w:p>
        </w:tc>
        <w:tc>
          <w:tcPr>
            <w:tcW w:w="3075" w:type="dxa"/>
            <w:tcBorders>
              <w:top w:val="nil"/>
              <w:left w:val="nil"/>
              <w:bottom w:val="single" w:sz="4" w:space="0" w:color="auto"/>
              <w:right w:val="single" w:sz="4" w:space="0" w:color="auto"/>
            </w:tcBorders>
            <w:shd w:val="clear" w:color="auto" w:fill="C6EFCE"/>
            <w:noWrap/>
            <w:vAlign w:val="center"/>
          </w:tcPr>
          <w:p w14:paraId="7FBFF755" w14:textId="77777777" w:rsidR="003F5418" w:rsidRDefault="002A6C25">
            <w:pPr>
              <w:pStyle w:val="P68B1DB1-Normal9"/>
              <w:rPr>
                <w:noProof/>
              </w:rPr>
            </w:pPr>
            <w:r>
              <w:rPr>
                <w:noProof/>
              </w:rPr>
              <w:t>Beruházás:  Megújuló energiaforrások és akkumulátorok</w:t>
            </w:r>
          </w:p>
        </w:tc>
        <w:tc>
          <w:tcPr>
            <w:tcW w:w="1528" w:type="dxa"/>
            <w:tcBorders>
              <w:top w:val="nil"/>
              <w:left w:val="nil"/>
              <w:bottom w:val="single" w:sz="4" w:space="0" w:color="auto"/>
              <w:right w:val="single" w:sz="4" w:space="0" w:color="auto"/>
            </w:tcBorders>
            <w:shd w:val="clear" w:color="auto" w:fill="C6EFCE"/>
            <w:noWrap/>
            <w:vAlign w:val="center"/>
          </w:tcPr>
          <w:p w14:paraId="02806C19"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3BFA412" w14:textId="77777777" w:rsidR="003F5418" w:rsidRDefault="002A6C25">
            <w:pPr>
              <w:pStyle w:val="P68B1DB1-Normal9"/>
              <w:jc w:val="center"/>
              <w:rPr>
                <w:noProof/>
              </w:rPr>
            </w:pPr>
            <w:r>
              <w:rPr>
                <w:noProof/>
              </w:rPr>
              <w:t>A végső kedvezmén</w:t>
            </w:r>
            <w:r>
              <w:rPr>
                <w:noProof/>
              </w:rPr>
              <w:t>yezettekkel aláírt, a fotovoltaikus vagy szélenergia-technológiák és akkumulátorok energiatermelési kapacitásának megfelelő jogi megállapodások</w:t>
            </w:r>
          </w:p>
        </w:tc>
      </w:tr>
      <w:tr w:rsidR="003F5418" w14:paraId="1F3374F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635C77" w14:textId="77777777" w:rsidR="003F5418" w:rsidRDefault="002A6C25">
            <w:pPr>
              <w:pStyle w:val="P68B1DB1-Normal9"/>
              <w:jc w:val="center"/>
              <w:rPr>
                <w:noProof/>
              </w:rPr>
            </w:pPr>
            <w:r>
              <w:rPr>
                <w:noProof/>
              </w:rPr>
              <w:t>M2C2–46</w:t>
            </w:r>
          </w:p>
        </w:tc>
        <w:tc>
          <w:tcPr>
            <w:tcW w:w="3075" w:type="dxa"/>
            <w:tcBorders>
              <w:top w:val="nil"/>
              <w:left w:val="nil"/>
              <w:bottom w:val="single" w:sz="4" w:space="0" w:color="auto"/>
              <w:right w:val="single" w:sz="4" w:space="0" w:color="auto"/>
            </w:tcBorders>
            <w:shd w:val="clear" w:color="auto" w:fill="C6EFCE"/>
            <w:noWrap/>
            <w:vAlign w:val="center"/>
          </w:tcPr>
          <w:p w14:paraId="42DEF84E" w14:textId="77777777" w:rsidR="003F5418" w:rsidRDefault="002A6C25">
            <w:pPr>
              <w:pStyle w:val="P68B1DB1-Normal9"/>
              <w:rPr>
                <w:noProof/>
              </w:rPr>
            </w:pPr>
            <w:r>
              <w:rPr>
                <w:noProof/>
              </w:rPr>
              <w:t>Beruházás: A megújuló energiaforrások előmozdítása az energiaközösségek és a közösen fellépő termelő-fo</w:t>
            </w:r>
            <w:r>
              <w:rPr>
                <w:noProof/>
              </w:rPr>
              <w:t>gyasztók számára</w:t>
            </w:r>
          </w:p>
        </w:tc>
        <w:tc>
          <w:tcPr>
            <w:tcW w:w="1528" w:type="dxa"/>
            <w:tcBorders>
              <w:top w:val="nil"/>
              <w:left w:val="nil"/>
              <w:bottom w:val="single" w:sz="4" w:space="0" w:color="auto"/>
              <w:right w:val="single" w:sz="4" w:space="0" w:color="auto"/>
            </w:tcBorders>
            <w:shd w:val="clear" w:color="auto" w:fill="C6EFCE"/>
            <w:noWrap/>
            <w:vAlign w:val="center"/>
          </w:tcPr>
          <w:p w14:paraId="7EE88F37" w14:textId="77777777" w:rsidR="003F5418" w:rsidRDefault="002A6C25">
            <w:pPr>
              <w:pStyle w:val="P68B1DB1-Normal9"/>
              <w:jc w:val="center"/>
              <w:rPr>
                <w:noProof/>
              </w:rPr>
            </w:pPr>
            <w:r>
              <w:rPr>
                <w:noProof/>
              </w:rPr>
              <w:t>Mérföldkő</w:t>
            </w:r>
          </w:p>
        </w:tc>
        <w:tc>
          <w:tcPr>
            <w:tcW w:w="4056" w:type="dxa"/>
            <w:tcBorders>
              <w:top w:val="nil"/>
              <w:left w:val="nil"/>
              <w:bottom w:val="single" w:sz="4" w:space="0" w:color="auto"/>
              <w:right w:val="single" w:sz="4" w:space="0" w:color="auto"/>
            </w:tcBorders>
            <w:shd w:val="clear" w:color="auto" w:fill="C6EFCE"/>
            <w:noWrap/>
            <w:vAlign w:val="center"/>
          </w:tcPr>
          <w:p w14:paraId="3ACB2ABD" w14:textId="77777777" w:rsidR="003F5418" w:rsidRDefault="002A6C25">
            <w:pPr>
              <w:pStyle w:val="P68B1DB1-Normal9"/>
              <w:jc w:val="center"/>
              <w:rPr>
                <w:noProof/>
              </w:rPr>
            </w:pPr>
            <w:r>
              <w:rPr>
                <w:noProof/>
              </w:rPr>
              <w:t>Az energiaközösségeket célzó beavatkozások végrehajtásához nyújtott támogatások odaítélésére irányuló valamennyi közbeszerzési szerződés odaítélése</w:t>
            </w:r>
          </w:p>
        </w:tc>
      </w:tr>
      <w:tr w:rsidR="003F5418" w14:paraId="7279BB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1A2B0E" w14:textId="77777777" w:rsidR="003F5418" w:rsidRDefault="002A6C25">
            <w:pPr>
              <w:pStyle w:val="P68B1DB1-Normal9"/>
              <w:jc w:val="center"/>
              <w:rPr>
                <w:noProof/>
              </w:rPr>
            </w:pPr>
            <w:r>
              <w:rPr>
                <w:noProof/>
              </w:rPr>
              <w:t>M3C1–23</w:t>
            </w:r>
          </w:p>
        </w:tc>
        <w:tc>
          <w:tcPr>
            <w:tcW w:w="3075" w:type="dxa"/>
            <w:tcBorders>
              <w:top w:val="nil"/>
              <w:left w:val="nil"/>
              <w:bottom w:val="single" w:sz="4" w:space="0" w:color="auto"/>
              <w:right w:val="single" w:sz="4" w:space="0" w:color="auto"/>
            </w:tcBorders>
            <w:shd w:val="clear" w:color="auto" w:fill="C6EFCE"/>
            <w:noWrap/>
            <w:vAlign w:val="center"/>
          </w:tcPr>
          <w:p w14:paraId="4AF261F8" w14:textId="77777777" w:rsidR="003F5418" w:rsidRDefault="002A6C25">
            <w:pPr>
              <w:pStyle w:val="P68B1DB1-Normal9"/>
              <w:rPr>
                <w:noProof/>
              </w:rPr>
            </w:pPr>
            <w:r>
              <w:rPr>
                <w:noProof/>
              </w:rPr>
              <w:t>Beruházás régióközi kapcsolatok</w:t>
            </w:r>
          </w:p>
        </w:tc>
        <w:tc>
          <w:tcPr>
            <w:tcW w:w="1528" w:type="dxa"/>
            <w:tcBorders>
              <w:top w:val="nil"/>
              <w:left w:val="nil"/>
              <w:bottom w:val="single" w:sz="4" w:space="0" w:color="auto"/>
              <w:right w:val="single" w:sz="4" w:space="0" w:color="auto"/>
            </w:tcBorders>
            <w:shd w:val="clear" w:color="auto" w:fill="C6EFCE"/>
            <w:noWrap/>
            <w:vAlign w:val="center"/>
          </w:tcPr>
          <w:p w14:paraId="4FA5558A"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4CF5EEF" w14:textId="77777777" w:rsidR="003F5418" w:rsidRDefault="002A6C25">
            <w:pPr>
              <w:pStyle w:val="P68B1DB1-Normal9"/>
              <w:jc w:val="center"/>
              <w:rPr>
                <w:noProof/>
              </w:rPr>
            </w:pPr>
            <w:r>
              <w:rPr>
                <w:noProof/>
              </w:rPr>
              <w:t>Beruházás régióközi kapcsolatok</w:t>
            </w:r>
          </w:p>
        </w:tc>
      </w:tr>
      <w:tr w:rsidR="003F5418" w14:paraId="452B54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3196007" w14:textId="77777777" w:rsidR="003F5418" w:rsidRDefault="002A6C25">
            <w:pPr>
              <w:pStyle w:val="P68B1DB1-Normal9"/>
              <w:jc w:val="center"/>
              <w:rPr>
                <w:noProof/>
              </w:rPr>
            </w:pPr>
            <w:r>
              <w:rPr>
                <w:noProof/>
              </w:rPr>
              <w:t>M4C2–13</w:t>
            </w:r>
          </w:p>
        </w:tc>
        <w:tc>
          <w:tcPr>
            <w:tcW w:w="3075" w:type="dxa"/>
            <w:tcBorders>
              <w:top w:val="nil"/>
              <w:left w:val="nil"/>
              <w:bottom w:val="single" w:sz="4" w:space="0" w:color="auto"/>
              <w:right w:val="single" w:sz="4" w:space="0" w:color="auto"/>
            </w:tcBorders>
            <w:shd w:val="clear" w:color="auto" w:fill="C6EFCE"/>
            <w:noWrap/>
            <w:vAlign w:val="center"/>
          </w:tcPr>
          <w:p w14:paraId="3F85D55E" w14:textId="77777777" w:rsidR="003F5418" w:rsidRDefault="002A6C25">
            <w:pPr>
              <w:pStyle w:val="P68B1DB1-Normal9"/>
              <w:rPr>
                <w:noProof/>
              </w:rPr>
            </w:pPr>
            <w:r>
              <w:rPr>
                <w:noProof/>
              </w:rPr>
              <w:t>Beruházás: A technológiaátadási központok megerősítése és ágazati/területi bővítése ipari szegmensek szerint</w:t>
            </w:r>
          </w:p>
        </w:tc>
        <w:tc>
          <w:tcPr>
            <w:tcW w:w="1528" w:type="dxa"/>
            <w:tcBorders>
              <w:top w:val="nil"/>
              <w:left w:val="nil"/>
              <w:bottom w:val="single" w:sz="4" w:space="0" w:color="auto"/>
              <w:right w:val="single" w:sz="4" w:space="0" w:color="auto"/>
            </w:tcBorders>
            <w:shd w:val="clear" w:color="auto" w:fill="C6EFCE"/>
            <w:noWrap/>
            <w:vAlign w:val="center"/>
          </w:tcPr>
          <w:p w14:paraId="0C575569"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0D7463F5" w14:textId="77777777" w:rsidR="003F5418" w:rsidRDefault="002A6C25">
            <w:pPr>
              <w:pStyle w:val="P68B1DB1-Normal9"/>
              <w:jc w:val="center"/>
              <w:rPr>
                <w:noProof/>
              </w:rPr>
            </w:pPr>
            <w:r>
              <w:rPr>
                <w:noProof/>
              </w:rPr>
              <w:t>A létrehozandó új központok száma</w:t>
            </w:r>
          </w:p>
        </w:tc>
      </w:tr>
      <w:tr w:rsidR="003F5418" w14:paraId="1F34BFA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A44F482" w14:textId="77777777" w:rsidR="003F5418" w:rsidRDefault="002A6C25">
            <w:pPr>
              <w:pStyle w:val="P68B1DB1-Normal9"/>
              <w:jc w:val="center"/>
              <w:rPr>
                <w:noProof/>
              </w:rPr>
            </w:pPr>
            <w:r>
              <w:rPr>
                <w:noProof/>
              </w:rPr>
              <w:t>M6C1–9</w:t>
            </w:r>
          </w:p>
        </w:tc>
        <w:tc>
          <w:tcPr>
            <w:tcW w:w="3075" w:type="dxa"/>
            <w:tcBorders>
              <w:top w:val="nil"/>
              <w:left w:val="nil"/>
              <w:bottom w:val="single" w:sz="4" w:space="0" w:color="auto"/>
              <w:right w:val="single" w:sz="4" w:space="0" w:color="auto"/>
            </w:tcBorders>
            <w:shd w:val="clear" w:color="auto" w:fill="C6EFCE"/>
            <w:noWrap/>
            <w:vAlign w:val="center"/>
          </w:tcPr>
          <w:p w14:paraId="3264DB05" w14:textId="77777777" w:rsidR="003F5418" w:rsidRDefault="002A6C25">
            <w:pPr>
              <w:pStyle w:val="P68B1DB1-Normal9"/>
              <w:rPr>
                <w:noProof/>
              </w:rPr>
            </w:pPr>
            <w:r>
              <w:rPr>
                <w:noProof/>
              </w:rPr>
              <w:t>Beruházás: Az otthon mint a gondozás és a távorvoslás első helye</w:t>
            </w:r>
          </w:p>
        </w:tc>
        <w:tc>
          <w:tcPr>
            <w:tcW w:w="1528" w:type="dxa"/>
            <w:tcBorders>
              <w:top w:val="nil"/>
              <w:left w:val="nil"/>
              <w:bottom w:val="single" w:sz="4" w:space="0" w:color="auto"/>
              <w:right w:val="single" w:sz="4" w:space="0" w:color="auto"/>
            </w:tcBorders>
            <w:shd w:val="clear" w:color="auto" w:fill="C6EFCE"/>
            <w:noWrap/>
            <w:vAlign w:val="center"/>
          </w:tcPr>
          <w:p w14:paraId="623326B5"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5F60CA10" w14:textId="77777777" w:rsidR="003F5418" w:rsidRDefault="002A6C25">
            <w:pPr>
              <w:pStyle w:val="P68B1DB1-Normal9"/>
              <w:jc w:val="center"/>
              <w:rPr>
                <w:noProof/>
              </w:rPr>
            </w:pPr>
            <w:r>
              <w:rPr>
                <w:noProof/>
              </w:rPr>
              <w:t>Távorvoslási eszközökkel</w:t>
            </w:r>
            <w:r>
              <w:rPr>
                <w:noProof/>
              </w:rPr>
              <w:t xml:space="preserve"> segített személyek száma (harmadik tétel)</w:t>
            </w:r>
          </w:p>
        </w:tc>
      </w:tr>
      <w:tr w:rsidR="003F5418" w14:paraId="4E16CB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A8219C" w14:textId="77777777" w:rsidR="003F5418" w:rsidRDefault="002A6C25">
            <w:pPr>
              <w:pStyle w:val="P68B1DB1-Normal9"/>
              <w:jc w:val="center"/>
              <w:rPr>
                <w:noProof/>
              </w:rPr>
            </w:pPr>
            <w:r>
              <w:rPr>
                <w:noProof/>
              </w:rPr>
              <w:t>M6C2–8</w:t>
            </w:r>
          </w:p>
        </w:tc>
        <w:tc>
          <w:tcPr>
            <w:tcW w:w="3075" w:type="dxa"/>
            <w:tcBorders>
              <w:top w:val="nil"/>
              <w:left w:val="nil"/>
              <w:bottom w:val="single" w:sz="4" w:space="0" w:color="auto"/>
              <w:right w:val="single" w:sz="4" w:space="0" w:color="auto"/>
            </w:tcBorders>
            <w:shd w:val="clear" w:color="auto" w:fill="C6EFCE"/>
            <w:noWrap/>
            <w:vAlign w:val="center"/>
          </w:tcPr>
          <w:p w14:paraId="5E1E3842" w14:textId="77777777" w:rsidR="003F5418" w:rsidRDefault="002A6C25">
            <w:pPr>
              <w:pStyle w:val="P68B1DB1-Normal39"/>
              <w:rPr>
                <w:noProof/>
              </w:rPr>
            </w:pPr>
            <w:r>
              <w:rPr>
                <w:noProof/>
              </w:rPr>
              <w:t>Beruházás: A kórházak technológiai berendezéseinek digitális frissítése</w:t>
            </w:r>
          </w:p>
        </w:tc>
        <w:tc>
          <w:tcPr>
            <w:tcW w:w="1528" w:type="dxa"/>
            <w:tcBorders>
              <w:top w:val="nil"/>
              <w:left w:val="nil"/>
              <w:bottom w:val="single" w:sz="4" w:space="0" w:color="auto"/>
              <w:right w:val="single" w:sz="4" w:space="0" w:color="auto"/>
            </w:tcBorders>
            <w:shd w:val="clear" w:color="auto" w:fill="C6EFCE"/>
            <w:noWrap/>
            <w:vAlign w:val="center"/>
          </w:tcPr>
          <w:p w14:paraId="48612CF8" w14:textId="77777777" w:rsidR="003F5418" w:rsidRDefault="002A6C25">
            <w:pPr>
              <w:pStyle w:val="P68B1DB1-Normal3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5306FCA3" w14:textId="77777777" w:rsidR="003F5418" w:rsidRDefault="002A6C25">
            <w:pPr>
              <w:pStyle w:val="P68B1DB1-Normal39"/>
              <w:jc w:val="center"/>
              <w:rPr>
                <w:noProof/>
              </w:rPr>
            </w:pPr>
            <w:r>
              <w:rPr>
                <w:noProof/>
              </w:rPr>
              <w:t>A kórházak digitalizálása (DEA – Veszélyhelyzeti és Befogadási Osztályok – I. és II. szint)</w:t>
            </w:r>
          </w:p>
        </w:tc>
      </w:tr>
      <w:tr w:rsidR="003F5418" w14:paraId="3B0E46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7DBF56" w14:textId="77777777" w:rsidR="003F5418" w:rsidRDefault="002A6C25">
            <w:pPr>
              <w:pStyle w:val="P68B1DB1-Normal9"/>
              <w:jc w:val="center"/>
              <w:rPr>
                <w:noProof/>
              </w:rPr>
            </w:pPr>
            <w:r>
              <w:rPr>
                <w:noProof/>
              </w:rPr>
              <w:t>M6C2–11</w:t>
            </w:r>
          </w:p>
        </w:tc>
        <w:tc>
          <w:tcPr>
            <w:tcW w:w="3075" w:type="dxa"/>
            <w:tcBorders>
              <w:top w:val="nil"/>
              <w:left w:val="nil"/>
              <w:bottom w:val="single" w:sz="4" w:space="0" w:color="auto"/>
              <w:right w:val="single" w:sz="4" w:space="0" w:color="auto"/>
            </w:tcBorders>
            <w:shd w:val="clear" w:color="auto" w:fill="C6EFCE"/>
            <w:noWrap/>
            <w:vAlign w:val="center"/>
          </w:tcPr>
          <w:p w14:paraId="02222A5A" w14:textId="77777777" w:rsidR="003F5418" w:rsidRDefault="002A6C25">
            <w:pPr>
              <w:pStyle w:val="P68B1DB1-Normal39"/>
              <w:rPr>
                <w:noProof/>
              </w:rPr>
            </w:pPr>
            <w:r>
              <w:rPr>
                <w:noProof/>
              </w:rPr>
              <w:t xml:space="preserve">Beruházás: A technológiai </w:t>
            </w:r>
            <w:r>
              <w:rPr>
                <w:noProof/>
              </w:rPr>
              <w:t>infrastruktúra, valamint az adatgyűjtési, adatkezelési, adatelemzési és -szimulációs eszközök megerősítése</w:t>
            </w:r>
          </w:p>
        </w:tc>
        <w:tc>
          <w:tcPr>
            <w:tcW w:w="1528" w:type="dxa"/>
            <w:tcBorders>
              <w:top w:val="nil"/>
              <w:left w:val="nil"/>
              <w:bottom w:val="single" w:sz="4" w:space="0" w:color="auto"/>
              <w:right w:val="single" w:sz="4" w:space="0" w:color="auto"/>
            </w:tcBorders>
            <w:shd w:val="clear" w:color="auto" w:fill="C6EFCE"/>
            <w:noWrap/>
            <w:vAlign w:val="center"/>
          </w:tcPr>
          <w:p w14:paraId="73BF6595" w14:textId="77777777" w:rsidR="003F5418" w:rsidRDefault="002A6C25">
            <w:pPr>
              <w:pStyle w:val="P68B1DB1-Normal3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0A8E963" w14:textId="77777777" w:rsidR="003F5418" w:rsidRDefault="002A6C25">
            <w:pPr>
              <w:pStyle w:val="P68B1DB1-Normal39"/>
              <w:jc w:val="center"/>
              <w:rPr>
                <w:noProof/>
              </w:rPr>
            </w:pPr>
            <w:r>
              <w:rPr>
                <w:noProof/>
              </w:rPr>
              <w:t>Az elektronikus egészségügyi nyilvántartással foglalkozó háziorvosok.</w:t>
            </w:r>
          </w:p>
        </w:tc>
      </w:tr>
      <w:tr w:rsidR="003F5418" w14:paraId="67A4E2D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C18C90" w14:textId="77777777" w:rsidR="003F5418" w:rsidRDefault="002A6C25">
            <w:pPr>
              <w:pStyle w:val="P68B1DB1-Normal9"/>
              <w:jc w:val="center"/>
              <w:rPr>
                <w:noProof/>
              </w:rPr>
            </w:pPr>
            <w:r>
              <w:rPr>
                <w:noProof/>
              </w:rPr>
              <w:t>M1C3–33</w:t>
            </w:r>
          </w:p>
        </w:tc>
        <w:tc>
          <w:tcPr>
            <w:tcW w:w="3075" w:type="dxa"/>
            <w:tcBorders>
              <w:top w:val="nil"/>
              <w:left w:val="nil"/>
              <w:bottom w:val="single" w:sz="4" w:space="0" w:color="auto"/>
              <w:right w:val="single" w:sz="4" w:space="0" w:color="auto"/>
            </w:tcBorders>
            <w:shd w:val="clear" w:color="auto" w:fill="C6EFCE"/>
            <w:noWrap/>
            <w:vAlign w:val="center"/>
          </w:tcPr>
          <w:p w14:paraId="753A48F3" w14:textId="77777777" w:rsidR="003F5418" w:rsidRDefault="002A6C25">
            <w:pPr>
              <w:pStyle w:val="P68B1DB1-Normal9"/>
              <w:rPr>
                <w:noProof/>
              </w:rPr>
            </w:pPr>
            <w:r>
              <w:rPr>
                <w:noProof/>
              </w:rPr>
              <w:t>Beruházás: Az idegenforgalmi vállalkozások versenyképességét szolg</w:t>
            </w:r>
            <w:r>
              <w:rPr>
                <w:noProof/>
              </w:rPr>
              <w:t>áló alapok</w:t>
            </w:r>
          </w:p>
        </w:tc>
        <w:tc>
          <w:tcPr>
            <w:tcW w:w="1528" w:type="dxa"/>
            <w:tcBorders>
              <w:top w:val="nil"/>
              <w:left w:val="nil"/>
              <w:bottom w:val="single" w:sz="4" w:space="0" w:color="auto"/>
              <w:right w:val="single" w:sz="4" w:space="0" w:color="auto"/>
            </w:tcBorders>
            <w:shd w:val="clear" w:color="auto" w:fill="C6EFCE"/>
            <w:noWrap/>
            <w:vAlign w:val="center"/>
          </w:tcPr>
          <w:p w14:paraId="580D8DE8" w14:textId="77777777" w:rsidR="003F5418" w:rsidRDefault="002A6C25">
            <w:pPr>
              <w:pStyle w:val="P68B1DB1-Normal9"/>
              <w:jc w:val="center"/>
              <w:rPr>
                <w:noProof/>
              </w:rPr>
            </w:pPr>
            <w:r>
              <w:rPr>
                <w:noProof/>
              </w:rPr>
              <w:t>Cél</w:t>
            </w:r>
          </w:p>
        </w:tc>
        <w:tc>
          <w:tcPr>
            <w:tcW w:w="4056" w:type="dxa"/>
            <w:tcBorders>
              <w:top w:val="nil"/>
              <w:left w:val="nil"/>
              <w:bottom w:val="single" w:sz="4" w:space="0" w:color="auto"/>
              <w:right w:val="single" w:sz="4" w:space="0" w:color="auto"/>
            </w:tcBorders>
            <w:shd w:val="clear" w:color="auto" w:fill="C6EFCE"/>
            <w:noWrap/>
            <w:vAlign w:val="center"/>
          </w:tcPr>
          <w:p w14:paraId="1B09F266" w14:textId="77777777" w:rsidR="003F5418" w:rsidRDefault="002A6C25">
            <w:pPr>
              <w:pStyle w:val="P68B1DB1-Normal9"/>
              <w:jc w:val="center"/>
              <w:rPr>
                <w:noProof/>
              </w:rPr>
            </w:pPr>
            <w:r>
              <w:rPr>
                <w:noProof/>
              </w:rPr>
              <w:t xml:space="preserve">A Fondo Rotative (első csoport) révén támogatandó vállalkozások száma  </w:t>
            </w:r>
          </w:p>
        </w:tc>
      </w:tr>
      <w:tr w:rsidR="003F5418" w14:paraId="472E7E0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9FE76A" w14:textId="77777777" w:rsidR="003F5418" w:rsidRDefault="003F5418">
            <w:pPr>
              <w:jc w:val="center"/>
              <w:rPr>
                <w:noProof/>
                <w:color w:val="006100"/>
                <w:sz w:val="20"/>
              </w:rPr>
            </w:pPr>
          </w:p>
        </w:tc>
        <w:tc>
          <w:tcPr>
            <w:tcW w:w="3075" w:type="dxa"/>
            <w:tcBorders>
              <w:top w:val="single" w:sz="4" w:space="0" w:color="auto"/>
              <w:left w:val="nil"/>
              <w:bottom w:val="single" w:sz="4" w:space="0" w:color="auto"/>
              <w:right w:val="single" w:sz="4" w:space="0" w:color="auto"/>
            </w:tcBorders>
            <w:shd w:val="clear" w:color="auto" w:fill="C6EFCE"/>
            <w:noWrap/>
            <w:vAlign w:val="bottom"/>
          </w:tcPr>
          <w:p w14:paraId="007DB104" w14:textId="77777777" w:rsidR="003F5418" w:rsidRDefault="003F5418">
            <w:pPr>
              <w:rPr>
                <w:noProof/>
                <w:color w:val="006100"/>
                <w:sz w:val="20"/>
              </w:rPr>
            </w:pPr>
          </w:p>
        </w:tc>
        <w:tc>
          <w:tcPr>
            <w:tcW w:w="1528" w:type="dxa"/>
            <w:tcBorders>
              <w:top w:val="single" w:sz="4" w:space="0" w:color="auto"/>
              <w:left w:val="nil"/>
              <w:bottom w:val="single" w:sz="4" w:space="0" w:color="auto"/>
              <w:right w:val="single" w:sz="4" w:space="0" w:color="auto"/>
            </w:tcBorders>
            <w:shd w:val="clear" w:color="auto" w:fill="C6EFCE"/>
            <w:noWrap/>
            <w:vAlign w:val="bottom"/>
          </w:tcPr>
          <w:p w14:paraId="70FCA251" w14:textId="77777777" w:rsidR="003F5418" w:rsidRDefault="002A6C25">
            <w:pPr>
              <w:pStyle w:val="P68B1DB1-Normal9"/>
              <w:rPr>
                <w:noProof/>
              </w:rPr>
            </w:pPr>
            <w:r>
              <w:rPr>
                <w:noProof/>
              </w:rPr>
              <w:t>Részösszeg</w:t>
            </w:r>
          </w:p>
        </w:tc>
        <w:tc>
          <w:tcPr>
            <w:tcW w:w="4056" w:type="dxa"/>
            <w:tcBorders>
              <w:top w:val="single" w:sz="4" w:space="0" w:color="auto"/>
              <w:left w:val="nil"/>
              <w:bottom w:val="single" w:sz="4" w:space="0" w:color="auto"/>
              <w:right w:val="single" w:sz="4" w:space="0" w:color="auto"/>
            </w:tcBorders>
            <w:shd w:val="clear" w:color="auto" w:fill="C6EFCE"/>
            <w:noWrap/>
            <w:vAlign w:val="bottom"/>
          </w:tcPr>
          <w:p w14:paraId="26EC02A7" w14:textId="75D60397" w:rsidR="003F5418" w:rsidRDefault="002A6C25">
            <w:pPr>
              <w:pStyle w:val="P68B1DB1-Normal9"/>
              <w:rPr>
                <w:noProof/>
              </w:rPr>
            </w:pPr>
            <w:r>
              <w:rPr>
                <w:noProof/>
              </w:rPr>
              <w:t>7 118 464 154 EUR</w:t>
            </w:r>
          </w:p>
        </w:tc>
      </w:tr>
    </w:tbl>
    <w:p w14:paraId="5DA5F00A" w14:textId="77777777" w:rsidR="003F5418" w:rsidRDefault="002A6C25">
      <w:pPr>
        <w:pStyle w:val="P68B1DB1-Normal35"/>
        <w:numPr>
          <w:ilvl w:val="1"/>
          <w:numId w:val="6"/>
        </w:numPr>
        <w:spacing w:before="120" w:after="120"/>
        <w:jc w:val="both"/>
        <w:rPr>
          <w:noProof/>
        </w:rPr>
      </w:pPr>
      <w:r>
        <w:rPr>
          <w:noProof/>
        </w:rPr>
        <w:t>Tizedik részlet (hiteltámogatás):</w:t>
      </w:r>
    </w:p>
    <w:tbl>
      <w:tblPr>
        <w:tblW w:w="10092" w:type="dxa"/>
        <w:tblInd w:w="113" w:type="dxa"/>
        <w:tblLook w:val="04A0" w:firstRow="1" w:lastRow="0" w:firstColumn="1" w:lastColumn="0" w:noHBand="0" w:noVBand="1"/>
      </w:tblPr>
      <w:tblGrid>
        <w:gridCol w:w="1438"/>
        <w:gridCol w:w="3090"/>
        <w:gridCol w:w="1498"/>
        <w:gridCol w:w="4091"/>
      </w:tblGrid>
      <w:tr w:rsidR="003F5418" w14:paraId="27A68440" w14:textId="77777777">
        <w:trPr>
          <w:trHeight w:val="906"/>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1F6A87E" w14:textId="77777777" w:rsidR="003F5418" w:rsidRDefault="002A6C25">
            <w:pPr>
              <w:pStyle w:val="P68B1DB1-Normal36"/>
              <w:jc w:val="center"/>
              <w:rPr>
                <w:noProof/>
              </w:rPr>
            </w:pPr>
            <w:r>
              <w:rPr>
                <w:noProof/>
              </w:rPr>
              <w:t>Sorszám</w:t>
            </w:r>
          </w:p>
        </w:tc>
        <w:tc>
          <w:tcPr>
            <w:tcW w:w="30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EAAC317" w14:textId="77777777" w:rsidR="003F5418" w:rsidRDefault="002A6C25">
            <w:pPr>
              <w:pStyle w:val="P68B1DB1-Normal36"/>
              <w:jc w:val="center"/>
              <w:rPr>
                <w:noProof/>
              </w:rPr>
            </w:pPr>
            <w:r>
              <w:rPr>
                <w:noProof/>
              </w:rPr>
              <w:t>Kapcsolódó intézkedés (reform vagy beruházás)</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0B109C" w14:textId="77777777" w:rsidR="003F5418" w:rsidRDefault="002A6C25">
            <w:pPr>
              <w:pStyle w:val="P68B1DB1-Normal36"/>
              <w:jc w:val="center"/>
              <w:rPr>
                <w:noProof/>
              </w:rPr>
            </w:pPr>
            <w:r>
              <w:rPr>
                <w:noProof/>
              </w:rPr>
              <w:t>Mérföldkő/cél</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B8926EA" w14:textId="77777777" w:rsidR="003F5418" w:rsidRDefault="002A6C25">
            <w:pPr>
              <w:pStyle w:val="P68B1DB1-Normal36"/>
              <w:jc w:val="center"/>
              <w:rPr>
                <w:noProof/>
              </w:rPr>
            </w:pPr>
            <w:r>
              <w:rPr>
                <w:noProof/>
              </w:rPr>
              <w:t>Név</w:t>
            </w:r>
          </w:p>
        </w:tc>
      </w:tr>
      <w:tr w:rsidR="003F5418" w14:paraId="3686F994" w14:textId="77777777">
        <w:trPr>
          <w:trHeight w:val="517"/>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A2C494B" w14:textId="77777777" w:rsidR="003F5418" w:rsidRDefault="003F5418">
            <w:pPr>
              <w:rPr>
                <w:b/>
                <w:noProof/>
              </w:rPr>
            </w:pPr>
          </w:p>
        </w:tc>
        <w:tc>
          <w:tcPr>
            <w:tcW w:w="3090" w:type="dxa"/>
            <w:vMerge/>
            <w:tcBorders>
              <w:top w:val="single" w:sz="4" w:space="0" w:color="auto"/>
              <w:left w:val="single" w:sz="4" w:space="0" w:color="auto"/>
              <w:bottom w:val="single" w:sz="4" w:space="0" w:color="auto"/>
              <w:right w:val="single" w:sz="4" w:space="0" w:color="auto"/>
            </w:tcBorders>
            <w:vAlign w:val="center"/>
            <w:hideMark/>
          </w:tcPr>
          <w:p w14:paraId="50048502" w14:textId="77777777" w:rsidR="003F5418" w:rsidRDefault="003F5418">
            <w:pPr>
              <w:rPr>
                <w:b/>
                <w:noProof/>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586F717F" w14:textId="77777777" w:rsidR="003F5418" w:rsidRDefault="003F5418">
            <w:pPr>
              <w:rPr>
                <w:b/>
                <w:noProof/>
              </w:rPr>
            </w:pPr>
          </w:p>
        </w:tc>
        <w:tc>
          <w:tcPr>
            <w:tcW w:w="4091" w:type="dxa"/>
            <w:vMerge/>
            <w:tcBorders>
              <w:top w:val="single" w:sz="4" w:space="0" w:color="auto"/>
              <w:left w:val="single" w:sz="4" w:space="0" w:color="auto"/>
              <w:bottom w:val="single" w:sz="4" w:space="0" w:color="auto"/>
              <w:right w:val="single" w:sz="4" w:space="0" w:color="auto"/>
            </w:tcBorders>
            <w:vAlign w:val="center"/>
            <w:hideMark/>
          </w:tcPr>
          <w:p w14:paraId="4661F1D3" w14:textId="77777777" w:rsidR="003F5418" w:rsidRDefault="003F5418">
            <w:pPr>
              <w:rPr>
                <w:b/>
                <w:noProof/>
              </w:rPr>
            </w:pPr>
          </w:p>
        </w:tc>
      </w:tr>
      <w:tr w:rsidR="003F5418" w14:paraId="1F11D850"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3217901" w14:textId="77777777" w:rsidR="003F5418" w:rsidRDefault="002A6C25">
            <w:pPr>
              <w:pStyle w:val="P68B1DB1-Normal9"/>
              <w:jc w:val="center"/>
              <w:rPr>
                <w:noProof/>
              </w:rPr>
            </w:pPr>
            <w:r>
              <w:rPr>
                <w:noProof/>
              </w:rPr>
              <w:t>M1C1–146</w:t>
            </w:r>
          </w:p>
        </w:tc>
        <w:tc>
          <w:tcPr>
            <w:tcW w:w="3090" w:type="dxa"/>
            <w:tcBorders>
              <w:top w:val="single" w:sz="4" w:space="0" w:color="auto"/>
              <w:left w:val="nil"/>
              <w:bottom w:val="single" w:sz="4" w:space="0" w:color="auto"/>
              <w:right w:val="single" w:sz="4" w:space="0" w:color="auto"/>
            </w:tcBorders>
            <w:shd w:val="clear" w:color="auto" w:fill="C6EFCE"/>
            <w:noWrap/>
            <w:vAlign w:val="center"/>
          </w:tcPr>
          <w:p w14:paraId="662C1E30" w14:textId="77777777" w:rsidR="003F5418" w:rsidRDefault="002A6C25">
            <w:pPr>
              <w:pStyle w:val="P68B1DB1-Normal9"/>
              <w:rPr>
                <w:noProof/>
              </w:rPr>
            </w:pPr>
            <w:r>
              <w:rPr>
                <w:noProof/>
              </w:rPr>
              <w:t xml:space="preserve">Beruházás – A </w:t>
            </w:r>
            <w:r>
              <w:rPr>
                <w:noProof/>
              </w:rPr>
              <w:t>nemzeti digitális személyazonossági platformok (SPID, CIE) és a nemzeti nyilvántartás (ANPR) bevezetése</w:t>
            </w:r>
          </w:p>
        </w:tc>
        <w:tc>
          <w:tcPr>
            <w:tcW w:w="1498" w:type="dxa"/>
            <w:tcBorders>
              <w:top w:val="single" w:sz="4" w:space="0" w:color="auto"/>
              <w:left w:val="nil"/>
              <w:bottom w:val="single" w:sz="4" w:space="0" w:color="auto"/>
              <w:right w:val="single" w:sz="4" w:space="0" w:color="auto"/>
            </w:tcBorders>
            <w:shd w:val="clear" w:color="auto" w:fill="C6EFCE"/>
            <w:noWrap/>
            <w:vAlign w:val="center"/>
          </w:tcPr>
          <w:p w14:paraId="458EF6F9" w14:textId="77777777" w:rsidR="003F5418" w:rsidRDefault="002A6C25">
            <w:pPr>
              <w:pStyle w:val="P68B1DB1-Normal9"/>
              <w:jc w:val="center"/>
              <w:rPr>
                <w:noProof/>
              </w:rPr>
            </w:pPr>
            <w:r>
              <w:rPr>
                <w:noProof/>
              </w:rPr>
              <w:t>Cél</w:t>
            </w:r>
          </w:p>
        </w:tc>
        <w:tc>
          <w:tcPr>
            <w:tcW w:w="4091" w:type="dxa"/>
            <w:tcBorders>
              <w:top w:val="single" w:sz="4" w:space="0" w:color="auto"/>
              <w:left w:val="nil"/>
              <w:bottom w:val="single" w:sz="4" w:space="0" w:color="auto"/>
              <w:right w:val="single" w:sz="4" w:space="0" w:color="auto"/>
            </w:tcBorders>
            <w:shd w:val="clear" w:color="auto" w:fill="C6EFCE"/>
            <w:noWrap/>
            <w:vAlign w:val="center"/>
          </w:tcPr>
          <w:p w14:paraId="18A578A4" w14:textId="77777777" w:rsidR="003F5418" w:rsidRDefault="002A6C25">
            <w:pPr>
              <w:pStyle w:val="P68B1DB1-Normal9"/>
              <w:jc w:val="center"/>
              <w:rPr>
                <w:noProof/>
              </w:rPr>
            </w:pPr>
            <w:r>
              <w:rPr>
                <w:noProof/>
              </w:rPr>
              <w:t>Nemzeti digitális személyazonossági platformok (SPID, CIE) és a nemzeti nyilvántartás (ANPR)</w:t>
            </w:r>
          </w:p>
        </w:tc>
      </w:tr>
      <w:tr w:rsidR="003F5418" w14:paraId="7646376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AA43967" w14:textId="77777777" w:rsidR="003F5418" w:rsidRDefault="002A6C25">
            <w:pPr>
              <w:pStyle w:val="P68B1DB1-Normal9"/>
              <w:jc w:val="center"/>
              <w:rPr>
                <w:noProof/>
              </w:rPr>
            </w:pPr>
            <w:r>
              <w:rPr>
                <w:noProof/>
              </w:rPr>
              <w:t>M2C3–6</w:t>
            </w:r>
          </w:p>
        </w:tc>
        <w:tc>
          <w:tcPr>
            <w:tcW w:w="3090" w:type="dxa"/>
            <w:tcBorders>
              <w:top w:val="nil"/>
              <w:left w:val="nil"/>
              <w:bottom w:val="single" w:sz="4" w:space="0" w:color="auto"/>
              <w:right w:val="single" w:sz="4" w:space="0" w:color="auto"/>
            </w:tcBorders>
            <w:shd w:val="clear" w:color="auto" w:fill="C6EFCE"/>
            <w:noWrap/>
            <w:vAlign w:val="center"/>
          </w:tcPr>
          <w:p w14:paraId="593ACAB5" w14:textId="77777777" w:rsidR="003F5418" w:rsidRDefault="002A6C25">
            <w:pPr>
              <w:pStyle w:val="P68B1DB1-Normal9"/>
              <w:rPr>
                <w:noProof/>
              </w:rPr>
            </w:pPr>
            <w:r>
              <w:rPr>
                <w:noProof/>
              </w:rPr>
              <w:t>Beruházás: Új iskolák építése épületpótlással</w:t>
            </w:r>
          </w:p>
        </w:tc>
        <w:tc>
          <w:tcPr>
            <w:tcW w:w="1498" w:type="dxa"/>
            <w:tcBorders>
              <w:top w:val="nil"/>
              <w:left w:val="nil"/>
              <w:bottom w:val="single" w:sz="4" w:space="0" w:color="auto"/>
              <w:right w:val="single" w:sz="4" w:space="0" w:color="auto"/>
            </w:tcBorders>
            <w:shd w:val="clear" w:color="auto" w:fill="C6EFCE"/>
            <w:noWrap/>
            <w:vAlign w:val="center"/>
          </w:tcPr>
          <w:p w14:paraId="3F7F54A0" w14:textId="77777777" w:rsidR="003F5418" w:rsidRDefault="002A6C25">
            <w:pPr>
              <w:pStyle w:val="P68B1DB1-Normal9"/>
              <w:jc w:val="center"/>
              <w:rPr>
                <w:noProof/>
              </w:rPr>
            </w:pPr>
            <w:r>
              <w:rPr>
                <w:noProof/>
              </w:rPr>
              <w:t>C</w:t>
            </w:r>
            <w:r>
              <w:rPr>
                <w:noProof/>
              </w:rPr>
              <w:t>él</w:t>
            </w:r>
          </w:p>
        </w:tc>
        <w:tc>
          <w:tcPr>
            <w:tcW w:w="4091" w:type="dxa"/>
            <w:tcBorders>
              <w:top w:val="nil"/>
              <w:left w:val="nil"/>
              <w:bottom w:val="single" w:sz="4" w:space="0" w:color="auto"/>
              <w:right w:val="single" w:sz="4" w:space="0" w:color="auto"/>
            </w:tcBorders>
            <w:shd w:val="clear" w:color="auto" w:fill="C6EFCE"/>
            <w:noWrap/>
            <w:vAlign w:val="center"/>
          </w:tcPr>
          <w:p w14:paraId="12DE53EC" w14:textId="6F08AD6C" w:rsidR="003F5418" w:rsidRDefault="002A6C25">
            <w:pPr>
              <w:pStyle w:val="P68B1DB1-Normal9"/>
              <w:jc w:val="center"/>
              <w:rPr>
                <w:noProof/>
              </w:rPr>
            </w:pPr>
            <w:r>
              <w:rPr>
                <w:noProof/>
              </w:rPr>
              <w:t>Legalább 400000 mqmt új iskola építésére kerül sor épületváltással.</w:t>
            </w:r>
          </w:p>
        </w:tc>
      </w:tr>
      <w:tr w:rsidR="003F5418" w14:paraId="2D87811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C7A2B5" w14:textId="77777777" w:rsidR="003F5418" w:rsidRDefault="002A6C25">
            <w:pPr>
              <w:pStyle w:val="P68B1DB1-Normal9"/>
              <w:jc w:val="center"/>
              <w:rPr>
                <w:noProof/>
              </w:rPr>
            </w:pPr>
            <w:r>
              <w:rPr>
                <w:noProof/>
              </w:rPr>
              <w:t>M2C3–8</w:t>
            </w:r>
          </w:p>
        </w:tc>
        <w:tc>
          <w:tcPr>
            <w:tcW w:w="3090" w:type="dxa"/>
            <w:tcBorders>
              <w:top w:val="nil"/>
              <w:left w:val="nil"/>
              <w:bottom w:val="single" w:sz="4" w:space="0" w:color="auto"/>
              <w:right w:val="single" w:sz="4" w:space="0" w:color="auto"/>
            </w:tcBorders>
            <w:shd w:val="clear" w:color="auto" w:fill="C6EFCE"/>
            <w:noWrap/>
            <w:vAlign w:val="center"/>
          </w:tcPr>
          <w:p w14:paraId="4BBA008D" w14:textId="77777777" w:rsidR="003F5418" w:rsidRDefault="002A6C25">
            <w:pPr>
              <w:pStyle w:val="P68B1DB1-Normal9"/>
              <w:rPr>
                <w:noProof/>
              </w:rPr>
            </w:pPr>
            <w:r>
              <w:rPr>
                <w:noProof/>
              </w:rPr>
              <w:t>Beruházás – Épületek építése, az igazságszolgáltatás ingatlanvagyonának átminősítése és megerősítése</w:t>
            </w:r>
          </w:p>
        </w:tc>
        <w:tc>
          <w:tcPr>
            <w:tcW w:w="1498" w:type="dxa"/>
            <w:tcBorders>
              <w:top w:val="nil"/>
              <w:left w:val="nil"/>
              <w:bottom w:val="single" w:sz="4" w:space="0" w:color="auto"/>
              <w:right w:val="single" w:sz="4" w:space="0" w:color="auto"/>
            </w:tcBorders>
            <w:shd w:val="clear" w:color="auto" w:fill="C6EFCE"/>
            <w:noWrap/>
            <w:vAlign w:val="center"/>
          </w:tcPr>
          <w:p w14:paraId="39B3F25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765F57C" w14:textId="77777777" w:rsidR="003F5418" w:rsidRDefault="002A6C25">
            <w:pPr>
              <w:pStyle w:val="P68B1DB1-Normal9"/>
              <w:jc w:val="center"/>
              <w:rPr>
                <w:noProof/>
              </w:rPr>
            </w:pPr>
            <w:r>
              <w:rPr>
                <w:noProof/>
              </w:rPr>
              <w:t>Épületek építése, az igazságszolgáltatás ingatlanvagyonának átminősítése</w:t>
            </w:r>
            <w:r>
              <w:rPr>
                <w:noProof/>
              </w:rPr>
              <w:t xml:space="preserve"> és megerősítése</w:t>
            </w:r>
          </w:p>
        </w:tc>
      </w:tr>
      <w:tr w:rsidR="003F5418" w14:paraId="35135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714B64" w14:textId="77777777" w:rsidR="003F5418" w:rsidRDefault="002A6C25">
            <w:pPr>
              <w:pStyle w:val="P68B1DB1-Normal9"/>
              <w:jc w:val="center"/>
              <w:rPr>
                <w:noProof/>
              </w:rPr>
            </w:pPr>
            <w:r>
              <w:rPr>
                <w:noProof/>
              </w:rPr>
              <w:t>M2C3–10</w:t>
            </w:r>
          </w:p>
        </w:tc>
        <w:tc>
          <w:tcPr>
            <w:tcW w:w="3090" w:type="dxa"/>
            <w:tcBorders>
              <w:top w:val="nil"/>
              <w:left w:val="nil"/>
              <w:bottom w:val="single" w:sz="4" w:space="0" w:color="auto"/>
              <w:right w:val="single" w:sz="4" w:space="0" w:color="auto"/>
            </w:tcBorders>
            <w:shd w:val="clear" w:color="auto" w:fill="C6EFCE"/>
            <w:noWrap/>
            <w:vAlign w:val="center"/>
          </w:tcPr>
          <w:p w14:paraId="0F661FF6" w14:textId="77777777" w:rsidR="003F5418" w:rsidRDefault="002A6C25">
            <w:pPr>
              <w:pStyle w:val="P68B1DB1-Normal9"/>
              <w:rPr>
                <w:noProof/>
              </w:rPr>
            </w:pPr>
            <w:r>
              <w:rPr>
                <w:noProof/>
              </w:rPr>
              <w:t>Beruházás: A hatékony távfűtés előmozdítása</w:t>
            </w:r>
          </w:p>
        </w:tc>
        <w:tc>
          <w:tcPr>
            <w:tcW w:w="1498" w:type="dxa"/>
            <w:tcBorders>
              <w:top w:val="nil"/>
              <w:left w:val="nil"/>
              <w:bottom w:val="single" w:sz="4" w:space="0" w:color="auto"/>
              <w:right w:val="single" w:sz="4" w:space="0" w:color="auto"/>
            </w:tcBorders>
            <w:shd w:val="clear" w:color="auto" w:fill="C6EFCE"/>
            <w:noWrap/>
            <w:vAlign w:val="center"/>
          </w:tcPr>
          <w:p w14:paraId="5BE4D1A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44C7AE3" w14:textId="77777777" w:rsidR="003F5418" w:rsidRDefault="002A6C25">
            <w:pPr>
              <w:pStyle w:val="P68B1DB1-Normal9"/>
              <w:jc w:val="center"/>
              <w:rPr>
                <w:noProof/>
              </w:rPr>
            </w:pPr>
            <w:r>
              <w:rPr>
                <w:noProof/>
              </w:rPr>
              <w:t>Távfűtési hálózatok kiépítése vagy bővítése</w:t>
            </w:r>
          </w:p>
        </w:tc>
      </w:tr>
      <w:tr w:rsidR="003F5418" w14:paraId="044E9F5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8908F0" w14:textId="77777777" w:rsidR="003F5418" w:rsidRDefault="002A6C25">
            <w:pPr>
              <w:pStyle w:val="P68B1DB1-Normal9"/>
              <w:jc w:val="center"/>
              <w:rPr>
                <w:noProof/>
              </w:rPr>
            </w:pPr>
            <w:r>
              <w:rPr>
                <w:noProof/>
              </w:rPr>
              <w:t>M2C4–23</w:t>
            </w:r>
          </w:p>
        </w:tc>
        <w:tc>
          <w:tcPr>
            <w:tcW w:w="3090" w:type="dxa"/>
            <w:tcBorders>
              <w:top w:val="nil"/>
              <w:left w:val="nil"/>
              <w:bottom w:val="single" w:sz="4" w:space="0" w:color="auto"/>
              <w:right w:val="single" w:sz="4" w:space="0" w:color="auto"/>
            </w:tcBorders>
            <w:shd w:val="clear" w:color="auto" w:fill="C6EFCE"/>
            <w:noWrap/>
            <w:vAlign w:val="center"/>
          </w:tcPr>
          <w:p w14:paraId="1E28C458" w14:textId="77777777" w:rsidR="003F5418" w:rsidRDefault="002A6C25">
            <w:pPr>
              <w:pStyle w:val="P68B1DB1-Normal9"/>
              <w:rPr>
                <w:noProof/>
              </w:rPr>
            </w:pPr>
            <w:r>
              <w:rPr>
                <w:noProof/>
              </w:rPr>
              <w:t>Beruházás A Po-övezet újranaturálása</w:t>
            </w:r>
          </w:p>
        </w:tc>
        <w:tc>
          <w:tcPr>
            <w:tcW w:w="1498" w:type="dxa"/>
            <w:tcBorders>
              <w:top w:val="nil"/>
              <w:left w:val="nil"/>
              <w:bottom w:val="single" w:sz="4" w:space="0" w:color="auto"/>
              <w:right w:val="single" w:sz="4" w:space="0" w:color="auto"/>
            </w:tcBorders>
            <w:shd w:val="clear" w:color="auto" w:fill="C6EFCE"/>
            <w:noWrap/>
            <w:vAlign w:val="center"/>
          </w:tcPr>
          <w:p w14:paraId="1D011FB0"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F2973DC" w14:textId="77777777" w:rsidR="003F5418" w:rsidRDefault="002A6C25">
            <w:pPr>
              <w:pStyle w:val="P68B1DB1-Normal9"/>
              <w:jc w:val="center"/>
              <w:rPr>
                <w:noProof/>
              </w:rPr>
            </w:pPr>
            <w:r>
              <w:rPr>
                <w:noProof/>
              </w:rPr>
              <w:t>A folyómeder mesterségességének csökkentése a T2 Po terület újranaturálásához</w:t>
            </w:r>
          </w:p>
        </w:tc>
      </w:tr>
      <w:tr w:rsidR="003F5418" w14:paraId="4CFF954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443721" w14:textId="77777777" w:rsidR="003F5418" w:rsidRDefault="002A6C25">
            <w:pPr>
              <w:pStyle w:val="P68B1DB1-Normal9"/>
              <w:jc w:val="center"/>
              <w:rPr>
                <w:noProof/>
              </w:rPr>
            </w:pPr>
            <w:r>
              <w:rPr>
                <w:noProof/>
              </w:rPr>
              <w:t>M2C4–25</w:t>
            </w:r>
          </w:p>
        </w:tc>
        <w:tc>
          <w:tcPr>
            <w:tcW w:w="3090" w:type="dxa"/>
            <w:tcBorders>
              <w:top w:val="nil"/>
              <w:left w:val="nil"/>
              <w:bottom w:val="single" w:sz="4" w:space="0" w:color="auto"/>
              <w:right w:val="single" w:sz="4" w:space="0" w:color="auto"/>
            </w:tcBorders>
            <w:shd w:val="clear" w:color="auto" w:fill="C6EFCE"/>
            <w:noWrap/>
            <w:vAlign w:val="center"/>
          </w:tcPr>
          <w:p w14:paraId="6F03DB5B" w14:textId="77777777" w:rsidR="003F5418" w:rsidRDefault="002A6C25">
            <w:pPr>
              <w:pStyle w:val="P68B1DB1-Normal9"/>
              <w:rPr>
                <w:noProof/>
              </w:rPr>
            </w:pPr>
            <w:r>
              <w:rPr>
                <w:noProof/>
              </w:rPr>
              <w:t>Beruházás. Az „árva területek talajának” rehabilitációja</w:t>
            </w:r>
          </w:p>
        </w:tc>
        <w:tc>
          <w:tcPr>
            <w:tcW w:w="1498" w:type="dxa"/>
            <w:tcBorders>
              <w:top w:val="nil"/>
              <w:left w:val="nil"/>
              <w:bottom w:val="single" w:sz="4" w:space="0" w:color="auto"/>
              <w:right w:val="single" w:sz="4" w:space="0" w:color="auto"/>
            </w:tcBorders>
            <w:shd w:val="clear" w:color="auto" w:fill="C6EFCE"/>
            <w:noWrap/>
            <w:vAlign w:val="center"/>
          </w:tcPr>
          <w:p w14:paraId="0203214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D1F835E" w14:textId="77777777" w:rsidR="003F5418" w:rsidRDefault="002A6C25">
            <w:pPr>
              <w:pStyle w:val="P68B1DB1-Normal9"/>
              <w:jc w:val="center"/>
              <w:rPr>
                <w:noProof/>
              </w:rPr>
            </w:pPr>
            <w:r>
              <w:rPr>
                <w:noProof/>
              </w:rPr>
              <w:t xml:space="preserve">A gazdátlan területek újjáélesztése </w:t>
            </w:r>
          </w:p>
        </w:tc>
      </w:tr>
      <w:tr w:rsidR="003F5418" w14:paraId="4131EAA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40F87E3" w14:textId="77777777" w:rsidR="003F5418" w:rsidRDefault="002A6C25">
            <w:pPr>
              <w:pStyle w:val="P68B1DB1-Normal9"/>
              <w:jc w:val="center"/>
              <w:rPr>
                <w:noProof/>
              </w:rPr>
            </w:pPr>
            <w:r>
              <w:rPr>
                <w:noProof/>
              </w:rPr>
              <w:t>M2C4–29</w:t>
            </w:r>
          </w:p>
        </w:tc>
        <w:tc>
          <w:tcPr>
            <w:tcW w:w="3090" w:type="dxa"/>
            <w:tcBorders>
              <w:top w:val="nil"/>
              <w:left w:val="nil"/>
              <w:bottom w:val="single" w:sz="4" w:space="0" w:color="auto"/>
              <w:right w:val="single" w:sz="4" w:space="0" w:color="auto"/>
            </w:tcBorders>
            <w:shd w:val="clear" w:color="auto" w:fill="C6EFCE"/>
            <w:noWrap/>
            <w:vAlign w:val="center"/>
          </w:tcPr>
          <w:p w14:paraId="62DCCBEE" w14:textId="77777777" w:rsidR="003F5418" w:rsidRDefault="002A6C25">
            <w:pPr>
              <w:pStyle w:val="P68B1DB1-Normal9"/>
              <w:rPr>
                <w:noProof/>
              </w:rPr>
            </w:pPr>
            <w:r>
              <w:rPr>
                <w:noProof/>
              </w:rPr>
              <w:t>Beruházás. A vízellátás biztonságát szolgáló elsődleges vízi infrastruktúrákba történő beruházások</w:t>
            </w:r>
          </w:p>
        </w:tc>
        <w:tc>
          <w:tcPr>
            <w:tcW w:w="1498" w:type="dxa"/>
            <w:tcBorders>
              <w:top w:val="nil"/>
              <w:left w:val="nil"/>
              <w:bottom w:val="single" w:sz="4" w:space="0" w:color="auto"/>
              <w:right w:val="single" w:sz="4" w:space="0" w:color="auto"/>
            </w:tcBorders>
            <w:shd w:val="clear" w:color="auto" w:fill="C6EFCE"/>
            <w:noWrap/>
            <w:vAlign w:val="center"/>
          </w:tcPr>
          <w:p w14:paraId="4B8859B4"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8E62BFA" w14:textId="77777777" w:rsidR="003F5418" w:rsidRDefault="002A6C25">
            <w:pPr>
              <w:pStyle w:val="P68B1DB1-Normal9"/>
              <w:jc w:val="center"/>
              <w:rPr>
                <w:noProof/>
              </w:rPr>
            </w:pPr>
            <w:r>
              <w:rPr>
                <w:noProof/>
              </w:rPr>
              <w:t>A vízellátás biztonságát szolgáló elsődleges v</w:t>
            </w:r>
            <w:r>
              <w:rPr>
                <w:noProof/>
              </w:rPr>
              <w:t xml:space="preserve">ízi infrastruktúrába történő beruházások </w:t>
            </w:r>
          </w:p>
        </w:tc>
      </w:tr>
      <w:tr w:rsidR="003F5418" w14:paraId="3FB16DB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30360BB" w14:textId="77777777" w:rsidR="003F5418" w:rsidRDefault="002A6C25">
            <w:pPr>
              <w:pStyle w:val="P68B1DB1-Normal9"/>
              <w:jc w:val="center"/>
              <w:rPr>
                <w:noProof/>
              </w:rPr>
            </w:pPr>
            <w:r>
              <w:rPr>
                <w:noProof/>
              </w:rPr>
              <w:t>M2C4–32</w:t>
            </w:r>
          </w:p>
        </w:tc>
        <w:tc>
          <w:tcPr>
            <w:tcW w:w="3090" w:type="dxa"/>
            <w:tcBorders>
              <w:top w:val="nil"/>
              <w:left w:val="nil"/>
              <w:bottom w:val="single" w:sz="4" w:space="0" w:color="auto"/>
              <w:right w:val="single" w:sz="4" w:space="0" w:color="auto"/>
            </w:tcBorders>
            <w:shd w:val="clear" w:color="auto" w:fill="C6EFCE"/>
            <w:noWrap/>
            <w:vAlign w:val="center"/>
          </w:tcPr>
          <w:p w14:paraId="23A2C6E5" w14:textId="77777777" w:rsidR="003F5418" w:rsidRDefault="002A6C25">
            <w:pPr>
              <w:pStyle w:val="P68B1DB1-Normal9"/>
              <w:rPr>
                <w:noProof/>
              </w:rPr>
            </w:pPr>
            <w:r>
              <w:rPr>
                <w:noProof/>
              </w:rPr>
              <w:t>Beruházás. A vízelosztó hálózatok veszteségeinek csökkentése, beleértve a hálózatok digitalizálását és nyomon követését</w:t>
            </w:r>
          </w:p>
        </w:tc>
        <w:tc>
          <w:tcPr>
            <w:tcW w:w="1498" w:type="dxa"/>
            <w:tcBorders>
              <w:top w:val="nil"/>
              <w:left w:val="nil"/>
              <w:bottom w:val="single" w:sz="4" w:space="0" w:color="auto"/>
              <w:right w:val="single" w:sz="4" w:space="0" w:color="auto"/>
            </w:tcBorders>
            <w:shd w:val="clear" w:color="auto" w:fill="C6EFCE"/>
            <w:noWrap/>
            <w:vAlign w:val="center"/>
          </w:tcPr>
          <w:p w14:paraId="36B4F45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70D98F2" w14:textId="77777777" w:rsidR="003F5418" w:rsidRDefault="002A6C25">
            <w:pPr>
              <w:pStyle w:val="P68B1DB1-Normal9"/>
              <w:jc w:val="center"/>
              <w:rPr>
                <w:noProof/>
              </w:rPr>
            </w:pPr>
            <w:r>
              <w:rPr>
                <w:noProof/>
              </w:rPr>
              <w:t xml:space="preserve">A vízelosztó hálózatokba történő beavatkozások, beleértve a T2 hálózatok </w:t>
            </w:r>
            <w:r>
              <w:rPr>
                <w:noProof/>
              </w:rPr>
              <w:t>digitalizálását és nyomon követését</w:t>
            </w:r>
          </w:p>
        </w:tc>
      </w:tr>
      <w:tr w:rsidR="003F5418" w14:paraId="5983B6D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4CB7567" w14:textId="77777777" w:rsidR="003F5418" w:rsidRDefault="002A6C25">
            <w:pPr>
              <w:pStyle w:val="P68B1DB1-Normal9"/>
              <w:jc w:val="center"/>
              <w:rPr>
                <w:noProof/>
              </w:rPr>
            </w:pPr>
            <w:r>
              <w:rPr>
                <w:noProof/>
              </w:rPr>
              <w:t>M2C4–35a</w:t>
            </w:r>
          </w:p>
        </w:tc>
        <w:tc>
          <w:tcPr>
            <w:tcW w:w="3090" w:type="dxa"/>
            <w:tcBorders>
              <w:top w:val="nil"/>
              <w:left w:val="nil"/>
              <w:bottom w:val="single" w:sz="4" w:space="0" w:color="auto"/>
              <w:right w:val="single" w:sz="4" w:space="0" w:color="auto"/>
            </w:tcBorders>
            <w:shd w:val="clear" w:color="auto" w:fill="C6EFCE"/>
            <w:noWrap/>
            <w:vAlign w:val="center"/>
          </w:tcPr>
          <w:p w14:paraId="5C63BB6B" w14:textId="77777777" w:rsidR="003F5418" w:rsidRDefault="002A6C25">
            <w:pPr>
              <w:pStyle w:val="P68B1DB1-Normal9"/>
              <w:rPr>
                <w:noProof/>
              </w:rPr>
            </w:pPr>
            <w:r>
              <w:rPr>
                <w:noProof/>
              </w:rPr>
              <w:t>Beruházás az öntöző agrorendszer ellenálló képességébe a vízkészletekkel való jobb gazdálkodás érdekében</w:t>
            </w:r>
          </w:p>
        </w:tc>
        <w:tc>
          <w:tcPr>
            <w:tcW w:w="1498" w:type="dxa"/>
            <w:tcBorders>
              <w:top w:val="nil"/>
              <w:left w:val="nil"/>
              <w:bottom w:val="single" w:sz="4" w:space="0" w:color="auto"/>
              <w:right w:val="single" w:sz="4" w:space="0" w:color="auto"/>
            </w:tcBorders>
            <w:shd w:val="clear" w:color="auto" w:fill="C6EFCE"/>
            <w:noWrap/>
            <w:vAlign w:val="center"/>
          </w:tcPr>
          <w:p w14:paraId="7919F140"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3492E57" w14:textId="77777777" w:rsidR="003F5418" w:rsidRDefault="002A6C25">
            <w:pPr>
              <w:pStyle w:val="P68B1DB1-Normal9"/>
              <w:jc w:val="center"/>
              <w:rPr>
                <w:noProof/>
              </w:rPr>
            </w:pPr>
            <w:r>
              <w:rPr>
                <w:noProof/>
              </w:rPr>
              <w:t>Az öntözési agrorendszer ellenálló képességét célzó beavatkozások a T2 vízkészletekkel való jobb gazd</w:t>
            </w:r>
            <w:r>
              <w:rPr>
                <w:noProof/>
              </w:rPr>
              <w:t>álkodás érdekében</w:t>
            </w:r>
          </w:p>
        </w:tc>
      </w:tr>
      <w:tr w:rsidR="003F5418" w14:paraId="0194063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094977" w14:textId="77777777" w:rsidR="003F5418" w:rsidRDefault="002A6C25">
            <w:pPr>
              <w:pStyle w:val="P68B1DB1-Normal9"/>
              <w:jc w:val="center"/>
              <w:rPr>
                <w:noProof/>
              </w:rPr>
            </w:pPr>
            <w:r>
              <w:rPr>
                <w:noProof/>
              </w:rPr>
              <w:t>M2C4–38</w:t>
            </w:r>
          </w:p>
        </w:tc>
        <w:tc>
          <w:tcPr>
            <w:tcW w:w="3090" w:type="dxa"/>
            <w:tcBorders>
              <w:top w:val="nil"/>
              <w:left w:val="nil"/>
              <w:bottom w:val="single" w:sz="4" w:space="0" w:color="auto"/>
              <w:right w:val="single" w:sz="4" w:space="0" w:color="auto"/>
            </w:tcBorders>
            <w:shd w:val="clear" w:color="auto" w:fill="C6EFCE"/>
            <w:noWrap/>
            <w:vAlign w:val="center"/>
          </w:tcPr>
          <w:p w14:paraId="58543664" w14:textId="77777777" w:rsidR="003F5418" w:rsidRDefault="002A6C25">
            <w:pPr>
              <w:pStyle w:val="P68B1DB1-Normal9"/>
              <w:rPr>
                <w:noProof/>
              </w:rPr>
            </w:pPr>
            <w:r>
              <w:rPr>
                <w:noProof/>
              </w:rPr>
              <w:t>Beruházás csatorna- és tisztítási beruházások</w:t>
            </w:r>
          </w:p>
        </w:tc>
        <w:tc>
          <w:tcPr>
            <w:tcW w:w="1498" w:type="dxa"/>
            <w:tcBorders>
              <w:top w:val="nil"/>
              <w:left w:val="nil"/>
              <w:bottom w:val="single" w:sz="4" w:space="0" w:color="auto"/>
              <w:right w:val="single" w:sz="4" w:space="0" w:color="auto"/>
            </w:tcBorders>
            <w:shd w:val="clear" w:color="auto" w:fill="C6EFCE"/>
            <w:noWrap/>
            <w:vAlign w:val="center"/>
          </w:tcPr>
          <w:p w14:paraId="31B78434"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578B9D" w14:textId="77777777" w:rsidR="003F5418" w:rsidRDefault="002A6C25">
            <w:pPr>
              <w:pStyle w:val="P68B1DB1-Normal9"/>
              <w:jc w:val="center"/>
              <w:rPr>
                <w:noProof/>
              </w:rPr>
            </w:pPr>
            <w:r>
              <w:rPr>
                <w:noProof/>
              </w:rPr>
              <w:t>A T2 szennyvízelvezetésre és -tisztításra irányuló beavatkozások</w:t>
            </w:r>
          </w:p>
        </w:tc>
      </w:tr>
      <w:tr w:rsidR="003F5418" w14:paraId="61A905B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C023D5" w14:textId="77777777" w:rsidR="003F5418" w:rsidRDefault="002A6C25">
            <w:pPr>
              <w:pStyle w:val="P68B1DB1-Normal9"/>
              <w:jc w:val="center"/>
              <w:rPr>
                <w:noProof/>
              </w:rPr>
            </w:pPr>
            <w:r>
              <w:rPr>
                <w:noProof/>
              </w:rPr>
              <w:t>M5C2–20</w:t>
            </w:r>
          </w:p>
        </w:tc>
        <w:tc>
          <w:tcPr>
            <w:tcW w:w="3090" w:type="dxa"/>
            <w:tcBorders>
              <w:top w:val="nil"/>
              <w:left w:val="nil"/>
              <w:bottom w:val="single" w:sz="4" w:space="0" w:color="auto"/>
              <w:right w:val="single" w:sz="4" w:space="0" w:color="auto"/>
            </w:tcBorders>
            <w:shd w:val="clear" w:color="auto" w:fill="C6EFCE"/>
            <w:noWrap/>
            <w:vAlign w:val="center"/>
          </w:tcPr>
          <w:p w14:paraId="342B7BC5" w14:textId="77777777" w:rsidR="003F5418" w:rsidRDefault="002A6C25">
            <w:pPr>
              <w:pStyle w:val="P68B1DB1-Normal9"/>
              <w:rPr>
                <w:noProof/>
              </w:rPr>
            </w:pPr>
            <w:r>
              <w:rPr>
                <w:noProof/>
              </w:rPr>
              <w:t>Beruházás – Innovációs program a lakásminőségért</w:t>
            </w:r>
          </w:p>
        </w:tc>
        <w:tc>
          <w:tcPr>
            <w:tcW w:w="1498" w:type="dxa"/>
            <w:tcBorders>
              <w:top w:val="nil"/>
              <w:left w:val="nil"/>
              <w:bottom w:val="single" w:sz="4" w:space="0" w:color="auto"/>
              <w:right w:val="single" w:sz="4" w:space="0" w:color="auto"/>
            </w:tcBorders>
            <w:shd w:val="clear" w:color="auto" w:fill="C6EFCE"/>
            <w:noWrap/>
            <w:vAlign w:val="center"/>
          </w:tcPr>
          <w:p w14:paraId="03380E4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8892DA6" w14:textId="77777777" w:rsidR="003F5418" w:rsidRDefault="002A6C25">
            <w:pPr>
              <w:pStyle w:val="P68B1DB1-Normal9"/>
              <w:jc w:val="center"/>
              <w:rPr>
                <w:noProof/>
              </w:rPr>
            </w:pPr>
            <w:r>
              <w:rPr>
                <w:noProof/>
              </w:rPr>
              <w:t xml:space="preserve">A támogatott lakóegységek száma (az építés és a </w:t>
            </w:r>
            <w:r>
              <w:rPr>
                <w:noProof/>
              </w:rPr>
              <w:t>rehabilitáció tekintetében) és a támogatott közterületek négyzetméterben kifejezett száma</w:t>
            </w:r>
          </w:p>
        </w:tc>
      </w:tr>
      <w:tr w:rsidR="003F5418" w14:paraId="46A00EB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4C6255" w14:textId="77777777" w:rsidR="003F5418" w:rsidRDefault="002A6C25">
            <w:pPr>
              <w:pStyle w:val="P68B1DB1-Normal9"/>
              <w:jc w:val="center"/>
              <w:rPr>
                <w:noProof/>
              </w:rPr>
            </w:pPr>
            <w:r>
              <w:rPr>
                <w:noProof/>
              </w:rPr>
              <w:t>M1C1–147.</w:t>
            </w:r>
          </w:p>
        </w:tc>
        <w:tc>
          <w:tcPr>
            <w:tcW w:w="3090" w:type="dxa"/>
            <w:tcBorders>
              <w:top w:val="nil"/>
              <w:left w:val="nil"/>
              <w:bottom w:val="single" w:sz="4" w:space="0" w:color="auto"/>
              <w:right w:val="single" w:sz="4" w:space="0" w:color="auto"/>
            </w:tcBorders>
            <w:shd w:val="clear" w:color="auto" w:fill="C6EFCE"/>
            <w:noWrap/>
            <w:vAlign w:val="center"/>
          </w:tcPr>
          <w:p w14:paraId="09651ED0" w14:textId="77777777" w:rsidR="003F5418" w:rsidRDefault="002A6C25">
            <w:pPr>
              <w:pStyle w:val="P68B1DB1-Normal9"/>
              <w:rPr>
                <w:noProof/>
              </w:rPr>
            </w:pPr>
            <w:r>
              <w:rPr>
                <w:noProof/>
              </w:rPr>
              <w:t>Beruházás – Felhő biztosítása a helyi kifizető ügynökségek számára</w:t>
            </w:r>
          </w:p>
        </w:tc>
        <w:tc>
          <w:tcPr>
            <w:tcW w:w="1498" w:type="dxa"/>
            <w:tcBorders>
              <w:top w:val="nil"/>
              <w:left w:val="nil"/>
              <w:bottom w:val="single" w:sz="4" w:space="0" w:color="auto"/>
              <w:right w:val="single" w:sz="4" w:space="0" w:color="auto"/>
            </w:tcBorders>
            <w:shd w:val="clear" w:color="auto" w:fill="C6EFCE"/>
            <w:noWrap/>
            <w:vAlign w:val="center"/>
          </w:tcPr>
          <w:p w14:paraId="075BD36E"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CAC979" w14:textId="77777777" w:rsidR="003F5418" w:rsidRDefault="002A6C25">
            <w:pPr>
              <w:pStyle w:val="P68B1DB1-Normal9"/>
              <w:jc w:val="center"/>
              <w:rPr>
                <w:noProof/>
              </w:rPr>
            </w:pPr>
            <w:r>
              <w:rPr>
                <w:noProof/>
              </w:rPr>
              <w:t>Felhőalapú szolgáltatás a helyi közigazgatás számára T2</w:t>
            </w:r>
          </w:p>
        </w:tc>
      </w:tr>
      <w:tr w:rsidR="003F5418" w14:paraId="31071E7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20BBB" w14:textId="77777777" w:rsidR="003F5418" w:rsidRDefault="002A6C25">
            <w:pPr>
              <w:pStyle w:val="P68B1DB1-Normal9"/>
              <w:jc w:val="center"/>
              <w:rPr>
                <w:noProof/>
              </w:rPr>
            </w:pPr>
            <w:r>
              <w:rPr>
                <w:noProof/>
              </w:rPr>
              <w:t>M1C1–148.</w:t>
            </w:r>
          </w:p>
        </w:tc>
        <w:tc>
          <w:tcPr>
            <w:tcW w:w="3090" w:type="dxa"/>
            <w:tcBorders>
              <w:top w:val="nil"/>
              <w:left w:val="nil"/>
              <w:bottom w:val="single" w:sz="4" w:space="0" w:color="auto"/>
              <w:right w:val="single" w:sz="4" w:space="0" w:color="auto"/>
            </w:tcBorders>
            <w:shd w:val="clear" w:color="auto" w:fill="C6EFCE"/>
            <w:noWrap/>
            <w:vAlign w:val="center"/>
          </w:tcPr>
          <w:p w14:paraId="1D68B8B6" w14:textId="77777777" w:rsidR="003F5418" w:rsidRDefault="002A6C25">
            <w:pPr>
              <w:pStyle w:val="P68B1DB1-Normal9"/>
              <w:rPr>
                <w:noProof/>
              </w:rPr>
            </w:pPr>
            <w:r>
              <w:rPr>
                <w:noProof/>
              </w:rPr>
              <w:t xml:space="preserve">Beruházás – </w:t>
            </w:r>
            <w:r>
              <w:rPr>
                <w:noProof/>
              </w:rPr>
              <w:t>Polgári tapasztalatok – A digitális közszolgáltatások minőségének és használhatóságának javítása</w:t>
            </w:r>
          </w:p>
        </w:tc>
        <w:tc>
          <w:tcPr>
            <w:tcW w:w="1498" w:type="dxa"/>
            <w:tcBorders>
              <w:top w:val="nil"/>
              <w:left w:val="nil"/>
              <w:bottom w:val="single" w:sz="4" w:space="0" w:color="auto"/>
              <w:right w:val="single" w:sz="4" w:space="0" w:color="auto"/>
            </w:tcBorders>
            <w:shd w:val="clear" w:color="auto" w:fill="C6EFCE"/>
            <w:noWrap/>
            <w:vAlign w:val="center"/>
          </w:tcPr>
          <w:p w14:paraId="5582E54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9A383E1" w14:textId="77777777" w:rsidR="003F5418" w:rsidRDefault="002A6C25">
            <w:pPr>
              <w:pStyle w:val="P68B1DB1-Normal9"/>
              <w:jc w:val="center"/>
              <w:rPr>
                <w:noProof/>
              </w:rPr>
            </w:pPr>
            <w:r>
              <w:rPr>
                <w:noProof/>
              </w:rPr>
              <w:t>A digitális közszolgáltatások minőségének és használhatóságának javítása T2</w:t>
            </w:r>
          </w:p>
        </w:tc>
      </w:tr>
      <w:tr w:rsidR="003F5418" w14:paraId="5A00C16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2878E5" w14:textId="77777777" w:rsidR="003F5418" w:rsidRDefault="002A6C25">
            <w:pPr>
              <w:pStyle w:val="P68B1DB1-Normal9"/>
              <w:jc w:val="center"/>
              <w:rPr>
                <w:noProof/>
              </w:rPr>
            </w:pPr>
            <w:r>
              <w:rPr>
                <w:noProof/>
              </w:rPr>
              <w:t>M1C1–149.</w:t>
            </w:r>
          </w:p>
        </w:tc>
        <w:tc>
          <w:tcPr>
            <w:tcW w:w="3090" w:type="dxa"/>
            <w:tcBorders>
              <w:top w:val="nil"/>
              <w:left w:val="nil"/>
              <w:bottom w:val="single" w:sz="4" w:space="0" w:color="auto"/>
              <w:right w:val="single" w:sz="4" w:space="0" w:color="auto"/>
            </w:tcBorders>
            <w:shd w:val="clear" w:color="auto" w:fill="C6EFCE"/>
            <w:noWrap/>
            <w:vAlign w:val="center"/>
          </w:tcPr>
          <w:p w14:paraId="20B2D5D7" w14:textId="77777777" w:rsidR="003F5418" w:rsidRDefault="002A6C25">
            <w:pPr>
              <w:pStyle w:val="P68B1DB1-Normal9"/>
              <w:rPr>
                <w:noProof/>
              </w:rPr>
            </w:pPr>
            <w:r>
              <w:rPr>
                <w:noProof/>
              </w:rPr>
              <w:t>Beruházás – A PagoPA platformszolgáltatások és az „IO” alkalmazás be</w:t>
            </w:r>
            <w:r>
              <w:rPr>
                <w:noProof/>
              </w:rPr>
              <w:t>vezetése</w:t>
            </w:r>
          </w:p>
        </w:tc>
        <w:tc>
          <w:tcPr>
            <w:tcW w:w="1498" w:type="dxa"/>
            <w:tcBorders>
              <w:top w:val="nil"/>
              <w:left w:val="nil"/>
              <w:bottom w:val="single" w:sz="4" w:space="0" w:color="auto"/>
              <w:right w:val="single" w:sz="4" w:space="0" w:color="auto"/>
            </w:tcBorders>
            <w:shd w:val="clear" w:color="auto" w:fill="C6EFCE"/>
            <w:noWrap/>
            <w:vAlign w:val="center"/>
          </w:tcPr>
          <w:p w14:paraId="07C25B45"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6342874" w14:textId="77777777" w:rsidR="003F5418" w:rsidRDefault="002A6C25">
            <w:pPr>
              <w:pStyle w:val="P68B1DB1-Normal9"/>
              <w:jc w:val="center"/>
              <w:rPr>
                <w:noProof/>
              </w:rPr>
            </w:pPr>
            <w:r>
              <w:rPr>
                <w:noProof/>
              </w:rPr>
              <w:t>A PagoPA platformszolgáltatások (T2) elfogadása</w:t>
            </w:r>
          </w:p>
        </w:tc>
      </w:tr>
      <w:tr w:rsidR="003F5418" w14:paraId="1202D5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098A40" w14:textId="77777777" w:rsidR="003F5418" w:rsidRDefault="002A6C25">
            <w:pPr>
              <w:pStyle w:val="P68B1DB1-Normal9"/>
              <w:jc w:val="center"/>
              <w:rPr>
                <w:noProof/>
              </w:rPr>
            </w:pPr>
            <w:r>
              <w:rPr>
                <w:noProof/>
              </w:rPr>
              <w:t>M1C1–150</w:t>
            </w:r>
          </w:p>
        </w:tc>
        <w:tc>
          <w:tcPr>
            <w:tcW w:w="3090" w:type="dxa"/>
            <w:tcBorders>
              <w:top w:val="nil"/>
              <w:left w:val="nil"/>
              <w:bottom w:val="single" w:sz="4" w:space="0" w:color="auto"/>
              <w:right w:val="single" w:sz="4" w:space="0" w:color="auto"/>
            </w:tcBorders>
            <w:shd w:val="clear" w:color="auto" w:fill="C6EFCE"/>
            <w:noWrap/>
            <w:vAlign w:val="center"/>
          </w:tcPr>
          <w:p w14:paraId="0B09ABAB" w14:textId="77777777" w:rsidR="003F5418" w:rsidRDefault="002A6C25">
            <w:pPr>
              <w:pStyle w:val="P68B1DB1-Normal9"/>
              <w:rPr>
                <w:noProof/>
              </w:rPr>
            </w:pPr>
            <w:r>
              <w:rPr>
                <w:noProof/>
              </w:rPr>
              <w:t>Beruházás – A PagoPA platformszolgáltatások és az „IO” alkalmazás bevezetése</w:t>
            </w:r>
          </w:p>
        </w:tc>
        <w:tc>
          <w:tcPr>
            <w:tcW w:w="1498" w:type="dxa"/>
            <w:tcBorders>
              <w:top w:val="nil"/>
              <w:left w:val="nil"/>
              <w:bottom w:val="single" w:sz="4" w:space="0" w:color="auto"/>
              <w:right w:val="single" w:sz="4" w:space="0" w:color="auto"/>
            </w:tcBorders>
            <w:shd w:val="clear" w:color="auto" w:fill="C6EFCE"/>
            <w:noWrap/>
            <w:vAlign w:val="center"/>
          </w:tcPr>
          <w:p w14:paraId="0D0B809D"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D51B113" w14:textId="77777777" w:rsidR="003F5418" w:rsidRDefault="002A6C25">
            <w:pPr>
              <w:pStyle w:val="P68B1DB1-Normal9"/>
              <w:jc w:val="center"/>
              <w:rPr>
                <w:noProof/>
              </w:rPr>
            </w:pPr>
            <w:r>
              <w:rPr>
                <w:noProof/>
              </w:rPr>
              <w:t>Az „IO” alkalmazás fokozott elfogadása a T2 alkalmazásban</w:t>
            </w:r>
          </w:p>
        </w:tc>
      </w:tr>
      <w:tr w:rsidR="003F5418" w14:paraId="16311B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1C79682" w14:textId="77777777" w:rsidR="003F5418" w:rsidRDefault="002A6C25">
            <w:pPr>
              <w:pStyle w:val="P68B1DB1-Normal9"/>
              <w:jc w:val="center"/>
              <w:rPr>
                <w:noProof/>
              </w:rPr>
            </w:pPr>
            <w:r>
              <w:rPr>
                <w:noProof/>
              </w:rPr>
              <w:t>M1C1–151</w:t>
            </w:r>
          </w:p>
        </w:tc>
        <w:tc>
          <w:tcPr>
            <w:tcW w:w="3090" w:type="dxa"/>
            <w:tcBorders>
              <w:top w:val="nil"/>
              <w:left w:val="nil"/>
              <w:bottom w:val="single" w:sz="4" w:space="0" w:color="auto"/>
              <w:right w:val="single" w:sz="4" w:space="0" w:color="auto"/>
            </w:tcBorders>
            <w:shd w:val="clear" w:color="auto" w:fill="C6EFCE"/>
            <w:noWrap/>
            <w:vAlign w:val="center"/>
          </w:tcPr>
          <w:p w14:paraId="30E5BE9D" w14:textId="77777777" w:rsidR="003F5418" w:rsidRDefault="002A6C25">
            <w:pPr>
              <w:pStyle w:val="P68B1DB1-Normal9"/>
              <w:rPr>
                <w:noProof/>
              </w:rPr>
            </w:pPr>
            <w:r>
              <w:rPr>
                <w:noProof/>
              </w:rPr>
              <w:t xml:space="preserve">Beruházás – Közzétételek </w:t>
            </w:r>
            <w:r>
              <w:rPr>
                <w:noProof/>
              </w:rPr>
              <w:t>digitalizálása</w:t>
            </w:r>
          </w:p>
        </w:tc>
        <w:tc>
          <w:tcPr>
            <w:tcW w:w="1498" w:type="dxa"/>
            <w:tcBorders>
              <w:top w:val="nil"/>
              <w:left w:val="nil"/>
              <w:bottom w:val="single" w:sz="4" w:space="0" w:color="auto"/>
              <w:right w:val="single" w:sz="4" w:space="0" w:color="auto"/>
            </w:tcBorders>
            <w:shd w:val="clear" w:color="auto" w:fill="C6EFCE"/>
            <w:noWrap/>
            <w:vAlign w:val="center"/>
          </w:tcPr>
          <w:p w14:paraId="78CE4827"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CB2E613" w14:textId="77777777" w:rsidR="003F5418" w:rsidRDefault="002A6C25">
            <w:pPr>
              <w:pStyle w:val="P68B1DB1-Normal9"/>
              <w:jc w:val="center"/>
              <w:rPr>
                <w:noProof/>
              </w:rPr>
            </w:pPr>
            <w:r>
              <w:rPr>
                <w:noProof/>
              </w:rPr>
              <w:t>A T2 digitális nyilvános hirdetmények elfogadásának fokozása</w:t>
            </w:r>
          </w:p>
        </w:tc>
      </w:tr>
      <w:tr w:rsidR="003F5418" w14:paraId="7BCC151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FBCAD7" w14:textId="77777777" w:rsidR="003F5418" w:rsidRDefault="002A6C25">
            <w:pPr>
              <w:pStyle w:val="P68B1DB1-Normal9"/>
              <w:jc w:val="center"/>
              <w:rPr>
                <w:noProof/>
              </w:rPr>
            </w:pPr>
            <w:r>
              <w:rPr>
                <w:noProof/>
              </w:rPr>
              <w:t>M1C1–152</w:t>
            </w:r>
          </w:p>
        </w:tc>
        <w:tc>
          <w:tcPr>
            <w:tcW w:w="3090" w:type="dxa"/>
            <w:tcBorders>
              <w:top w:val="nil"/>
              <w:left w:val="nil"/>
              <w:bottom w:val="single" w:sz="4" w:space="0" w:color="auto"/>
              <w:right w:val="single" w:sz="4" w:space="0" w:color="auto"/>
            </w:tcBorders>
            <w:shd w:val="clear" w:color="auto" w:fill="C6EFCE"/>
            <w:noWrap/>
            <w:vAlign w:val="center"/>
          </w:tcPr>
          <w:p w14:paraId="7AA17E48" w14:textId="77777777" w:rsidR="003F5418" w:rsidRDefault="002A6C25">
            <w:pPr>
              <w:pStyle w:val="P68B1DB1-Normal9"/>
              <w:rPr>
                <w:noProof/>
              </w:rPr>
            </w:pPr>
            <w:r>
              <w:rPr>
                <w:noProof/>
              </w:rPr>
              <w:t>Beruházás – A Belügyminisztérium digitalizálása</w:t>
            </w:r>
          </w:p>
        </w:tc>
        <w:tc>
          <w:tcPr>
            <w:tcW w:w="1498" w:type="dxa"/>
            <w:tcBorders>
              <w:top w:val="nil"/>
              <w:left w:val="nil"/>
              <w:bottom w:val="single" w:sz="4" w:space="0" w:color="auto"/>
              <w:right w:val="single" w:sz="4" w:space="0" w:color="auto"/>
            </w:tcBorders>
            <w:shd w:val="clear" w:color="auto" w:fill="C6EFCE"/>
            <w:noWrap/>
            <w:vAlign w:val="center"/>
          </w:tcPr>
          <w:p w14:paraId="20768AD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EB834BC" w14:textId="77777777" w:rsidR="003F5418" w:rsidRDefault="002A6C25">
            <w:pPr>
              <w:pStyle w:val="P68B1DB1-Normal9"/>
              <w:jc w:val="center"/>
              <w:rPr>
                <w:noProof/>
              </w:rPr>
            </w:pPr>
            <w:r>
              <w:rPr>
                <w:noProof/>
              </w:rPr>
              <w:t>Belügyminisztérium – T2 teljesen átalakított és digitalizált folyamatok</w:t>
            </w:r>
          </w:p>
        </w:tc>
      </w:tr>
      <w:tr w:rsidR="003F5418" w14:paraId="500F7D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F512848" w14:textId="77777777" w:rsidR="003F5418" w:rsidRDefault="002A6C25">
            <w:pPr>
              <w:pStyle w:val="P68B1DB1-Normal9"/>
              <w:jc w:val="center"/>
              <w:rPr>
                <w:noProof/>
              </w:rPr>
            </w:pPr>
            <w:r>
              <w:rPr>
                <w:noProof/>
              </w:rPr>
              <w:t>M1C1–153</w:t>
            </w:r>
          </w:p>
        </w:tc>
        <w:tc>
          <w:tcPr>
            <w:tcW w:w="3090" w:type="dxa"/>
            <w:tcBorders>
              <w:top w:val="nil"/>
              <w:left w:val="nil"/>
              <w:bottom w:val="single" w:sz="4" w:space="0" w:color="auto"/>
              <w:right w:val="single" w:sz="4" w:space="0" w:color="auto"/>
            </w:tcBorders>
            <w:shd w:val="clear" w:color="auto" w:fill="C6EFCE"/>
            <w:noWrap/>
            <w:vAlign w:val="center"/>
          </w:tcPr>
          <w:p w14:paraId="47833CC7" w14:textId="77777777" w:rsidR="003F5418" w:rsidRDefault="002A6C25">
            <w:pPr>
              <w:pStyle w:val="P68B1DB1-Normal9"/>
              <w:rPr>
                <w:noProof/>
              </w:rPr>
            </w:pPr>
            <w:r>
              <w:rPr>
                <w:noProof/>
              </w:rPr>
              <w:t>Beruházás – Az Igazságügyi Minis</w:t>
            </w:r>
            <w:r>
              <w:rPr>
                <w:noProof/>
              </w:rPr>
              <w:t>ztérium digitalizálása</w:t>
            </w:r>
          </w:p>
        </w:tc>
        <w:tc>
          <w:tcPr>
            <w:tcW w:w="1498" w:type="dxa"/>
            <w:tcBorders>
              <w:top w:val="nil"/>
              <w:left w:val="nil"/>
              <w:bottom w:val="single" w:sz="4" w:space="0" w:color="auto"/>
              <w:right w:val="single" w:sz="4" w:space="0" w:color="auto"/>
            </w:tcBorders>
            <w:shd w:val="clear" w:color="auto" w:fill="C6EFCE"/>
            <w:noWrap/>
            <w:vAlign w:val="center"/>
          </w:tcPr>
          <w:p w14:paraId="10BF8A58"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F2B0299" w14:textId="77777777" w:rsidR="003F5418" w:rsidRDefault="002A6C25">
            <w:pPr>
              <w:pStyle w:val="P68B1DB1-Normal9"/>
              <w:jc w:val="center"/>
              <w:rPr>
                <w:noProof/>
              </w:rPr>
            </w:pPr>
            <w:r>
              <w:rPr>
                <w:noProof/>
              </w:rPr>
              <w:t>Digitalizált bírósági iratok T2</w:t>
            </w:r>
          </w:p>
        </w:tc>
      </w:tr>
      <w:tr w:rsidR="003F5418" w14:paraId="6F257E7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3B4588" w14:textId="77777777" w:rsidR="003F5418" w:rsidRDefault="002A6C25">
            <w:pPr>
              <w:pStyle w:val="P68B1DB1-Normal9"/>
              <w:jc w:val="center"/>
              <w:rPr>
                <w:noProof/>
              </w:rPr>
            </w:pPr>
            <w:r>
              <w:rPr>
                <w:noProof/>
              </w:rPr>
              <w:t>M1C1–154</w:t>
            </w:r>
          </w:p>
        </w:tc>
        <w:tc>
          <w:tcPr>
            <w:tcW w:w="3090" w:type="dxa"/>
            <w:tcBorders>
              <w:top w:val="nil"/>
              <w:left w:val="nil"/>
              <w:bottom w:val="single" w:sz="4" w:space="0" w:color="auto"/>
              <w:right w:val="single" w:sz="4" w:space="0" w:color="auto"/>
            </w:tcBorders>
            <w:shd w:val="clear" w:color="auto" w:fill="C6EFCE"/>
            <w:noWrap/>
            <w:vAlign w:val="center"/>
          </w:tcPr>
          <w:p w14:paraId="65E77F1F" w14:textId="77777777" w:rsidR="003F5418" w:rsidRDefault="002A6C25">
            <w:pPr>
              <w:pStyle w:val="P68B1DB1-Normal9"/>
              <w:rPr>
                <w:noProof/>
              </w:rPr>
            </w:pPr>
            <w:r>
              <w:rPr>
                <w:noProof/>
              </w:rPr>
              <w:t>Beruházás – Az Igazságügyi Minisztérium digitalizálása</w:t>
            </w:r>
          </w:p>
        </w:tc>
        <w:tc>
          <w:tcPr>
            <w:tcW w:w="1498" w:type="dxa"/>
            <w:tcBorders>
              <w:top w:val="nil"/>
              <w:left w:val="nil"/>
              <w:bottom w:val="single" w:sz="4" w:space="0" w:color="auto"/>
              <w:right w:val="single" w:sz="4" w:space="0" w:color="auto"/>
            </w:tcBorders>
            <w:shd w:val="clear" w:color="auto" w:fill="C6EFCE"/>
            <w:noWrap/>
            <w:vAlign w:val="center"/>
          </w:tcPr>
          <w:p w14:paraId="7D04A6E5"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68388D7" w14:textId="77777777" w:rsidR="003F5418" w:rsidRDefault="002A6C25">
            <w:pPr>
              <w:pStyle w:val="P68B1DB1-Normal9"/>
              <w:jc w:val="center"/>
              <w:rPr>
                <w:noProof/>
              </w:rPr>
            </w:pPr>
            <w:r>
              <w:rPr>
                <w:noProof/>
              </w:rPr>
              <w:t>Igazságügyi adattavak tudásrendszerek T2</w:t>
            </w:r>
          </w:p>
        </w:tc>
      </w:tr>
      <w:tr w:rsidR="003F5418" w14:paraId="1BA7E0D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C7082D4" w14:textId="77777777" w:rsidR="003F5418" w:rsidRDefault="002A6C25">
            <w:pPr>
              <w:pStyle w:val="P68B1DB1-Normal9"/>
              <w:jc w:val="center"/>
              <w:rPr>
                <w:noProof/>
              </w:rPr>
            </w:pPr>
            <w:r>
              <w:rPr>
                <w:noProof/>
              </w:rPr>
              <w:t>M1C1–155</w:t>
            </w:r>
          </w:p>
        </w:tc>
        <w:tc>
          <w:tcPr>
            <w:tcW w:w="3090" w:type="dxa"/>
            <w:tcBorders>
              <w:top w:val="nil"/>
              <w:left w:val="nil"/>
              <w:bottom w:val="single" w:sz="4" w:space="0" w:color="auto"/>
              <w:right w:val="single" w:sz="4" w:space="0" w:color="auto"/>
            </w:tcBorders>
            <w:shd w:val="clear" w:color="auto" w:fill="C6EFCE"/>
            <w:noWrap/>
            <w:vAlign w:val="center"/>
          </w:tcPr>
          <w:p w14:paraId="5357C778" w14:textId="77777777" w:rsidR="003F5418" w:rsidRDefault="002A6C25">
            <w:pPr>
              <w:pStyle w:val="P68B1DB1-Normal9"/>
              <w:rPr>
                <w:noProof/>
              </w:rPr>
            </w:pPr>
            <w:r>
              <w:rPr>
                <w:noProof/>
              </w:rPr>
              <w:t xml:space="preserve">Beruházás – A Nemzeti Társadalombiztosítási Intézet (INPS) és a Nemzeti </w:t>
            </w:r>
            <w:r>
              <w:rPr>
                <w:noProof/>
              </w:rPr>
              <w:t>Munkahelyi Balesetbiztosítási Intézet (INAIL) digitalizálása</w:t>
            </w:r>
          </w:p>
        </w:tc>
        <w:tc>
          <w:tcPr>
            <w:tcW w:w="1498" w:type="dxa"/>
            <w:tcBorders>
              <w:top w:val="nil"/>
              <w:left w:val="nil"/>
              <w:bottom w:val="single" w:sz="4" w:space="0" w:color="auto"/>
              <w:right w:val="single" w:sz="4" w:space="0" w:color="auto"/>
            </w:tcBorders>
            <w:shd w:val="clear" w:color="auto" w:fill="C6EFCE"/>
            <w:noWrap/>
            <w:vAlign w:val="center"/>
          </w:tcPr>
          <w:p w14:paraId="698C393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37C8930" w14:textId="77777777" w:rsidR="003F5418" w:rsidRDefault="002A6C25">
            <w:pPr>
              <w:pStyle w:val="P68B1DB1-Normal9"/>
              <w:jc w:val="center"/>
              <w:rPr>
                <w:noProof/>
              </w:rPr>
            </w:pPr>
            <w:r>
              <w:rPr>
                <w:noProof/>
              </w:rPr>
              <w:t>INAIL – T2 teljesen átalakított és digitalizált folyamatok/szolgáltatások</w:t>
            </w:r>
          </w:p>
        </w:tc>
      </w:tr>
      <w:tr w:rsidR="003F5418" w14:paraId="4C388CE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6948E3" w14:textId="77777777" w:rsidR="003F5418" w:rsidRDefault="002A6C25">
            <w:pPr>
              <w:pStyle w:val="P68B1DB1-Normal9"/>
              <w:jc w:val="center"/>
              <w:rPr>
                <w:noProof/>
              </w:rPr>
            </w:pPr>
            <w:r>
              <w:rPr>
                <w:noProof/>
              </w:rPr>
              <w:t>M1C2–15</w:t>
            </w:r>
          </w:p>
        </w:tc>
        <w:tc>
          <w:tcPr>
            <w:tcW w:w="3090" w:type="dxa"/>
            <w:tcBorders>
              <w:top w:val="nil"/>
              <w:left w:val="nil"/>
              <w:bottom w:val="single" w:sz="4" w:space="0" w:color="auto"/>
              <w:right w:val="single" w:sz="4" w:space="0" w:color="auto"/>
            </w:tcBorders>
            <w:shd w:val="clear" w:color="auto" w:fill="C6EFCE"/>
            <w:noWrap/>
            <w:vAlign w:val="center"/>
          </w:tcPr>
          <w:p w14:paraId="6C1DE974" w14:textId="77777777" w:rsidR="003F5418" w:rsidRDefault="002A6C25">
            <w:pPr>
              <w:pStyle w:val="P68B1DB1-Normal9"/>
              <w:rPr>
                <w:noProof/>
              </w:rPr>
            </w:pPr>
            <w:r>
              <w:rPr>
                <w:noProof/>
              </w:rPr>
              <w:t>A 2. beruházást Mikroelektronikai innováció és technológia</w:t>
            </w:r>
          </w:p>
        </w:tc>
        <w:tc>
          <w:tcPr>
            <w:tcW w:w="1498" w:type="dxa"/>
            <w:tcBorders>
              <w:top w:val="nil"/>
              <w:left w:val="nil"/>
              <w:bottom w:val="single" w:sz="4" w:space="0" w:color="auto"/>
              <w:right w:val="single" w:sz="4" w:space="0" w:color="auto"/>
            </w:tcBorders>
            <w:shd w:val="clear" w:color="auto" w:fill="C6EFCE"/>
            <w:noWrap/>
            <w:vAlign w:val="center"/>
          </w:tcPr>
          <w:p w14:paraId="529201C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65BD649" w14:textId="77777777" w:rsidR="003F5418" w:rsidRDefault="002A6C25">
            <w:pPr>
              <w:pStyle w:val="P68B1DB1-Normal9"/>
              <w:jc w:val="center"/>
              <w:rPr>
                <w:noProof/>
              </w:rPr>
            </w:pPr>
            <w:r>
              <w:rPr>
                <w:noProof/>
              </w:rPr>
              <w:t xml:space="preserve">A szilícium-karbid szubsztrátum gyártási </w:t>
            </w:r>
            <w:r>
              <w:rPr>
                <w:noProof/>
              </w:rPr>
              <w:t>kapacitása</w:t>
            </w:r>
          </w:p>
        </w:tc>
      </w:tr>
      <w:tr w:rsidR="003F5418" w14:paraId="3CBBB37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0835B35" w14:textId="77777777" w:rsidR="003F5418" w:rsidRDefault="002A6C25">
            <w:pPr>
              <w:pStyle w:val="P68B1DB1-Normal9"/>
              <w:jc w:val="center"/>
              <w:rPr>
                <w:noProof/>
              </w:rPr>
            </w:pPr>
            <w:r>
              <w:rPr>
                <w:noProof/>
              </w:rPr>
              <w:t>M1C2–17</w:t>
            </w:r>
          </w:p>
        </w:tc>
        <w:tc>
          <w:tcPr>
            <w:tcW w:w="3090" w:type="dxa"/>
            <w:tcBorders>
              <w:top w:val="nil"/>
              <w:left w:val="nil"/>
              <w:bottom w:val="single" w:sz="4" w:space="0" w:color="auto"/>
              <w:right w:val="single" w:sz="4" w:space="0" w:color="auto"/>
            </w:tcBorders>
            <w:shd w:val="clear" w:color="auto" w:fill="C6EFCE"/>
            <w:noWrap/>
            <w:vAlign w:val="center"/>
          </w:tcPr>
          <w:p w14:paraId="3A4EC470" w14:textId="77777777" w:rsidR="003F5418" w:rsidRDefault="002A6C25">
            <w:pPr>
              <w:pStyle w:val="P68B1DB1-Normal9"/>
              <w:rPr>
                <w:noProof/>
              </w:rPr>
            </w:pPr>
            <w:r>
              <w:rPr>
                <w:noProof/>
              </w:rPr>
              <w:t>Beruházás: Gyors internetkapcsolat (Ultra-Broadband és 5G)</w:t>
            </w:r>
          </w:p>
        </w:tc>
        <w:tc>
          <w:tcPr>
            <w:tcW w:w="1498" w:type="dxa"/>
            <w:tcBorders>
              <w:top w:val="nil"/>
              <w:left w:val="nil"/>
              <w:bottom w:val="single" w:sz="4" w:space="0" w:color="auto"/>
              <w:right w:val="single" w:sz="4" w:space="0" w:color="auto"/>
            </w:tcBorders>
            <w:shd w:val="clear" w:color="auto" w:fill="C6EFCE"/>
            <w:noWrap/>
            <w:vAlign w:val="center"/>
          </w:tcPr>
          <w:p w14:paraId="7AD2E1C3"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72BF752" w14:textId="77777777" w:rsidR="003F5418" w:rsidRDefault="002A6C25">
            <w:pPr>
              <w:pStyle w:val="P68B1DB1-Normal9"/>
              <w:jc w:val="center"/>
              <w:rPr>
                <w:noProof/>
              </w:rPr>
            </w:pPr>
            <w:r>
              <w:rPr>
                <w:noProof/>
              </w:rPr>
              <w:t>1 Gbps kapcsolattal biztosított házszámok</w:t>
            </w:r>
          </w:p>
        </w:tc>
      </w:tr>
      <w:tr w:rsidR="003F5418" w14:paraId="5B1EC2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7E0E2A8" w14:textId="77777777" w:rsidR="003F5418" w:rsidRDefault="002A6C25">
            <w:pPr>
              <w:pStyle w:val="P68B1DB1-Normal9"/>
              <w:jc w:val="center"/>
              <w:rPr>
                <w:noProof/>
              </w:rPr>
            </w:pPr>
            <w:r>
              <w:rPr>
                <w:noProof/>
              </w:rPr>
              <w:t>M1C2–18</w:t>
            </w:r>
          </w:p>
        </w:tc>
        <w:tc>
          <w:tcPr>
            <w:tcW w:w="3090" w:type="dxa"/>
            <w:tcBorders>
              <w:top w:val="nil"/>
              <w:left w:val="nil"/>
              <w:bottom w:val="single" w:sz="4" w:space="0" w:color="auto"/>
              <w:right w:val="single" w:sz="4" w:space="0" w:color="auto"/>
            </w:tcBorders>
            <w:shd w:val="clear" w:color="auto" w:fill="C6EFCE"/>
            <w:noWrap/>
            <w:vAlign w:val="center"/>
          </w:tcPr>
          <w:p w14:paraId="5963F543" w14:textId="77777777" w:rsidR="003F5418" w:rsidRDefault="002A6C25">
            <w:pPr>
              <w:pStyle w:val="P68B1DB1-Normal9"/>
              <w:rPr>
                <w:noProof/>
              </w:rPr>
            </w:pPr>
            <w:r>
              <w:rPr>
                <w:noProof/>
              </w:rPr>
              <w:t>Beruházás: Gyors internetkapcsolat (Ultra-Broadband és 5G)</w:t>
            </w:r>
          </w:p>
        </w:tc>
        <w:tc>
          <w:tcPr>
            <w:tcW w:w="1498" w:type="dxa"/>
            <w:tcBorders>
              <w:top w:val="nil"/>
              <w:left w:val="nil"/>
              <w:bottom w:val="single" w:sz="4" w:space="0" w:color="auto"/>
              <w:right w:val="single" w:sz="4" w:space="0" w:color="auto"/>
            </w:tcBorders>
            <w:shd w:val="clear" w:color="auto" w:fill="C6EFCE"/>
            <w:noWrap/>
            <w:vAlign w:val="center"/>
          </w:tcPr>
          <w:p w14:paraId="6AC4E7F3"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F03429A" w14:textId="77777777" w:rsidR="003F5418" w:rsidRDefault="002A6C25">
            <w:pPr>
              <w:pStyle w:val="P68B1DB1-Normal9"/>
              <w:jc w:val="center"/>
              <w:rPr>
                <w:noProof/>
              </w:rPr>
            </w:pPr>
            <w:r>
              <w:rPr>
                <w:noProof/>
              </w:rPr>
              <w:t>1 Gbps</w:t>
            </w:r>
            <w:r>
              <w:rPr>
                <w:noProof/>
              </w:rPr>
              <w:t xml:space="preserve"> internetkapcsolattal rendelkező iskolaépületek és egészségügyi létesítmények</w:t>
            </w:r>
          </w:p>
        </w:tc>
      </w:tr>
      <w:tr w:rsidR="003F5418" w14:paraId="757A6D3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61CDF" w14:textId="77777777" w:rsidR="003F5418" w:rsidRDefault="002A6C25">
            <w:pPr>
              <w:pStyle w:val="P68B1DB1-Normal9"/>
              <w:jc w:val="center"/>
              <w:rPr>
                <w:noProof/>
              </w:rPr>
            </w:pPr>
            <w:r>
              <w:rPr>
                <w:noProof/>
              </w:rPr>
              <w:t>M1C2–20</w:t>
            </w:r>
          </w:p>
        </w:tc>
        <w:tc>
          <w:tcPr>
            <w:tcW w:w="3090" w:type="dxa"/>
            <w:tcBorders>
              <w:top w:val="nil"/>
              <w:left w:val="nil"/>
              <w:bottom w:val="single" w:sz="4" w:space="0" w:color="auto"/>
              <w:right w:val="single" w:sz="4" w:space="0" w:color="auto"/>
            </w:tcBorders>
            <w:shd w:val="clear" w:color="auto" w:fill="C6EFCE"/>
            <w:noWrap/>
            <w:vAlign w:val="center"/>
          </w:tcPr>
          <w:p w14:paraId="738E75CB" w14:textId="77777777" w:rsidR="003F5418" w:rsidRDefault="002A6C25">
            <w:pPr>
              <w:pStyle w:val="P68B1DB1-Normal9"/>
              <w:rPr>
                <w:noProof/>
              </w:rPr>
            </w:pPr>
            <w:r>
              <w:rPr>
                <w:noProof/>
              </w:rPr>
              <w:t>Beruházás: Gyors internetkapcsolat (Ultra-Broadband és 5G)</w:t>
            </w:r>
          </w:p>
        </w:tc>
        <w:tc>
          <w:tcPr>
            <w:tcW w:w="1498" w:type="dxa"/>
            <w:tcBorders>
              <w:top w:val="nil"/>
              <w:left w:val="nil"/>
              <w:bottom w:val="single" w:sz="4" w:space="0" w:color="auto"/>
              <w:right w:val="single" w:sz="4" w:space="0" w:color="auto"/>
            </w:tcBorders>
            <w:shd w:val="clear" w:color="auto" w:fill="C6EFCE"/>
            <w:noWrap/>
            <w:vAlign w:val="center"/>
          </w:tcPr>
          <w:p w14:paraId="3B49E455"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CC966D3" w14:textId="77777777" w:rsidR="003F5418" w:rsidRDefault="002A6C25">
            <w:pPr>
              <w:pStyle w:val="P68B1DB1-Normal9"/>
              <w:jc w:val="center"/>
              <w:rPr>
                <w:noProof/>
              </w:rPr>
            </w:pPr>
            <w:r>
              <w:rPr>
                <w:noProof/>
              </w:rPr>
              <w:t>5G lefedettséggel lehetővé tett városon kívüli utak és folyosók</w:t>
            </w:r>
          </w:p>
        </w:tc>
      </w:tr>
      <w:tr w:rsidR="003F5418" w14:paraId="2527A64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4BDAD06" w14:textId="77777777" w:rsidR="003F5418" w:rsidRDefault="002A6C25">
            <w:pPr>
              <w:pStyle w:val="P68B1DB1-Normal9"/>
              <w:jc w:val="center"/>
              <w:rPr>
                <w:noProof/>
              </w:rPr>
            </w:pPr>
            <w:r>
              <w:rPr>
                <w:noProof/>
              </w:rPr>
              <w:t>M1C2–21</w:t>
            </w:r>
          </w:p>
        </w:tc>
        <w:tc>
          <w:tcPr>
            <w:tcW w:w="3090" w:type="dxa"/>
            <w:tcBorders>
              <w:top w:val="nil"/>
              <w:left w:val="nil"/>
              <w:bottom w:val="single" w:sz="4" w:space="0" w:color="auto"/>
              <w:right w:val="single" w:sz="4" w:space="0" w:color="auto"/>
            </w:tcBorders>
            <w:shd w:val="clear" w:color="auto" w:fill="C6EFCE"/>
            <w:noWrap/>
            <w:vAlign w:val="center"/>
          </w:tcPr>
          <w:p w14:paraId="2BA3C6BA" w14:textId="77777777" w:rsidR="003F5418" w:rsidRDefault="002A6C25">
            <w:pPr>
              <w:pStyle w:val="P68B1DB1-Normal9"/>
              <w:rPr>
                <w:noProof/>
              </w:rPr>
            </w:pPr>
            <w:r>
              <w:rPr>
                <w:noProof/>
              </w:rPr>
              <w:t>Beruházás: Gyors internetkapcsola</w:t>
            </w:r>
            <w:r>
              <w:rPr>
                <w:noProof/>
              </w:rPr>
              <w:t>t (Ultra-Broadband és 5G)</w:t>
            </w:r>
          </w:p>
        </w:tc>
        <w:tc>
          <w:tcPr>
            <w:tcW w:w="1498" w:type="dxa"/>
            <w:tcBorders>
              <w:top w:val="nil"/>
              <w:left w:val="nil"/>
              <w:bottom w:val="single" w:sz="4" w:space="0" w:color="auto"/>
              <w:right w:val="single" w:sz="4" w:space="0" w:color="auto"/>
            </w:tcBorders>
            <w:shd w:val="clear" w:color="auto" w:fill="C6EFCE"/>
            <w:noWrap/>
            <w:vAlign w:val="center"/>
          </w:tcPr>
          <w:p w14:paraId="450B97AD"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C693F9" w14:textId="77777777" w:rsidR="003F5418" w:rsidRDefault="002A6C25">
            <w:pPr>
              <w:pStyle w:val="P68B1DB1-Normal9"/>
              <w:jc w:val="center"/>
              <w:rPr>
                <w:noProof/>
              </w:rPr>
            </w:pPr>
            <w:r>
              <w:rPr>
                <w:noProof/>
              </w:rPr>
              <w:t>Az 5G lefedettséggel lehetővé tett piaci hiányosságok által érintett területek</w:t>
            </w:r>
          </w:p>
        </w:tc>
      </w:tr>
      <w:tr w:rsidR="003F5418" w14:paraId="7D78E0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D22BE11" w14:textId="77777777" w:rsidR="003F5418" w:rsidRDefault="002A6C25">
            <w:pPr>
              <w:pStyle w:val="P68B1DB1-Normal9"/>
              <w:jc w:val="center"/>
              <w:rPr>
                <w:noProof/>
              </w:rPr>
            </w:pPr>
            <w:r>
              <w:rPr>
                <w:noProof/>
              </w:rPr>
              <w:t>M1C2–23</w:t>
            </w:r>
          </w:p>
        </w:tc>
        <w:tc>
          <w:tcPr>
            <w:tcW w:w="3090" w:type="dxa"/>
            <w:tcBorders>
              <w:top w:val="nil"/>
              <w:left w:val="nil"/>
              <w:bottom w:val="single" w:sz="4" w:space="0" w:color="auto"/>
              <w:right w:val="single" w:sz="4" w:space="0" w:color="auto"/>
            </w:tcBorders>
            <w:shd w:val="clear" w:color="auto" w:fill="C6EFCE"/>
            <w:noWrap/>
            <w:vAlign w:val="center"/>
          </w:tcPr>
          <w:p w14:paraId="38E28EEF" w14:textId="77777777" w:rsidR="003F5418" w:rsidRDefault="002A6C25">
            <w:pPr>
              <w:pStyle w:val="P68B1DB1-Normal9"/>
              <w:rPr>
                <w:noProof/>
              </w:rPr>
            </w:pPr>
            <w:r>
              <w:rPr>
                <w:noProof/>
              </w:rPr>
              <w:t>Beruházás: Műholdas technológia és űrgazdaság</w:t>
            </w:r>
          </w:p>
        </w:tc>
        <w:tc>
          <w:tcPr>
            <w:tcW w:w="1498" w:type="dxa"/>
            <w:tcBorders>
              <w:top w:val="nil"/>
              <w:left w:val="nil"/>
              <w:bottom w:val="single" w:sz="4" w:space="0" w:color="auto"/>
              <w:right w:val="single" w:sz="4" w:space="0" w:color="auto"/>
            </w:tcBorders>
            <w:shd w:val="clear" w:color="auto" w:fill="C6EFCE"/>
            <w:noWrap/>
            <w:vAlign w:val="center"/>
          </w:tcPr>
          <w:p w14:paraId="66922AE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085F0F0" w14:textId="77777777" w:rsidR="003F5418" w:rsidRDefault="002A6C25">
            <w:pPr>
              <w:pStyle w:val="P68B1DB1-Normal9"/>
              <w:jc w:val="center"/>
              <w:rPr>
                <w:noProof/>
              </w:rPr>
            </w:pPr>
            <w:r>
              <w:rPr>
                <w:noProof/>
              </w:rPr>
              <w:t xml:space="preserve">Földi teleszkópok, működő SST-központ, űrgyár és folyékony meghajtó demonstrátor </w:t>
            </w:r>
            <w:r>
              <w:rPr>
                <w:noProof/>
              </w:rPr>
              <w:t>telepítése</w:t>
            </w:r>
          </w:p>
        </w:tc>
      </w:tr>
      <w:tr w:rsidR="003F5418" w14:paraId="73BAAE0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38741F" w14:textId="77777777" w:rsidR="003F5418" w:rsidRDefault="002A6C25">
            <w:pPr>
              <w:pStyle w:val="P68B1DB1-Normal9"/>
              <w:jc w:val="center"/>
              <w:rPr>
                <w:noProof/>
              </w:rPr>
            </w:pPr>
            <w:r>
              <w:rPr>
                <w:noProof/>
              </w:rPr>
              <w:t>M1C2–24</w:t>
            </w:r>
          </w:p>
        </w:tc>
        <w:tc>
          <w:tcPr>
            <w:tcW w:w="3090" w:type="dxa"/>
            <w:tcBorders>
              <w:top w:val="nil"/>
              <w:left w:val="nil"/>
              <w:bottom w:val="single" w:sz="4" w:space="0" w:color="auto"/>
              <w:right w:val="single" w:sz="4" w:space="0" w:color="auto"/>
            </w:tcBorders>
            <w:shd w:val="clear" w:color="auto" w:fill="C6EFCE"/>
            <w:noWrap/>
            <w:vAlign w:val="center"/>
          </w:tcPr>
          <w:p w14:paraId="0DCB86A2" w14:textId="77777777" w:rsidR="003F5418" w:rsidRDefault="002A6C25">
            <w:pPr>
              <w:pStyle w:val="P68B1DB1-Normal9"/>
              <w:rPr>
                <w:noProof/>
              </w:rPr>
            </w:pPr>
            <w:r>
              <w:rPr>
                <w:noProof/>
              </w:rPr>
              <w:t>Beruházás: Műholdas technológia és űrgazdaság</w:t>
            </w:r>
          </w:p>
        </w:tc>
        <w:tc>
          <w:tcPr>
            <w:tcW w:w="1498" w:type="dxa"/>
            <w:tcBorders>
              <w:top w:val="nil"/>
              <w:left w:val="nil"/>
              <w:bottom w:val="single" w:sz="4" w:space="0" w:color="auto"/>
              <w:right w:val="single" w:sz="4" w:space="0" w:color="auto"/>
            </w:tcBorders>
            <w:shd w:val="clear" w:color="auto" w:fill="C6EFCE"/>
            <w:noWrap/>
            <w:vAlign w:val="center"/>
          </w:tcPr>
          <w:p w14:paraId="53F89F43"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4029FD7" w14:textId="77777777" w:rsidR="003F5418" w:rsidRDefault="002A6C25">
            <w:pPr>
              <w:pStyle w:val="P68B1DB1-Normal9"/>
              <w:jc w:val="center"/>
              <w:rPr>
                <w:noProof/>
              </w:rPr>
            </w:pPr>
            <w:r>
              <w:rPr>
                <w:noProof/>
              </w:rPr>
              <w:t>Telepített konstellációk vagy konstellációk koncepciójának igazolása</w:t>
            </w:r>
          </w:p>
        </w:tc>
      </w:tr>
      <w:tr w:rsidR="003F5418" w14:paraId="202B7C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BB43CB4" w14:textId="77777777" w:rsidR="003F5418" w:rsidRDefault="002A6C25">
            <w:pPr>
              <w:pStyle w:val="P68B1DB1-Normal9"/>
              <w:jc w:val="center"/>
              <w:rPr>
                <w:noProof/>
              </w:rPr>
            </w:pPr>
            <w:r>
              <w:rPr>
                <w:noProof/>
              </w:rPr>
              <w:t>M1C2–25</w:t>
            </w:r>
          </w:p>
        </w:tc>
        <w:tc>
          <w:tcPr>
            <w:tcW w:w="3090" w:type="dxa"/>
            <w:tcBorders>
              <w:top w:val="nil"/>
              <w:left w:val="nil"/>
              <w:bottom w:val="single" w:sz="4" w:space="0" w:color="auto"/>
              <w:right w:val="single" w:sz="4" w:space="0" w:color="auto"/>
            </w:tcBorders>
            <w:shd w:val="clear" w:color="auto" w:fill="C6EFCE"/>
            <w:noWrap/>
            <w:vAlign w:val="center"/>
          </w:tcPr>
          <w:p w14:paraId="2C89BBB4" w14:textId="77777777" w:rsidR="003F5418" w:rsidRDefault="002A6C25">
            <w:pPr>
              <w:pStyle w:val="P68B1DB1-Normal9"/>
              <w:rPr>
                <w:noProof/>
              </w:rPr>
            </w:pPr>
            <w:r>
              <w:rPr>
                <w:noProof/>
              </w:rPr>
              <w:t>Beruházás: Műholdas technológia és űrgazdaság</w:t>
            </w:r>
          </w:p>
        </w:tc>
        <w:tc>
          <w:tcPr>
            <w:tcW w:w="1498" w:type="dxa"/>
            <w:tcBorders>
              <w:top w:val="nil"/>
              <w:left w:val="nil"/>
              <w:bottom w:val="single" w:sz="4" w:space="0" w:color="auto"/>
              <w:right w:val="single" w:sz="4" w:space="0" w:color="auto"/>
            </w:tcBorders>
            <w:shd w:val="clear" w:color="auto" w:fill="C6EFCE"/>
            <w:noWrap/>
            <w:vAlign w:val="center"/>
          </w:tcPr>
          <w:p w14:paraId="3AF2BAF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CFB4FA7" w14:textId="77777777" w:rsidR="003F5418" w:rsidRDefault="002A6C25">
            <w:pPr>
              <w:pStyle w:val="P68B1DB1-Normal9"/>
              <w:jc w:val="center"/>
              <w:rPr>
                <w:noProof/>
              </w:rPr>
            </w:pPr>
            <w:r>
              <w:rPr>
                <w:noProof/>
              </w:rPr>
              <w:t>Közigazgatási szervek részére nyújtott szolgáltatások</w:t>
            </w:r>
          </w:p>
        </w:tc>
      </w:tr>
      <w:tr w:rsidR="003F5418" w14:paraId="3959CBB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F5FBB16" w14:textId="77777777" w:rsidR="003F5418" w:rsidRDefault="002A6C25">
            <w:pPr>
              <w:pStyle w:val="P68B1DB1-Normal9"/>
              <w:jc w:val="center"/>
              <w:rPr>
                <w:noProof/>
              </w:rPr>
            </w:pPr>
            <w:r>
              <w:rPr>
                <w:noProof/>
              </w:rPr>
              <w:t>M1C2–32</w:t>
            </w:r>
          </w:p>
        </w:tc>
        <w:tc>
          <w:tcPr>
            <w:tcW w:w="3090" w:type="dxa"/>
            <w:tcBorders>
              <w:top w:val="nil"/>
              <w:left w:val="nil"/>
              <w:bottom w:val="single" w:sz="4" w:space="0" w:color="auto"/>
              <w:right w:val="single" w:sz="4" w:space="0" w:color="auto"/>
            </w:tcBorders>
            <w:shd w:val="clear" w:color="auto" w:fill="C6EFCE"/>
            <w:noWrap/>
            <w:vAlign w:val="center"/>
          </w:tcPr>
          <w:p w14:paraId="56990312" w14:textId="77777777" w:rsidR="003F5418" w:rsidRDefault="002A6C25">
            <w:pPr>
              <w:pStyle w:val="P68B1DB1-Normal9"/>
              <w:rPr>
                <w:noProof/>
              </w:rPr>
            </w:pPr>
            <w:r>
              <w:rPr>
                <w:noProof/>
              </w:rPr>
              <w:t>Beruházás. Az ökológiai átálláshoz, a nettó zéró technológiákhoz, valamint a stratégiai ellátási láncok versenyképességéhez és rezilienciájához szükséges termelési rendszer támogatása</w:t>
            </w:r>
          </w:p>
        </w:tc>
        <w:tc>
          <w:tcPr>
            <w:tcW w:w="1498" w:type="dxa"/>
            <w:tcBorders>
              <w:top w:val="nil"/>
              <w:left w:val="nil"/>
              <w:bottom w:val="single" w:sz="4" w:space="0" w:color="auto"/>
              <w:right w:val="single" w:sz="4" w:space="0" w:color="auto"/>
            </w:tcBorders>
            <w:shd w:val="clear" w:color="auto" w:fill="C6EFCE"/>
            <w:noWrap/>
            <w:vAlign w:val="center"/>
          </w:tcPr>
          <w:p w14:paraId="4717BFB3" w14:textId="77777777" w:rsidR="003F5418" w:rsidRDefault="002A6C25">
            <w:pPr>
              <w:pStyle w:val="P68B1DB1-Normal9"/>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5222106" w14:textId="77777777" w:rsidR="003F5418" w:rsidRDefault="002A6C25">
            <w:pPr>
              <w:pStyle w:val="P68B1DB1-Normal9"/>
              <w:rPr>
                <w:noProof/>
              </w:rPr>
            </w:pPr>
            <w:r>
              <w:rPr>
                <w:noProof/>
              </w:rPr>
              <w:t>A végső kedvezményezettekkel aláírt jogi megállapodások</w:t>
            </w:r>
          </w:p>
        </w:tc>
      </w:tr>
      <w:tr w:rsidR="003F5418" w14:paraId="0F91AF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E8A137" w14:textId="77777777" w:rsidR="003F5418" w:rsidRDefault="002A6C25">
            <w:pPr>
              <w:pStyle w:val="P68B1DB1-Normal9"/>
              <w:jc w:val="center"/>
              <w:rPr>
                <w:noProof/>
              </w:rPr>
            </w:pPr>
            <w:r>
              <w:rPr>
                <w:noProof/>
              </w:rPr>
              <w:t>M1C</w:t>
            </w:r>
            <w:r>
              <w:rPr>
                <w:noProof/>
              </w:rPr>
              <w:t>3–21. INTÉZKEDÉS</w:t>
            </w:r>
          </w:p>
        </w:tc>
        <w:tc>
          <w:tcPr>
            <w:tcW w:w="3090" w:type="dxa"/>
            <w:tcBorders>
              <w:top w:val="nil"/>
              <w:left w:val="nil"/>
              <w:bottom w:val="single" w:sz="4" w:space="0" w:color="auto"/>
              <w:right w:val="single" w:sz="4" w:space="0" w:color="auto"/>
            </w:tcBorders>
            <w:shd w:val="clear" w:color="auto" w:fill="C6EFCE"/>
            <w:noWrap/>
            <w:vAlign w:val="center"/>
          </w:tcPr>
          <w:p w14:paraId="2B7D993E" w14:textId="77777777" w:rsidR="003F5418" w:rsidRDefault="002A6C25">
            <w:pPr>
              <w:pStyle w:val="P68B1DB1-Normal9"/>
              <w:rPr>
                <w:noProof/>
              </w:rPr>
            </w:pPr>
            <w:r>
              <w:rPr>
                <w:noProof/>
              </w:rPr>
              <w:t>Beruházás – A filmipar fejlesztése (Cinecittà projekt)</w:t>
            </w:r>
          </w:p>
        </w:tc>
        <w:tc>
          <w:tcPr>
            <w:tcW w:w="1498" w:type="dxa"/>
            <w:tcBorders>
              <w:top w:val="nil"/>
              <w:left w:val="nil"/>
              <w:bottom w:val="single" w:sz="4" w:space="0" w:color="auto"/>
              <w:right w:val="single" w:sz="4" w:space="0" w:color="auto"/>
            </w:tcBorders>
            <w:shd w:val="clear" w:color="auto" w:fill="C6EFCE"/>
            <w:noWrap/>
            <w:vAlign w:val="center"/>
          </w:tcPr>
          <w:p w14:paraId="0C6CA65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F35D74E" w14:textId="77777777" w:rsidR="003F5418" w:rsidRDefault="002A6C25">
            <w:pPr>
              <w:pStyle w:val="P68B1DB1-Normal9"/>
              <w:jc w:val="center"/>
              <w:rPr>
                <w:noProof/>
              </w:rPr>
            </w:pPr>
            <w:r>
              <w:rPr>
                <w:noProof/>
              </w:rPr>
              <w:t>Azon stúdiók száma, amelyek átminősítési, korszerűsítési és építési munkálatai befejeződtek</w:t>
            </w:r>
          </w:p>
        </w:tc>
      </w:tr>
      <w:tr w:rsidR="003F5418" w14:paraId="0601999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30CEEE9" w14:textId="77777777" w:rsidR="003F5418" w:rsidRDefault="002A6C25">
            <w:pPr>
              <w:pStyle w:val="P68B1DB1-Normal9"/>
              <w:jc w:val="center"/>
              <w:rPr>
                <w:noProof/>
              </w:rPr>
            </w:pPr>
            <w:r>
              <w:rPr>
                <w:noProof/>
              </w:rPr>
              <w:t>M1C3–36.</w:t>
            </w:r>
          </w:p>
        </w:tc>
        <w:tc>
          <w:tcPr>
            <w:tcW w:w="3090" w:type="dxa"/>
            <w:tcBorders>
              <w:top w:val="nil"/>
              <w:left w:val="nil"/>
              <w:bottom w:val="single" w:sz="4" w:space="0" w:color="auto"/>
              <w:right w:val="single" w:sz="4" w:space="0" w:color="auto"/>
            </w:tcBorders>
            <w:shd w:val="clear" w:color="auto" w:fill="C6EFCE"/>
            <w:noWrap/>
            <w:vAlign w:val="center"/>
          </w:tcPr>
          <w:p w14:paraId="02365EE7" w14:textId="77777777" w:rsidR="003F5418" w:rsidRDefault="002A6C25">
            <w:pPr>
              <w:pStyle w:val="P68B1DB1-Normal9"/>
              <w:rPr>
                <w:noProof/>
              </w:rPr>
            </w:pPr>
            <w:r>
              <w:rPr>
                <w:noProof/>
              </w:rPr>
              <w:t>Beruházás – 4.3 Caput Mundi-Next Generation EU turisztikai nagyrendezvények sz</w:t>
            </w:r>
            <w:r>
              <w:rPr>
                <w:noProof/>
              </w:rPr>
              <w:t>ámára</w:t>
            </w:r>
          </w:p>
        </w:tc>
        <w:tc>
          <w:tcPr>
            <w:tcW w:w="1498" w:type="dxa"/>
            <w:tcBorders>
              <w:top w:val="nil"/>
              <w:left w:val="nil"/>
              <w:bottom w:val="single" w:sz="4" w:space="0" w:color="auto"/>
              <w:right w:val="single" w:sz="4" w:space="0" w:color="auto"/>
            </w:tcBorders>
            <w:shd w:val="clear" w:color="auto" w:fill="C6EFCE"/>
            <w:noWrap/>
            <w:vAlign w:val="center"/>
          </w:tcPr>
          <w:p w14:paraId="7AE379DD"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3C70B1A" w14:textId="77777777" w:rsidR="003F5418" w:rsidRDefault="002A6C25">
            <w:pPr>
              <w:pStyle w:val="P68B1DB1-Normal9"/>
              <w:jc w:val="center"/>
              <w:rPr>
                <w:noProof/>
              </w:rPr>
            </w:pPr>
            <w:r>
              <w:rPr>
                <w:noProof/>
              </w:rPr>
              <w:t xml:space="preserve">Az átminősítéssel érintett kulturális és turisztikai helyszínek száma </w:t>
            </w:r>
          </w:p>
        </w:tc>
      </w:tr>
      <w:tr w:rsidR="003F5418" w14:paraId="7F98AA6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D4791" w14:textId="77777777" w:rsidR="003F5418" w:rsidRDefault="002A6C25">
            <w:pPr>
              <w:pStyle w:val="P68B1DB1-Normal9"/>
              <w:jc w:val="center"/>
              <w:rPr>
                <w:noProof/>
              </w:rPr>
            </w:pPr>
            <w:r>
              <w:rPr>
                <w:noProof/>
              </w:rPr>
              <w:t>M2C1–16</w:t>
            </w:r>
          </w:p>
        </w:tc>
        <w:tc>
          <w:tcPr>
            <w:tcW w:w="3090" w:type="dxa"/>
            <w:tcBorders>
              <w:top w:val="nil"/>
              <w:left w:val="nil"/>
              <w:bottom w:val="single" w:sz="4" w:space="0" w:color="auto"/>
              <w:right w:val="single" w:sz="4" w:space="0" w:color="auto"/>
            </w:tcBorders>
            <w:shd w:val="clear" w:color="auto" w:fill="C6EFCE"/>
            <w:noWrap/>
            <w:vAlign w:val="center"/>
          </w:tcPr>
          <w:p w14:paraId="295F2AC4" w14:textId="77777777" w:rsidR="003F5418" w:rsidRDefault="002A6C25">
            <w:pPr>
              <w:pStyle w:val="P68B1DB1-Normal9"/>
              <w:rPr>
                <w:noProof/>
              </w:rPr>
            </w:pPr>
            <w:r>
              <w:rPr>
                <w:noProof/>
              </w:rPr>
              <w:t xml:space="preserve">  Beruházás – Új hulladékkezelő üzemek megvalósítása és a meglévő üzemek korszerűsítése</w:t>
            </w:r>
          </w:p>
        </w:tc>
        <w:tc>
          <w:tcPr>
            <w:tcW w:w="1498" w:type="dxa"/>
            <w:tcBorders>
              <w:top w:val="nil"/>
              <w:left w:val="nil"/>
              <w:bottom w:val="single" w:sz="4" w:space="0" w:color="auto"/>
              <w:right w:val="single" w:sz="4" w:space="0" w:color="auto"/>
            </w:tcBorders>
            <w:shd w:val="clear" w:color="auto" w:fill="C6EFCE"/>
            <w:noWrap/>
            <w:vAlign w:val="center"/>
          </w:tcPr>
          <w:p w14:paraId="42F877A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113CC7D" w14:textId="77777777" w:rsidR="003F5418" w:rsidRDefault="002A6C25">
            <w:pPr>
              <w:pStyle w:val="P68B1DB1-Normal9"/>
              <w:jc w:val="center"/>
              <w:rPr>
                <w:noProof/>
              </w:rPr>
            </w:pPr>
            <w:r>
              <w:rPr>
                <w:noProof/>
              </w:rPr>
              <w:t xml:space="preserve">  Szabálytalan hulladéklerakók</w:t>
            </w:r>
          </w:p>
        </w:tc>
      </w:tr>
      <w:tr w:rsidR="003F5418" w14:paraId="205594F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ECF21B1" w14:textId="77777777" w:rsidR="003F5418" w:rsidRDefault="002A6C25">
            <w:pPr>
              <w:pStyle w:val="P68B1DB1-Normal9"/>
              <w:jc w:val="center"/>
              <w:rPr>
                <w:noProof/>
              </w:rPr>
            </w:pPr>
            <w:r>
              <w:rPr>
                <w:noProof/>
              </w:rPr>
              <w:t>M2C1–19</w:t>
            </w:r>
          </w:p>
        </w:tc>
        <w:tc>
          <w:tcPr>
            <w:tcW w:w="3090" w:type="dxa"/>
            <w:tcBorders>
              <w:top w:val="nil"/>
              <w:left w:val="nil"/>
              <w:bottom w:val="single" w:sz="4" w:space="0" w:color="auto"/>
              <w:right w:val="single" w:sz="4" w:space="0" w:color="auto"/>
            </w:tcBorders>
            <w:shd w:val="clear" w:color="auto" w:fill="C6EFCE"/>
            <w:noWrap/>
            <w:vAlign w:val="center"/>
          </w:tcPr>
          <w:p w14:paraId="0B4C5427" w14:textId="77777777" w:rsidR="003F5418" w:rsidRDefault="002A6C25">
            <w:pPr>
              <w:pStyle w:val="P68B1DB1-Normal9"/>
              <w:rPr>
                <w:noProof/>
              </w:rPr>
            </w:pPr>
            <w:r>
              <w:rPr>
                <w:noProof/>
              </w:rPr>
              <w:t>Beruházás: Zöld szigetek</w:t>
            </w:r>
          </w:p>
        </w:tc>
        <w:tc>
          <w:tcPr>
            <w:tcW w:w="1498" w:type="dxa"/>
            <w:tcBorders>
              <w:top w:val="nil"/>
              <w:left w:val="nil"/>
              <w:bottom w:val="single" w:sz="4" w:space="0" w:color="auto"/>
              <w:right w:val="single" w:sz="4" w:space="0" w:color="auto"/>
            </w:tcBorders>
            <w:shd w:val="clear" w:color="auto" w:fill="C6EFCE"/>
            <w:noWrap/>
            <w:vAlign w:val="center"/>
          </w:tcPr>
          <w:p w14:paraId="0A450F4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6679F43" w14:textId="77777777" w:rsidR="003F5418" w:rsidRDefault="002A6C25">
            <w:pPr>
              <w:pStyle w:val="P68B1DB1-Normal9"/>
              <w:jc w:val="center"/>
              <w:rPr>
                <w:noProof/>
              </w:rPr>
            </w:pPr>
            <w:r>
              <w:rPr>
                <w:noProof/>
              </w:rPr>
              <w:t>Integrált projektek végrehajtása a kis szigeteken</w:t>
            </w:r>
          </w:p>
        </w:tc>
      </w:tr>
      <w:tr w:rsidR="003F5418" w14:paraId="49A0005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40E0D0" w14:textId="77777777" w:rsidR="003F5418" w:rsidRDefault="002A6C25">
            <w:pPr>
              <w:pStyle w:val="P68B1DB1-Normal9"/>
              <w:jc w:val="center"/>
              <w:rPr>
                <w:noProof/>
              </w:rPr>
            </w:pPr>
            <w:r>
              <w:rPr>
                <w:noProof/>
              </w:rPr>
              <w:t>M2C1–21</w:t>
            </w:r>
          </w:p>
        </w:tc>
        <w:tc>
          <w:tcPr>
            <w:tcW w:w="3090" w:type="dxa"/>
            <w:tcBorders>
              <w:top w:val="nil"/>
              <w:left w:val="nil"/>
              <w:bottom w:val="single" w:sz="4" w:space="0" w:color="auto"/>
              <w:right w:val="single" w:sz="4" w:space="0" w:color="auto"/>
            </w:tcBorders>
            <w:shd w:val="clear" w:color="auto" w:fill="C6EFCE"/>
            <w:noWrap/>
            <w:vAlign w:val="center"/>
          </w:tcPr>
          <w:p w14:paraId="69FD428F" w14:textId="77777777" w:rsidR="003F5418" w:rsidRDefault="002A6C25">
            <w:pPr>
              <w:pStyle w:val="P68B1DB1-Normal9"/>
              <w:rPr>
                <w:noProof/>
              </w:rPr>
            </w:pPr>
            <w:r>
              <w:rPr>
                <w:noProof/>
              </w:rPr>
              <w:t>Beruházás: Zöld közösségek</w:t>
            </w:r>
          </w:p>
        </w:tc>
        <w:tc>
          <w:tcPr>
            <w:tcW w:w="1498" w:type="dxa"/>
            <w:tcBorders>
              <w:top w:val="nil"/>
              <w:left w:val="nil"/>
              <w:bottom w:val="single" w:sz="4" w:space="0" w:color="auto"/>
              <w:right w:val="single" w:sz="4" w:space="0" w:color="auto"/>
            </w:tcBorders>
            <w:shd w:val="clear" w:color="auto" w:fill="C6EFCE"/>
            <w:noWrap/>
            <w:vAlign w:val="center"/>
          </w:tcPr>
          <w:p w14:paraId="33EF4E3A"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E98DE95" w14:textId="77777777" w:rsidR="003F5418" w:rsidRDefault="002A6C25">
            <w:pPr>
              <w:pStyle w:val="P68B1DB1-Normal9"/>
              <w:jc w:val="center"/>
              <w:rPr>
                <w:noProof/>
              </w:rPr>
            </w:pPr>
            <w:r>
              <w:rPr>
                <w:noProof/>
              </w:rPr>
              <w:t>A zöld közösségek terveiben szereplő beavatkozások végrehajtása</w:t>
            </w:r>
          </w:p>
        </w:tc>
      </w:tr>
      <w:tr w:rsidR="003F5418" w14:paraId="63A8E1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A395648" w14:textId="77777777" w:rsidR="003F5418" w:rsidRDefault="002A6C25">
            <w:pPr>
              <w:pStyle w:val="P68B1DB1-Normal9"/>
              <w:jc w:val="center"/>
              <w:rPr>
                <w:noProof/>
              </w:rPr>
            </w:pPr>
            <w:r>
              <w:rPr>
                <w:noProof/>
              </w:rPr>
              <w:t>M2C1–24</w:t>
            </w:r>
          </w:p>
        </w:tc>
        <w:tc>
          <w:tcPr>
            <w:tcW w:w="3090" w:type="dxa"/>
            <w:tcBorders>
              <w:top w:val="nil"/>
              <w:left w:val="nil"/>
              <w:bottom w:val="single" w:sz="4" w:space="0" w:color="auto"/>
              <w:right w:val="single" w:sz="4" w:space="0" w:color="auto"/>
            </w:tcBorders>
            <w:shd w:val="clear" w:color="auto" w:fill="C6EFCE"/>
            <w:noWrap/>
            <w:vAlign w:val="center"/>
          </w:tcPr>
          <w:p w14:paraId="24AFD1BD" w14:textId="77777777" w:rsidR="003F5418" w:rsidRDefault="002A6C25">
            <w:pPr>
              <w:pStyle w:val="P68B1DB1-Normal9"/>
              <w:rPr>
                <w:noProof/>
              </w:rPr>
            </w:pPr>
            <w:r>
              <w:rPr>
                <w:noProof/>
              </w:rPr>
              <w:t xml:space="preserve">Beruházás: Fondo Contratti di Filiera (FCF) az agrár-élelmiszeripari, halászati és </w:t>
            </w:r>
            <w:r>
              <w:rPr>
                <w:noProof/>
              </w:rPr>
              <w:t>akvakultúra-ágazat, az erdészet, a virágkertészet és a növényiskolák ellátási láncaira vonatkozó szerződések támogatása céljából</w:t>
            </w:r>
          </w:p>
        </w:tc>
        <w:tc>
          <w:tcPr>
            <w:tcW w:w="1498" w:type="dxa"/>
            <w:tcBorders>
              <w:top w:val="nil"/>
              <w:left w:val="nil"/>
              <w:bottom w:val="single" w:sz="4" w:space="0" w:color="auto"/>
              <w:right w:val="single" w:sz="4" w:space="0" w:color="auto"/>
            </w:tcBorders>
            <w:shd w:val="clear" w:color="auto" w:fill="C6EFCE"/>
            <w:noWrap/>
            <w:vAlign w:val="center"/>
          </w:tcPr>
          <w:p w14:paraId="080E0160"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C577ED1" w14:textId="77777777" w:rsidR="003F5418" w:rsidRDefault="002A6C25">
            <w:pPr>
              <w:pStyle w:val="P68B1DB1-Normal9"/>
              <w:jc w:val="center"/>
              <w:rPr>
                <w:noProof/>
              </w:rPr>
            </w:pPr>
            <w:r>
              <w:rPr>
                <w:noProof/>
              </w:rPr>
              <w:t>A végső kedvezményezettekkel aláírt jogi megállapodások</w:t>
            </w:r>
          </w:p>
        </w:tc>
      </w:tr>
      <w:tr w:rsidR="003F5418" w14:paraId="333F43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E2D9CF" w14:textId="77777777" w:rsidR="003F5418" w:rsidRDefault="002A6C25">
            <w:pPr>
              <w:pStyle w:val="P68B1DB1-Normal9"/>
              <w:jc w:val="center"/>
              <w:rPr>
                <w:noProof/>
              </w:rPr>
            </w:pPr>
            <w:r>
              <w:rPr>
                <w:noProof/>
              </w:rPr>
              <w:t>M2C2–3</w:t>
            </w:r>
          </w:p>
        </w:tc>
        <w:tc>
          <w:tcPr>
            <w:tcW w:w="3090" w:type="dxa"/>
            <w:tcBorders>
              <w:top w:val="nil"/>
              <w:left w:val="nil"/>
              <w:bottom w:val="single" w:sz="4" w:space="0" w:color="auto"/>
              <w:right w:val="single" w:sz="4" w:space="0" w:color="auto"/>
            </w:tcBorders>
            <w:shd w:val="clear" w:color="auto" w:fill="C6EFCE"/>
            <w:noWrap/>
            <w:vAlign w:val="center"/>
          </w:tcPr>
          <w:p w14:paraId="79CABB61" w14:textId="77777777" w:rsidR="003F5418" w:rsidRDefault="002A6C25">
            <w:pPr>
              <w:pStyle w:val="P68B1DB1-Normal9"/>
              <w:rPr>
                <w:noProof/>
              </w:rPr>
            </w:pPr>
            <w:r>
              <w:rPr>
                <w:noProof/>
              </w:rPr>
              <w:t>Beruházás: biometán fejlesztése a körforgásos gazdaság előm</w:t>
            </w:r>
            <w:r>
              <w:rPr>
                <w:noProof/>
              </w:rPr>
              <w:t>ozdításának kritériumai szerint</w:t>
            </w:r>
          </w:p>
        </w:tc>
        <w:tc>
          <w:tcPr>
            <w:tcW w:w="1498" w:type="dxa"/>
            <w:tcBorders>
              <w:top w:val="nil"/>
              <w:left w:val="nil"/>
              <w:bottom w:val="single" w:sz="4" w:space="0" w:color="auto"/>
              <w:right w:val="single" w:sz="4" w:space="0" w:color="auto"/>
            </w:tcBorders>
            <w:shd w:val="clear" w:color="auto" w:fill="C6EFCE"/>
            <w:noWrap/>
            <w:vAlign w:val="center"/>
          </w:tcPr>
          <w:p w14:paraId="718368A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951D402" w14:textId="77777777" w:rsidR="003F5418" w:rsidRDefault="002A6C25">
            <w:pPr>
              <w:pStyle w:val="P68B1DB1-Normal9"/>
              <w:jc w:val="center"/>
              <w:rPr>
                <w:noProof/>
              </w:rPr>
            </w:pPr>
            <w:r>
              <w:rPr>
                <w:noProof/>
              </w:rPr>
              <w:t>Mezőgazdasági traktorok cseréje</w:t>
            </w:r>
          </w:p>
        </w:tc>
      </w:tr>
      <w:tr w:rsidR="003F5418" w14:paraId="77DEA9C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D16A2E6" w14:textId="77777777" w:rsidR="003F5418" w:rsidRDefault="002A6C25">
            <w:pPr>
              <w:pStyle w:val="P68B1DB1-Normal9"/>
              <w:jc w:val="center"/>
              <w:rPr>
                <w:noProof/>
              </w:rPr>
            </w:pPr>
            <w:r>
              <w:rPr>
                <w:noProof/>
              </w:rPr>
              <w:t>M2C2–5</w:t>
            </w:r>
          </w:p>
        </w:tc>
        <w:tc>
          <w:tcPr>
            <w:tcW w:w="3090" w:type="dxa"/>
            <w:tcBorders>
              <w:top w:val="nil"/>
              <w:left w:val="nil"/>
              <w:bottom w:val="single" w:sz="4" w:space="0" w:color="auto"/>
              <w:right w:val="single" w:sz="4" w:space="0" w:color="auto"/>
            </w:tcBorders>
            <w:shd w:val="clear" w:color="auto" w:fill="C6EFCE"/>
            <w:noWrap/>
            <w:vAlign w:val="center"/>
          </w:tcPr>
          <w:p w14:paraId="087400FD" w14:textId="77777777" w:rsidR="003F5418" w:rsidRDefault="002A6C25">
            <w:pPr>
              <w:pStyle w:val="P68B1DB1-Normal9"/>
              <w:rPr>
                <w:noProof/>
              </w:rPr>
            </w:pPr>
            <w:r>
              <w:rPr>
                <w:noProof/>
              </w:rPr>
              <w:t>Beruházás: biometán fejlesztése a körforgásos gazdaság előmozdításának kritériumai szerint</w:t>
            </w:r>
          </w:p>
        </w:tc>
        <w:tc>
          <w:tcPr>
            <w:tcW w:w="1498" w:type="dxa"/>
            <w:tcBorders>
              <w:top w:val="nil"/>
              <w:left w:val="nil"/>
              <w:bottom w:val="single" w:sz="4" w:space="0" w:color="auto"/>
              <w:right w:val="single" w:sz="4" w:space="0" w:color="auto"/>
            </w:tcBorders>
            <w:shd w:val="clear" w:color="auto" w:fill="C6EFCE"/>
            <w:noWrap/>
            <w:vAlign w:val="center"/>
          </w:tcPr>
          <w:p w14:paraId="65569C8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6C1120F" w14:textId="77777777" w:rsidR="003F5418" w:rsidRDefault="002A6C25">
            <w:pPr>
              <w:pStyle w:val="P68B1DB1-Normal9"/>
              <w:jc w:val="center"/>
              <w:rPr>
                <w:noProof/>
              </w:rPr>
            </w:pPr>
            <w:r>
              <w:rPr>
                <w:noProof/>
              </w:rPr>
              <w:t>További biometán-termelés</w:t>
            </w:r>
          </w:p>
        </w:tc>
      </w:tr>
      <w:tr w:rsidR="003F5418" w14:paraId="3ABC859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425344E" w14:textId="77777777" w:rsidR="003F5418" w:rsidRDefault="002A6C25">
            <w:pPr>
              <w:pStyle w:val="P68B1DB1-Normal9"/>
              <w:jc w:val="center"/>
              <w:rPr>
                <w:noProof/>
              </w:rPr>
            </w:pPr>
            <w:r>
              <w:rPr>
                <w:noProof/>
              </w:rPr>
              <w:t>M2C2–10</w:t>
            </w:r>
          </w:p>
        </w:tc>
        <w:tc>
          <w:tcPr>
            <w:tcW w:w="3090" w:type="dxa"/>
            <w:tcBorders>
              <w:top w:val="nil"/>
              <w:left w:val="nil"/>
              <w:bottom w:val="single" w:sz="4" w:space="0" w:color="auto"/>
              <w:right w:val="single" w:sz="4" w:space="0" w:color="auto"/>
            </w:tcBorders>
            <w:shd w:val="clear" w:color="auto" w:fill="C6EFCE"/>
            <w:noWrap/>
            <w:vAlign w:val="center"/>
          </w:tcPr>
          <w:p w14:paraId="1254608B" w14:textId="77777777" w:rsidR="003F5418" w:rsidRDefault="002A6C25">
            <w:pPr>
              <w:pStyle w:val="P68B1DB1-Normal9"/>
              <w:rPr>
                <w:noProof/>
              </w:rPr>
            </w:pPr>
            <w:r>
              <w:rPr>
                <w:noProof/>
              </w:rPr>
              <w:t>Beruházás: Az intelligens hálózatok megerősítése</w:t>
            </w:r>
          </w:p>
        </w:tc>
        <w:tc>
          <w:tcPr>
            <w:tcW w:w="1498" w:type="dxa"/>
            <w:tcBorders>
              <w:top w:val="nil"/>
              <w:left w:val="nil"/>
              <w:bottom w:val="single" w:sz="4" w:space="0" w:color="auto"/>
              <w:right w:val="single" w:sz="4" w:space="0" w:color="auto"/>
            </w:tcBorders>
            <w:shd w:val="clear" w:color="auto" w:fill="C6EFCE"/>
            <w:noWrap/>
            <w:vAlign w:val="center"/>
          </w:tcPr>
          <w:p w14:paraId="4A085D8E"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DF9FF1B" w14:textId="77777777" w:rsidR="003F5418" w:rsidRDefault="002A6C25">
            <w:pPr>
              <w:pStyle w:val="P68B1DB1-Normal9"/>
              <w:jc w:val="center"/>
              <w:rPr>
                <w:noProof/>
              </w:rPr>
            </w:pPr>
            <w:r>
              <w:rPr>
                <w:noProof/>
              </w:rPr>
              <w:t>Intelligens hálózatok – A megújuló energiák elosztására szolgáló hálózati kapacitás növelése</w:t>
            </w:r>
          </w:p>
        </w:tc>
      </w:tr>
      <w:tr w:rsidR="003F5418" w14:paraId="20B3A78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D5D3F47" w14:textId="77777777" w:rsidR="003F5418" w:rsidRDefault="002A6C25">
            <w:pPr>
              <w:pStyle w:val="P68B1DB1-Normal9"/>
              <w:jc w:val="center"/>
              <w:rPr>
                <w:noProof/>
              </w:rPr>
            </w:pPr>
            <w:r>
              <w:rPr>
                <w:noProof/>
              </w:rPr>
              <w:t>M2C2–11</w:t>
            </w:r>
          </w:p>
        </w:tc>
        <w:tc>
          <w:tcPr>
            <w:tcW w:w="3090" w:type="dxa"/>
            <w:tcBorders>
              <w:top w:val="nil"/>
              <w:left w:val="nil"/>
              <w:bottom w:val="single" w:sz="4" w:space="0" w:color="auto"/>
              <w:right w:val="single" w:sz="4" w:space="0" w:color="auto"/>
            </w:tcBorders>
            <w:shd w:val="clear" w:color="auto" w:fill="C6EFCE"/>
            <w:noWrap/>
            <w:vAlign w:val="center"/>
          </w:tcPr>
          <w:p w14:paraId="2D516FB2" w14:textId="77777777" w:rsidR="003F5418" w:rsidRDefault="002A6C25">
            <w:pPr>
              <w:pStyle w:val="P68B1DB1-Normal9"/>
              <w:rPr>
                <w:noProof/>
              </w:rPr>
            </w:pPr>
            <w:r>
              <w:rPr>
                <w:noProof/>
              </w:rPr>
              <w:t>Beruházás: Az intelligens hálózatok megerősítése</w:t>
            </w:r>
          </w:p>
        </w:tc>
        <w:tc>
          <w:tcPr>
            <w:tcW w:w="1498" w:type="dxa"/>
            <w:tcBorders>
              <w:top w:val="nil"/>
              <w:left w:val="nil"/>
              <w:bottom w:val="single" w:sz="4" w:space="0" w:color="auto"/>
              <w:right w:val="single" w:sz="4" w:space="0" w:color="auto"/>
            </w:tcBorders>
            <w:shd w:val="clear" w:color="auto" w:fill="C6EFCE"/>
            <w:noWrap/>
            <w:vAlign w:val="center"/>
          </w:tcPr>
          <w:p w14:paraId="2836BE88"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7382A17" w14:textId="77777777" w:rsidR="003F5418" w:rsidRDefault="002A6C25">
            <w:pPr>
              <w:pStyle w:val="P68B1DB1-Normal9"/>
              <w:jc w:val="center"/>
              <w:rPr>
                <w:noProof/>
              </w:rPr>
            </w:pPr>
            <w:r>
              <w:rPr>
                <w:noProof/>
              </w:rPr>
              <w:t>Intelligens hálózatok – az energiafogyasztás villamosítása</w:t>
            </w:r>
          </w:p>
        </w:tc>
      </w:tr>
      <w:tr w:rsidR="003F5418" w14:paraId="6F03A7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72E7A20" w14:textId="77777777" w:rsidR="003F5418" w:rsidRDefault="002A6C25">
            <w:pPr>
              <w:pStyle w:val="P68B1DB1-Normal9"/>
              <w:jc w:val="center"/>
              <w:rPr>
                <w:noProof/>
              </w:rPr>
            </w:pPr>
            <w:r>
              <w:rPr>
                <w:noProof/>
              </w:rPr>
              <w:t>M2C2–13</w:t>
            </w:r>
          </w:p>
        </w:tc>
        <w:tc>
          <w:tcPr>
            <w:tcW w:w="3090" w:type="dxa"/>
            <w:tcBorders>
              <w:top w:val="nil"/>
              <w:left w:val="nil"/>
              <w:bottom w:val="single" w:sz="4" w:space="0" w:color="auto"/>
              <w:right w:val="single" w:sz="4" w:space="0" w:color="auto"/>
            </w:tcBorders>
            <w:shd w:val="clear" w:color="auto" w:fill="C6EFCE"/>
            <w:noWrap/>
            <w:vAlign w:val="center"/>
          </w:tcPr>
          <w:p w14:paraId="3D0FEB2D" w14:textId="77777777" w:rsidR="003F5418" w:rsidRDefault="002A6C25">
            <w:pPr>
              <w:pStyle w:val="P68B1DB1-Normal9"/>
              <w:rPr>
                <w:noProof/>
              </w:rPr>
            </w:pPr>
            <w:r>
              <w:rPr>
                <w:noProof/>
              </w:rPr>
              <w:t xml:space="preserve">Beruházás: Beavatkozás a </w:t>
            </w:r>
            <w:r>
              <w:rPr>
                <w:noProof/>
              </w:rPr>
              <w:t>villamosenergia-hálózat rezilienciájának növelésére</w:t>
            </w:r>
          </w:p>
        </w:tc>
        <w:tc>
          <w:tcPr>
            <w:tcW w:w="1498" w:type="dxa"/>
            <w:tcBorders>
              <w:top w:val="nil"/>
              <w:left w:val="nil"/>
              <w:bottom w:val="single" w:sz="4" w:space="0" w:color="auto"/>
              <w:right w:val="single" w:sz="4" w:space="0" w:color="auto"/>
            </w:tcBorders>
            <w:shd w:val="clear" w:color="auto" w:fill="C6EFCE"/>
            <w:noWrap/>
            <w:vAlign w:val="center"/>
          </w:tcPr>
          <w:p w14:paraId="26BDF71D"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0BDDE3D" w14:textId="77777777" w:rsidR="003F5418" w:rsidRDefault="002A6C25">
            <w:pPr>
              <w:pStyle w:val="P68B1DB1-Normal9"/>
              <w:jc w:val="center"/>
              <w:rPr>
                <w:noProof/>
              </w:rPr>
            </w:pPr>
            <w:r>
              <w:rPr>
                <w:noProof/>
              </w:rPr>
              <w:t>A villamosenergia-rendszer rezilienciájának növelése</w:t>
            </w:r>
          </w:p>
        </w:tc>
      </w:tr>
      <w:tr w:rsidR="003F5418" w14:paraId="1550518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A443F55" w14:textId="77777777" w:rsidR="003F5418" w:rsidRDefault="002A6C25">
            <w:pPr>
              <w:pStyle w:val="P68B1DB1-Normal9"/>
              <w:jc w:val="center"/>
              <w:rPr>
                <w:noProof/>
              </w:rPr>
            </w:pPr>
            <w:r>
              <w:rPr>
                <w:noProof/>
              </w:rPr>
              <w:t>M2C2–15</w:t>
            </w:r>
          </w:p>
        </w:tc>
        <w:tc>
          <w:tcPr>
            <w:tcW w:w="3090" w:type="dxa"/>
            <w:tcBorders>
              <w:top w:val="nil"/>
              <w:left w:val="nil"/>
              <w:bottom w:val="single" w:sz="4" w:space="0" w:color="auto"/>
              <w:right w:val="single" w:sz="4" w:space="0" w:color="auto"/>
            </w:tcBorders>
            <w:shd w:val="clear" w:color="auto" w:fill="C6EFCE"/>
            <w:noWrap/>
            <w:vAlign w:val="center"/>
          </w:tcPr>
          <w:p w14:paraId="273E9598" w14:textId="77777777" w:rsidR="003F5418" w:rsidRDefault="002A6C25">
            <w:pPr>
              <w:pStyle w:val="P68B1DB1-Normal9"/>
              <w:rPr>
                <w:noProof/>
              </w:rPr>
            </w:pPr>
            <w:r>
              <w:rPr>
                <w:noProof/>
              </w:rPr>
              <w:t>Beruházás: Hidrogénteszt a közúti közlekedésben</w:t>
            </w:r>
          </w:p>
        </w:tc>
        <w:tc>
          <w:tcPr>
            <w:tcW w:w="1498" w:type="dxa"/>
            <w:tcBorders>
              <w:top w:val="nil"/>
              <w:left w:val="nil"/>
              <w:bottom w:val="single" w:sz="4" w:space="0" w:color="auto"/>
              <w:right w:val="single" w:sz="4" w:space="0" w:color="auto"/>
            </w:tcBorders>
            <w:shd w:val="clear" w:color="auto" w:fill="C6EFCE"/>
            <w:noWrap/>
            <w:vAlign w:val="center"/>
          </w:tcPr>
          <w:p w14:paraId="26FDA97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C5BB58A" w14:textId="77777777" w:rsidR="003F5418" w:rsidRDefault="002A6C25">
            <w:pPr>
              <w:pStyle w:val="P68B1DB1-Normal9"/>
              <w:jc w:val="center"/>
              <w:rPr>
                <w:noProof/>
              </w:rPr>
            </w:pPr>
            <w:r>
              <w:rPr>
                <w:noProof/>
              </w:rPr>
              <w:t>Hidrogénalapú töltőállomások fejlesztése</w:t>
            </w:r>
          </w:p>
        </w:tc>
      </w:tr>
      <w:tr w:rsidR="003F5418" w14:paraId="24AF02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553FB76" w14:textId="77777777" w:rsidR="003F5418" w:rsidRDefault="002A6C25">
            <w:pPr>
              <w:pStyle w:val="P68B1DB1-Normal9"/>
              <w:jc w:val="center"/>
              <w:rPr>
                <w:noProof/>
              </w:rPr>
            </w:pPr>
            <w:r>
              <w:rPr>
                <w:noProof/>
              </w:rPr>
              <w:t>M2C2–17</w:t>
            </w:r>
          </w:p>
        </w:tc>
        <w:tc>
          <w:tcPr>
            <w:tcW w:w="3090" w:type="dxa"/>
            <w:tcBorders>
              <w:top w:val="nil"/>
              <w:left w:val="nil"/>
              <w:bottom w:val="single" w:sz="4" w:space="0" w:color="auto"/>
              <w:right w:val="single" w:sz="4" w:space="0" w:color="auto"/>
            </w:tcBorders>
            <w:shd w:val="clear" w:color="auto" w:fill="C6EFCE"/>
            <w:noWrap/>
            <w:vAlign w:val="center"/>
          </w:tcPr>
          <w:p w14:paraId="41E2B4C9" w14:textId="77777777" w:rsidR="003F5418" w:rsidRDefault="002A6C25">
            <w:pPr>
              <w:pStyle w:val="P68B1DB1-Normal9"/>
              <w:rPr>
                <w:noProof/>
              </w:rPr>
            </w:pPr>
            <w:r>
              <w:rPr>
                <w:noProof/>
              </w:rPr>
              <w:t>Beruházás – A hidrogénhajtású vasúti</w:t>
            </w:r>
            <w:r>
              <w:rPr>
                <w:noProof/>
              </w:rPr>
              <w:t xml:space="preserve"> mobilitás tesztelése</w:t>
            </w:r>
          </w:p>
        </w:tc>
        <w:tc>
          <w:tcPr>
            <w:tcW w:w="1498" w:type="dxa"/>
            <w:tcBorders>
              <w:top w:val="nil"/>
              <w:left w:val="nil"/>
              <w:bottom w:val="single" w:sz="4" w:space="0" w:color="auto"/>
              <w:right w:val="single" w:sz="4" w:space="0" w:color="auto"/>
            </w:tcBorders>
            <w:shd w:val="clear" w:color="auto" w:fill="C6EFCE"/>
            <w:noWrap/>
            <w:vAlign w:val="center"/>
          </w:tcPr>
          <w:p w14:paraId="313E5178"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EC84940" w14:textId="77777777" w:rsidR="003F5418" w:rsidRDefault="002A6C25">
            <w:pPr>
              <w:pStyle w:val="P68B1DB1-Normal9"/>
              <w:jc w:val="center"/>
              <w:rPr>
                <w:noProof/>
              </w:rPr>
            </w:pPr>
            <w:r>
              <w:rPr>
                <w:noProof/>
              </w:rPr>
              <w:t>Hidrogéntöltő állomások száma</w:t>
            </w:r>
          </w:p>
        </w:tc>
      </w:tr>
      <w:tr w:rsidR="003F5418" w14:paraId="3B67032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8F54D13" w14:textId="77777777" w:rsidR="003F5418" w:rsidRDefault="002A6C25">
            <w:pPr>
              <w:pStyle w:val="P68B1DB1-Normal9"/>
              <w:jc w:val="center"/>
              <w:rPr>
                <w:noProof/>
              </w:rPr>
            </w:pPr>
            <w:r>
              <w:rPr>
                <w:noProof/>
              </w:rPr>
              <w:t>M2C2–19</w:t>
            </w:r>
          </w:p>
        </w:tc>
        <w:tc>
          <w:tcPr>
            <w:tcW w:w="3090" w:type="dxa"/>
            <w:tcBorders>
              <w:top w:val="nil"/>
              <w:left w:val="nil"/>
              <w:bottom w:val="single" w:sz="4" w:space="0" w:color="auto"/>
              <w:right w:val="single" w:sz="4" w:space="0" w:color="auto"/>
            </w:tcBorders>
            <w:shd w:val="clear" w:color="auto" w:fill="C6EFCE"/>
            <w:noWrap/>
            <w:vAlign w:val="center"/>
          </w:tcPr>
          <w:p w14:paraId="259AC239" w14:textId="77777777" w:rsidR="003F5418" w:rsidRDefault="002A6C25">
            <w:pPr>
              <w:pStyle w:val="P68B1DB1-Normal9"/>
              <w:rPr>
                <w:noProof/>
              </w:rPr>
            </w:pPr>
            <w:r>
              <w:rPr>
                <w:noProof/>
              </w:rPr>
              <w:t>Beruházás Hidrogénkutatás és -fejlesztés</w:t>
            </w:r>
          </w:p>
        </w:tc>
        <w:tc>
          <w:tcPr>
            <w:tcW w:w="1498" w:type="dxa"/>
            <w:tcBorders>
              <w:top w:val="nil"/>
              <w:left w:val="nil"/>
              <w:bottom w:val="single" w:sz="4" w:space="0" w:color="auto"/>
              <w:right w:val="single" w:sz="4" w:space="0" w:color="auto"/>
            </w:tcBorders>
            <w:shd w:val="clear" w:color="auto" w:fill="C6EFCE"/>
            <w:noWrap/>
            <w:vAlign w:val="center"/>
          </w:tcPr>
          <w:p w14:paraId="3D19C2E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056C241" w14:textId="77777777" w:rsidR="003F5418" w:rsidRDefault="002A6C25">
            <w:pPr>
              <w:pStyle w:val="P68B1DB1-Normal9"/>
              <w:jc w:val="center"/>
              <w:rPr>
                <w:noProof/>
              </w:rPr>
            </w:pPr>
            <w:r>
              <w:rPr>
                <w:noProof/>
              </w:rPr>
              <w:t>Hidrogénnel kapcsolatos kutatási és fejlesztési projektek száma</w:t>
            </w:r>
          </w:p>
        </w:tc>
      </w:tr>
      <w:tr w:rsidR="003F5418" w14:paraId="35B1360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9F05983" w14:textId="77777777" w:rsidR="003F5418" w:rsidRDefault="002A6C25">
            <w:pPr>
              <w:pStyle w:val="P68B1DB1-Normal9"/>
              <w:jc w:val="center"/>
              <w:rPr>
                <w:noProof/>
              </w:rPr>
            </w:pPr>
            <w:r>
              <w:rPr>
                <w:noProof/>
              </w:rPr>
              <w:t>M2C2–25a</w:t>
            </w:r>
          </w:p>
        </w:tc>
        <w:tc>
          <w:tcPr>
            <w:tcW w:w="3090" w:type="dxa"/>
            <w:tcBorders>
              <w:top w:val="nil"/>
              <w:left w:val="nil"/>
              <w:bottom w:val="single" w:sz="4" w:space="0" w:color="auto"/>
              <w:right w:val="single" w:sz="4" w:space="0" w:color="auto"/>
            </w:tcBorders>
            <w:shd w:val="clear" w:color="auto" w:fill="C6EFCE"/>
            <w:noWrap/>
            <w:vAlign w:val="center"/>
          </w:tcPr>
          <w:p w14:paraId="14A6E3D7" w14:textId="77777777" w:rsidR="003F5418" w:rsidRDefault="002A6C25">
            <w:pPr>
              <w:pStyle w:val="P68B1DB1-Normal9"/>
              <w:rPr>
                <w:noProof/>
              </w:rPr>
            </w:pPr>
            <w:r>
              <w:rPr>
                <w:noProof/>
              </w:rPr>
              <w:t xml:space="preserve">Beruházás: Gyors tömegszállítási rendszerek fejlesztése </w:t>
            </w:r>
          </w:p>
        </w:tc>
        <w:tc>
          <w:tcPr>
            <w:tcW w:w="1498" w:type="dxa"/>
            <w:tcBorders>
              <w:top w:val="nil"/>
              <w:left w:val="nil"/>
              <w:bottom w:val="single" w:sz="4" w:space="0" w:color="auto"/>
              <w:right w:val="single" w:sz="4" w:space="0" w:color="auto"/>
            </w:tcBorders>
            <w:shd w:val="clear" w:color="auto" w:fill="C6EFCE"/>
            <w:noWrap/>
            <w:vAlign w:val="center"/>
          </w:tcPr>
          <w:p w14:paraId="617F5C4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E044AA9" w14:textId="77777777" w:rsidR="003F5418" w:rsidRDefault="002A6C25">
            <w:pPr>
              <w:pStyle w:val="P68B1DB1-Normal9"/>
              <w:jc w:val="center"/>
              <w:rPr>
                <w:noProof/>
              </w:rPr>
            </w:pPr>
            <w:r>
              <w:rPr>
                <w:noProof/>
              </w:rPr>
              <w:t xml:space="preserve">Legalább 5 </w:t>
            </w:r>
            <w:r>
              <w:rPr>
                <w:noProof/>
              </w:rPr>
              <w:t>beavatkozás a gyors tömegközlekedési rendszerek infrastruktúrájának korszerűsítésére</w:t>
            </w:r>
          </w:p>
        </w:tc>
      </w:tr>
      <w:tr w:rsidR="003F5418" w14:paraId="35CB587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733F8D" w14:textId="77777777" w:rsidR="003F5418" w:rsidRDefault="002A6C25">
            <w:pPr>
              <w:pStyle w:val="P68B1DB1-Normal9"/>
              <w:jc w:val="center"/>
              <w:rPr>
                <w:noProof/>
              </w:rPr>
            </w:pPr>
            <w:r>
              <w:rPr>
                <w:noProof/>
              </w:rPr>
              <w:t>M2C2–25ter</w:t>
            </w:r>
          </w:p>
        </w:tc>
        <w:tc>
          <w:tcPr>
            <w:tcW w:w="3090" w:type="dxa"/>
            <w:tcBorders>
              <w:top w:val="nil"/>
              <w:left w:val="nil"/>
              <w:bottom w:val="single" w:sz="4" w:space="0" w:color="auto"/>
              <w:right w:val="single" w:sz="4" w:space="0" w:color="auto"/>
            </w:tcBorders>
            <w:shd w:val="clear" w:color="auto" w:fill="C6EFCE"/>
            <w:noWrap/>
            <w:vAlign w:val="center"/>
          </w:tcPr>
          <w:p w14:paraId="6259F237" w14:textId="77777777" w:rsidR="003F5418" w:rsidRDefault="002A6C25">
            <w:pPr>
              <w:pStyle w:val="P68B1DB1-Normal9"/>
              <w:rPr>
                <w:noProof/>
              </w:rPr>
            </w:pPr>
            <w:r>
              <w:rPr>
                <w:noProof/>
              </w:rPr>
              <w:t xml:space="preserve">Beruházás: Gyors tömegszállítási rendszerek fejlesztése </w:t>
            </w:r>
          </w:p>
        </w:tc>
        <w:tc>
          <w:tcPr>
            <w:tcW w:w="1498" w:type="dxa"/>
            <w:tcBorders>
              <w:top w:val="nil"/>
              <w:left w:val="nil"/>
              <w:bottom w:val="single" w:sz="4" w:space="0" w:color="auto"/>
              <w:right w:val="single" w:sz="4" w:space="0" w:color="auto"/>
            </w:tcBorders>
            <w:shd w:val="clear" w:color="auto" w:fill="C6EFCE"/>
            <w:noWrap/>
            <w:vAlign w:val="center"/>
          </w:tcPr>
          <w:p w14:paraId="2FAE1AB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542FC06" w14:textId="77777777" w:rsidR="003F5418" w:rsidRDefault="002A6C25">
            <w:pPr>
              <w:pStyle w:val="P68B1DB1-Normal9"/>
              <w:jc w:val="center"/>
              <w:rPr>
                <w:noProof/>
              </w:rPr>
            </w:pPr>
            <w:r>
              <w:rPr>
                <w:noProof/>
              </w:rPr>
              <w:t>Legalább 85 darab vasúti jármű beszerzése tömeggyors szállításhoz</w:t>
            </w:r>
          </w:p>
        </w:tc>
      </w:tr>
      <w:tr w:rsidR="003F5418" w14:paraId="592023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0D5805" w14:textId="77777777" w:rsidR="003F5418" w:rsidRDefault="002A6C25">
            <w:pPr>
              <w:pStyle w:val="P68B1DB1-Normal9"/>
              <w:jc w:val="center"/>
              <w:rPr>
                <w:noProof/>
              </w:rPr>
            </w:pPr>
            <w:r>
              <w:rPr>
                <w:noProof/>
              </w:rPr>
              <w:t>M2C2–26</w:t>
            </w:r>
          </w:p>
        </w:tc>
        <w:tc>
          <w:tcPr>
            <w:tcW w:w="3090" w:type="dxa"/>
            <w:tcBorders>
              <w:top w:val="nil"/>
              <w:left w:val="nil"/>
              <w:bottom w:val="single" w:sz="4" w:space="0" w:color="auto"/>
              <w:right w:val="single" w:sz="4" w:space="0" w:color="auto"/>
            </w:tcBorders>
            <w:shd w:val="clear" w:color="auto" w:fill="C6EFCE"/>
            <w:noWrap/>
            <w:vAlign w:val="center"/>
          </w:tcPr>
          <w:p w14:paraId="7BF697A5" w14:textId="77777777" w:rsidR="003F5418" w:rsidRDefault="002A6C25">
            <w:pPr>
              <w:pStyle w:val="P68B1DB1-Normal9"/>
              <w:rPr>
                <w:noProof/>
              </w:rPr>
            </w:pPr>
            <w:r>
              <w:rPr>
                <w:noProof/>
              </w:rPr>
              <w:t>Beruházás: Gyors tömegs</w:t>
            </w:r>
            <w:r>
              <w:rPr>
                <w:noProof/>
              </w:rPr>
              <w:t xml:space="preserve">zállítási rendszerek fejlesztése </w:t>
            </w:r>
          </w:p>
        </w:tc>
        <w:tc>
          <w:tcPr>
            <w:tcW w:w="1498" w:type="dxa"/>
            <w:tcBorders>
              <w:top w:val="nil"/>
              <w:left w:val="nil"/>
              <w:bottom w:val="single" w:sz="4" w:space="0" w:color="auto"/>
              <w:right w:val="single" w:sz="4" w:space="0" w:color="auto"/>
            </w:tcBorders>
            <w:shd w:val="clear" w:color="auto" w:fill="C6EFCE"/>
            <w:noWrap/>
            <w:vAlign w:val="center"/>
          </w:tcPr>
          <w:p w14:paraId="3E24A15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E4F092F" w14:textId="77777777" w:rsidR="003F5418" w:rsidRDefault="002A6C25">
            <w:pPr>
              <w:pStyle w:val="P68B1DB1-Normal9"/>
              <w:jc w:val="center"/>
              <w:rPr>
                <w:noProof/>
              </w:rPr>
            </w:pPr>
            <w:r>
              <w:rPr>
                <w:noProof/>
              </w:rPr>
              <w:t>A tömegközlekedési infrastruktúra kilométerben kifejezett száma</w:t>
            </w:r>
          </w:p>
        </w:tc>
      </w:tr>
      <w:tr w:rsidR="003F5418" w14:paraId="7D9B8637"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10BF228" w14:textId="77777777" w:rsidR="003F5418" w:rsidRDefault="002A6C25">
            <w:pPr>
              <w:pStyle w:val="P68B1DB1-Normal9"/>
              <w:jc w:val="center"/>
              <w:rPr>
                <w:noProof/>
              </w:rPr>
            </w:pPr>
            <w:r>
              <w:rPr>
                <w:noProof/>
              </w:rPr>
              <w:t>M2C2–35</w:t>
            </w:r>
          </w:p>
        </w:tc>
        <w:tc>
          <w:tcPr>
            <w:tcW w:w="3090" w:type="dxa"/>
            <w:tcBorders>
              <w:top w:val="nil"/>
              <w:left w:val="nil"/>
              <w:bottom w:val="single" w:sz="4" w:space="0" w:color="auto"/>
              <w:right w:val="single" w:sz="4" w:space="0" w:color="auto"/>
            </w:tcBorders>
            <w:shd w:val="clear" w:color="auto" w:fill="C6EFCE"/>
            <w:noWrap/>
            <w:vAlign w:val="center"/>
          </w:tcPr>
          <w:p w14:paraId="0255B676" w14:textId="77777777" w:rsidR="003F5418" w:rsidRDefault="002A6C25">
            <w:pPr>
              <w:pStyle w:val="P68B1DB1-Normal40"/>
              <w:rPr>
                <w:noProof/>
                <w:color w:val="006100"/>
              </w:rPr>
            </w:pPr>
            <w:r>
              <w:rPr>
                <w:noProof/>
                <w:color w:val="006100"/>
              </w:rPr>
              <w:t>Beruházás: A regionális tömegközlekedési autóbuszflotta megerősítése</w:t>
            </w:r>
            <w:r>
              <w:rPr>
                <w:noProof/>
                <w:color w:val="000000" w:themeColor="text1"/>
              </w:rPr>
              <w:t xml:space="preserve"> </w:t>
            </w:r>
            <w:r>
              <w:rPr>
                <w:noProof/>
                <w:color w:val="006100"/>
              </w:rPr>
              <w:t>kibocsátásmentes, alacsony padlós autóbuszokkal –</w:t>
            </w:r>
          </w:p>
        </w:tc>
        <w:tc>
          <w:tcPr>
            <w:tcW w:w="1498" w:type="dxa"/>
            <w:tcBorders>
              <w:top w:val="nil"/>
              <w:left w:val="nil"/>
              <w:bottom w:val="single" w:sz="4" w:space="0" w:color="auto"/>
              <w:right w:val="single" w:sz="4" w:space="0" w:color="auto"/>
            </w:tcBorders>
            <w:shd w:val="clear" w:color="auto" w:fill="C6EFCE"/>
            <w:noWrap/>
            <w:vAlign w:val="center"/>
          </w:tcPr>
          <w:p w14:paraId="2D457CB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DCF87D9" w14:textId="77777777" w:rsidR="003F5418" w:rsidRDefault="002A6C25">
            <w:pPr>
              <w:pStyle w:val="P68B1DB1-Normal9"/>
              <w:jc w:val="center"/>
              <w:rPr>
                <w:noProof/>
              </w:rPr>
            </w:pPr>
            <w:r>
              <w:rPr>
                <w:noProof/>
              </w:rPr>
              <w:t xml:space="preserve">Hatályba lépett a </w:t>
            </w:r>
            <w:r>
              <w:rPr>
                <w:noProof/>
              </w:rPr>
              <w:t>kibocsátásmentes, alacsony padlós autóbuszok száma T2</w:t>
            </w:r>
          </w:p>
        </w:tc>
      </w:tr>
      <w:tr w:rsidR="003F5418" w14:paraId="0A3CFCC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78EBE2" w14:textId="77777777" w:rsidR="003F5418" w:rsidRDefault="002A6C25">
            <w:pPr>
              <w:pStyle w:val="P68B1DB1-Normal9"/>
              <w:jc w:val="center"/>
              <w:rPr>
                <w:noProof/>
              </w:rPr>
            </w:pPr>
            <w:r>
              <w:rPr>
                <w:noProof/>
              </w:rPr>
              <w:t>M2C2–35 ter</w:t>
            </w:r>
          </w:p>
        </w:tc>
        <w:tc>
          <w:tcPr>
            <w:tcW w:w="3090" w:type="dxa"/>
            <w:tcBorders>
              <w:top w:val="nil"/>
              <w:left w:val="nil"/>
              <w:bottom w:val="single" w:sz="4" w:space="0" w:color="auto"/>
              <w:right w:val="single" w:sz="4" w:space="0" w:color="auto"/>
            </w:tcBorders>
            <w:shd w:val="clear" w:color="auto" w:fill="C6EFCE"/>
            <w:noWrap/>
            <w:vAlign w:val="center"/>
          </w:tcPr>
          <w:p w14:paraId="03FE1958" w14:textId="77777777" w:rsidR="003F5418" w:rsidRDefault="002A6C25">
            <w:pPr>
              <w:pStyle w:val="P68B1DB1-Normal9"/>
              <w:rPr>
                <w:noProof/>
              </w:rPr>
            </w:pPr>
            <w:r>
              <w:rPr>
                <w:noProof/>
              </w:rPr>
              <w:t>Beruházás: A regionális tömegközlekedési autóbuszflotta megerősítése tiszta üzemanyaggal működő járművekkel</w:t>
            </w:r>
          </w:p>
        </w:tc>
        <w:tc>
          <w:tcPr>
            <w:tcW w:w="1498" w:type="dxa"/>
            <w:tcBorders>
              <w:top w:val="nil"/>
              <w:left w:val="nil"/>
              <w:bottom w:val="single" w:sz="4" w:space="0" w:color="auto"/>
              <w:right w:val="single" w:sz="4" w:space="0" w:color="auto"/>
            </w:tcBorders>
            <w:shd w:val="clear" w:color="auto" w:fill="C6EFCE"/>
            <w:noWrap/>
            <w:vAlign w:val="center"/>
          </w:tcPr>
          <w:p w14:paraId="461EE91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AE0B999" w14:textId="77777777" w:rsidR="003F5418" w:rsidRDefault="002A6C25">
            <w:pPr>
              <w:pStyle w:val="P68B1DB1-Normal9"/>
              <w:jc w:val="center"/>
              <w:rPr>
                <w:noProof/>
              </w:rPr>
            </w:pPr>
            <w:r>
              <w:rPr>
                <w:noProof/>
              </w:rPr>
              <w:t xml:space="preserve">A kibocsátásmentes és alacsony kibocsátású alacsony padlós autóbuszok </w:t>
            </w:r>
            <w:r>
              <w:rPr>
                <w:noProof/>
              </w:rPr>
              <w:t>töltőállomásainak száma</w:t>
            </w:r>
          </w:p>
        </w:tc>
      </w:tr>
      <w:tr w:rsidR="003F5418" w14:paraId="089B236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0BAEC42" w14:textId="77777777" w:rsidR="003F5418" w:rsidRDefault="002A6C25">
            <w:pPr>
              <w:pStyle w:val="P68B1DB1-Normal9"/>
              <w:jc w:val="center"/>
              <w:rPr>
                <w:noProof/>
              </w:rPr>
            </w:pPr>
            <w:r>
              <w:rPr>
                <w:noProof/>
              </w:rPr>
              <w:t xml:space="preserve">M2C2–35 bis </w:t>
            </w:r>
          </w:p>
        </w:tc>
        <w:tc>
          <w:tcPr>
            <w:tcW w:w="3090" w:type="dxa"/>
            <w:tcBorders>
              <w:top w:val="nil"/>
              <w:left w:val="nil"/>
              <w:bottom w:val="single" w:sz="4" w:space="0" w:color="auto"/>
              <w:right w:val="single" w:sz="4" w:space="0" w:color="auto"/>
            </w:tcBorders>
            <w:shd w:val="clear" w:color="auto" w:fill="C6EFCE"/>
            <w:noWrap/>
            <w:vAlign w:val="center"/>
          </w:tcPr>
          <w:p w14:paraId="7E068B1F" w14:textId="77777777" w:rsidR="003F5418" w:rsidRDefault="002A6C25">
            <w:pPr>
              <w:pStyle w:val="P68B1DB1-Normal9"/>
              <w:rPr>
                <w:noProof/>
              </w:rPr>
            </w:pPr>
            <w:r>
              <w:rPr>
                <w:noProof/>
              </w:rPr>
              <w:t>Beruházás:  A regionális tömegközlekedési vasúti flotta kibocsátásmentes vonatokkal és egyetemes szolgáltatással történő megerősítése</w:t>
            </w:r>
          </w:p>
        </w:tc>
        <w:tc>
          <w:tcPr>
            <w:tcW w:w="1498" w:type="dxa"/>
            <w:tcBorders>
              <w:top w:val="nil"/>
              <w:left w:val="nil"/>
              <w:bottom w:val="single" w:sz="4" w:space="0" w:color="auto"/>
              <w:right w:val="single" w:sz="4" w:space="0" w:color="auto"/>
            </w:tcBorders>
            <w:shd w:val="clear" w:color="auto" w:fill="C6EFCE"/>
            <w:noWrap/>
            <w:vAlign w:val="center"/>
          </w:tcPr>
          <w:p w14:paraId="5C141AB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A520BCB" w14:textId="77777777" w:rsidR="003F5418" w:rsidRDefault="002A6C25">
            <w:pPr>
              <w:pStyle w:val="P68B1DB1-Normal9"/>
              <w:jc w:val="center"/>
              <w:rPr>
                <w:noProof/>
              </w:rPr>
            </w:pPr>
            <w:r>
              <w:rPr>
                <w:noProof/>
              </w:rPr>
              <w:t xml:space="preserve">A kibocsátásmentes vonatok száma és az egyetemes szolgáltatáshoz szükséges szállítások száma </w:t>
            </w:r>
          </w:p>
        </w:tc>
      </w:tr>
      <w:tr w:rsidR="003F5418" w14:paraId="4679B43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A99975" w14:textId="77777777" w:rsidR="003F5418" w:rsidRDefault="002A6C25">
            <w:pPr>
              <w:pStyle w:val="P68B1DB1-Normal9"/>
              <w:jc w:val="center"/>
              <w:rPr>
                <w:noProof/>
              </w:rPr>
            </w:pPr>
            <w:r>
              <w:rPr>
                <w:noProof/>
              </w:rPr>
              <w:t>M2C2–36</w:t>
            </w:r>
          </w:p>
        </w:tc>
        <w:tc>
          <w:tcPr>
            <w:tcW w:w="3090" w:type="dxa"/>
            <w:tcBorders>
              <w:top w:val="nil"/>
              <w:left w:val="nil"/>
              <w:bottom w:val="single" w:sz="4" w:space="0" w:color="auto"/>
              <w:right w:val="single" w:sz="4" w:space="0" w:color="auto"/>
            </w:tcBorders>
            <w:shd w:val="clear" w:color="auto" w:fill="C6EFCE"/>
            <w:noWrap/>
            <w:vAlign w:val="center"/>
          </w:tcPr>
          <w:p w14:paraId="7F70E714" w14:textId="77777777" w:rsidR="003F5418" w:rsidRDefault="002A6C25">
            <w:pPr>
              <w:pStyle w:val="P68B1DB1-Normal9"/>
              <w:rPr>
                <w:noProof/>
              </w:rPr>
            </w:pPr>
            <w:r>
              <w:rPr>
                <w:noProof/>
              </w:rPr>
              <w:t>Beruházás: A nemzeti tűzoltóság parancsnokságának megújítása</w:t>
            </w:r>
          </w:p>
        </w:tc>
        <w:tc>
          <w:tcPr>
            <w:tcW w:w="1498" w:type="dxa"/>
            <w:tcBorders>
              <w:top w:val="nil"/>
              <w:left w:val="nil"/>
              <w:bottom w:val="single" w:sz="4" w:space="0" w:color="auto"/>
              <w:right w:val="single" w:sz="4" w:space="0" w:color="auto"/>
            </w:tcBorders>
            <w:shd w:val="clear" w:color="auto" w:fill="C6EFCE"/>
            <w:noWrap/>
            <w:vAlign w:val="center"/>
          </w:tcPr>
          <w:p w14:paraId="295DF8B5"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51AF6C6" w14:textId="77777777" w:rsidR="003F5418" w:rsidRDefault="002A6C25">
            <w:pPr>
              <w:pStyle w:val="P68B1DB1-Normal9"/>
              <w:jc w:val="center"/>
              <w:rPr>
                <w:noProof/>
              </w:rPr>
            </w:pPr>
            <w:r>
              <w:rPr>
                <w:noProof/>
              </w:rPr>
              <w:t>Tiszta üzemű járművek száma a nemzeti tűzoltósági parancsnokság felújítási flottája szám</w:t>
            </w:r>
            <w:r>
              <w:rPr>
                <w:noProof/>
              </w:rPr>
              <w:t>ára</w:t>
            </w:r>
          </w:p>
        </w:tc>
      </w:tr>
      <w:tr w:rsidR="003F5418" w14:paraId="5EB688C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02805C" w14:textId="77777777" w:rsidR="003F5418" w:rsidRDefault="002A6C25">
            <w:pPr>
              <w:pStyle w:val="P68B1DB1-Normal9"/>
              <w:jc w:val="center"/>
              <w:rPr>
                <w:noProof/>
              </w:rPr>
            </w:pPr>
            <w:r>
              <w:rPr>
                <w:noProof/>
              </w:rPr>
              <w:t>M2C2–43</w:t>
            </w:r>
          </w:p>
        </w:tc>
        <w:tc>
          <w:tcPr>
            <w:tcW w:w="3090" w:type="dxa"/>
            <w:tcBorders>
              <w:top w:val="nil"/>
              <w:left w:val="nil"/>
              <w:bottom w:val="single" w:sz="4" w:space="0" w:color="auto"/>
              <w:right w:val="single" w:sz="4" w:space="0" w:color="auto"/>
            </w:tcBorders>
            <w:shd w:val="clear" w:color="auto" w:fill="C6EFCE"/>
            <w:noWrap/>
            <w:vAlign w:val="center"/>
          </w:tcPr>
          <w:p w14:paraId="69032AFA" w14:textId="77777777" w:rsidR="003F5418" w:rsidRDefault="002A6C25">
            <w:pPr>
              <w:pStyle w:val="P68B1DB1-Normal9"/>
              <w:rPr>
                <w:noProof/>
              </w:rPr>
            </w:pPr>
            <w:r>
              <w:rPr>
                <w:noProof/>
              </w:rPr>
              <w:t xml:space="preserve">Beruházás – Az ökológiai átállásban aktív induló vállalkozások és kockázati tőke támogatása. </w:t>
            </w:r>
          </w:p>
        </w:tc>
        <w:tc>
          <w:tcPr>
            <w:tcW w:w="1498" w:type="dxa"/>
            <w:tcBorders>
              <w:top w:val="nil"/>
              <w:left w:val="nil"/>
              <w:bottom w:val="single" w:sz="4" w:space="0" w:color="auto"/>
              <w:right w:val="single" w:sz="4" w:space="0" w:color="auto"/>
            </w:tcBorders>
            <w:shd w:val="clear" w:color="auto" w:fill="C6EFCE"/>
            <w:noWrap/>
            <w:vAlign w:val="center"/>
          </w:tcPr>
          <w:p w14:paraId="3994A5B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6A54E38" w14:textId="77777777" w:rsidR="003F5418" w:rsidRDefault="002A6C25">
            <w:pPr>
              <w:pStyle w:val="P68B1DB1-Normal9"/>
              <w:jc w:val="center"/>
              <w:rPr>
                <w:noProof/>
              </w:rPr>
            </w:pPr>
            <w:r>
              <w:rPr>
                <w:noProof/>
              </w:rPr>
              <w:t>Kockázatitőke-alapokkal és induló vállalkozásokkal aláírt jogi megállapodások</w:t>
            </w:r>
          </w:p>
        </w:tc>
      </w:tr>
      <w:tr w:rsidR="003F5418" w14:paraId="4B6FEE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AAB468" w14:textId="77777777" w:rsidR="003F5418" w:rsidRDefault="002A6C25">
            <w:pPr>
              <w:pStyle w:val="P68B1DB1-Normal9"/>
              <w:jc w:val="center"/>
              <w:rPr>
                <w:noProof/>
              </w:rPr>
            </w:pPr>
            <w:r>
              <w:rPr>
                <w:noProof/>
              </w:rPr>
              <w:t>M2C2–45</w:t>
            </w:r>
          </w:p>
        </w:tc>
        <w:tc>
          <w:tcPr>
            <w:tcW w:w="3090" w:type="dxa"/>
            <w:tcBorders>
              <w:top w:val="nil"/>
              <w:left w:val="nil"/>
              <w:bottom w:val="single" w:sz="4" w:space="0" w:color="auto"/>
              <w:right w:val="single" w:sz="4" w:space="0" w:color="auto"/>
            </w:tcBorders>
            <w:shd w:val="clear" w:color="auto" w:fill="C6EFCE"/>
            <w:noWrap/>
            <w:vAlign w:val="center"/>
          </w:tcPr>
          <w:p w14:paraId="7ED7B964" w14:textId="77777777" w:rsidR="003F5418" w:rsidRDefault="002A6C25">
            <w:pPr>
              <w:pStyle w:val="P68B1DB1-Normal9"/>
              <w:rPr>
                <w:noProof/>
              </w:rPr>
            </w:pPr>
            <w:r>
              <w:rPr>
                <w:noProof/>
              </w:rPr>
              <w:t>Beruházás: Agrárműrendszerek fejlesztése</w:t>
            </w:r>
          </w:p>
        </w:tc>
        <w:tc>
          <w:tcPr>
            <w:tcW w:w="1498" w:type="dxa"/>
            <w:tcBorders>
              <w:top w:val="nil"/>
              <w:left w:val="nil"/>
              <w:bottom w:val="single" w:sz="4" w:space="0" w:color="auto"/>
              <w:right w:val="single" w:sz="4" w:space="0" w:color="auto"/>
            </w:tcBorders>
            <w:shd w:val="clear" w:color="auto" w:fill="C6EFCE"/>
            <w:noWrap/>
            <w:vAlign w:val="center"/>
          </w:tcPr>
          <w:p w14:paraId="34F039B3"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EE251FA" w14:textId="77777777" w:rsidR="003F5418" w:rsidRDefault="002A6C25">
            <w:pPr>
              <w:pStyle w:val="P68B1DB1-Normal9"/>
              <w:jc w:val="center"/>
              <w:rPr>
                <w:noProof/>
              </w:rPr>
            </w:pPr>
            <w:r>
              <w:rPr>
                <w:noProof/>
              </w:rPr>
              <w:t>Fotovoltaikus</w:t>
            </w:r>
            <w:r>
              <w:rPr>
                <w:noProof/>
              </w:rPr>
              <w:t xml:space="preserve"> napelemek telepítése mezőgazdasági fotovoltaikus rendszerekbe </w:t>
            </w:r>
          </w:p>
        </w:tc>
      </w:tr>
      <w:tr w:rsidR="003F5418" w14:paraId="5FDB84E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269983" w14:textId="77777777" w:rsidR="003F5418" w:rsidRDefault="002A6C25">
            <w:pPr>
              <w:pStyle w:val="P68B1DB1-Normal9"/>
              <w:jc w:val="center"/>
              <w:rPr>
                <w:noProof/>
              </w:rPr>
            </w:pPr>
            <w:r>
              <w:rPr>
                <w:noProof/>
              </w:rPr>
              <w:t>M2C2–47</w:t>
            </w:r>
          </w:p>
        </w:tc>
        <w:tc>
          <w:tcPr>
            <w:tcW w:w="3090" w:type="dxa"/>
            <w:tcBorders>
              <w:top w:val="nil"/>
              <w:left w:val="nil"/>
              <w:bottom w:val="single" w:sz="4" w:space="0" w:color="auto"/>
              <w:right w:val="single" w:sz="4" w:space="0" w:color="auto"/>
            </w:tcBorders>
            <w:shd w:val="clear" w:color="auto" w:fill="C6EFCE"/>
            <w:noWrap/>
            <w:vAlign w:val="center"/>
          </w:tcPr>
          <w:p w14:paraId="03DBE9B2" w14:textId="77777777" w:rsidR="003F5418" w:rsidRDefault="002A6C25">
            <w:pPr>
              <w:pStyle w:val="P68B1DB1-Normal9"/>
              <w:rPr>
                <w:noProof/>
              </w:rPr>
            </w:pPr>
            <w:r>
              <w:rPr>
                <w:noProof/>
              </w:rPr>
              <w:t>Beruházás: A megújuló energiaforrások előmozdítása az energiaközösségek és a közösen fellépő termelő-fogyasztók számára</w:t>
            </w:r>
          </w:p>
        </w:tc>
        <w:tc>
          <w:tcPr>
            <w:tcW w:w="1498" w:type="dxa"/>
            <w:tcBorders>
              <w:top w:val="nil"/>
              <w:left w:val="nil"/>
              <w:bottom w:val="single" w:sz="4" w:space="0" w:color="auto"/>
              <w:right w:val="single" w:sz="4" w:space="0" w:color="auto"/>
            </w:tcBorders>
            <w:shd w:val="clear" w:color="auto" w:fill="C6EFCE"/>
            <w:noWrap/>
            <w:vAlign w:val="center"/>
          </w:tcPr>
          <w:p w14:paraId="26A1007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99CCFC6" w14:textId="77777777" w:rsidR="003F5418" w:rsidRDefault="002A6C25">
            <w:pPr>
              <w:pStyle w:val="P68B1DB1-Normal9"/>
              <w:jc w:val="center"/>
              <w:rPr>
                <w:noProof/>
              </w:rPr>
            </w:pPr>
            <w:r>
              <w:rPr>
                <w:noProof/>
              </w:rPr>
              <w:t>Az energiaközösségek és a közösen fellépő termelő-fogyasztó</w:t>
            </w:r>
            <w:r>
              <w:rPr>
                <w:noProof/>
              </w:rPr>
              <w:t>k megújulóenergia-termelése</w:t>
            </w:r>
          </w:p>
        </w:tc>
      </w:tr>
      <w:tr w:rsidR="003F5418" w14:paraId="5DEFD43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38708BC" w14:textId="77777777" w:rsidR="003F5418" w:rsidRDefault="002A6C25">
            <w:pPr>
              <w:pStyle w:val="P68B1DB1-Normal9"/>
              <w:jc w:val="center"/>
              <w:rPr>
                <w:noProof/>
              </w:rPr>
            </w:pPr>
            <w:r>
              <w:rPr>
                <w:noProof/>
              </w:rPr>
              <w:t>M2C2–49</w:t>
            </w:r>
          </w:p>
        </w:tc>
        <w:tc>
          <w:tcPr>
            <w:tcW w:w="3090" w:type="dxa"/>
            <w:tcBorders>
              <w:top w:val="nil"/>
              <w:left w:val="nil"/>
              <w:bottom w:val="single" w:sz="4" w:space="0" w:color="auto"/>
              <w:right w:val="single" w:sz="4" w:space="0" w:color="auto"/>
            </w:tcBorders>
            <w:shd w:val="clear" w:color="auto" w:fill="C6EFCE"/>
            <w:noWrap/>
            <w:vAlign w:val="center"/>
          </w:tcPr>
          <w:p w14:paraId="6E66D435" w14:textId="77777777" w:rsidR="003F5418" w:rsidRDefault="002A6C25">
            <w:pPr>
              <w:pStyle w:val="P68B1DB1-Normal9"/>
              <w:rPr>
                <w:noProof/>
              </w:rPr>
            </w:pPr>
            <w:r>
              <w:rPr>
                <w:noProof/>
              </w:rPr>
              <w:t>Beruházás: Hidrogéngyártás barnamezős területeken (hidrogénvölgyek)</w:t>
            </w:r>
          </w:p>
        </w:tc>
        <w:tc>
          <w:tcPr>
            <w:tcW w:w="1498" w:type="dxa"/>
            <w:tcBorders>
              <w:top w:val="nil"/>
              <w:left w:val="nil"/>
              <w:bottom w:val="single" w:sz="4" w:space="0" w:color="auto"/>
              <w:right w:val="single" w:sz="4" w:space="0" w:color="auto"/>
            </w:tcBorders>
            <w:shd w:val="clear" w:color="auto" w:fill="C6EFCE"/>
            <w:noWrap/>
            <w:vAlign w:val="center"/>
          </w:tcPr>
          <w:p w14:paraId="79E7F32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2673F2F" w14:textId="77777777" w:rsidR="003F5418" w:rsidRDefault="002A6C25">
            <w:pPr>
              <w:pStyle w:val="P68B1DB1-Normal9"/>
              <w:jc w:val="center"/>
              <w:rPr>
                <w:noProof/>
              </w:rPr>
            </w:pPr>
            <w:r>
              <w:rPr>
                <w:noProof/>
              </w:rPr>
              <w:t>Az ipari területeken történő hidrogéntermeléssel kapcsolatos projekt lezárása</w:t>
            </w:r>
          </w:p>
        </w:tc>
      </w:tr>
      <w:tr w:rsidR="003F5418" w14:paraId="17B6BD4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AC9878" w14:textId="77777777" w:rsidR="003F5418" w:rsidRDefault="002A6C25">
            <w:pPr>
              <w:pStyle w:val="P68B1DB1-Normal9"/>
              <w:jc w:val="center"/>
              <w:rPr>
                <w:noProof/>
              </w:rPr>
            </w:pPr>
            <w:r>
              <w:rPr>
                <w:noProof/>
              </w:rPr>
              <w:t>M2C2–51</w:t>
            </w:r>
          </w:p>
        </w:tc>
        <w:tc>
          <w:tcPr>
            <w:tcW w:w="3090" w:type="dxa"/>
            <w:tcBorders>
              <w:top w:val="nil"/>
              <w:left w:val="nil"/>
              <w:bottom w:val="single" w:sz="4" w:space="0" w:color="auto"/>
              <w:right w:val="single" w:sz="4" w:space="0" w:color="auto"/>
            </w:tcBorders>
            <w:shd w:val="clear" w:color="auto" w:fill="C6EFCE"/>
            <w:noWrap/>
            <w:vAlign w:val="center"/>
          </w:tcPr>
          <w:p w14:paraId="7C621BAA" w14:textId="77777777" w:rsidR="003F5418" w:rsidRDefault="002A6C25">
            <w:pPr>
              <w:pStyle w:val="P68B1DB1-Normal9"/>
              <w:rPr>
                <w:noProof/>
              </w:rPr>
            </w:pPr>
            <w:r>
              <w:rPr>
                <w:noProof/>
              </w:rPr>
              <w:t xml:space="preserve">Beruházás Hidrogénfelhasználás a kibocsátáscsökkentési </w:t>
            </w:r>
            <w:r>
              <w:rPr>
                <w:noProof/>
              </w:rPr>
              <w:t>nehézségekkel szembenéző iparágakban</w:t>
            </w:r>
          </w:p>
        </w:tc>
        <w:tc>
          <w:tcPr>
            <w:tcW w:w="1498" w:type="dxa"/>
            <w:tcBorders>
              <w:top w:val="nil"/>
              <w:left w:val="nil"/>
              <w:bottom w:val="single" w:sz="4" w:space="0" w:color="auto"/>
              <w:right w:val="single" w:sz="4" w:space="0" w:color="auto"/>
            </w:tcBorders>
            <w:shd w:val="clear" w:color="auto" w:fill="C6EFCE"/>
            <w:noWrap/>
            <w:vAlign w:val="center"/>
          </w:tcPr>
          <w:p w14:paraId="5ACC546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BCFA340" w14:textId="77777777" w:rsidR="003F5418" w:rsidRDefault="002A6C25">
            <w:pPr>
              <w:pStyle w:val="P68B1DB1-Normal9"/>
              <w:jc w:val="center"/>
              <w:rPr>
                <w:noProof/>
              </w:rPr>
            </w:pPr>
            <w:r>
              <w:rPr>
                <w:noProof/>
              </w:rPr>
              <w:t>A hidrogén bevezetése az ipari folyamatokba</w:t>
            </w:r>
          </w:p>
        </w:tc>
      </w:tr>
      <w:tr w:rsidR="003F5418" w14:paraId="21D61B8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888C794" w14:textId="77777777" w:rsidR="003F5418" w:rsidRDefault="002A6C25">
            <w:pPr>
              <w:pStyle w:val="P68B1DB1-Normal9"/>
              <w:jc w:val="center"/>
              <w:rPr>
                <w:noProof/>
              </w:rPr>
            </w:pPr>
            <w:r>
              <w:rPr>
                <w:noProof/>
              </w:rPr>
              <w:t>M2C2–53</w:t>
            </w:r>
          </w:p>
        </w:tc>
        <w:tc>
          <w:tcPr>
            <w:tcW w:w="3090" w:type="dxa"/>
            <w:tcBorders>
              <w:top w:val="nil"/>
              <w:left w:val="nil"/>
              <w:bottom w:val="single" w:sz="4" w:space="0" w:color="auto"/>
              <w:right w:val="single" w:sz="4" w:space="0" w:color="auto"/>
            </w:tcBorders>
            <w:shd w:val="clear" w:color="auto" w:fill="C6EFCE"/>
            <w:noWrap/>
            <w:vAlign w:val="center"/>
          </w:tcPr>
          <w:p w14:paraId="125D50BC" w14:textId="77777777" w:rsidR="003F5418" w:rsidRDefault="002A6C25">
            <w:pPr>
              <w:pStyle w:val="P68B1DB1-Normal9"/>
              <w:rPr>
                <w:noProof/>
              </w:rPr>
            </w:pPr>
            <w:r>
              <w:rPr>
                <w:noProof/>
              </w:rPr>
              <w:t>Beruházás Hidrogén</w:t>
            </w:r>
          </w:p>
        </w:tc>
        <w:tc>
          <w:tcPr>
            <w:tcW w:w="1498" w:type="dxa"/>
            <w:tcBorders>
              <w:top w:val="nil"/>
              <w:left w:val="nil"/>
              <w:bottom w:val="single" w:sz="4" w:space="0" w:color="auto"/>
              <w:right w:val="single" w:sz="4" w:space="0" w:color="auto"/>
            </w:tcBorders>
            <w:shd w:val="clear" w:color="auto" w:fill="C6EFCE"/>
            <w:noWrap/>
            <w:vAlign w:val="center"/>
          </w:tcPr>
          <w:p w14:paraId="20EEF937"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ADB804F" w14:textId="77777777" w:rsidR="003F5418" w:rsidRDefault="002A6C25">
            <w:pPr>
              <w:pStyle w:val="P68B1DB1-Normal9"/>
              <w:jc w:val="center"/>
              <w:rPr>
                <w:noProof/>
              </w:rPr>
            </w:pPr>
            <w:r>
              <w:rPr>
                <w:noProof/>
              </w:rPr>
              <w:t xml:space="preserve">Az elektrolizátorok gyártására szolgáló ipari létesítmények kivitelezésére irányuló valamennyi közbeszerzési szerződés odaítélése </w:t>
            </w:r>
          </w:p>
        </w:tc>
      </w:tr>
      <w:tr w:rsidR="003F5418" w14:paraId="543F0EF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EC1404" w14:textId="77777777" w:rsidR="003F5418" w:rsidRDefault="002A6C25">
            <w:pPr>
              <w:pStyle w:val="P68B1DB1-Normal9"/>
              <w:jc w:val="center"/>
              <w:rPr>
                <w:noProof/>
              </w:rPr>
            </w:pPr>
            <w:r>
              <w:rPr>
                <w:noProof/>
              </w:rPr>
              <w:t>M2C4–11</w:t>
            </w:r>
            <w:r>
              <w:rPr>
                <w:noProof/>
              </w:rPr>
              <w:t>ter</w:t>
            </w:r>
          </w:p>
        </w:tc>
        <w:tc>
          <w:tcPr>
            <w:tcW w:w="3090" w:type="dxa"/>
            <w:tcBorders>
              <w:top w:val="nil"/>
              <w:left w:val="nil"/>
              <w:bottom w:val="single" w:sz="4" w:space="0" w:color="auto"/>
              <w:right w:val="single" w:sz="4" w:space="0" w:color="auto"/>
            </w:tcBorders>
            <w:shd w:val="clear" w:color="auto" w:fill="C6EFCE"/>
            <w:noWrap/>
            <w:vAlign w:val="center"/>
          </w:tcPr>
          <w:p w14:paraId="54C8B9D7" w14:textId="77777777" w:rsidR="003F5418" w:rsidRDefault="002A6C25">
            <w:pPr>
              <w:pStyle w:val="P68B1DB1-Normal9"/>
              <w:rPr>
                <w:noProof/>
              </w:rPr>
            </w:pPr>
            <w:r>
              <w:rPr>
                <w:noProof/>
              </w:rPr>
              <w:t>Beruházás: Az árvíz- és hidrogeológiai kockázatok csökkentésére irányuló intézkedések – Beavatkozás Emilia Romagnában, Toscanában és Marche-ban</w:t>
            </w:r>
          </w:p>
        </w:tc>
        <w:tc>
          <w:tcPr>
            <w:tcW w:w="1498" w:type="dxa"/>
            <w:tcBorders>
              <w:top w:val="nil"/>
              <w:left w:val="nil"/>
              <w:bottom w:val="single" w:sz="4" w:space="0" w:color="auto"/>
              <w:right w:val="single" w:sz="4" w:space="0" w:color="auto"/>
            </w:tcBorders>
            <w:shd w:val="clear" w:color="auto" w:fill="C6EFCE"/>
            <w:noWrap/>
            <w:vAlign w:val="center"/>
          </w:tcPr>
          <w:p w14:paraId="338E4586" w14:textId="77777777" w:rsidR="003F5418" w:rsidRDefault="002A6C25">
            <w:pPr>
              <w:pStyle w:val="P68B1DB1-Normal9"/>
              <w:jc w:val="center"/>
              <w:rPr>
                <w:noProof/>
              </w:rPr>
            </w:pPr>
            <w:r>
              <w:rPr>
                <w:noProof/>
              </w:rPr>
              <w:t>Mérföldkő</w:t>
            </w:r>
          </w:p>
        </w:tc>
        <w:tc>
          <w:tcPr>
            <w:tcW w:w="4091" w:type="dxa"/>
            <w:tcBorders>
              <w:top w:val="nil"/>
              <w:left w:val="nil"/>
              <w:bottom w:val="single" w:sz="4" w:space="0" w:color="auto"/>
              <w:right w:val="single" w:sz="4" w:space="0" w:color="auto"/>
            </w:tcBorders>
            <w:shd w:val="clear" w:color="auto" w:fill="C6EFCE"/>
            <w:noWrap/>
            <w:vAlign w:val="center"/>
          </w:tcPr>
          <w:p w14:paraId="740DE60A" w14:textId="77777777" w:rsidR="003F5418" w:rsidRDefault="002A6C25">
            <w:pPr>
              <w:pStyle w:val="P68B1DB1-Normal9"/>
              <w:jc w:val="center"/>
              <w:rPr>
                <w:noProof/>
              </w:rPr>
            </w:pPr>
            <w:r>
              <w:rPr>
                <w:noProof/>
              </w:rPr>
              <w:t>A projektek lezárása</w:t>
            </w:r>
          </w:p>
        </w:tc>
      </w:tr>
      <w:tr w:rsidR="003F5418" w14:paraId="329B665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2DBAA1" w14:textId="77777777" w:rsidR="003F5418" w:rsidRDefault="002A6C25">
            <w:pPr>
              <w:pStyle w:val="P68B1DB1-Normal9"/>
              <w:jc w:val="center"/>
              <w:rPr>
                <w:noProof/>
              </w:rPr>
            </w:pPr>
            <w:r>
              <w:rPr>
                <w:noProof/>
              </w:rPr>
              <w:t>M2C4–13</w:t>
            </w:r>
          </w:p>
        </w:tc>
        <w:tc>
          <w:tcPr>
            <w:tcW w:w="3090" w:type="dxa"/>
            <w:tcBorders>
              <w:top w:val="nil"/>
              <w:left w:val="nil"/>
              <w:bottom w:val="single" w:sz="4" w:space="0" w:color="auto"/>
              <w:right w:val="single" w:sz="4" w:space="0" w:color="auto"/>
            </w:tcBorders>
            <w:shd w:val="clear" w:color="auto" w:fill="C6EFCE"/>
            <w:noWrap/>
            <w:vAlign w:val="center"/>
          </w:tcPr>
          <w:p w14:paraId="7F5D5BFF" w14:textId="77777777" w:rsidR="003F5418" w:rsidRDefault="002A6C25">
            <w:pPr>
              <w:pStyle w:val="P68B1DB1-Normal9"/>
              <w:rPr>
                <w:noProof/>
              </w:rPr>
            </w:pPr>
            <w:r>
              <w:rPr>
                <w:noProof/>
              </w:rPr>
              <w:t xml:space="preserve">Beruházás – Az árvíz- és hidrogeológiai kockázatok csökkentésére </w:t>
            </w:r>
            <w:r>
              <w:rPr>
                <w:noProof/>
              </w:rPr>
              <w:t>irányuló intézkedések</w:t>
            </w:r>
          </w:p>
        </w:tc>
        <w:tc>
          <w:tcPr>
            <w:tcW w:w="1498" w:type="dxa"/>
            <w:tcBorders>
              <w:top w:val="nil"/>
              <w:left w:val="nil"/>
              <w:bottom w:val="single" w:sz="4" w:space="0" w:color="auto"/>
              <w:right w:val="single" w:sz="4" w:space="0" w:color="auto"/>
            </w:tcBorders>
            <w:shd w:val="clear" w:color="auto" w:fill="C6EFCE"/>
            <w:noWrap/>
            <w:vAlign w:val="center"/>
          </w:tcPr>
          <w:p w14:paraId="3B9F379A"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624F36C" w14:textId="77777777" w:rsidR="003F5418" w:rsidRDefault="002A6C25">
            <w:pPr>
              <w:pStyle w:val="P68B1DB1-Normal9"/>
              <w:jc w:val="center"/>
              <w:rPr>
                <w:noProof/>
              </w:rPr>
            </w:pPr>
            <w:r>
              <w:rPr>
                <w:noProof/>
              </w:rPr>
              <w:t>A D és az E típusú beavatkozások befejezése</w:t>
            </w:r>
          </w:p>
        </w:tc>
      </w:tr>
      <w:tr w:rsidR="003F5418" w14:paraId="0480A9D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EB1742B" w14:textId="77777777" w:rsidR="003F5418" w:rsidRDefault="002A6C25">
            <w:pPr>
              <w:pStyle w:val="P68B1DB1-Normal9"/>
              <w:jc w:val="center"/>
              <w:rPr>
                <w:noProof/>
              </w:rPr>
            </w:pPr>
            <w:r>
              <w:rPr>
                <w:noProof/>
              </w:rPr>
              <w:t>M2C4–20bis</w:t>
            </w:r>
          </w:p>
        </w:tc>
        <w:tc>
          <w:tcPr>
            <w:tcW w:w="3090" w:type="dxa"/>
            <w:tcBorders>
              <w:top w:val="nil"/>
              <w:left w:val="nil"/>
              <w:bottom w:val="single" w:sz="4" w:space="0" w:color="auto"/>
              <w:right w:val="single" w:sz="4" w:space="0" w:color="auto"/>
            </w:tcBorders>
            <w:shd w:val="clear" w:color="auto" w:fill="C6EFCE"/>
            <w:noWrap/>
            <w:vAlign w:val="center"/>
          </w:tcPr>
          <w:p w14:paraId="48C24C52" w14:textId="77777777" w:rsidR="003F5418" w:rsidRDefault="002A6C25">
            <w:pPr>
              <w:pStyle w:val="P68B1DB1-Normal9"/>
              <w:rPr>
                <w:noProof/>
              </w:rPr>
            </w:pPr>
            <w:r>
              <w:rPr>
                <w:noProof/>
              </w:rPr>
              <w:t>Beruházások. 3.1.: A városi és városkörnyéki erdők védelme és fejlesztése</w:t>
            </w:r>
          </w:p>
        </w:tc>
        <w:tc>
          <w:tcPr>
            <w:tcW w:w="1498" w:type="dxa"/>
            <w:tcBorders>
              <w:top w:val="nil"/>
              <w:left w:val="nil"/>
              <w:bottom w:val="single" w:sz="4" w:space="0" w:color="auto"/>
              <w:right w:val="single" w:sz="4" w:space="0" w:color="auto"/>
            </w:tcBorders>
            <w:shd w:val="clear" w:color="auto" w:fill="C6EFCE"/>
            <w:noWrap/>
            <w:vAlign w:val="center"/>
          </w:tcPr>
          <w:p w14:paraId="60F6B03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2D22FCC" w14:textId="77777777" w:rsidR="003F5418" w:rsidRDefault="002A6C25">
            <w:pPr>
              <w:pStyle w:val="P68B1DB1-Normal9"/>
              <w:jc w:val="center"/>
              <w:rPr>
                <w:noProof/>
              </w:rPr>
            </w:pPr>
            <w:r>
              <w:rPr>
                <w:noProof/>
              </w:rPr>
              <w:t xml:space="preserve">Növényfák a városi és városkörnyéki zöldterületek védelmére és hasznosítására T3 </w:t>
            </w:r>
          </w:p>
        </w:tc>
      </w:tr>
      <w:tr w:rsidR="003F5418" w14:paraId="2CD445D3"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6FF380C" w14:textId="77777777" w:rsidR="003F5418" w:rsidRDefault="002A6C25">
            <w:pPr>
              <w:pStyle w:val="P68B1DB1-Normal9"/>
              <w:jc w:val="center"/>
              <w:rPr>
                <w:noProof/>
              </w:rPr>
            </w:pPr>
            <w:r>
              <w:rPr>
                <w:noProof/>
              </w:rPr>
              <w:t>M2C4–34a</w:t>
            </w:r>
          </w:p>
        </w:tc>
        <w:tc>
          <w:tcPr>
            <w:tcW w:w="3090" w:type="dxa"/>
            <w:tcBorders>
              <w:top w:val="nil"/>
              <w:left w:val="nil"/>
              <w:bottom w:val="single" w:sz="4" w:space="0" w:color="auto"/>
              <w:right w:val="single" w:sz="4" w:space="0" w:color="auto"/>
            </w:tcBorders>
            <w:shd w:val="clear" w:color="auto" w:fill="C6EFCE"/>
            <w:noWrap/>
            <w:vAlign w:val="center"/>
          </w:tcPr>
          <w:p w14:paraId="18161A00" w14:textId="77777777" w:rsidR="003F5418" w:rsidRDefault="002A6C25">
            <w:pPr>
              <w:pStyle w:val="P68B1DB1-Normal9"/>
              <w:rPr>
                <w:noProof/>
              </w:rPr>
            </w:pPr>
            <w:r>
              <w:rPr>
                <w:noProof/>
              </w:rPr>
              <w:t>Beruházás az öntöző agrorendszer ellenálló képességébe a vízkészletekkel való jobb gazdálkodás érdekében</w:t>
            </w:r>
          </w:p>
        </w:tc>
        <w:tc>
          <w:tcPr>
            <w:tcW w:w="1498" w:type="dxa"/>
            <w:tcBorders>
              <w:top w:val="nil"/>
              <w:left w:val="nil"/>
              <w:bottom w:val="single" w:sz="4" w:space="0" w:color="auto"/>
              <w:right w:val="single" w:sz="4" w:space="0" w:color="auto"/>
            </w:tcBorders>
            <w:shd w:val="clear" w:color="auto" w:fill="C6EFCE"/>
            <w:noWrap/>
            <w:vAlign w:val="center"/>
          </w:tcPr>
          <w:p w14:paraId="22F02C3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72DD3F5A" w14:textId="77777777" w:rsidR="003F5418" w:rsidRDefault="002A6C25">
            <w:pPr>
              <w:pStyle w:val="P68B1DB1-Normal9"/>
              <w:jc w:val="center"/>
              <w:rPr>
                <w:noProof/>
              </w:rPr>
            </w:pPr>
            <w:r>
              <w:rPr>
                <w:noProof/>
              </w:rPr>
              <w:t>Az öntözési agrorendszer ellenálló képességét célzó beavatkozások a T1 vízkészletekkel való jobb gazdálkodás érdekében</w:t>
            </w:r>
          </w:p>
        </w:tc>
      </w:tr>
      <w:tr w:rsidR="003F5418" w14:paraId="045A68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687794E" w14:textId="77777777" w:rsidR="003F5418" w:rsidRDefault="002A6C25">
            <w:pPr>
              <w:pStyle w:val="P68B1DB1-Normal9"/>
              <w:jc w:val="center"/>
              <w:rPr>
                <w:noProof/>
              </w:rPr>
            </w:pPr>
            <w:r>
              <w:rPr>
                <w:noProof/>
              </w:rPr>
              <w:t>M3C1–6</w:t>
            </w:r>
          </w:p>
        </w:tc>
        <w:tc>
          <w:tcPr>
            <w:tcW w:w="3090" w:type="dxa"/>
            <w:tcBorders>
              <w:top w:val="nil"/>
              <w:left w:val="nil"/>
              <w:bottom w:val="single" w:sz="4" w:space="0" w:color="auto"/>
              <w:right w:val="single" w:sz="4" w:space="0" w:color="auto"/>
            </w:tcBorders>
            <w:shd w:val="clear" w:color="auto" w:fill="C6EFCE"/>
            <w:noWrap/>
            <w:vAlign w:val="center"/>
          </w:tcPr>
          <w:p w14:paraId="76459460" w14:textId="77777777" w:rsidR="003F5418" w:rsidRDefault="002A6C25">
            <w:pPr>
              <w:pStyle w:val="P68B1DB1-Normal9"/>
              <w:rPr>
                <w:noProof/>
              </w:rPr>
            </w:pPr>
            <w:r>
              <w:rPr>
                <w:noProof/>
              </w:rPr>
              <w:t>Beruházás – Nagy seb</w:t>
            </w:r>
            <w:r>
              <w:rPr>
                <w:noProof/>
              </w:rPr>
              <w:t>ességű vasúti összeköttetések déli személyszállítás és árufuvarozás számára</w:t>
            </w:r>
          </w:p>
        </w:tc>
        <w:tc>
          <w:tcPr>
            <w:tcW w:w="1498" w:type="dxa"/>
            <w:tcBorders>
              <w:top w:val="nil"/>
              <w:left w:val="nil"/>
              <w:bottom w:val="single" w:sz="4" w:space="0" w:color="auto"/>
              <w:right w:val="single" w:sz="4" w:space="0" w:color="auto"/>
            </w:tcBorders>
            <w:shd w:val="clear" w:color="auto" w:fill="C6EFCE"/>
            <w:noWrap/>
            <w:vAlign w:val="center"/>
          </w:tcPr>
          <w:p w14:paraId="665A2E6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CB3AF57" w14:textId="77777777" w:rsidR="003F5418" w:rsidRDefault="002A6C25">
            <w:pPr>
              <w:pStyle w:val="P68B1DB1-Normal9"/>
              <w:jc w:val="center"/>
              <w:rPr>
                <w:noProof/>
              </w:rPr>
            </w:pPr>
            <w:r>
              <w:rPr>
                <w:noProof/>
              </w:rPr>
              <w:t>Nagy sebességű vasúti személy- és áruszállítás a Nápoly-Bari, Salerno-Reggio Calabria, Palermo-Catania vonalakon</w:t>
            </w:r>
          </w:p>
        </w:tc>
      </w:tr>
      <w:tr w:rsidR="003F5418" w14:paraId="067980A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70BCC1" w14:textId="77777777" w:rsidR="003F5418" w:rsidRDefault="002A6C25">
            <w:pPr>
              <w:pStyle w:val="P68B1DB1-Normal9"/>
              <w:jc w:val="center"/>
              <w:rPr>
                <w:noProof/>
              </w:rPr>
            </w:pPr>
            <w:r>
              <w:rPr>
                <w:noProof/>
              </w:rPr>
              <w:t>M3C1–24</w:t>
            </w:r>
          </w:p>
        </w:tc>
        <w:tc>
          <w:tcPr>
            <w:tcW w:w="3090" w:type="dxa"/>
            <w:tcBorders>
              <w:top w:val="nil"/>
              <w:left w:val="nil"/>
              <w:bottom w:val="single" w:sz="4" w:space="0" w:color="auto"/>
              <w:right w:val="single" w:sz="4" w:space="0" w:color="auto"/>
            </w:tcBorders>
            <w:shd w:val="clear" w:color="auto" w:fill="C6EFCE"/>
            <w:noWrap/>
            <w:vAlign w:val="center"/>
          </w:tcPr>
          <w:p w14:paraId="4F060464" w14:textId="77777777" w:rsidR="003F5418" w:rsidRDefault="002A6C25">
            <w:pPr>
              <w:pStyle w:val="P68B1DB1-Normal9"/>
              <w:rPr>
                <w:noProof/>
              </w:rPr>
            </w:pPr>
            <w:r>
              <w:rPr>
                <w:noProof/>
              </w:rPr>
              <w:t>Beruházás régióközi kapcsolatok</w:t>
            </w:r>
          </w:p>
        </w:tc>
        <w:tc>
          <w:tcPr>
            <w:tcW w:w="1498" w:type="dxa"/>
            <w:tcBorders>
              <w:top w:val="nil"/>
              <w:left w:val="nil"/>
              <w:bottom w:val="single" w:sz="4" w:space="0" w:color="auto"/>
              <w:right w:val="single" w:sz="4" w:space="0" w:color="auto"/>
            </w:tcBorders>
            <w:shd w:val="clear" w:color="auto" w:fill="C6EFCE"/>
            <w:noWrap/>
            <w:vAlign w:val="center"/>
          </w:tcPr>
          <w:p w14:paraId="34E346B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E1CEB3F" w14:textId="77777777" w:rsidR="003F5418" w:rsidRDefault="002A6C25">
            <w:pPr>
              <w:pStyle w:val="P68B1DB1-Normal9"/>
              <w:jc w:val="center"/>
              <w:rPr>
                <w:noProof/>
              </w:rPr>
            </w:pPr>
            <w:r>
              <w:rPr>
                <w:noProof/>
              </w:rPr>
              <w:t xml:space="preserve">Beruházás </w:t>
            </w:r>
            <w:r>
              <w:rPr>
                <w:noProof/>
              </w:rPr>
              <w:t>régióközi kapcsolatok</w:t>
            </w:r>
          </w:p>
        </w:tc>
      </w:tr>
      <w:tr w:rsidR="003F5418" w14:paraId="3E70BF3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49DD1C" w14:textId="77777777" w:rsidR="003F5418" w:rsidRDefault="002A6C25">
            <w:pPr>
              <w:pStyle w:val="P68B1DB1-Normal9"/>
              <w:jc w:val="center"/>
              <w:rPr>
                <w:noProof/>
              </w:rPr>
            </w:pPr>
            <w:r>
              <w:rPr>
                <w:noProof/>
              </w:rPr>
              <w:t>M3C1–9</w:t>
            </w:r>
          </w:p>
        </w:tc>
        <w:tc>
          <w:tcPr>
            <w:tcW w:w="3090" w:type="dxa"/>
            <w:tcBorders>
              <w:top w:val="nil"/>
              <w:left w:val="nil"/>
              <w:bottom w:val="single" w:sz="4" w:space="0" w:color="auto"/>
              <w:right w:val="single" w:sz="4" w:space="0" w:color="auto"/>
            </w:tcBorders>
            <w:shd w:val="clear" w:color="auto" w:fill="C6EFCE"/>
            <w:noWrap/>
            <w:vAlign w:val="center"/>
          </w:tcPr>
          <w:p w14:paraId="72B475D4" w14:textId="77777777" w:rsidR="003F5418" w:rsidRDefault="002A6C25">
            <w:pPr>
              <w:pStyle w:val="P68B1DB1-Normal9"/>
              <w:rPr>
                <w:noProof/>
              </w:rPr>
            </w:pPr>
            <w:r>
              <w:rPr>
                <w:noProof/>
              </w:rPr>
              <w:t>Beruházás – Nagy sebességű, Európa többi részével összekötő északi vonalak</w:t>
            </w:r>
          </w:p>
        </w:tc>
        <w:tc>
          <w:tcPr>
            <w:tcW w:w="1498" w:type="dxa"/>
            <w:tcBorders>
              <w:top w:val="nil"/>
              <w:left w:val="nil"/>
              <w:bottom w:val="single" w:sz="4" w:space="0" w:color="auto"/>
              <w:right w:val="single" w:sz="4" w:space="0" w:color="auto"/>
            </w:tcBorders>
            <w:shd w:val="clear" w:color="auto" w:fill="C6EFCE"/>
            <w:noWrap/>
            <w:vAlign w:val="center"/>
          </w:tcPr>
          <w:p w14:paraId="10192D3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0E78F49" w14:textId="77777777" w:rsidR="003F5418" w:rsidRDefault="002A6C25">
            <w:pPr>
              <w:pStyle w:val="P68B1DB1-Normal9"/>
              <w:jc w:val="center"/>
              <w:rPr>
                <w:noProof/>
              </w:rPr>
            </w:pPr>
            <w:r>
              <w:rPr>
                <w:noProof/>
              </w:rPr>
              <w:t>A Brescia-Verona-Vicenza-Padova vonalakon személy- és áruszállítást egyaránt igénybe vevő nagysebességű vasút; Liguria-Alpi.</w:t>
            </w:r>
          </w:p>
        </w:tc>
      </w:tr>
      <w:tr w:rsidR="003F5418" w14:paraId="19523BB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66520DD" w14:textId="77777777" w:rsidR="003F5418" w:rsidRDefault="002A6C25">
            <w:pPr>
              <w:pStyle w:val="P68B1DB1-Normal9"/>
              <w:jc w:val="center"/>
              <w:rPr>
                <w:noProof/>
              </w:rPr>
            </w:pPr>
            <w:r>
              <w:rPr>
                <w:noProof/>
              </w:rPr>
              <w:t>M3C1–11</w:t>
            </w:r>
          </w:p>
        </w:tc>
        <w:tc>
          <w:tcPr>
            <w:tcW w:w="3090" w:type="dxa"/>
            <w:tcBorders>
              <w:top w:val="nil"/>
              <w:left w:val="nil"/>
              <w:bottom w:val="single" w:sz="4" w:space="0" w:color="auto"/>
              <w:right w:val="single" w:sz="4" w:space="0" w:color="auto"/>
            </w:tcBorders>
            <w:shd w:val="clear" w:color="auto" w:fill="C6EFCE"/>
            <w:noWrap/>
            <w:vAlign w:val="center"/>
          </w:tcPr>
          <w:p w14:paraId="70AA7D5F" w14:textId="77777777" w:rsidR="003F5418" w:rsidRDefault="002A6C25">
            <w:pPr>
              <w:pStyle w:val="P68B1DB1-Normal9"/>
              <w:rPr>
                <w:noProof/>
              </w:rPr>
            </w:pPr>
            <w:r>
              <w:rPr>
                <w:noProof/>
              </w:rPr>
              <w:t>Beruházás – D</w:t>
            </w:r>
            <w:r>
              <w:rPr>
                <w:noProof/>
              </w:rPr>
              <w:t>iagonális összeköttetések</w:t>
            </w:r>
          </w:p>
        </w:tc>
        <w:tc>
          <w:tcPr>
            <w:tcW w:w="1498" w:type="dxa"/>
            <w:tcBorders>
              <w:top w:val="nil"/>
              <w:left w:val="nil"/>
              <w:bottom w:val="single" w:sz="4" w:space="0" w:color="auto"/>
              <w:right w:val="single" w:sz="4" w:space="0" w:color="auto"/>
            </w:tcBorders>
            <w:shd w:val="clear" w:color="auto" w:fill="C6EFCE"/>
            <w:noWrap/>
            <w:vAlign w:val="center"/>
          </w:tcPr>
          <w:p w14:paraId="5798A377"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5C3F31C" w14:textId="77777777" w:rsidR="003F5418" w:rsidRDefault="002A6C25">
            <w:pPr>
              <w:pStyle w:val="P68B1DB1-Normal9"/>
              <w:jc w:val="center"/>
              <w:rPr>
                <w:noProof/>
              </w:rPr>
            </w:pPr>
            <w:r>
              <w:rPr>
                <w:noProof/>
              </w:rPr>
              <w:t>Nagy sebességű vasúti személy- és áruszállítás az Orte-Falconara és Taranto – Metaponto-Potenza-Battipaglia vonalon</w:t>
            </w:r>
          </w:p>
        </w:tc>
      </w:tr>
      <w:tr w:rsidR="003F5418" w14:paraId="01C9D73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2C973FC" w14:textId="77777777" w:rsidR="003F5418" w:rsidRDefault="002A6C25">
            <w:pPr>
              <w:pStyle w:val="P68B1DB1-Normal9"/>
              <w:jc w:val="center"/>
              <w:rPr>
                <w:noProof/>
              </w:rPr>
            </w:pPr>
            <w:r>
              <w:rPr>
                <w:noProof/>
              </w:rPr>
              <w:t>M3C1–14</w:t>
            </w:r>
          </w:p>
        </w:tc>
        <w:tc>
          <w:tcPr>
            <w:tcW w:w="3090" w:type="dxa"/>
            <w:tcBorders>
              <w:top w:val="nil"/>
              <w:left w:val="nil"/>
              <w:bottom w:val="single" w:sz="4" w:space="0" w:color="auto"/>
              <w:right w:val="single" w:sz="4" w:space="0" w:color="auto"/>
            </w:tcBorders>
            <w:shd w:val="clear" w:color="auto" w:fill="C6EFCE"/>
            <w:noWrap/>
            <w:vAlign w:val="center"/>
          </w:tcPr>
          <w:p w14:paraId="05734D3D" w14:textId="77777777" w:rsidR="003F5418" w:rsidRDefault="002A6C25">
            <w:pPr>
              <w:pStyle w:val="P68B1DB1-Normal9"/>
              <w:rPr>
                <w:noProof/>
              </w:rPr>
            </w:pPr>
            <w:r>
              <w:rPr>
                <w:noProof/>
              </w:rPr>
              <w:t>Beruházás – Az európai vasúti közlekedésirányítási rendszer (ERTMS) bevezetése</w:t>
            </w:r>
          </w:p>
        </w:tc>
        <w:tc>
          <w:tcPr>
            <w:tcW w:w="1498" w:type="dxa"/>
            <w:tcBorders>
              <w:top w:val="nil"/>
              <w:left w:val="nil"/>
              <w:bottom w:val="single" w:sz="4" w:space="0" w:color="auto"/>
              <w:right w:val="single" w:sz="4" w:space="0" w:color="auto"/>
            </w:tcBorders>
            <w:shd w:val="clear" w:color="auto" w:fill="C6EFCE"/>
            <w:noWrap/>
            <w:vAlign w:val="center"/>
          </w:tcPr>
          <w:p w14:paraId="3366C39A"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86ABC63" w14:textId="77777777" w:rsidR="003F5418" w:rsidRDefault="002A6C25">
            <w:pPr>
              <w:pStyle w:val="P68B1DB1-Normal9"/>
              <w:jc w:val="center"/>
              <w:rPr>
                <w:noProof/>
              </w:rPr>
            </w:pPr>
            <w:r>
              <w:rPr>
                <w:noProof/>
              </w:rPr>
              <w:t xml:space="preserve">2 785 km </w:t>
            </w:r>
            <w:r>
              <w:rPr>
                <w:noProof/>
              </w:rPr>
              <w:t>vasútvonal fel van szerelve az európai vasúti közlekedésirányítási rendszerrel</w:t>
            </w:r>
          </w:p>
        </w:tc>
      </w:tr>
      <w:tr w:rsidR="003F5418" w14:paraId="2E74766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3751AEAF" w14:textId="77777777" w:rsidR="003F5418" w:rsidRDefault="002A6C25">
            <w:pPr>
              <w:pStyle w:val="P68B1DB1-Normal9"/>
              <w:jc w:val="center"/>
              <w:rPr>
                <w:noProof/>
              </w:rPr>
            </w:pPr>
            <w:r>
              <w:rPr>
                <w:noProof/>
              </w:rPr>
              <w:t>M3C1–16</w:t>
            </w:r>
          </w:p>
        </w:tc>
        <w:tc>
          <w:tcPr>
            <w:tcW w:w="3090" w:type="dxa"/>
            <w:tcBorders>
              <w:top w:val="nil"/>
              <w:left w:val="nil"/>
              <w:bottom w:val="single" w:sz="4" w:space="0" w:color="auto"/>
              <w:right w:val="single" w:sz="4" w:space="0" w:color="auto"/>
            </w:tcBorders>
            <w:shd w:val="clear" w:color="auto" w:fill="C6EFCE"/>
            <w:noWrap/>
            <w:vAlign w:val="center"/>
          </w:tcPr>
          <w:p w14:paraId="53A74807" w14:textId="77777777" w:rsidR="003F5418" w:rsidRDefault="002A6C25">
            <w:pPr>
              <w:pStyle w:val="P68B1DB1-Normal9"/>
              <w:rPr>
                <w:noProof/>
              </w:rPr>
            </w:pPr>
            <w:r>
              <w:rPr>
                <w:noProof/>
              </w:rPr>
              <w:t>Beruházás – A nagyvárosi csomópontok és a kulcsfontosságú nemzeti kapcsolatok megerősítése</w:t>
            </w:r>
          </w:p>
        </w:tc>
        <w:tc>
          <w:tcPr>
            <w:tcW w:w="1498" w:type="dxa"/>
            <w:tcBorders>
              <w:top w:val="nil"/>
              <w:left w:val="nil"/>
              <w:bottom w:val="single" w:sz="4" w:space="0" w:color="auto"/>
              <w:right w:val="single" w:sz="4" w:space="0" w:color="auto"/>
            </w:tcBorders>
            <w:shd w:val="clear" w:color="auto" w:fill="C6EFCE"/>
            <w:noWrap/>
            <w:vAlign w:val="center"/>
          </w:tcPr>
          <w:p w14:paraId="5383228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D0D47C" w14:textId="77777777" w:rsidR="003F5418" w:rsidRDefault="002A6C25">
            <w:pPr>
              <w:pStyle w:val="P68B1DB1-Normal9"/>
              <w:jc w:val="center"/>
              <w:rPr>
                <w:noProof/>
              </w:rPr>
            </w:pPr>
            <w:r>
              <w:rPr>
                <w:noProof/>
              </w:rPr>
              <w:t>1 280 km korszerűsített vonalszakasz nagyvárosi csomópontokon és főbb nem</w:t>
            </w:r>
            <w:r>
              <w:rPr>
                <w:noProof/>
              </w:rPr>
              <w:t>zeti összeköttetéseken</w:t>
            </w:r>
          </w:p>
        </w:tc>
      </w:tr>
      <w:tr w:rsidR="003F5418" w14:paraId="67994DC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4EF5A0F" w14:textId="77777777" w:rsidR="003F5418" w:rsidRDefault="002A6C25">
            <w:pPr>
              <w:pStyle w:val="P68B1DB1-Normal9"/>
              <w:jc w:val="center"/>
              <w:rPr>
                <w:noProof/>
              </w:rPr>
            </w:pPr>
            <w:r>
              <w:rPr>
                <w:noProof/>
              </w:rPr>
              <w:t>M3C1–17a</w:t>
            </w:r>
          </w:p>
        </w:tc>
        <w:tc>
          <w:tcPr>
            <w:tcW w:w="3090" w:type="dxa"/>
            <w:tcBorders>
              <w:top w:val="nil"/>
              <w:left w:val="nil"/>
              <w:bottom w:val="single" w:sz="4" w:space="0" w:color="auto"/>
              <w:right w:val="single" w:sz="4" w:space="0" w:color="auto"/>
            </w:tcBorders>
            <w:shd w:val="clear" w:color="auto" w:fill="C6EFCE"/>
            <w:noWrap/>
            <w:vAlign w:val="center"/>
          </w:tcPr>
          <w:p w14:paraId="2D5EC8F8" w14:textId="77777777" w:rsidR="003F5418" w:rsidRDefault="002A6C25">
            <w:pPr>
              <w:pStyle w:val="P68B1DB1-Normal9"/>
              <w:rPr>
                <w:noProof/>
              </w:rPr>
            </w:pPr>
            <w:r>
              <w:rPr>
                <w:noProof/>
              </w:rPr>
              <w:t>Beruházás – A déli vasutak korszerűsítése, villamosítása és rezilienciája</w:t>
            </w:r>
          </w:p>
        </w:tc>
        <w:tc>
          <w:tcPr>
            <w:tcW w:w="1498" w:type="dxa"/>
            <w:tcBorders>
              <w:top w:val="nil"/>
              <w:left w:val="nil"/>
              <w:bottom w:val="single" w:sz="4" w:space="0" w:color="auto"/>
              <w:right w:val="single" w:sz="4" w:space="0" w:color="auto"/>
            </w:tcBorders>
            <w:shd w:val="clear" w:color="auto" w:fill="C6EFCE"/>
            <w:noWrap/>
            <w:vAlign w:val="center"/>
          </w:tcPr>
          <w:p w14:paraId="28508B91"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506F95E" w14:textId="77777777" w:rsidR="003F5418" w:rsidRDefault="002A6C25">
            <w:pPr>
              <w:pStyle w:val="P68B1DB1-Normal9"/>
              <w:jc w:val="center"/>
              <w:rPr>
                <w:noProof/>
              </w:rPr>
            </w:pPr>
            <w:r>
              <w:rPr>
                <w:noProof/>
              </w:rPr>
              <w:t xml:space="preserve">A déli vasutak korszerűsítéséhez, villamosításához és ellenálló képességéhez kapcsolódóan 650 km befejezett, az engedélyezési és üzemeltetési </w:t>
            </w:r>
            <w:r>
              <w:rPr>
                <w:noProof/>
              </w:rPr>
              <w:t>szakaszra kész munkálatok.</w:t>
            </w:r>
          </w:p>
        </w:tc>
      </w:tr>
      <w:tr w:rsidR="003F5418" w14:paraId="0FEFA42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48F7AB" w14:textId="77777777" w:rsidR="003F5418" w:rsidRDefault="002A6C25">
            <w:pPr>
              <w:pStyle w:val="P68B1DB1-Normal9"/>
              <w:jc w:val="center"/>
              <w:rPr>
                <w:noProof/>
              </w:rPr>
            </w:pPr>
            <w:r>
              <w:rPr>
                <w:noProof/>
              </w:rPr>
              <w:t>M3C1–18</w:t>
            </w:r>
          </w:p>
        </w:tc>
        <w:tc>
          <w:tcPr>
            <w:tcW w:w="3090" w:type="dxa"/>
            <w:tcBorders>
              <w:top w:val="nil"/>
              <w:left w:val="nil"/>
              <w:bottom w:val="single" w:sz="4" w:space="0" w:color="auto"/>
              <w:right w:val="single" w:sz="4" w:space="0" w:color="auto"/>
            </w:tcBorders>
            <w:shd w:val="clear" w:color="auto" w:fill="C6EFCE"/>
            <w:noWrap/>
            <w:vAlign w:val="center"/>
          </w:tcPr>
          <w:p w14:paraId="2D52666A" w14:textId="77777777" w:rsidR="003F5418" w:rsidRDefault="002A6C25">
            <w:pPr>
              <w:pStyle w:val="P68B1DB1-Normal9"/>
              <w:rPr>
                <w:noProof/>
              </w:rPr>
            </w:pPr>
            <w:r>
              <w:rPr>
                <w:noProof/>
              </w:rPr>
              <w:t>Beruházás – Regionális vonalak megerősítése – A regionális vasutak korszerűsítése (üzemeltetési kutatásfinanszírozási eszköz)</w:t>
            </w:r>
          </w:p>
        </w:tc>
        <w:tc>
          <w:tcPr>
            <w:tcW w:w="1498" w:type="dxa"/>
            <w:tcBorders>
              <w:top w:val="nil"/>
              <w:left w:val="nil"/>
              <w:bottom w:val="single" w:sz="4" w:space="0" w:color="auto"/>
              <w:right w:val="single" w:sz="4" w:space="0" w:color="auto"/>
            </w:tcBorders>
            <w:shd w:val="clear" w:color="auto" w:fill="C6EFCE"/>
            <w:noWrap/>
            <w:vAlign w:val="center"/>
          </w:tcPr>
          <w:p w14:paraId="4D2FBDC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B8F9FBB" w14:textId="77777777" w:rsidR="003F5418" w:rsidRDefault="002A6C25">
            <w:pPr>
              <w:pStyle w:val="P68B1DB1-Normal9"/>
              <w:jc w:val="center"/>
              <w:rPr>
                <w:noProof/>
              </w:rPr>
            </w:pPr>
            <w:r>
              <w:rPr>
                <w:noProof/>
              </w:rPr>
              <w:t>Korszerűsített regionális vonalak, amelyek készen állnak az engedélyezésre és az üzemeltet</w:t>
            </w:r>
            <w:r>
              <w:rPr>
                <w:noProof/>
              </w:rPr>
              <w:t>ési szakaszra</w:t>
            </w:r>
          </w:p>
        </w:tc>
      </w:tr>
      <w:tr w:rsidR="003F5418" w14:paraId="07CA2C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781545" w14:textId="77777777" w:rsidR="003F5418" w:rsidRDefault="002A6C25">
            <w:pPr>
              <w:pStyle w:val="P68B1DB1-Normal9"/>
              <w:jc w:val="center"/>
              <w:rPr>
                <w:noProof/>
              </w:rPr>
            </w:pPr>
            <w:r>
              <w:rPr>
                <w:noProof/>
              </w:rPr>
              <w:t>M3C1–20</w:t>
            </w:r>
          </w:p>
        </w:tc>
        <w:tc>
          <w:tcPr>
            <w:tcW w:w="3090" w:type="dxa"/>
            <w:tcBorders>
              <w:top w:val="nil"/>
              <w:left w:val="nil"/>
              <w:bottom w:val="single" w:sz="4" w:space="0" w:color="auto"/>
              <w:right w:val="single" w:sz="4" w:space="0" w:color="auto"/>
            </w:tcBorders>
            <w:shd w:val="clear" w:color="auto" w:fill="C6EFCE"/>
            <w:noWrap/>
            <w:vAlign w:val="center"/>
          </w:tcPr>
          <w:p w14:paraId="54D4FA5E" w14:textId="77777777" w:rsidR="003F5418" w:rsidRDefault="002A6C25">
            <w:pPr>
              <w:pStyle w:val="P68B1DB1-Normal9"/>
              <w:rPr>
                <w:noProof/>
              </w:rPr>
            </w:pPr>
            <w:r>
              <w:rPr>
                <w:noProof/>
              </w:rPr>
              <w:t>Beruházás – Vasúti állomások korszerűsítése (RFI-kezelés; délen)</w:t>
            </w:r>
          </w:p>
        </w:tc>
        <w:tc>
          <w:tcPr>
            <w:tcW w:w="1498" w:type="dxa"/>
            <w:tcBorders>
              <w:top w:val="nil"/>
              <w:left w:val="nil"/>
              <w:bottom w:val="single" w:sz="4" w:space="0" w:color="auto"/>
              <w:right w:val="single" w:sz="4" w:space="0" w:color="auto"/>
            </w:tcBorders>
            <w:shd w:val="clear" w:color="auto" w:fill="C6EFCE"/>
            <w:noWrap/>
            <w:vAlign w:val="center"/>
          </w:tcPr>
          <w:p w14:paraId="0995BD3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087E0DC" w14:textId="77777777" w:rsidR="003F5418" w:rsidRDefault="002A6C25">
            <w:pPr>
              <w:pStyle w:val="P68B1DB1-Normal9"/>
              <w:jc w:val="center"/>
              <w:rPr>
                <w:noProof/>
              </w:rPr>
            </w:pPr>
            <w:r>
              <w:rPr>
                <w:noProof/>
              </w:rPr>
              <w:t>Korszerűsített és hozzáférhető vasútállomások</w:t>
            </w:r>
          </w:p>
        </w:tc>
      </w:tr>
      <w:tr w:rsidR="003F5418" w14:paraId="07F16FF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21AA090" w14:textId="77777777" w:rsidR="003F5418" w:rsidRDefault="002A6C25">
            <w:pPr>
              <w:pStyle w:val="P68B1DB1-Normal9"/>
              <w:jc w:val="center"/>
              <w:rPr>
                <w:noProof/>
              </w:rPr>
            </w:pPr>
            <w:r>
              <w:rPr>
                <w:noProof/>
              </w:rPr>
              <w:t>M4C1–30</w:t>
            </w:r>
          </w:p>
        </w:tc>
        <w:tc>
          <w:tcPr>
            <w:tcW w:w="3090" w:type="dxa"/>
            <w:tcBorders>
              <w:top w:val="nil"/>
              <w:left w:val="nil"/>
              <w:bottom w:val="single" w:sz="4" w:space="0" w:color="auto"/>
              <w:right w:val="single" w:sz="4" w:space="0" w:color="auto"/>
            </w:tcBorders>
            <w:shd w:val="clear" w:color="auto" w:fill="C6EFCE"/>
            <w:noWrap/>
            <w:vAlign w:val="center"/>
          </w:tcPr>
          <w:p w14:paraId="028EA1A3" w14:textId="77777777" w:rsidR="003F5418" w:rsidRDefault="002A6C25">
            <w:pPr>
              <w:pStyle w:val="P68B1DB1-Normal9"/>
              <w:rPr>
                <w:noProof/>
              </w:rPr>
            </w:pPr>
            <w:r>
              <w:rPr>
                <w:noProof/>
              </w:rPr>
              <w:t>Reform: A diákok lakhatására vonatkozó szabályozás reformja és a diákok lakhatásába való beruházás</w:t>
            </w:r>
          </w:p>
        </w:tc>
        <w:tc>
          <w:tcPr>
            <w:tcW w:w="1498" w:type="dxa"/>
            <w:tcBorders>
              <w:top w:val="nil"/>
              <w:left w:val="nil"/>
              <w:bottom w:val="single" w:sz="4" w:space="0" w:color="auto"/>
              <w:right w:val="single" w:sz="4" w:space="0" w:color="auto"/>
            </w:tcBorders>
            <w:shd w:val="clear" w:color="auto" w:fill="C6EFCE"/>
            <w:noWrap/>
            <w:vAlign w:val="center"/>
          </w:tcPr>
          <w:p w14:paraId="34DB9E4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545FF0" w14:textId="77777777" w:rsidR="003F5418" w:rsidRDefault="002A6C25">
            <w:pPr>
              <w:pStyle w:val="P68B1DB1-Normal9"/>
              <w:jc w:val="center"/>
              <w:rPr>
                <w:noProof/>
              </w:rPr>
            </w:pPr>
            <w:r>
              <w:rPr>
                <w:noProof/>
              </w:rPr>
              <w:t xml:space="preserve">A </w:t>
            </w:r>
            <w:r>
              <w:rPr>
                <w:noProof/>
              </w:rPr>
              <w:t>vonatkozó jogszabályok szerint létrehozott hallgatói hálóhelyiségek</w:t>
            </w:r>
          </w:p>
        </w:tc>
      </w:tr>
      <w:tr w:rsidR="003F5418" w14:paraId="523D5F9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46191FA" w14:textId="77777777" w:rsidR="003F5418" w:rsidRDefault="002A6C25">
            <w:pPr>
              <w:pStyle w:val="P68B1DB1-Normal9"/>
              <w:jc w:val="center"/>
              <w:rPr>
                <w:noProof/>
              </w:rPr>
            </w:pPr>
            <w:r>
              <w:rPr>
                <w:noProof/>
              </w:rPr>
              <w:t>M4C2–9</w:t>
            </w:r>
          </w:p>
        </w:tc>
        <w:tc>
          <w:tcPr>
            <w:tcW w:w="3090" w:type="dxa"/>
            <w:tcBorders>
              <w:top w:val="nil"/>
              <w:left w:val="nil"/>
              <w:bottom w:val="single" w:sz="4" w:space="0" w:color="auto"/>
              <w:right w:val="single" w:sz="4" w:space="0" w:color="auto"/>
            </w:tcBorders>
            <w:shd w:val="clear" w:color="auto" w:fill="C6EFCE"/>
            <w:noWrap/>
            <w:vAlign w:val="center"/>
          </w:tcPr>
          <w:p w14:paraId="3E29FA96" w14:textId="77777777" w:rsidR="003F5418" w:rsidRDefault="002A6C25">
            <w:pPr>
              <w:pStyle w:val="P68B1DB1-Normal9"/>
              <w:rPr>
                <w:noProof/>
              </w:rPr>
            </w:pPr>
            <w:r>
              <w:rPr>
                <w:noProof/>
              </w:rPr>
              <w:t>Beruházás: A kutatási struktúrák megerősítése és a „nemzeti K+F-vezetők” létrehozásának támogatása egyes kulcsfontosságú alaptechnológiákkal kapcsolatban</w:t>
            </w:r>
          </w:p>
        </w:tc>
        <w:tc>
          <w:tcPr>
            <w:tcW w:w="1498" w:type="dxa"/>
            <w:tcBorders>
              <w:top w:val="nil"/>
              <w:left w:val="nil"/>
              <w:bottom w:val="single" w:sz="4" w:space="0" w:color="auto"/>
              <w:right w:val="single" w:sz="4" w:space="0" w:color="auto"/>
            </w:tcBorders>
            <w:shd w:val="clear" w:color="auto" w:fill="C6EFCE"/>
            <w:noWrap/>
            <w:vAlign w:val="center"/>
          </w:tcPr>
          <w:p w14:paraId="6B7F335E"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9E2860D" w14:textId="77777777" w:rsidR="003F5418" w:rsidRDefault="002A6C25">
            <w:pPr>
              <w:pStyle w:val="P68B1DB1-Normal9"/>
              <w:jc w:val="center"/>
              <w:rPr>
                <w:noProof/>
              </w:rPr>
            </w:pPr>
            <w:r>
              <w:rPr>
                <w:noProof/>
              </w:rPr>
              <w:t>A nemzeti központok mű</w:t>
            </w:r>
            <w:r>
              <w:rPr>
                <w:noProof/>
              </w:rPr>
              <w:t xml:space="preserve">ködőképesek és a nemzeti központok által a kulcsfontosságú alaptechnológiák terén végrehajtott tevékenységek </w:t>
            </w:r>
          </w:p>
        </w:tc>
      </w:tr>
      <w:tr w:rsidR="003F5418" w14:paraId="345A1600"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788E68B" w14:textId="77777777" w:rsidR="003F5418" w:rsidRDefault="002A6C25">
            <w:pPr>
              <w:pStyle w:val="P68B1DB1-Normal9"/>
              <w:jc w:val="center"/>
              <w:rPr>
                <w:noProof/>
              </w:rPr>
            </w:pPr>
            <w:r>
              <w:rPr>
                <w:noProof/>
              </w:rPr>
              <w:t>M4C2–14</w:t>
            </w:r>
          </w:p>
        </w:tc>
        <w:tc>
          <w:tcPr>
            <w:tcW w:w="3090" w:type="dxa"/>
            <w:tcBorders>
              <w:top w:val="nil"/>
              <w:left w:val="nil"/>
              <w:bottom w:val="single" w:sz="4" w:space="0" w:color="auto"/>
              <w:right w:val="single" w:sz="4" w:space="0" w:color="auto"/>
            </w:tcBorders>
            <w:shd w:val="clear" w:color="auto" w:fill="C6EFCE"/>
            <w:noWrap/>
            <w:vAlign w:val="center"/>
          </w:tcPr>
          <w:p w14:paraId="7A012F4B" w14:textId="77777777" w:rsidR="003F5418" w:rsidRDefault="002A6C25">
            <w:pPr>
              <w:pStyle w:val="P68B1DB1-Normal9"/>
              <w:rPr>
                <w:noProof/>
              </w:rPr>
            </w:pPr>
            <w:r>
              <w:rPr>
                <w:noProof/>
              </w:rPr>
              <w:t>Beruházás: A technológiaátadási központok megerősítése és ágazati/területi bővítése ipari szegmensek szerint</w:t>
            </w:r>
          </w:p>
        </w:tc>
        <w:tc>
          <w:tcPr>
            <w:tcW w:w="1498" w:type="dxa"/>
            <w:tcBorders>
              <w:top w:val="nil"/>
              <w:left w:val="nil"/>
              <w:bottom w:val="single" w:sz="4" w:space="0" w:color="auto"/>
              <w:right w:val="single" w:sz="4" w:space="0" w:color="auto"/>
            </w:tcBorders>
            <w:shd w:val="clear" w:color="auto" w:fill="C6EFCE"/>
            <w:noWrap/>
            <w:vAlign w:val="center"/>
          </w:tcPr>
          <w:p w14:paraId="1A80576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8A6716C" w14:textId="77777777" w:rsidR="003F5418" w:rsidRDefault="002A6C25">
            <w:pPr>
              <w:pStyle w:val="P68B1DB1-Normal9"/>
              <w:jc w:val="center"/>
              <w:rPr>
                <w:noProof/>
              </w:rPr>
            </w:pPr>
            <w:r>
              <w:rPr>
                <w:noProof/>
              </w:rPr>
              <w:t>307 000 000 EUR pénzügyi</w:t>
            </w:r>
            <w:r>
              <w:rPr>
                <w:noProof/>
              </w:rPr>
              <w:t xml:space="preserve"> érték kifizetése. </w:t>
            </w:r>
          </w:p>
        </w:tc>
      </w:tr>
      <w:tr w:rsidR="003F5418" w14:paraId="087C15B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F0AC8B3" w14:textId="77777777" w:rsidR="003F5418" w:rsidRDefault="002A6C25">
            <w:pPr>
              <w:pStyle w:val="P68B1DB1-Normal9"/>
              <w:jc w:val="center"/>
              <w:rPr>
                <w:noProof/>
              </w:rPr>
            </w:pPr>
            <w:r>
              <w:rPr>
                <w:noProof/>
              </w:rPr>
              <w:t>M4C2–15</w:t>
            </w:r>
          </w:p>
        </w:tc>
        <w:tc>
          <w:tcPr>
            <w:tcW w:w="3090" w:type="dxa"/>
            <w:tcBorders>
              <w:top w:val="nil"/>
              <w:left w:val="nil"/>
              <w:bottom w:val="single" w:sz="4" w:space="0" w:color="auto"/>
              <w:right w:val="single" w:sz="4" w:space="0" w:color="auto"/>
            </w:tcBorders>
            <w:shd w:val="clear" w:color="auto" w:fill="C6EFCE"/>
            <w:noWrap/>
            <w:vAlign w:val="center"/>
          </w:tcPr>
          <w:p w14:paraId="5BC27EE6" w14:textId="77777777" w:rsidR="003F5418" w:rsidRDefault="002A6C25">
            <w:pPr>
              <w:pStyle w:val="P68B1DB1-Normal9"/>
              <w:rPr>
                <w:noProof/>
              </w:rPr>
            </w:pPr>
            <w:r>
              <w:rPr>
                <w:noProof/>
              </w:rPr>
              <w:t>Beruházás: A technológiaátadási központok megerősítése és ágazati/területi bővítése ipari szegmensek szerint</w:t>
            </w:r>
          </w:p>
        </w:tc>
        <w:tc>
          <w:tcPr>
            <w:tcW w:w="1498" w:type="dxa"/>
            <w:tcBorders>
              <w:top w:val="nil"/>
              <w:left w:val="nil"/>
              <w:bottom w:val="single" w:sz="4" w:space="0" w:color="auto"/>
              <w:right w:val="single" w:sz="4" w:space="0" w:color="auto"/>
            </w:tcBorders>
            <w:shd w:val="clear" w:color="auto" w:fill="C6EFCE"/>
            <w:noWrap/>
            <w:vAlign w:val="center"/>
          </w:tcPr>
          <w:p w14:paraId="4F8B31C5"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A0121D8" w14:textId="77777777" w:rsidR="003F5418" w:rsidRDefault="002A6C25">
            <w:pPr>
              <w:pStyle w:val="P68B1DB1-Normal9"/>
              <w:jc w:val="center"/>
              <w:rPr>
                <w:noProof/>
              </w:rPr>
            </w:pPr>
            <w:r>
              <w:rPr>
                <w:noProof/>
              </w:rPr>
              <w:t>Támogatott kkv-k száma</w:t>
            </w:r>
          </w:p>
        </w:tc>
      </w:tr>
      <w:tr w:rsidR="003F5418" w14:paraId="619F08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B58DFF3" w14:textId="77777777" w:rsidR="003F5418" w:rsidRDefault="002A6C25">
            <w:pPr>
              <w:pStyle w:val="P68B1DB1-Normal9"/>
              <w:jc w:val="center"/>
              <w:rPr>
                <w:noProof/>
              </w:rPr>
            </w:pPr>
            <w:r>
              <w:rPr>
                <w:noProof/>
              </w:rPr>
              <w:t>M4C2–15a</w:t>
            </w:r>
          </w:p>
        </w:tc>
        <w:tc>
          <w:tcPr>
            <w:tcW w:w="3090" w:type="dxa"/>
            <w:tcBorders>
              <w:top w:val="nil"/>
              <w:left w:val="nil"/>
              <w:bottom w:val="single" w:sz="4" w:space="0" w:color="auto"/>
              <w:right w:val="single" w:sz="4" w:space="0" w:color="auto"/>
            </w:tcBorders>
            <w:shd w:val="clear" w:color="auto" w:fill="C6EFCE"/>
            <w:noWrap/>
            <w:vAlign w:val="center"/>
          </w:tcPr>
          <w:p w14:paraId="3B942D0B" w14:textId="77777777" w:rsidR="003F5418" w:rsidRDefault="002A6C25">
            <w:pPr>
              <w:pStyle w:val="P68B1DB1-Normal9"/>
              <w:rPr>
                <w:noProof/>
              </w:rPr>
            </w:pPr>
            <w:r>
              <w:rPr>
                <w:noProof/>
              </w:rPr>
              <w:t xml:space="preserve">Beruházás: A technológiaátadási központok megerősítése és ágazati/területi </w:t>
            </w:r>
            <w:r>
              <w:rPr>
                <w:noProof/>
              </w:rPr>
              <w:t>bővítése ipari szegmensek szerint</w:t>
            </w:r>
          </w:p>
        </w:tc>
        <w:tc>
          <w:tcPr>
            <w:tcW w:w="1498" w:type="dxa"/>
            <w:tcBorders>
              <w:top w:val="nil"/>
              <w:left w:val="nil"/>
              <w:bottom w:val="single" w:sz="4" w:space="0" w:color="auto"/>
              <w:right w:val="single" w:sz="4" w:space="0" w:color="auto"/>
            </w:tcBorders>
            <w:shd w:val="clear" w:color="auto" w:fill="C6EFCE"/>
            <w:noWrap/>
            <w:vAlign w:val="center"/>
          </w:tcPr>
          <w:p w14:paraId="3E90C893" w14:textId="77777777" w:rsidR="003F5418" w:rsidRDefault="002A6C25">
            <w:pPr>
              <w:pStyle w:val="P68B1DB1-Normal9"/>
              <w:jc w:val="center"/>
              <w:rPr>
                <w:noProof/>
              </w:rPr>
            </w:pPr>
            <w:r>
              <w:rPr>
                <w:noProof/>
              </w:rPr>
              <w:t>Mérföldkő</w:t>
            </w:r>
          </w:p>
        </w:tc>
        <w:tc>
          <w:tcPr>
            <w:tcW w:w="4091" w:type="dxa"/>
            <w:tcBorders>
              <w:top w:val="nil"/>
              <w:left w:val="nil"/>
              <w:bottom w:val="single" w:sz="4" w:space="0" w:color="auto"/>
              <w:right w:val="single" w:sz="4" w:space="0" w:color="auto"/>
            </w:tcBorders>
            <w:shd w:val="clear" w:color="auto" w:fill="C6EFCE"/>
            <w:noWrap/>
            <w:vAlign w:val="center"/>
          </w:tcPr>
          <w:p w14:paraId="536B977A" w14:textId="77777777" w:rsidR="003F5418" w:rsidRDefault="002A6C25">
            <w:pPr>
              <w:pStyle w:val="P68B1DB1-Normal9"/>
              <w:jc w:val="center"/>
              <w:rPr>
                <w:noProof/>
              </w:rPr>
            </w:pPr>
            <w:r>
              <w:rPr>
                <w:noProof/>
              </w:rPr>
              <w:t>Az európai digitális innovációs központ és a TEF-munkacsomagok lezárása</w:t>
            </w:r>
          </w:p>
        </w:tc>
      </w:tr>
      <w:tr w:rsidR="003F5418" w14:paraId="3F754C8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D1AABC8" w14:textId="77777777" w:rsidR="003F5418" w:rsidRDefault="002A6C25">
            <w:pPr>
              <w:pStyle w:val="P68B1DB1-Normal9"/>
              <w:jc w:val="center"/>
              <w:rPr>
                <w:noProof/>
              </w:rPr>
            </w:pPr>
            <w:r>
              <w:rPr>
                <w:noProof/>
              </w:rPr>
              <w:t xml:space="preserve">M4C2–16a </w:t>
            </w:r>
          </w:p>
        </w:tc>
        <w:tc>
          <w:tcPr>
            <w:tcW w:w="3090" w:type="dxa"/>
            <w:tcBorders>
              <w:top w:val="nil"/>
              <w:left w:val="nil"/>
              <w:bottom w:val="single" w:sz="4" w:space="0" w:color="auto"/>
              <w:right w:val="single" w:sz="4" w:space="0" w:color="auto"/>
            </w:tcBorders>
            <w:shd w:val="clear" w:color="auto" w:fill="C6EFCE"/>
            <w:noWrap/>
            <w:vAlign w:val="center"/>
          </w:tcPr>
          <w:p w14:paraId="733CE055" w14:textId="77777777" w:rsidR="003F5418" w:rsidRDefault="002A6C25">
            <w:pPr>
              <w:pStyle w:val="P68B1DB1-Normal9"/>
              <w:rPr>
                <w:noProof/>
              </w:rPr>
            </w:pPr>
            <w:r>
              <w:rPr>
                <w:noProof/>
              </w:rPr>
              <w:t>Beruházás: A kutatási és innovációs infrastruktúrák integrált rendszerének megépítésére szolgáló alap</w:t>
            </w:r>
          </w:p>
        </w:tc>
        <w:tc>
          <w:tcPr>
            <w:tcW w:w="1498" w:type="dxa"/>
            <w:tcBorders>
              <w:top w:val="nil"/>
              <w:left w:val="nil"/>
              <w:bottom w:val="single" w:sz="4" w:space="0" w:color="auto"/>
              <w:right w:val="single" w:sz="4" w:space="0" w:color="auto"/>
            </w:tcBorders>
            <w:shd w:val="clear" w:color="auto" w:fill="C6EFCE"/>
            <w:noWrap/>
            <w:vAlign w:val="center"/>
          </w:tcPr>
          <w:p w14:paraId="0177246E"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2BD33B3" w14:textId="77777777" w:rsidR="003F5418" w:rsidRDefault="002A6C25">
            <w:pPr>
              <w:pStyle w:val="P68B1DB1-Normal9"/>
              <w:jc w:val="center"/>
              <w:rPr>
                <w:noProof/>
              </w:rPr>
            </w:pPr>
            <w:r>
              <w:rPr>
                <w:noProof/>
              </w:rPr>
              <w:t xml:space="preserve">A létrehozott vagy a tevékenységüket befejező kutatási és innovációs infrastruktúrák száma </w:t>
            </w:r>
          </w:p>
        </w:tc>
      </w:tr>
      <w:tr w:rsidR="003F5418" w14:paraId="4F6A75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2055E3D" w14:textId="77777777" w:rsidR="003F5418" w:rsidRDefault="002A6C25">
            <w:pPr>
              <w:pStyle w:val="P68B1DB1-Normal9"/>
              <w:jc w:val="center"/>
              <w:rPr>
                <w:noProof/>
              </w:rPr>
            </w:pPr>
            <w:r>
              <w:rPr>
                <w:noProof/>
              </w:rPr>
              <w:t>M4C2–18 Bis</w:t>
            </w:r>
          </w:p>
        </w:tc>
        <w:tc>
          <w:tcPr>
            <w:tcW w:w="3090" w:type="dxa"/>
            <w:tcBorders>
              <w:top w:val="nil"/>
              <w:left w:val="nil"/>
              <w:bottom w:val="single" w:sz="4" w:space="0" w:color="auto"/>
              <w:right w:val="single" w:sz="4" w:space="0" w:color="auto"/>
            </w:tcBorders>
            <w:shd w:val="clear" w:color="auto" w:fill="C6EFCE"/>
            <w:noWrap/>
            <w:vAlign w:val="center"/>
          </w:tcPr>
          <w:p w14:paraId="72FD0E6B" w14:textId="77777777" w:rsidR="003F5418" w:rsidRDefault="002A6C25">
            <w:pPr>
              <w:pStyle w:val="P68B1DB1-Normal9"/>
              <w:rPr>
                <w:noProof/>
              </w:rPr>
            </w:pPr>
            <w:r>
              <w:rPr>
                <w:noProof/>
              </w:rPr>
              <w:t>Vizsgálat1.5: „A fenntarthatóságot szolgáló innovációs ökoszisztémák” létrehozása és megerősítése, „területi vezető K+F” kiépítése</w:t>
            </w:r>
          </w:p>
        </w:tc>
        <w:tc>
          <w:tcPr>
            <w:tcW w:w="1498" w:type="dxa"/>
            <w:tcBorders>
              <w:top w:val="nil"/>
              <w:left w:val="nil"/>
              <w:bottom w:val="single" w:sz="4" w:space="0" w:color="auto"/>
              <w:right w:val="single" w:sz="4" w:space="0" w:color="auto"/>
            </w:tcBorders>
            <w:shd w:val="clear" w:color="auto" w:fill="C6EFCE"/>
            <w:noWrap/>
            <w:vAlign w:val="center"/>
          </w:tcPr>
          <w:p w14:paraId="711F0AEA"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EF2B083" w14:textId="77777777" w:rsidR="003F5418" w:rsidRDefault="002A6C25">
            <w:pPr>
              <w:pStyle w:val="P68B1DB1-Normal9"/>
              <w:jc w:val="center"/>
              <w:rPr>
                <w:noProof/>
              </w:rPr>
            </w:pPr>
            <w:r>
              <w:rPr>
                <w:noProof/>
              </w:rPr>
              <w:t>Az innovációs ök</w:t>
            </w:r>
            <w:r>
              <w:rPr>
                <w:noProof/>
              </w:rPr>
              <w:t>oszisztémák által végrehajtott tevékenységek</w:t>
            </w:r>
          </w:p>
        </w:tc>
      </w:tr>
      <w:tr w:rsidR="003F5418" w14:paraId="2FABA5D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2181C14" w14:textId="77777777" w:rsidR="003F5418" w:rsidRDefault="002A6C25">
            <w:pPr>
              <w:pStyle w:val="P68B1DB1-Normal9"/>
              <w:jc w:val="center"/>
              <w:rPr>
                <w:noProof/>
              </w:rPr>
            </w:pPr>
            <w:r>
              <w:rPr>
                <w:noProof/>
              </w:rPr>
              <w:t>M4C2–21</w:t>
            </w:r>
          </w:p>
        </w:tc>
        <w:tc>
          <w:tcPr>
            <w:tcW w:w="3090" w:type="dxa"/>
            <w:tcBorders>
              <w:top w:val="nil"/>
              <w:left w:val="nil"/>
              <w:bottom w:val="single" w:sz="4" w:space="0" w:color="auto"/>
              <w:right w:val="single" w:sz="4" w:space="0" w:color="auto"/>
            </w:tcBorders>
            <w:shd w:val="clear" w:color="auto" w:fill="C6EFCE"/>
            <w:noWrap/>
            <w:vAlign w:val="center"/>
          </w:tcPr>
          <w:p w14:paraId="31FA0E3F" w14:textId="77777777" w:rsidR="003F5418" w:rsidRDefault="002A6C25">
            <w:pPr>
              <w:pStyle w:val="P68B1DB1-Normal9"/>
              <w:rPr>
                <w:noProof/>
              </w:rPr>
            </w:pPr>
            <w:r>
              <w:rPr>
                <w:noProof/>
              </w:rPr>
              <w:t xml:space="preserve">Beruházás – Az induló vállalkozások finanszírozása.  </w:t>
            </w:r>
          </w:p>
        </w:tc>
        <w:tc>
          <w:tcPr>
            <w:tcW w:w="1498" w:type="dxa"/>
            <w:tcBorders>
              <w:top w:val="nil"/>
              <w:left w:val="nil"/>
              <w:bottom w:val="single" w:sz="4" w:space="0" w:color="auto"/>
              <w:right w:val="single" w:sz="4" w:space="0" w:color="auto"/>
            </w:tcBorders>
            <w:shd w:val="clear" w:color="auto" w:fill="C6EFCE"/>
            <w:noWrap/>
            <w:vAlign w:val="center"/>
          </w:tcPr>
          <w:p w14:paraId="61015EB3"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C9AF4BD" w14:textId="77777777" w:rsidR="003F5418" w:rsidRDefault="002A6C25">
            <w:pPr>
              <w:pStyle w:val="P68B1DB1-Normal9"/>
              <w:jc w:val="center"/>
              <w:rPr>
                <w:noProof/>
              </w:rPr>
            </w:pPr>
            <w:r>
              <w:rPr>
                <w:noProof/>
              </w:rPr>
              <w:t xml:space="preserve">Induló innovatív vállalkozásokkal vagy kockázatitőke-alapokkal aláírt jogi megállapodások </w:t>
            </w:r>
          </w:p>
        </w:tc>
      </w:tr>
      <w:tr w:rsidR="003F5418" w14:paraId="783F45B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706F9C2" w14:textId="77777777" w:rsidR="003F5418" w:rsidRDefault="002A6C25">
            <w:pPr>
              <w:pStyle w:val="P68B1DB1-Normal9"/>
              <w:jc w:val="center"/>
              <w:rPr>
                <w:noProof/>
              </w:rPr>
            </w:pPr>
            <w:r>
              <w:rPr>
                <w:noProof/>
              </w:rPr>
              <w:t>M5C1–19</w:t>
            </w:r>
          </w:p>
        </w:tc>
        <w:tc>
          <w:tcPr>
            <w:tcW w:w="3090" w:type="dxa"/>
            <w:tcBorders>
              <w:top w:val="nil"/>
              <w:left w:val="nil"/>
              <w:bottom w:val="single" w:sz="4" w:space="0" w:color="auto"/>
              <w:right w:val="single" w:sz="4" w:space="0" w:color="auto"/>
            </w:tcBorders>
            <w:shd w:val="clear" w:color="auto" w:fill="C6EFCE"/>
            <w:noWrap/>
            <w:vAlign w:val="center"/>
          </w:tcPr>
          <w:p w14:paraId="11A86597" w14:textId="77777777" w:rsidR="003F5418" w:rsidRDefault="002A6C25">
            <w:pPr>
              <w:pStyle w:val="P68B1DB1-Normal9"/>
              <w:rPr>
                <w:noProof/>
              </w:rPr>
            </w:pPr>
            <w:r>
              <w:rPr>
                <w:noProof/>
              </w:rPr>
              <w:t xml:space="preserve">Beruházás – Nők által kezdeményezett </w:t>
            </w:r>
            <w:r>
              <w:rPr>
                <w:noProof/>
              </w:rPr>
              <w:t>vállalkozások létrehozása</w:t>
            </w:r>
          </w:p>
        </w:tc>
        <w:tc>
          <w:tcPr>
            <w:tcW w:w="1498" w:type="dxa"/>
            <w:tcBorders>
              <w:top w:val="nil"/>
              <w:left w:val="nil"/>
              <w:bottom w:val="single" w:sz="4" w:space="0" w:color="auto"/>
              <w:right w:val="single" w:sz="4" w:space="0" w:color="auto"/>
            </w:tcBorders>
            <w:shd w:val="clear" w:color="auto" w:fill="C6EFCE"/>
            <w:noWrap/>
            <w:vAlign w:val="center"/>
          </w:tcPr>
          <w:p w14:paraId="044E0AB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0FE563D" w14:textId="77777777" w:rsidR="003F5418" w:rsidRDefault="002A6C25">
            <w:pPr>
              <w:pStyle w:val="P68B1DB1-Normal9"/>
              <w:jc w:val="center"/>
              <w:rPr>
                <w:noProof/>
              </w:rPr>
            </w:pPr>
            <w:r>
              <w:rPr>
                <w:noProof/>
              </w:rPr>
              <w:t>A vonatkozó beruházási politikában meghatározott vállalkozások pénzügyi támogatásban részesültek</w:t>
            </w:r>
          </w:p>
        </w:tc>
      </w:tr>
      <w:tr w:rsidR="003F5418" w14:paraId="2BE47AD8"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E634CDC" w14:textId="77777777" w:rsidR="003F5418" w:rsidRDefault="002A6C25">
            <w:pPr>
              <w:pStyle w:val="P68B1DB1-Normal9"/>
              <w:jc w:val="center"/>
              <w:rPr>
                <w:noProof/>
              </w:rPr>
            </w:pPr>
            <w:r>
              <w:rPr>
                <w:noProof/>
              </w:rPr>
              <w:t>M5C2–12</w:t>
            </w:r>
          </w:p>
        </w:tc>
        <w:tc>
          <w:tcPr>
            <w:tcW w:w="3090" w:type="dxa"/>
            <w:tcBorders>
              <w:top w:val="nil"/>
              <w:left w:val="nil"/>
              <w:bottom w:val="single" w:sz="4" w:space="0" w:color="auto"/>
              <w:right w:val="single" w:sz="4" w:space="0" w:color="auto"/>
            </w:tcBorders>
            <w:shd w:val="clear" w:color="auto" w:fill="C6EFCE"/>
            <w:noWrap/>
            <w:vAlign w:val="center"/>
          </w:tcPr>
          <w:p w14:paraId="32886EA9" w14:textId="77777777" w:rsidR="003F5418" w:rsidRDefault="002A6C25">
            <w:pPr>
              <w:pStyle w:val="P68B1DB1-Normal9"/>
              <w:rPr>
                <w:noProof/>
              </w:rPr>
            </w:pPr>
            <w:r>
              <w:rPr>
                <w:noProof/>
              </w:rPr>
              <w:t>Beruházás – A marginalizálódás és a társadalom romlásának csökkentését célzó városrehabilitációs projektekbe történő ber</w:t>
            </w:r>
            <w:r>
              <w:rPr>
                <w:noProof/>
              </w:rPr>
              <w:t>uházások</w:t>
            </w:r>
          </w:p>
        </w:tc>
        <w:tc>
          <w:tcPr>
            <w:tcW w:w="1498" w:type="dxa"/>
            <w:tcBorders>
              <w:top w:val="nil"/>
              <w:left w:val="nil"/>
              <w:bottom w:val="single" w:sz="4" w:space="0" w:color="auto"/>
              <w:right w:val="single" w:sz="4" w:space="0" w:color="auto"/>
            </w:tcBorders>
            <w:shd w:val="clear" w:color="auto" w:fill="C6EFCE"/>
            <w:noWrap/>
            <w:vAlign w:val="center"/>
          </w:tcPr>
          <w:p w14:paraId="370A21F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AC5A8AB" w14:textId="77777777" w:rsidR="003F5418" w:rsidRDefault="002A6C25">
            <w:pPr>
              <w:pStyle w:val="P68B1DB1-Normal9"/>
              <w:jc w:val="center"/>
              <w:rPr>
                <w:noProof/>
              </w:rPr>
            </w:pPr>
            <w:r>
              <w:rPr>
                <w:noProof/>
              </w:rPr>
              <w:t>Településekre kiterjedő városrehabilitációs beavatkozásokra irányuló projektek</w:t>
            </w:r>
          </w:p>
        </w:tc>
      </w:tr>
      <w:tr w:rsidR="003F5418" w14:paraId="1926ED6B"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7497852" w14:textId="77777777" w:rsidR="003F5418" w:rsidRDefault="002A6C25">
            <w:pPr>
              <w:pStyle w:val="P68B1DB1-Normal9"/>
              <w:jc w:val="center"/>
              <w:rPr>
                <w:noProof/>
              </w:rPr>
            </w:pPr>
            <w:r>
              <w:rPr>
                <w:noProof/>
              </w:rPr>
              <w:t>M5C2–14</w:t>
            </w:r>
          </w:p>
        </w:tc>
        <w:tc>
          <w:tcPr>
            <w:tcW w:w="3090" w:type="dxa"/>
            <w:tcBorders>
              <w:top w:val="nil"/>
              <w:left w:val="nil"/>
              <w:bottom w:val="single" w:sz="4" w:space="0" w:color="auto"/>
              <w:right w:val="single" w:sz="4" w:space="0" w:color="auto"/>
            </w:tcBorders>
            <w:shd w:val="clear" w:color="auto" w:fill="C6EFCE"/>
            <w:noWrap/>
            <w:vAlign w:val="center"/>
          </w:tcPr>
          <w:p w14:paraId="5899E968" w14:textId="77777777" w:rsidR="003F5418" w:rsidRDefault="002A6C25">
            <w:pPr>
              <w:pStyle w:val="P68B1DB1-Normal9"/>
              <w:rPr>
                <w:noProof/>
              </w:rPr>
            </w:pPr>
            <w:r>
              <w:rPr>
                <w:noProof/>
              </w:rPr>
              <w:t>Beruházás – Városi integrált tervek – általános projektek</w:t>
            </w:r>
          </w:p>
        </w:tc>
        <w:tc>
          <w:tcPr>
            <w:tcW w:w="1498" w:type="dxa"/>
            <w:tcBorders>
              <w:top w:val="nil"/>
              <w:left w:val="nil"/>
              <w:bottom w:val="single" w:sz="4" w:space="0" w:color="auto"/>
              <w:right w:val="single" w:sz="4" w:space="0" w:color="auto"/>
            </w:tcBorders>
            <w:shd w:val="clear" w:color="auto" w:fill="C6EFCE"/>
            <w:noWrap/>
            <w:vAlign w:val="center"/>
          </w:tcPr>
          <w:p w14:paraId="239C324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3A423639" w14:textId="77777777" w:rsidR="003F5418" w:rsidRDefault="002A6C25">
            <w:pPr>
              <w:pStyle w:val="P68B1DB1-Normal9"/>
              <w:jc w:val="center"/>
              <w:rPr>
                <w:noProof/>
              </w:rPr>
            </w:pPr>
            <w:r>
              <w:rPr>
                <w:noProof/>
              </w:rPr>
              <w:t>Integrált tervezési projektek befejezése nagyvárosokban</w:t>
            </w:r>
          </w:p>
        </w:tc>
      </w:tr>
      <w:tr w:rsidR="003F5418" w14:paraId="52DA6CF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56EEB01" w14:textId="77777777" w:rsidR="003F5418" w:rsidRDefault="002A6C25">
            <w:pPr>
              <w:pStyle w:val="P68B1DB1-Normal9"/>
              <w:jc w:val="center"/>
              <w:rPr>
                <w:noProof/>
              </w:rPr>
            </w:pPr>
            <w:r>
              <w:rPr>
                <w:noProof/>
              </w:rPr>
              <w:t>M5C2–18</w:t>
            </w:r>
          </w:p>
        </w:tc>
        <w:tc>
          <w:tcPr>
            <w:tcW w:w="3090" w:type="dxa"/>
            <w:tcBorders>
              <w:top w:val="nil"/>
              <w:left w:val="nil"/>
              <w:bottom w:val="single" w:sz="4" w:space="0" w:color="auto"/>
              <w:right w:val="single" w:sz="4" w:space="0" w:color="auto"/>
            </w:tcBorders>
            <w:shd w:val="clear" w:color="auto" w:fill="C6EFCE"/>
            <w:noWrap/>
            <w:vAlign w:val="center"/>
          </w:tcPr>
          <w:p w14:paraId="0B3A43A2" w14:textId="77777777" w:rsidR="003F5418" w:rsidRDefault="002A6C25">
            <w:pPr>
              <w:pStyle w:val="P68B1DB1-Normal9"/>
              <w:rPr>
                <w:noProof/>
              </w:rPr>
            </w:pPr>
            <w:r>
              <w:rPr>
                <w:noProof/>
              </w:rPr>
              <w:t>Beruházás – Városi integrált</w:t>
            </w:r>
            <w:r>
              <w:rPr>
                <w:noProof/>
              </w:rPr>
              <w:t xml:space="preserve"> tervek – EBB-alap – Alap</w:t>
            </w:r>
          </w:p>
        </w:tc>
        <w:tc>
          <w:tcPr>
            <w:tcW w:w="1498" w:type="dxa"/>
            <w:tcBorders>
              <w:top w:val="nil"/>
              <w:left w:val="nil"/>
              <w:bottom w:val="single" w:sz="4" w:space="0" w:color="auto"/>
              <w:right w:val="single" w:sz="4" w:space="0" w:color="auto"/>
            </w:tcBorders>
            <w:shd w:val="clear" w:color="auto" w:fill="C6EFCE"/>
            <w:noWrap/>
            <w:vAlign w:val="center"/>
          </w:tcPr>
          <w:p w14:paraId="55414F27"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58678F0" w14:textId="77777777" w:rsidR="003F5418" w:rsidRDefault="002A6C25">
            <w:pPr>
              <w:pStyle w:val="P68B1DB1-Normal9"/>
              <w:jc w:val="center"/>
              <w:rPr>
                <w:noProof/>
              </w:rPr>
            </w:pPr>
            <w:r>
              <w:rPr>
                <w:noProof/>
              </w:rPr>
              <w:t>A tematikus alaphoz való hozzájárulás pénzbeli értéke és a városi projektek támogatása</w:t>
            </w:r>
          </w:p>
        </w:tc>
      </w:tr>
      <w:tr w:rsidR="003F5418" w14:paraId="1DA10E6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945C5D" w14:textId="77777777" w:rsidR="003F5418" w:rsidRDefault="002A6C25">
            <w:pPr>
              <w:pStyle w:val="P68B1DB1-Normal9"/>
              <w:jc w:val="center"/>
              <w:rPr>
                <w:noProof/>
              </w:rPr>
            </w:pPr>
            <w:r>
              <w:rPr>
                <w:noProof/>
              </w:rPr>
              <w:t>M5C2–22</w:t>
            </w:r>
          </w:p>
        </w:tc>
        <w:tc>
          <w:tcPr>
            <w:tcW w:w="3090" w:type="dxa"/>
            <w:tcBorders>
              <w:top w:val="nil"/>
              <w:left w:val="nil"/>
              <w:bottom w:val="single" w:sz="4" w:space="0" w:color="auto"/>
              <w:right w:val="single" w:sz="4" w:space="0" w:color="auto"/>
            </w:tcBorders>
            <w:shd w:val="clear" w:color="auto" w:fill="C6EFCE"/>
            <w:noWrap/>
            <w:vAlign w:val="center"/>
          </w:tcPr>
          <w:p w14:paraId="76A81A92" w14:textId="77777777" w:rsidR="003F5418" w:rsidRDefault="002A6C25">
            <w:pPr>
              <w:pStyle w:val="P68B1DB1-Normal9"/>
              <w:rPr>
                <w:noProof/>
              </w:rPr>
            </w:pPr>
            <w:r>
              <w:rPr>
                <w:noProof/>
              </w:rPr>
              <w:t>Beruházás – Sport és társadalmi befogadás projekt</w:t>
            </w:r>
          </w:p>
        </w:tc>
        <w:tc>
          <w:tcPr>
            <w:tcW w:w="1498" w:type="dxa"/>
            <w:tcBorders>
              <w:top w:val="nil"/>
              <w:left w:val="nil"/>
              <w:bottom w:val="single" w:sz="4" w:space="0" w:color="auto"/>
              <w:right w:val="single" w:sz="4" w:space="0" w:color="auto"/>
            </w:tcBorders>
            <w:shd w:val="clear" w:color="auto" w:fill="C6EFCE"/>
            <w:noWrap/>
            <w:vAlign w:val="center"/>
          </w:tcPr>
          <w:p w14:paraId="2A105B7C"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092750B" w14:textId="77777777" w:rsidR="003F5418" w:rsidRDefault="002A6C25">
            <w:pPr>
              <w:pStyle w:val="P68B1DB1-Normal9"/>
              <w:jc w:val="center"/>
              <w:rPr>
                <w:noProof/>
              </w:rPr>
            </w:pPr>
            <w:r>
              <w:rPr>
                <w:noProof/>
              </w:rPr>
              <w:t>A sportlétesítményekre vonatkozó szerződésekkel kapcsolatos beavatkozások</w:t>
            </w:r>
          </w:p>
        </w:tc>
      </w:tr>
      <w:tr w:rsidR="003F5418" w14:paraId="1FC8313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6B22C02" w14:textId="77777777" w:rsidR="003F5418" w:rsidRDefault="002A6C25">
            <w:pPr>
              <w:pStyle w:val="P68B1DB1-Normal9"/>
              <w:jc w:val="center"/>
              <w:rPr>
                <w:noProof/>
              </w:rPr>
            </w:pPr>
            <w:r>
              <w:rPr>
                <w:noProof/>
              </w:rPr>
              <w:t>M</w:t>
            </w:r>
            <w:r>
              <w:rPr>
                <w:noProof/>
              </w:rPr>
              <w:t>5C3–13</w:t>
            </w:r>
          </w:p>
        </w:tc>
        <w:tc>
          <w:tcPr>
            <w:tcW w:w="3090" w:type="dxa"/>
            <w:tcBorders>
              <w:top w:val="nil"/>
              <w:left w:val="nil"/>
              <w:bottom w:val="single" w:sz="4" w:space="0" w:color="auto"/>
              <w:right w:val="single" w:sz="4" w:space="0" w:color="auto"/>
            </w:tcBorders>
            <w:shd w:val="clear" w:color="auto" w:fill="C6EFCE"/>
            <w:noWrap/>
            <w:vAlign w:val="center"/>
          </w:tcPr>
          <w:p w14:paraId="3C4F111C" w14:textId="77777777" w:rsidR="003F5418" w:rsidRDefault="002A6C25">
            <w:pPr>
              <w:pStyle w:val="P68B1DB1-Normal9"/>
              <w:rPr>
                <w:noProof/>
              </w:rPr>
            </w:pPr>
            <w:r>
              <w:rPr>
                <w:noProof/>
              </w:rPr>
              <w:t>Beruházás: Infrastrukturális beruházások a különleges gazdasági övezet számára</w:t>
            </w:r>
          </w:p>
        </w:tc>
        <w:tc>
          <w:tcPr>
            <w:tcW w:w="1498" w:type="dxa"/>
            <w:tcBorders>
              <w:top w:val="nil"/>
              <w:left w:val="nil"/>
              <w:bottom w:val="single" w:sz="4" w:space="0" w:color="auto"/>
              <w:right w:val="single" w:sz="4" w:space="0" w:color="auto"/>
            </w:tcBorders>
            <w:shd w:val="clear" w:color="auto" w:fill="C6EFCE"/>
            <w:noWrap/>
            <w:vAlign w:val="center"/>
          </w:tcPr>
          <w:p w14:paraId="4050247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D945D32" w14:textId="77777777" w:rsidR="003F5418" w:rsidRDefault="002A6C25">
            <w:pPr>
              <w:pStyle w:val="P68B1DB1-Normal9"/>
              <w:jc w:val="center"/>
              <w:rPr>
                <w:noProof/>
              </w:rPr>
            </w:pPr>
            <w:r>
              <w:rPr>
                <w:noProof/>
              </w:rPr>
              <w:t>Infrastrukturális beavatkozások befejezése a különleges gazdasági övezetekben.</w:t>
            </w:r>
          </w:p>
        </w:tc>
      </w:tr>
      <w:tr w:rsidR="003F5418" w14:paraId="07D5B2B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E13D919" w14:textId="77777777" w:rsidR="003F5418" w:rsidRDefault="002A6C25">
            <w:pPr>
              <w:pStyle w:val="P68B1DB1-Normal9"/>
              <w:jc w:val="center"/>
              <w:rPr>
                <w:noProof/>
              </w:rPr>
            </w:pPr>
            <w:r>
              <w:rPr>
                <w:noProof/>
              </w:rPr>
              <w:t>M6C1–3</w:t>
            </w:r>
          </w:p>
        </w:tc>
        <w:tc>
          <w:tcPr>
            <w:tcW w:w="3090" w:type="dxa"/>
            <w:tcBorders>
              <w:top w:val="nil"/>
              <w:left w:val="nil"/>
              <w:bottom w:val="single" w:sz="4" w:space="0" w:color="auto"/>
              <w:right w:val="single" w:sz="4" w:space="0" w:color="auto"/>
            </w:tcBorders>
            <w:shd w:val="clear" w:color="auto" w:fill="C6EFCE"/>
            <w:noWrap/>
            <w:vAlign w:val="center"/>
          </w:tcPr>
          <w:p w14:paraId="3A7C8C0B" w14:textId="77777777" w:rsidR="003F5418" w:rsidRDefault="002A6C25">
            <w:pPr>
              <w:pStyle w:val="P68B1DB1-Normal9"/>
              <w:rPr>
                <w:noProof/>
              </w:rPr>
            </w:pPr>
            <w:r>
              <w:rPr>
                <w:noProof/>
              </w:rPr>
              <w:t xml:space="preserve">Beruházás: Közösségi egészségügyi központok a területi egészségügyi támogatás </w:t>
            </w:r>
            <w:r>
              <w:rPr>
                <w:noProof/>
              </w:rPr>
              <w:t>javítása érdekében</w:t>
            </w:r>
          </w:p>
        </w:tc>
        <w:tc>
          <w:tcPr>
            <w:tcW w:w="1498" w:type="dxa"/>
            <w:tcBorders>
              <w:top w:val="nil"/>
              <w:left w:val="nil"/>
              <w:bottom w:val="single" w:sz="4" w:space="0" w:color="auto"/>
              <w:right w:val="single" w:sz="4" w:space="0" w:color="auto"/>
            </w:tcBorders>
            <w:shd w:val="clear" w:color="auto" w:fill="C6EFCE"/>
            <w:noWrap/>
            <w:vAlign w:val="center"/>
          </w:tcPr>
          <w:p w14:paraId="5715546B"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68545F37" w14:textId="77777777" w:rsidR="003F5418" w:rsidRDefault="002A6C25">
            <w:pPr>
              <w:pStyle w:val="P68B1DB1-Normal9"/>
              <w:jc w:val="center"/>
              <w:rPr>
                <w:noProof/>
              </w:rPr>
            </w:pPr>
            <w:r>
              <w:rPr>
                <w:noProof/>
              </w:rPr>
              <w:t>Rendelkezésre bocsátott és technológiailag felszerelt közösségi egészségügyi központok (első tétel)</w:t>
            </w:r>
          </w:p>
        </w:tc>
      </w:tr>
      <w:tr w:rsidR="003F5418" w14:paraId="3FF7E0B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C3632B5" w14:textId="77777777" w:rsidR="003F5418" w:rsidRDefault="002A6C25">
            <w:pPr>
              <w:pStyle w:val="P68B1DB1-Normal9"/>
              <w:jc w:val="center"/>
              <w:rPr>
                <w:noProof/>
              </w:rPr>
            </w:pPr>
            <w:r>
              <w:rPr>
                <w:noProof/>
              </w:rPr>
              <w:t>M6C1–6</w:t>
            </w:r>
          </w:p>
        </w:tc>
        <w:tc>
          <w:tcPr>
            <w:tcW w:w="3090" w:type="dxa"/>
            <w:tcBorders>
              <w:top w:val="nil"/>
              <w:left w:val="nil"/>
              <w:bottom w:val="single" w:sz="4" w:space="0" w:color="auto"/>
              <w:right w:val="single" w:sz="4" w:space="0" w:color="auto"/>
            </w:tcBorders>
            <w:shd w:val="clear" w:color="auto" w:fill="C6EFCE"/>
            <w:noWrap/>
            <w:vAlign w:val="center"/>
          </w:tcPr>
          <w:p w14:paraId="364418E1" w14:textId="77777777" w:rsidR="003F5418" w:rsidRDefault="002A6C25">
            <w:pPr>
              <w:pStyle w:val="P68B1DB1-Normal9"/>
              <w:rPr>
                <w:noProof/>
              </w:rPr>
            </w:pPr>
            <w:r>
              <w:rPr>
                <w:noProof/>
              </w:rPr>
              <w:t>Beruházás: Az otthon mint a gondozás és a távorvoslás első helye</w:t>
            </w:r>
          </w:p>
        </w:tc>
        <w:tc>
          <w:tcPr>
            <w:tcW w:w="1498" w:type="dxa"/>
            <w:tcBorders>
              <w:top w:val="nil"/>
              <w:left w:val="nil"/>
              <w:bottom w:val="single" w:sz="4" w:space="0" w:color="auto"/>
              <w:right w:val="single" w:sz="4" w:space="0" w:color="auto"/>
            </w:tcBorders>
            <w:shd w:val="clear" w:color="auto" w:fill="C6EFCE"/>
            <w:noWrap/>
            <w:vAlign w:val="center"/>
          </w:tcPr>
          <w:p w14:paraId="6D7B4262"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CAE90DB" w14:textId="77777777" w:rsidR="003F5418" w:rsidRDefault="002A6C25">
            <w:pPr>
              <w:pStyle w:val="P68B1DB1-Normal9"/>
              <w:jc w:val="center"/>
              <w:rPr>
                <w:noProof/>
              </w:rPr>
            </w:pPr>
            <w:r>
              <w:rPr>
                <w:noProof/>
              </w:rPr>
              <w:t>További, otthoni gondozásban kezelt személyek (első téte</w:t>
            </w:r>
            <w:r>
              <w:rPr>
                <w:noProof/>
              </w:rPr>
              <w:t>l)</w:t>
            </w:r>
          </w:p>
        </w:tc>
      </w:tr>
      <w:tr w:rsidR="003F5418" w14:paraId="49AD8FBE"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374F7C5" w14:textId="77777777" w:rsidR="003F5418" w:rsidRDefault="002A6C25">
            <w:pPr>
              <w:pStyle w:val="P68B1DB1-Normal9"/>
              <w:jc w:val="center"/>
              <w:rPr>
                <w:noProof/>
              </w:rPr>
            </w:pPr>
            <w:r>
              <w:rPr>
                <w:noProof/>
              </w:rPr>
              <w:t>M6C1–11</w:t>
            </w:r>
          </w:p>
        </w:tc>
        <w:tc>
          <w:tcPr>
            <w:tcW w:w="3090" w:type="dxa"/>
            <w:tcBorders>
              <w:top w:val="nil"/>
              <w:left w:val="nil"/>
              <w:bottom w:val="single" w:sz="4" w:space="0" w:color="auto"/>
              <w:right w:val="single" w:sz="4" w:space="0" w:color="auto"/>
            </w:tcBorders>
            <w:shd w:val="clear" w:color="auto" w:fill="C6EFCE"/>
            <w:noWrap/>
            <w:vAlign w:val="center"/>
          </w:tcPr>
          <w:p w14:paraId="5951FCE2" w14:textId="77777777" w:rsidR="003F5418" w:rsidRDefault="002A6C25">
            <w:pPr>
              <w:pStyle w:val="P68B1DB1-Normal9"/>
              <w:rPr>
                <w:noProof/>
              </w:rPr>
            </w:pPr>
            <w:r>
              <w:rPr>
                <w:noProof/>
              </w:rPr>
              <w:t>Beruházás: Az időközi egészségügyi ellátás és létesítményeinek (közösségi kórházak) megerősítése</w:t>
            </w:r>
          </w:p>
        </w:tc>
        <w:tc>
          <w:tcPr>
            <w:tcW w:w="1498" w:type="dxa"/>
            <w:tcBorders>
              <w:top w:val="nil"/>
              <w:left w:val="nil"/>
              <w:bottom w:val="single" w:sz="4" w:space="0" w:color="auto"/>
              <w:right w:val="single" w:sz="4" w:space="0" w:color="auto"/>
            </w:tcBorders>
            <w:shd w:val="clear" w:color="auto" w:fill="C6EFCE"/>
            <w:noWrap/>
            <w:vAlign w:val="center"/>
          </w:tcPr>
          <w:p w14:paraId="395F4C69"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1803179D" w14:textId="77777777" w:rsidR="003F5418" w:rsidRDefault="002A6C25">
            <w:pPr>
              <w:pStyle w:val="P68B1DB1-Normal9"/>
              <w:jc w:val="center"/>
              <w:rPr>
                <w:noProof/>
              </w:rPr>
            </w:pPr>
            <w:r>
              <w:rPr>
                <w:noProof/>
              </w:rPr>
              <w:t>Felújított, összekapcsolt és technológiailag felszerelt közösségi kórházak (első tétel)</w:t>
            </w:r>
          </w:p>
        </w:tc>
      </w:tr>
      <w:tr w:rsidR="003F5418" w14:paraId="2823737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2703E39" w14:textId="77777777" w:rsidR="003F5418" w:rsidRDefault="002A6C25">
            <w:pPr>
              <w:pStyle w:val="P68B1DB1-Normal9"/>
              <w:jc w:val="center"/>
              <w:rPr>
                <w:noProof/>
              </w:rPr>
            </w:pPr>
            <w:r>
              <w:rPr>
                <w:noProof/>
              </w:rPr>
              <w:t>M6C2–6</w:t>
            </w:r>
          </w:p>
        </w:tc>
        <w:tc>
          <w:tcPr>
            <w:tcW w:w="3090" w:type="dxa"/>
            <w:tcBorders>
              <w:top w:val="nil"/>
              <w:left w:val="nil"/>
              <w:bottom w:val="single" w:sz="4" w:space="0" w:color="auto"/>
              <w:right w:val="single" w:sz="4" w:space="0" w:color="auto"/>
            </w:tcBorders>
            <w:shd w:val="clear" w:color="auto" w:fill="C6EFCE"/>
            <w:noWrap/>
            <w:vAlign w:val="center"/>
          </w:tcPr>
          <w:p w14:paraId="470FCE26" w14:textId="77777777" w:rsidR="003F5418" w:rsidRDefault="002A6C25">
            <w:pPr>
              <w:pStyle w:val="P68B1DB1-Normal39"/>
              <w:rPr>
                <w:noProof/>
              </w:rPr>
            </w:pPr>
            <w:r>
              <w:rPr>
                <w:noProof/>
              </w:rPr>
              <w:t xml:space="preserve">Beruházás: A kórházak technológiai </w:t>
            </w:r>
            <w:r>
              <w:rPr>
                <w:noProof/>
              </w:rPr>
              <w:t>berendezéseinek digitális frissítése</w:t>
            </w:r>
          </w:p>
        </w:tc>
        <w:tc>
          <w:tcPr>
            <w:tcW w:w="1498" w:type="dxa"/>
            <w:tcBorders>
              <w:top w:val="nil"/>
              <w:left w:val="nil"/>
              <w:bottom w:val="single" w:sz="4" w:space="0" w:color="auto"/>
              <w:right w:val="single" w:sz="4" w:space="0" w:color="auto"/>
            </w:tcBorders>
            <w:shd w:val="clear" w:color="auto" w:fill="C6EFCE"/>
            <w:noWrap/>
            <w:vAlign w:val="center"/>
          </w:tcPr>
          <w:p w14:paraId="44645F8C"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9B24C3C" w14:textId="77777777" w:rsidR="003F5418" w:rsidRDefault="002A6C25">
            <w:pPr>
              <w:pStyle w:val="P68B1DB1-Normal39"/>
              <w:jc w:val="center"/>
              <w:rPr>
                <w:noProof/>
              </w:rPr>
            </w:pPr>
            <w:r>
              <w:rPr>
                <w:noProof/>
              </w:rPr>
              <w:t>Nagyméretű szaniterberendezések üzembe helyezése</w:t>
            </w:r>
          </w:p>
        </w:tc>
      </w:tr>
      <w:tr w:rsidR="003F5418" w14:paraId="685D9AF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3124624" w14:textId="77777777" w:rsidR="003F5418" w:rsidRDefault="002A6C25">
            <w:pPr>
              <w:pStyle w:val="P68B1DB1-Normal9"/>
              <w:jc w:val="center"/>
              <w:rPr>
                <w:noProof/>
              </w:rPr>
            </w:pPr>
            <w:r>
              <w:rPr>
                <w:noProof/>
              </w:rPr>
              <w:t>M6C2–9</w:t>
            </w:r>
          </w:p>
        </w:tc>
        <w:tc>
          <w:tcPr>
            <w:tcW w:w="3090" w:type="dxa"/>
            <w:tcBorders>
              <w:top w:val="nil"/>
              <w:left w:val="nil"/>
              <w:bottom w:val="single" w:sz="4" w:space="0" w:color="auto"/>
              <w:right w:val="single" w:sz="4" w:space="0" w:color="auto"/>
            </w:tcBorders>
            <w:shd w:val="clear" w:color="auto" w:fill="C6EFCE"/>
            <w:noWrap/>
            <w:vAlign w:val="center"/>
          </w:tcPr>
          <w:p w14:paraId="1F19DB13" w14:textId="77777777" w:rsidR="003F5418" w:rsidRDefault="002A6C25">
            <w:pPr>
              <w:pStyle w:val="P68B1DB1-Normal39"/>
              <w:rPr>
                <w:noProof/>
              </w:rPr>
            </w:pPr>
            <w:r>
              <w:rPr>
                <w:noProof/>
              </w:rPr>
              <w:t>Beruházás: A kórházak technológiai berendezéseinek digitális frissítése</w:t>
            </w:r>
          </w:p>
        </w:tc>
        <w:tc>
          <w:tcPr>
            <w:tcW w:w="1498" w:type="dxa"/>
            <w:tcBorders>
              <w:top w:val="nil"/>
              <w:left w:val="nil"/>
              <w:bottom w:val="single" w:sz="4" w:space="0" w:color="auto"/>
              <w:right w:val="single" w:sz="4" w:space="0" w:color="auto"/>
            </w:tcBorders>
            <w:shd w:val="clear" w:color="auto" w:fill="C6EFCE"/>
            <w:noWrap/>
            <w:vAlign w:val="center"/>
          </w:tcPr>
          <w:p w14:paraId="3DF63574"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296D7CE8" w14:textId="77777777" w:rsidR="003F5418" w:rsidRDefault="002A6C25">
            <w:pPr>
              <w:pStyle w:val="P68B1DB1-Normal39"/>
              <w:jc w:val="center"/>
              <w:rPr>
                <w:noProof/>
              </w:rPr>
            </w:pPr>
            <w:r>
              <w:rPr>
                <w:noProof/>
              </w:rPr>
              <w:t>Az ICU-kban biztosított kiegészítő ágyak és a szubintenzív ellátás</w:t>
            </w:r>
          </w:p>
        </w:tc>
      </w:tr>
      <w:tr w:rsidR="003F5418" w14:paraId="24682C59"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A0F930E" w14:textId="77777777" w:rsidR="003F5418" w:rsidRDefault="002A6C25">
            <w:pPr>
              <w:pStyle w:val="P68B1DB1-Normal9"/>
              <w:jc w:val="center"/>
              <w:rPr>
                <w:noProof/>
              </w:rPr>
            </w:pPr>
            <w:r>
              <w:rPr>
                <w:noProof/>
              </w:rPr>
              <w:t>M6C2–10</w:t>
            </w:r>
          </w:p>
        </w:tc>
        <w:tc>
          <w:tcPr>
            <w:tcW w:w="3090" w:type="dxa"/>
            <w:tcBorders>
              <w:top w:val="nil"/>
              <w:left w:val="nil"/>
              <w:bottom w:val="single" w:sz="4" w:space="0" w:color="auto"/>
              <w:right w:val="single" w:sz="4" w:space="0" w:color="auto"/>
            </w:tcBorders>
            <w:shd w:val="clear" w:color="auto" w:fill="C6EFCE"/>
            <w:noWrap/>
            <w:vAlign w:val="center"/>
          </w:tcPr>
          <w:p w14:paraId="7289744C" w14:textId="77777777" w:rsidR="003F5418" w:rsidRDefault="002A6C25">
            <w:pPr>
              <w:pStyle w:val="P68B1DB1-Normal39"/>
              <w:rPr>
                <w:noProof/>
              </w:rPr>
            </w:pPr>
            <w:r>
              <w:rPr>
                <w:noProof/>
              </w:rPr>
              <w:t>Beruházás: Biztonságos és fenntartható kórház felé</w:t>
            </w:r>
          </w:p>
        </w:tc>
        <w:tc>
          <w:tcPr>
            <w:tcW w:w="1498" w:type="dxa"/>
            <w:tcBorders>
              <w:top w:val="nil"/>
              <w:left w:val="nil"/>
              <w:bottom w:val="single" w:sz="4" w:space="0" w:color="auto"/>
              <w:right w:val="single" w:sz="4" w:space="0" w:color="auto"/>
            </w:tcBorders>
            <w:shd w:val="clear" w:color="auto" w:fill="C6EFCE"/>
            <w:noWrap/>
            <w:vAlign w:val="center"/>
          </w:tcPr>
          <w:p w14:paraId="1E3F7D40"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4B4BAA0" w14:textId="77777777" w:rsidR="003F5418" w:rsidRDefault="002A6C25">
            <w:pPr>
              <w:pStyle w:val="P68B1DB1-Normal39"/>
              <w:jc w:val="center"/>
              <w:rPr>
                <w:noProof/>
              </w:rPr>
            </w:pPr>
            <w:r>
              <w:rPr>
                <w:noProof/>
              </w:rPr>
              <w:t>A kórházi létesítményekben végrehajtott földrengésellenes beavatkozások befejeződtek</w:t>
            </w:r>
          </w:p>
        </w:tc>
      </w:tr>
      <w:tr w:rsidR="003F5418" w14:paraId="4696C39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4B7A09DB" w14:textId="77777777" w:rsidR="003F5418" w:rsidRDefault="002A6C25">
            <w:pPr>
              <w:pStyle w:val="P68B1DB1-Normal9"/>
              <w:jc w:val="center"/>
              <w:rPr>
                <w:noProof/>
              </w:rPr>
            </w:pPr>
            <w:r>
              <w:rPr>
                <w:noProof/>
              </w:rPr>
              <w:t>M6C2–10a</w:t>
            </w:r>
          </w:p>
        </w:tc>
        <w:tc>
          <w:tcPr>
            <w:tcW w:w="3090" w:type="dxa"/>
            <w:tcBorders>
              <w:top w:val="nil"/>
              <w:left w:val="nil"/>
              <w:bottom w:val="single" w:sz="4" w:space="0" w:color="auto"/>
              <w:right w:val="single" w:sz="4" w:space="0" w:color="auto"/>
            </w:tcBorders>
            <w:shd w:val="clear" w:color="auto" w:fill="C6EFCE"/>
            <w:noWrap/>
            <w:vAlign w:val="center"/>
          </w:tcPr>
          <w:p w14:paraId="23D8E0E4" w14:textId="77777777" w:rsidR="003F5418" w:rsidRDefault="002A6C25">
            <w:pPr>
              <w:pStyle w:val="P68B1DB1-Normal39"/>
              <w:rPr>
                <w:noProof/>
              </w:rPr>
            </w:pPr>
            <w:r>
              <w:rPr>
                <w:noProof/>
              </w:rPr>
              <w:t>Beruházás: Biztonságos és fenntartható kórház felé</w:t>
            </w:r>
          </w:p>
        </w:tc>
        <w:tc>
          <w:tcPr>
            <w:tcW w:w="1498" w:type="dxa"/>
            <w:tcBorders>
              <w:top w:val="nil"/>
              <w:left w:val="nil"/>
              <w:bottom w:val="single" w:sz="4" w:space="0" w:color="auto"/>
              <w:right w:val="single" w:sz="4" w:space="0" w:color="auto"/>
            </w:tcBorders>
            <w:shd w:val="clear" w:color="auto" w:fill="C6EFCE"/>
            <w:noWrap/>
            <w:vAlign w:val="center"/>
          </w:tcPr>
          <w:p w14:paraId="5238457F" w14:textId="77777777" w:rsidR="003F5418" w:rsidRDefault="002A6C25">
            <w:pPr>
              <w:pStyle w:val="P68B1DB1-Normal39"/>
              <w:jc w:val="center"/>
              <w:rPr>
                <w:noProof/>
              </w:rPr>
            </w:pPr>
            <w:r>
              <w:rPr>
                <w:noProof/>
              </w:rPr>
              <w:t xml:space="preserve">Cél </w:t>
            </w:r>
          </w:p>
        </w:tc>
        <w:tc>
          <w:tcPr>
            <w:tcW w:w="4091" w:type="dxa"/>
            <w:tcBorders>
              <w:top w:val="nil"/>
              <w:left w:val="nil"/>
              <w:bottom w:val="single" w:sz="4" w:space="0" w:color="auto"/>
              <w:right w:val="single" w:sz="4" w:space="0" w:color="auto"/>
            </w:tcBorders>
            <w:shd w:val="clear" w:color="auto" w:fill="C6EFCE"/>
            <w:noWrap/>
            <w:vAlign w:val="center"/>
          </w:tcPr>
          <w:p w14:paraId="53CEFB97" w14:textId="77777777" w:rsidR="003F5418" w:rsidRDefault="002A6C25">
            <w:pPr>
              <w:pStyle w:val="P68B1DB1-Normal39"/>
              <w:jc w:val="center"/>
              <w:rPr>
                <w:noProof/>
              </w:rPr>
            </w:pPr>
            <w:r>
              <w:rPr>
                <w:noProof/>
              </w:rPr>
              <w:t>A Helyreállítási és Rezilienciaépítési</w:t>
            </w:r>
            <w:r>
              <w:rPr>
                <w:noProof/>
              </w:rPr>
              <w:t xml:space="preserve"> Eszköz forrásainak folyósítása a 67/88. sz. pénzügyi törvény 20. cikke szerinti, egészségügyi épületekre vonatkozó projektek számára</w:t>
            </w:r>
          </w:p>
        </w:tc>
      </w:tr>
      <w:tr w:rsidR="003F5418" w14:paraId="3EA8346C"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0DB7697" w14:textId="77777777" w:rsidR="003F5418" w:rsidRDefault="002A6C25">
            <w:pPr>
              <w:pStyle w:val="P68B1DB1-Normal9"/>
              <w:jc w:val="center"/>
              <w:rPr>
                <w:noProof/>
              </w:rPr>
            </w:pPr>
            <w:r>
              <w:rPr>
                <w:noProof/>
              </w:rPr>
              <w:t>M6C2–12</w:t>
            </w:r>
          </w:p>
        </w:tc>
        <w:tc>
          <w:tcPr>
            <w:tcW w:w="3090" w:type="dxa"/>
            <w:tcBorders>
              <w:top w:val="nil"/>
              <w:left w:val="nil"/>
              <w:bottom w:val="single" w:sz="4" w:space="0" w:color="auto"/>
              <w:right w:val="single" w:sz="4" w:space="0" w:color="auto"/>
            </w:tcBorders>
            <w:shd w:val="clear" w:color="auto" w:fill="C6EFCE"/>
            <w:noWrap/>
            <w:vAlign w:val="center"/>
          </w:tcPr>
          <w:p w14:paraId="1E6151CE" w14:textId="77777777" w:rsidR="003F5418" w:rsidRDefault="002A6C25">
            <w:pPr>
              <w:pStyle w:val="P68B1DB1-Normal39"/>
              <w:rPr>
                <w:noProof/>
              </w:rPr>
            </w:pPr>
            <w:r>
              <w:rPr>
                <w:noProof/>
              </w:rPr>
              <w:t>Beruházás: A technológiai infrastruktúra, valamint az adatgyűjtési, adatkezelési, adatelemzési és -szimulációs es</w:t>
            </w:r>
            <w:r>
              <w:rPr>
                <w:noProof/>
              </w:rPr>
              <w:t>zközök megerősítése</w:t>
            </w:r>
          </w:p>
        </w:tc>
        <w:tc>
          <w:tcPr>
            <w:tcW w:w="1498" w:type="dxa"/>
            <w:tcBorders>
              <w:top w:val="nil"/>
              <w:left w:val="nil"/>
              <w:bottom w:val="single" w:sz="4" w:space="0" w:color="auto"/>
              <w:right w:val="single" w:sz="4" w:space="0" w:color="auto"/>
            </w:tcBorders>
            <w:shd w:val="clear" w:color="auto" w:fill="C6EFCE"/>
            <w:noWrap/>
            <w:vAlign w:val="center"/>
          </w:tcPr>
          <w:p w14:paraId="168C023D" w14:textId="77777777" w:rsidR="003F5418" w:rsidRDefault="002A6C25">
            <w:pPr>
              <w:pStyle w:val="P68B1DB1-Normal39"/>
              <w:jc w:val="center"/>
              <w:rPr>
                <w:noProof/>
              </w:rPr>
            </w:pPr>
            <w:r>
              <w:rPr>
                <w:noProof/>
              </w:rPr>
              <w:t>Mérföldkő</w:t>
            </w:r>
          </w:p>
        </w:tc>
        <w:tc>
          <w:tcPr>
            <w:tcW w:w="4091" w:type="dxa"/>
            <w:tcBorders>
              <w:top w:val="nil"/>
              <w:left w:val="nil"/>
              <w:bottom w:val="single" w:sz="4" w:space="0" w:color="auto"/>
              <w:right w:val="single" w:sz="4" w:space="0" w:color="auto"/>
            </w:tcBorders>
            <w:shd w:val="clear" w:color="auto" w:fill="C6EFCE"/>
            <w:noWrap/>
            <w:vAlign w:val="center"/>
          </w:tcPr>
          <w:p w14:paraId="143E8CB2" w14:textId="77777777" w:rsidR="003F5418" w:rsidRDefault="002A6C25">
            <w:pPr>
              <w:pStyle w:val="P68B1DB1-Normal39"/>
              <w:jc w:val="center"/>
              <w:rPr>
                <w:noProof/>
              </w:rPr>
            </w:pPr>
            <w:r>
              <w:rPr>
                <w:noProof/>
              </w:rPr>
              <w:t>Az egészségbiztosítási kártya rendszere és az elektronikus egészségügyi nyilvántartás interoperabilitását szolgáló infrastruktúra teljes mértékben működőképes.</w:t>
            </w:r>
          </w:p>
        </w:tc>
      </w:tr>
      <w:tr w:rsidR="003F5418" w14:paraId="4E9C06EA"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5EFF012" w14:textId="77777777" w:rsidR="003F5418" w:rsidRDefault="002A6C25">
            <w:pPr>
              <w:pStyle w:val="P68B1DB1-Normal9"/>
              <w:jc w:val="center"/>
              <w:rPr>
                <w:noProof/>
              </w:rPr>
            </w:pPr>
            <w:r>
              <w:rPr>
                <w:noProof/>
              </w:rPr>
              <w:t>M6C2–13</w:t>
            </w:r>
          </w:p>
        </w:tc>
        <w:tc>
          <w:tcPr>
            <w:tcW w:w="3090" w:type="dxa"/>
            <w:tcBorders>
              <w:top w:val="nil"/>
              <w:left w:val="nil"/>
              <w:bottom w:val="single" w:sz="4" w:space="0" w:color="auto"/>
              <w:right w:val="single" w:sz="4" w:space="0" w:color="auto"/>
            </w:tcBorders>
            <w:shd w:val="clear" w:color="auto" w:fill="C6EFCE"/>
            <w:noWrap/>
            <w:vAlign w:val="center"/>
          </w:tcPr>
          <w:p w14:paraId="70D9BE66" w14:textId="77777777" w:rsidR="003F5418" w:rsidRDefault="002A6C25">
            <w:pPr>
              <w:pStyle w:val="P68B1DB1-Normal39"/>
              <w:rPr>
                <w:noProof/>
              </w:rPr>
            </w:pPr>
            <w:r>
              <w:rPr>
                <w:noProof/>
              </w:rPr>
              <w:t>Beruházás: A technológiai infrastruktúra, valamint az ada</w:t>
            </w:r>
            <w:r>
              <w:rPr>
                <w:noProof/>
              </w:rPr>
              <w:t>tgyűjtési, adatkezelési, adatelemzési és -szimulációs eszközök megerősítése</w:t>
            </w:r>
          </w:p>
        </w:tc>
        <w:tc>
          <w:tcPr>
            <w:tcW w:w="1498" w:type="dxa"/>
            <w:tcBorders>
              <w:top w:val="nil"/>
              <w:left w:val="nil"/>
              <w:bottom w:val="single" w:sz="4" w:space="0" w:color="auto"/>
              <w:right w:val="single" w:sz="4" w:space="0" w:color="auto"/>
            </w:tcBorders>
            <w:shd w:val="clear" w:color="auto" w:fill="C6EFCE"/>
            <w:noWrap/>
            <w:vAlign w:val="center"/>
          </w:tcPr>
          <w:p w14:paraId="6C6A436A"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3A93D28" w14:textId="77777777" w:rsidR="003F5418" w:rsidRDefault="002A6C25">
            <w:pPr>
              <w:pStyle w:val="P68B1DB1-Normal39"/>
              <w:jc w:val="center"/>
              <w:rPr>
                <w:noProof/>
              </w:rPr>
            </w:pPr>
            <w:r>
              <w:rPr>
                <w:noProof/>
              </w:rPr>
              <w:t>Valamennyi régió elfogadta és használja az EHR-t</w:t>
            </w:r>
          </w:p>
        </w:tc>
      </w:tr>
      <w:tr w:rsidR="003F5418" w14:paraId="2FF214C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2C2219D" w14:textId="77777777" w:rsidR="003F5418" w:rsidRDefault="002A6C25">
            <w:pPr>
              <w:pStyle w:val="P68B1DB1-Normal9"/>
              <w:jc w:val="center"/>
              <w:rPr>
                <w:noProof/>
              </w:rPr>
            </w:pPr>
            <w:r>
              <w:rPr>
                <w:noProof/>
              </w:rPr>
              <w:t>M6C2–16</w:t>
            </w:r>
          </w:p>
        </w:tc>
        <w:tc>
          <w:tcPr>
            <w:tcW w:w="3090" w:type="dxa"/>
            <w:tcBorders>
              <w:top w:val="nil"/>
              <w:left w:val="nil"/>
              <w:bottom w:val="single" w:sz="4" w:space="0" w:color="auto"/>
              <w:right w:val="single" w:sz="4" w:space="0" w:color="auto"/>
            </w:tcBorders>
            <w:shd w:val="clear" w:color="auto" w:fill="C6EFCE"/>
            <w:noWrap/>
            <w:vAlign w:val="center"/>
          </w:tcPr>
          <w:p w14:paraId="7C905F5F" w14:textId="77777777" w:rsidR="003F5418" w:rsidRDefault="002A6C25">
            <w:pPr>
              <w:pStyle w:val="P68B1DB1-Normal39"/>
              <w:rPr>
                <w:noProof/>
              </w:rPr>
            </w:pPr>
            <w:r>
              <w:rPr>
                <w:noProof/>
              </w:rPr>
              <w:t>Beruházás: Az egészségügyi rendszer szakemberei műszaki-szakmai, digitális és vezetői készségeinek fejlesztése</w:t>
            </w:r>
          </w:p>
        </w:tc>
        <w:tc>
          <w:tcPr>
            <w:tcW w:w="1498" w:type="dxa"/>
            <w:tcBorders>
              <w:top w:val="nil"/>
              <w:left w:val="nil"/>
              <w:bottom w:val="single" w:sz="4" w:space="0" w:color="auto"/>
              <w:right w:val="single" w:sz="4" w:space="0" w:color="auto"/>
            </w:tcBorders>
            <w:shd w:val="clear" w:color="auto" w:fill="C6EFCE"/>
            <w:noWrap/>
            <w:vAlign w:val="center"/>
          </w:tcPr>
          <w:p w14:paraId="49A7A976"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01CE7B6" w14:textId="77777777" w:rsidR="003F5418" w:rsidRDefault="002A6C25">
            <w:pPr>
              <w:pStyle w:val="P68B1DB1-Normal39"/>
              <w:jc w:val="center"/>
              <w:rPr>
                <w:noProof/>
              </w:rPr>
            </w:pPr>
            <w:r>
              <w:rPr>
                <w:noProof/>
              </w:rPr>
              <w:t>Képzés a vezetői és digitális készségekről a Nemzeti Egészségügyi Szolgálat alkalmazottai számára</w:t>
            </w:r>
          </w:p>
        </w:tc>
      </w:tr>
      <w:tr w:rsidR="003F5418" w14:paraId="3456429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513B9BB" w14:textId="77777777" w:rsidR="003F5418" w:rsidRDefault="002A6C25">
            <w:pPr>
              <w:pStyle w:val="P68B1DB1-Normal39"/>
              <w:jc w:val="center"/>
              <w:rPr>
                <w:noProof/>
              </w:rPr>
            </w:pPr>
            <w:r>
              <w:rPr>
                <w:noProof/>
              </w:rPr>
              <w:t>M6C2–17</w:t>
            </w:r>
          </w:p>
        </w:tc>
        <w:tc>
          <w:tcPr>
            <w:tcW w:w="3090" w:type="dxa"/>
            <w:tcBorders>
              <w:top w:val="nil"/>
              <w:left w:val="nil"/>
              <w:bottom w:val="single" w:sz="4" w:space="0" w:color="auto"/>
              <w:right w:val="single" w:sz="4" w:space="0" w:color="auto"/>
            </w:tcBorders>
            <w:shd w:val="clear" w:color="auto" w:fill="C6EFCE"/>
            <w:noWrap/>
            <w:vAlign w:val="center"/>
          </w:tcPr>
          <w:p w14:paraId="10C937EB" w14:textId="77777777" w:rsidR="003F5418" w:rsidRDefault="002A6C25">
            <w:pPr>
              <w:pStyle w:val="P68B1DB1-Normal39"/>
              <w:rPr>
                <w:noProof/>
              </w:rPr>
            </w:pPr>
            <w:r>
              <w:rPr>
                <w:noProof/>
              </w:rPr>
              <w:t>Beruházás: Az egészségügyi rendszer szakemberei műszaki-szakmai, digitális és vezetői készségeinek fejlesztése</w:t>
            </w:r>
          </w:p>
        </w:tc>
        <w:tc>
          <w:tcPr>
            <w:tcW w:w="1498" w:type="dxa"/>
            <w:tcBorders>
              <w:top w:val="nil"/>
              <w:left w:val="nil"/>
              <w:bottom w:val="single" w:sz="4" w:space="0" w:color="auto"/>
              <w:right w:val="single" w:sz="4" w:space="0" w:color="auto"/>
            </w:tcBorders>
            <w:shd w:val="clear" w:color="auto" w:fill="C6EFCE"/>
            <w:noWrap/>
            <w:vAlign w:val="center"/>
          </w:tcPr>
          <w:p w14:paraId="1272E4F3" w14:textId="77777777" w:rsidR="003F5418" w:rsidRDefault="002A6C25">
            <w:pPr>
              <w:pStyle w:val="P68B1DB1-Normal3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5CC6090E" w14:textId="77777777" w:rsidR="003F5418" w:rsidRDefault="002A6C25">
            <w:pPr>
              <w:pStyle w:val="P68B1DB1-Normal39"/>
              <w:jc w:val="center"/>
              <w:rPr>
                <w:noProof/>
              </w:rPr>
            </w:pPr>
            <w:r>
              <w:rPr>
                <w:noProof/>
              </w:rPr>
              <w:t xml:space="preserve">Finanszírozott orvosi-szakképzési </w:t>
            </w:r>
            <w:r>
              <w:rPr>
                <w:noProof/>
              </w:rPr>
              <w:t>szerződések száma</w:t>
            </w:r>
          </w:p>
        </w:tc>
      </w:tr>
      <w:tr w:rsidR="003F5418" w14:paraId="69554E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C447E67" w14:textId="77777777" w:rsidR="003F5418" w:rsidRDefault="002A6C25">
            <w:pPr>
              <w:pStyle w:val="P68B1DB1-Normal9"/>
              <w:jc w:val="center"/>
              <w:rPr>
                <w:noProof/>
              </w:rPr>
            </w:pPr>
            <w:r>
              <w:rPr>
                <w:noProof/>
              </w:rPr>
              <w:t>M7–07–37. INTÉZKEDÉS</w:t>
            </w:r>
          </w:p>
        </w:tc>
        <w:tc>
          <w:tcPr>
            <w:tcW w:w="3090" w:type="dxa"/>
            <w:tcBorders>
              <w:top w:val="nil"/>
              <w:left w:val="nil"/>
              <w:bottom w:val="single" w:sz="4" w:space="0" w:color="auto"/>
              <w:right w:val="single" w:sz="4" w:space="0" w:color="auto"/>
            </w:tcBorders>
            <w:shd w:val="clear" w:color="auto" w:fill="C6EFCE"/>
            <w:noWrap/>
            <w:vAlign w:val="center"/>
          </w:tcPr>
          <w:p w14:paraId="1AB22B6F" w14:textId="77777777" w:rsidR="003F5418" w:rsidRDefault="002A6C25">
            <w:pPr>
              <w:pStyle w:val="P68B1DB1-Normal9"/>
              <w:rPr>
                <w:noProof/>
              </w:rPr>
            </w:pPr>
            <w:r>
              <w:rPr>
                <w:noProof/>
              </w:rPr>
              <w:t>Beruházás: Adriai vonal, 1. szakasz (Sulmona kompresszorállomás és Sestino-Minerbio gázvezeték)</w:t>
            </w:r>
          </w:p>
        </w:tc>
        <w:tc>
          <w:tcPr>
            <w:tcW w:w="1498" w:type="dxa"/>
            <w:tcBorders>
              <w:top w:val="nil"/>
              <w:left w:val="nil"/>
              <w:bottom w:val="single" w:sz="4" w:space="0" w:color="auto"/>
              <w:right w:val="single" w:sz="4" w:space="0" w:color="auto"/>
            </w:tcBorders>
            <w:shd w:val="clear" w:color="auto" w:fill="C6EFCE"/>
            <w:noWrap/>
            <w:vAlign w:val="center"/>
          </w:tcPr>
          <w:p w14:paraId="4038F819" w14:textId="77777777" w:rsidR="003F5418" w:rsidRDefault="002A6C25">
            <w:pPr>
              <w:pStyle w:val="P68B1DB1-Normal9"/>
              <w:jc w:val="center"/>
              <w:rPr>
                <w:noProof/>
              </w:rPr>
            </w:pPr>
            <w:r>
              <w:rPr>
                <w:noProof/>
              </w:rPr>
              <w:t>Mérföldkő</w:t>
            </w:r>
          </w:p>
        </w:tc>
        <w:tc>
          <w:tcPr>
            <w:tcW w:w="4091" w:type="dxa"/>
            <w:tcBorders>
              <w:top w:val="nil"/>
              <w:left w:val="nil"/>
              <w:bottom w:val="single" w:sz="4" w:space="0" w:color="auto"/>
              <w:right w:val="single" w:sz="4" w:space="0" w:color="auto"/>
            </w:tcBorders>
            <w:shd w:val="clear" w:color="auto" w:fill="C6EFCE"/>
            <w:noWrap/>
            <w:vAlign w:val="center"/>
          </w:tcPr>
          <w:p w14:paraId="6492A874" w14:textId="77777777" w:rsidR="003F5418" w:rsidRDefault="002A6C25">
            <w:pPr>
              <w:pStyle w:val="P68B1DB1-Normal9"/>
              <w:jc w:val="center"/>
              <w:rPr>
                <w:noProof/>
              </w:rPr>
            </w:pPr>
            <w:r>
              <w:rPr>
                <w:noProof/>
              </w:rPr>
              <w:t>A munkálatok befejezése</w:t>
            </w:r>
          </w:p>
        </w:tc>
      </w:tr>
      <w:tr w:rsidR="003F5418" w14:paraId="54593DD6"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089EF488" w14:textId="77777777" w:rsidR="003F5418" w:rsidRDefault="002A6C25">
            <w:pPr>
              <w:pStyle w:val="P68B1DB1-Normal9"/>
              <w:jc w:val="center"/>
              <w:rPr>
                <w:noProof/>
              </w:rPr>
            </w:pPr>
            <w:r>
              <w:rPr>
                <w:noProof/>
              </w:rPr>
              <w:t>M7–39. INTÉZKEDÉS</w:t>
            </w:r>
          </w:p>
        </w:tc>
        <w:tc>
          <w:tcPr>
            <w:tcW w:w="3090" w:type="dxa"/>
            <w:tcBorders>
              <w:top w:val="nil"/>
              <w:left w:val="nil"/>
              <w:bottom w:val="single" w:sz="4" w:space="0" w:color="auto"/>
              <w:right w:val="single" w:sz="4" w:space="0" w:color="auto"/>
            </w:tcBorders>
            <w:shd w:val="clear" w:color="auto" w:fill="C6EFCE"/>
            <w:noWrap/>
            <w:vAlign w:val="center"/>
          </w:tcPr>
          <w:p w14:paraId="5517A94C" w14:textId="77777777" w:rsidR="003F5418" w:rsidRDefault="002A6C25">
            <w:pPr>
              <w:pStyle w:val="P68B1DB1-Normal9"/>
              <w:rPr>
                <w:noProof/>
              </w:rPr>
            </w:pPr>
            <w:r>
              <w:rPr>
                <w:noProof/>
              </w:rPr>
              <w:t>Beruházás: Határokon átnyúló gázkiviteli infrastruktúra</w:t>
            </w:r>
          </w:p>
        </w:tc>
        <w:tc>
          <w:tcPr>
            <w:tcW w:w="1498" w:type="dxa"/>
            <w:tcBorders>
              <w:top w:val="nil"/>
              <w:left w:val="nil"/>
              <w:bottom w:val="single" w:sz="4" w:space="0" w:color="auto"/>
              <w:right w:val="single" w:sz="4" w:space="0" w:color="auto"/>
            </w:tcBorders>
            <w:shd w:val="clear" w:color="auto" w:fill="C6EFCE"/>
            <w:noWrap/>
            <w:vAlign w:val="center"/>
          </w:tcPr>
          <w:p w14:paraId="07C6A2AD" w14:textId="77777777" w:rsidR="003F5418" w:rsidRDefault="002A6C25">
            <w:pPr>
              <w:pStyle w:val="P68B1DB1-Normal9"/>
              <w:jc w:val="center"/>
              <w:rPr>
                <w:noProof/>
              </w:rPr>
            </w:pPr>
            <w:r>
              <w:rPr>
                <w:noProof/>
              </w:rPr>
              <w:t>Mérföldkő</w:t>
            </w:r>
          </w:p>
        </w:tc>
        <w:tc>
          <w:tcPr>
            <w:tcW w:w="4091" w:type="dxa"/>
            <w:tcBorders>
              <w:top w:val="nil"/>
              <w:left w:val="nil"/>
              <w:bottom w:val="single" w:sz="4" w:space="0" w:color="auto"/>
              <w:right w:val="single" w:sz="4" w:space="0" w:color="auto"/>
            </w:tcBorders>
            <w:shd w:val="clear" w:color="auto" w:fill="C6EFCE"/>
            <w:noWrap/>
            <w:vAlign w:val="center"/>
          </w:tcPr>
          <w:p w14:paraId="6A5B870F" w14:textId="77777777" w:rsidR="003F5418" w:rsidRDefault="002A6C25">
            <w:pPr>
              <w:pStyle w:val="P68B1DB1-Normal9"/>
              <w:jc w:val="center"/>
              <w:rPr>
                <w:noProof/>
              </w:rPr>
            </w:pPr>
            <w:r>
              <w:rPr>
                <w:noProof/>
              </w:rPr>
              <w:t>A</w:t>
            </w:r>
            <w:r>
              <w:rPr>
                <w:noProof/>
              </w:rPr>
              <w:t xml:space="preserve"> munkálatok befejezése</w:t>
            </w:r>
          </w:p>
        </w:tc>
      </w:tr>
      <w:tr w:rsidR="003F5418" w14:paraId="2B98D864"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7EA63073" w14:textId="77777777" w:rsidR="003F5418" w:rsidRDefault="002A6C25">
            <w:pPr>
              <w:pStyle w:val="P68B1DB1-Normal9"/>
              <w:jc w:val="center"/>
              <w:rPr>
                <w:noProof/>
              </w:rPr>
            </w:pPr>
            <w:r>
              <w:rPr>
                <w:noProof/>
              </w:rPr>
              <w:t>7–41. INTÉZKEDÉS</w:t>
            </w:r>
          </w:p>
        </w:tc>
        <w:tc>
          <w:tcPr>
            <w:tcW w:w="3090" w:type="dxa"/>
            <w:tcBorders>
              <w:top w:val="nil"/>
              <w:left w:val="nil"/>
              <w:bottom w:val="single" w:sz="4" w:space="0" w:color="auto"/>
              <w:right w:val="single" w:sz="4" w:space="0" w:color="auto"/>
            </w:tcBorders>
            <w:shd w:val="clear" w:color="auto" w:fill="C6EFCE"/>
            <w:noWrap/>
            <w:vAlign w:val="center"/>
          </w:tcPr>
          <w:p w14:paraId="489DB9B1" w14:textId="77777777" w:rsidR="003F5418" w:rsidRDefault="002A6C25">
            <w:pPr>
              <w:pStyle w:val="P68B1DB1-Normal9"/>
              <w:rPr>
                <w:noProof/>
              </w:rPr>
            </w:pPr>
            <w:r>
              <w:rPr>
                <w:noProof/>
              </w:rPr>
              <w:t>Beruházás: Transzione 5.0 Zöld</w:t>
            </w:r>
          </w:p>
        </w:tc>
        <w:tc>
          <w:tcPr>
            <w:tcW w:w="1498" w:type="dxa"/>
            <w:tcBorders>
              <w:top w:val="nil"/>
              <w:left w:val="nil"/>
              <w:bottom w:val="single" w:sz="4" w:space="0" w:color="auto"/>
              <w:right w:val="single" w:sz="4" w:space="0" w:color="auto"/>
            </w:tcBorders>
            <w:shd w:val="clear" w:color="auto" w:fill="C6EFCE"/>
            <w:noWrap/>
            <w:vAlign w:val="center"/>
          </w:tcPr>
          <w:p w14:paraId="65E9965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D3955AE" w14:textId="77777777" w:rsidR="003F5418" w:rsidRDefault="002A6C25">
            <w:pPr>
              <w:pStyle w:val="P68B1DB1-Normal9"/>
              <w:jc w:val="center"/>
              <w:rPr>
                <w:noProof/>
              </w:rPr>
            </w:pPr>
            <w:r>
              <w:rPr>
                <w:noProof/>
              </w:rPr>
              <w:t>A Helyreállítási és Rezilienciaépítési Eszköz forrásainak biztosítása</w:t>
            </w:r>
          </w:p>
        </w:tc>
      </w:tr>
      <w:tr w:rsidR="003F5418" w14:paraId="521A5421"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1B2488D" w14:textId="77777777" w:rsidR="003F5418" w:rsidRDefault="002A6C25">
            <w:pPr>
              <w:pStyle w:val="P68B1DB1-Normal9"/>
              <w:jc w:val="center"/>
              <w:rPr>
                <w:noProof/>
              </w:rPr>
            </w:pPr>
            <w:r>
              <w:rPr>
                <w:noProof/>
              </w:rPr>
              <w:t>M7–42. INTÉZKEDÉS</w:t>
            </w:r>
          </w:p>
        </w:tc>
        <w:tc>
          <w:tcPr>
            <w:tcW w:w="3090" w:type="dxa"/>
            <w:tcBorders>
              <w:top w:val="nil"/>
              <w:left w:val="nil"/>
              <w:bottom w:val="single" w:sz="4" w:space="0" w:color="auto"/>
              <w:right w:val="single" w:sz="4" w:space="0" w:color="auto"/>
            </w:tcBorders>
            <w:shd w:val="clear" w:color="auto" w:fill="C6EFCE"/>
            <w:noWrap/>
            <w:vAlign w:val="center"/>
          </w:tcPr>
          <w:p w14:paraId="4F9602FE" w14:textId="77777777" w:rsidR="003F5418" w:rsidRDefault="002A6C25">
            <w:pPr>
              <w:pStyle w:val="P68B1DB1-Normal9"/>
              <w:rPr>
                <w:noProof/>
              </w:rPr>
            </w:pPr>
            <w:r>
              <w:rPr>
                <w:noProof/>
              </w:rPr>
              <w:t>Beruházás: Transzione 5.0 Zöld</w:t>
            </w:r>
          </w:p>
        </w:tc>
        <w:tc>
          <w:tcPr>
            <w:tcW w:w="1498" w:type="dxa"/>
            <w:tcBorders>
              <w:top w:val="nil"/>
              <w:left w:val="nil"/>
              <w:bottom w:val="single" w:sz="4" w:space="0" w:color="auto"/>
              <w:right w:val="single" w:sz="4" w:space="0" w:color="auto"/>
            </w:tcBorders>
            <w:shd w:val="clear" w:color="auto" w:fill="C6EFCE"/>
            <w:noWrap/>
            <w:vAlign w:val="center"/>
          </w:tcPr>
          <w:p w14:paraId="48FDA5D6"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5CFDB3C" w14:textId="77777777" w:rsidR="003F5418" w:rsidRDefault="002A6C25">
            <w:pPr>
              <w:pStyle w:val="P68B1DB1-Normal9"/>
              <w:jc w:val="center"/>
              <w:rPr>
                <w:noProof/>
              </w:rPr>
            </w:pPr>
            <w:r>
              <w:rPr>
                <w:noProof/>
              </w:rPr>
              <w:t>0,4 Mtoe</w:t>
            </w:r>
            <w:r>
              <w:rPr>
                <w:noProof/>
              </w:rPr>
              <w:t xml:space="preserve"> végsőenergia-megtakarítás a 2024–2026-os időszakban</w:t>
            </w:r>
          </w:p>
        </w:tc>
      </w:tr>
      <w:tr w:rsidR="003F5418" w14:paraId="0E4C2005"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571A4CD4" w14:textId="77777777" w:rsidR="003F5418" w:rsidRDefault="002A6C25">
            <w:pPr>
              <w:pStyle w:val="P68B1DB1-Normal9"/>
              <w:jc w:val="center"/>
              <w:rPr>
                <w:noProof/>
              </w:rPr>
            </w:pPr>
            <w:r>
              <w:rPr>
                <w:noProof/>
              </w:rPr>
              <w:t>M7–45. INTÉZKEDÉS</w:t>
            </w:r>
          </w:p>
        </w:tc>
        <w:tc>
          <w:tcPr>
            <w:tcW w:w="3090" w:type="dxa"/>
            <w:tcBorders>
              <w:top w:val="nil"/>
              <w:left w:val="nil"/>
              <w:bottom w:val="single" w:sz="4" w:space="0" w:color="auto"/>
              <w:right w:val="single" w:sz="4" w:space="0" w:color="auto"/>
            </w:tcBorders>
            <w:shd w:val="clear" w:color="auto" w:fill="C6EFCE"/>
            <w:noWrap/>
            <w:vAlign w:val="center"/>
          </w:tcPr>
          <w:p w14:paraId="27024EDD" w14:textId="77777777" w:rsidR="003F5418" w:rsidRDefault="002A6C25">
            <w:pPr>
              <w:pStyle w:val="P68B1DB1-Normal9"/>
              <w:rPr>
                <w:noProof/>
              </w:rPr>
            </w:pPr>
            <w:r>
              <w:rPr>
                <w:noProof/>
              </w:rPr>
              <w:t>Beruházás: A kkv-k megújuló energiaforrásokból történő saját termeléséhez nyújtott támogatás</w:t>
            </w:r>
          </w:p>
        </w:tc>
        <w:tc>
          <w:tcPr>
            <w:tcW w:w="1498" w:type="dxa"/>
            <w:tcBorders>
              <w:top w:val="nil"/>
              <w:left w:val="nil"/>
              <w:bottom w:val="single" w:sz="4" w:space="0" w:color="auto"/>
              <w:right w:val="single" w:sz="4" w:space="0" w:color="auto"/>
            </w:tcBorders>
            <w:shd w:val="clear" w:color="auto" w:fill="C6EFCE"/>
            <w:noWrap/>
            <w:vAlign w:val="center"/>
          </w:tcPr>
          <w:p w14:paraId="1E9832B4"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4FDDE2A1" w14:textId="77777777" w:rsidR="003F5418" w:rsidRDefault="002A6C25">
            <w:pPr>
              <w:pStyle w:val="P68B1DB1-Normal9"/>
              <w:jc w:val="center"/>
              <w:rPr>
                <w:noProof/>
              </w:rPr>
            </w:pPr>
            <w:r>
              <w:rPr>
                <w:noProof/>
              </w:rPr>
              <w:t>Jogi megállapodások a végső kedvezményezettekkel</w:t>
            </w:r>
          </w:p>
        </w:tc>
      </w:tr>
      <w:tr w:rsidR="003F5418" w14:paraId="3C213C2D"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19751804" w14:textId="77777777" w:rsidR="003F5418" w:rsidRDefault="002A6C25">
            <w:pPr>
              <w:pStyle w:val="P68B1DB1-Normal9"/>
              <w:jc w:val="center"/>
              <w:rPr>
                <w:noProof/>
              </w:rPr>
            </w:pPr>
            <w:r>
              <w:rPr>
                <w:noProof/>
              </w:rPr>
              <w:t>M7–49. INTÉZKEDÉS</w:t>
            </w:r>
          </w:p>
        </w:tc>
        <w:tc>
          <w:tcPr>
            <w:tcW w:w="3090" w:type="dxa"/>
            <w:tcBorders>
              <w:top w:val="nil"/>
              <w:left w:val="nil"/>
              <w:bottom w:val="single" w:sz="4" w:space="0" w:color="auto"/>
              <w:right w:val="single" w:sz="4" w:space="0" w:color="auto"/>
            </w:tcBorders>
            <w:shd w:val="clear" w:color="auto" w:fill="C6EFCE"/>
            <w:noWrap/>
            <w:vAlign w:val="center"/>
          </w:tcPr>
          <w:p w14:paraId="3C270DC5" w14:textId="77777777" w:rsidR="003F5418" w:rsidRDefault="002A6C25">
            <w:pPr>
              <w:pStyle w:val="P68B1DB1-Normal9"/>
              <w:rPr>
                <w:noProof/>
              </w:rPr>
            </w:pPr>
            <w:r>
              <w:rPr>
                <w:noProof/>
              </w:rPr>
              <w:t xml:space="preserve">Beruházás: Az </w:t>
            </w:r>
            <w:r>
              <w:rPr>
                <w:noProof/>
              </w:rPr>
              <w:t>állami és szociális lakások energetikai felújítására szolgáló pénzügyi eszköz</w:t>
            </w:r>
          </w:p>
        </w:tc>
        <w:tc>
          <w:tcPr>
            <w:tcW w:w="1498" w:type="dxa"/>
            <w:tcBorders>
              <w:top w:val="nil"/>
              <w:left w:val="nil"/>
              <w:bottom w:val="single" w:sz="4" w:space="0" w:color="auto"/>
              <w:right w:val="single" w:sz="4" w:space="0" w:color="auto"/>
            </w:tcBorders>
            <w:shd w:val="clear" w:color="auto" w:fill="C6EFCE"/>
            <w:noWrap/>
            <w:vAlign w:val="center"/>
          </w:tcPr>
          <w:p w14:paraId="414820DF"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721F0D8" w14:textId="77777777" w:rsidR="003F5418" w:rsidRDefault="002A6C25">
            <w:pPr>
              <w:pStyle w:val="P68B1DB1-Normal9"/>
              <w:jc w:val="center"/>
              <w:rPr>
                <w:noProof/>
              </w:rPr>
            </w:pPr>
            <w:r>
              <w:rPr>
                <w:noProof/>
              </w:rPr>
              <w:t>A végső kedvezményezettekkel aláírt jogi megállapodások</w:t>
            </w:r>
          </w:p>
        </w:tc>
      </w:tr>
      <w:tr w:rsidR="003F5418" w14:paraId="724D9A3F"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620E5C8B" w14:textId="77777777" w:rsidR="003F5418" w:rsidRDefault="002A6C25">
            <w:pPr>
              <w:pStyle w:val="P68B1DB1-Normal9"/>
              <w:jc w:val="center"/>
              <w:rPr>
                <w:noProof/>
              </w:rPr>
            </w:pPr>
            <w:r>
              <w:rPr>
                <w:noProof/>
              </w:rPr>
              <w:t>M1C3–29</w:t>
            </w:r>
          </w:p>
        </w:tc>
        <w:tc>
          <w:tcPr>
            <w:tcW w:w="3090" w:type="dxa"/>
            <w:tcBorders>
              <w:top w:val="nil"/>
              <w:left w:val="nil"/>
              <w:bottom w:val="single" w:sz="4" w:space="0" w:color="auto"/>
              <w:right w:val="single" w:sz="4" w:space="0" w:color="auto"/>
            </w:tcBorders>
            <w:shd w:val="clear" w:color="auto" w:fill="C6EFCE"/>
            <w:noWrap/>
            <w:vAlign w:val="center"/>
          </w:tcPr>
          <w:p w14:paraId="5C01244D" w14:textId="77777777" w:rsidR="003F5418" w:rsidRDefault="002A6C25">
            <w:pPr>
              <w:pStyle w:val="P68B1DB1-Normal9"/>
              <w:rPr>
                <w:noProof/>
              </w:rPr>
            </w:pPr>
            <w:r>
              <w:rPr>
                <w:noProof/>
              </w:rPr>
              <w:t>Beruházás:  Az idegenforgalmi vállalkozások versenyképességét szolgáló alapok</w:t>
            </w:r>
          </w:p>
        </w:tc>
        <w:tc>
          <w:tcPr>
            <w:tcW w:w="1498" w:type="dxa"/>
            <w:tcBorders>
              <w:top w:val="nil"/>
              <w:left w:val="nil"/>
              <w:bottom w:val="single" w:sz="4" w:space="0" w:color="auto"/>
              <w:right w:val="single" w:sz="4" w:space="0" w:color="auto"/>
            </w:tcBorders>
            <w:shd w:val="clear" w:color="auto" w:fill="C6EFCE"/>
            <w:noWrap/>
            <w:vAlign w:val="center"/>
          </w:tcPr>
          <w:p w14:paraId="32DA75B7" w14:textId="77777777" w:rsidR="003F5418" w:rsidRDefault="002A6C25">
            <w:pPr>
              <w:pStyle w:val="P68B1DB1-Normal9"/>
              <w:jc w:val="center"/>
              <w:rPr>
                <w:noProof/>
              </w:rPr>
            </w:pPr>
            <w:r>
              <w:rPr>
                <w:noProof/>
              </w:rPr>
              <w:t>Cél</w:t>
            </w:r>
          </w:p>
        </w:tc>
        <w:tc>
          <w:tcPr>
            <w:tcW w:w="4091" w:type="dxa"/>
            <w:tcBorders>
              <w:top w:val="nil"/>
              <w:left w:val="nil"/>
              <w:bottom w:val="single" w:sz="4" w:space="0" w:color="auto"/>
              <w:right w:val="single" w:sz="4" w:space="0" w:color="auto"/>
            </w:tcBorders>
            <w:shd w:val="clear" w:color="auto" w:fill="C6EFCE"/>
            <w:noWrap/>
            <w:vAlign w:val="center"/>
          </w:tcPr>
          <w:p w14:paraId="01E2BBDC" w14:textId="77777777" w:rsidR="003F5418" w:rsidRDefault="002A6C25">
            <w:pPr>
              <w:pStyle w:val="P68B1DB1-Normal9"/>
              <w:jc w:val="center"/>
              <w:rPr>
                <w:noProof/>
              </w:rPr>
            </w:pPr>
            <w:r>
              <w:rPr>
                <w:noProof/>
              </w:rPr>
              <w:t xml:space="preserve">Az Európai Beruházási Bank </w:t>
            </w:r>
            <w:r>
              <w:rPr>
                <w:noProof/>
              </w:rPr>
              <w:t xml:space="preserve">tematikus alapjain keresztül támogatandó turisztikai projektek száma </w:t>
            </w:r>
          </w:p>
        </w:tc>
      </w:tr>
      <w:tr w:rsidR="003F5418" w14:paraId="6AEEC612" w14:textId="77777777">
        <w:trPr>
          <w:trHeight w:val="302"/>
        </w:trPr>
        <w:tc>
          <w:tcPr>
            <w:tcW w:w="1413" w:type="dxa"/>
            <w:tcBorders>
              <w:top w:val="nil"/>
              <w:left w:val="single" w:sz="4" w:space="0" w:color="auto"/>
              <w:bottom w:val="single" w:sz="4" w:space="0" w:color="auto"/>
              <w:right w:val="single" w:sz="4" w:space="0" w:color="auto"/>
            </w:tcBorders>
            <w:shd w:val="clear" w:color="auto" w:fill="C6EFCE"/>
            <w:noWrap/>
            <w:vAlign w:val="center"/>
          </w:tcPr>
          <w:p w14:paraId="26234CFD" w14:textId="77777777" w:rsidR="003F5418" w:rsidRDefault="002A6C25">
            <w:pPr>
              <w:pStyle w:val="P68B1DB1-Normal9"/>
              <w:jc w:val="center"/>
              <w:rPr>
                <w:noProof/>
              </w:rPr>
            </w:pPr>
            <w:r>
              <w:rPr>
                <w:noProof/>
              </w:rPr>
              <w:t xml:space="preserve">M3C2–9 </w:t>
            </w:r>
          </w:p>
        </w:tc>
        <w:tc>
          <w:tcPr>
            <w:tcW w:w="3090" w:type="dxa"/>
            <w:tcBorders>
              <w:top w:val="nil"/>
              <w:left w:val="nil"/>
              <w:bottom w:val="single" w:sz="4" w:space="0" w:color="auto"/>
              <w:right w:val="single" w:sz="4" w:space="0" w:color="auto"/>
            </w:tcBorders>
            <w:shd w:val="clear" w:color="auto" w:fill="C6EFCE"/>
            <w:noWrap/>
            <w:vAlign w:val="center"/>
          </w:tcPr>
          <w:p w14:paraId="334D5842" w14:textId="77777777" w:rsidR="003F5418" w:rsidRDefault="002A6C25">
            <w:pPr>
              <w:pStyle w:val="P68B1DB1-Normal9"/>
              <w:rPr>
                <w:noProof/>
              </w:rPr>
            </w:pPr>
            <w:r>
              <w:rPr>
                <w:noProof/>
              </w:rPr>
              <w:t xml:space="preserve">Beruházás: Zöld kikötők: megújuló energiával és energiahatékonysággal kapcsolatos beavatkozások a kikötőkben </w:t>
            </w:r>
          </w:p>
        </w:tc>
        <w:tc>
          <w:tcPr>
            <w:tcW w:w="1498" w:type="dxa"/>
            <w:tcBorders>
              <w:top w:val="nil"/>
              <w:left w:val="nil"/>
              <w:bottom w:val="single" w:sz="4" w:space="0" w:color="auto"/>
              <w:right w:val="single" w:sz="4" w:space="0" w:color="auto"/>
            </w:tcBorders>
            <w:shd w:val="clear" w:color="auto" w:fill="C6EFCE"/>
            <w:noWrap/>
            <w:vAlign w:val="center"/>
          </w:tcPr>
          <w:p w14:paraId="393FA75B" w14:textId="77777777" w:rsidR="003F5418" w:rsidRDefault="002A6C25">
            <w:pPr>
              <w:pStyle w:val="P68B1DB1-Normal9"/>
              <w:jc w:val="center"/>
              <w:rPr>
                <w:noProof/>
              </w:rPr>
            </w:pPr>
            <w:r>
              <w:rPr>
                <w:noProof/>
              </w:rPr>
              <w:t xml:space="preserve">Cél </w:t>
            </w:r>
          </w:p>
        </w:tc>
        <w:tc>
          <w:tcPr>
            <w:tcW w:w="4091" w:type="dxa"/>
            <w:tcBorders>
              <w:top w:val="nil"/>
              <w:left w:val="nil"/>
              <w:bottom w:val="single" w:sz="4" w:space="0" w:color="auto"/>
              <w:right w:val="single" w:sz="4" w:space="0" w:color="auto"/>
            </w:tcBorders>
            <w:shd w:val="clear" w:color="auto" w:fill="C6EFCE"/>
            <w:noWrap/>
            <w:vAlign w:val="center"/>
          </w:tcPr>
          <w:p w14:paraId="5A041D8E" w14:textId="77777777" w:rsidR="003F5418" w:rsidRDefault="002A6C25">
            <w:pPr>
              <w:pStyle w:val="P68B1DB1-Normal9"/>
              <w:jc w:val="center"/>
              <w:rPr>
                <w:noProof/>
              </w:rPr>
            </w:pPr>
            <w:r>
              <w:rPr>
                <w:noProof/>
              </w:rPr>
              <w:t>Zöld kikötők: a munkálatok befejezése</w:t>
            </w:r>
          </w:p>
        </w:tc>
      </w:tr>
      <w:tr w:rsidR="003F5418" w14:paraId="03408899" w14:textId="77777777">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31998C" w14:textId="77777777" w:rsidR="003F5418" w:rsidRDefault="003F5418">
            <w:pPr>
              <w:jc w:val="center"/>
              <w:rPr>
                <w:noProof/>
                <w:color w:val="006100"/>
                <w:sz w:val="20"/>
              </w:rPr>
            </w:pPr>
          </w:p>
        </w:tc>
        <w:tc>
          <w:tcPr>
            <w:tcW w:w="3090" w:type="dxa"/>
            <w:tcBorders>
              <w:top w:val="single" w:sz="4" w:space="0" w:color="auto"/>
              <w:left w:val="nil"/>
              <w:bottom w:val="single" w:sz="4" w:space="0" w:color="auto"/>
              <w:right w:val="single" w:sz="4" w:space="0" w:color="auto"/>
            </w:tcBorders>
            <w:shd w:val="clear" w:color="auto" w:fill="C6EFCE"/>
            <w:noWrap/>
            <w:vAlign w:val="bottom"/>
          </w:tcPr>
          <w:p w14:paraId="3ADC7730" w14:textId="77777777" w:rsidR="003F5418" w:rsidRDefault="003F5418">
            <w:pPr>
              <w:rPr>
                <w:noProof/>
                <w:color w:val="006100"/>
                <w:sz w:val="20"/>
              </w:rPr>
            </w:pPr>
          </w:p>
        </w:tc>
        <w:tc>
          <w:tcPr>
            <w:tcW w:w="1498" w:type="dxa"/>
            <w:tcBorders>
              <w:top w:val="single" w:sz="4" w:space="0" w:color="auto"/>
              <w:left w:val="nil"/>
              <w:bottom w:val="single" w:sz="4" w:space="0" w:color="auto"/>
              <w:right w:val="single" w:sz="4" w:space="0" w:color="auto"/>
            </w:tcBorders>
            <w:shd w:val="clear" w:color="auto" w:fill="C6EFCE"/>
            <w:noWrap/>
            <w:vAlign w:val="bottom"/>
          </w:tcPr>
          <w:p w14:paraId="36D5326C" w14:textId="77777777" w:rsidR="003F5418" w:rsidRDefault="002A6C25">
            <w:pPr>
              <w:pStyle w:val="P68B1DB1-Normal9"/>
              <w:rPr>
                <w:noProof/>
              </w:rPr>
            </w:pPr>
            <w:r>
              <w:rPr>
                <w:noProof/>
              </w:rPr>
              <w:t>Részösszeg</w:t>
            </w:r>
          </w:p>
        </w:tc>
        <w:tc>
          <w:tcPr>
            <w:tcW w:w="4091" w:type="dxa"/>
            <w:tcBorders>
              <w:top w:val="single" w:sz="4" w:space="0" w:color="auto"/>
              <w:left w:val="nil"/>
              <w:bottom w:val="single" w:sz="4" w:space="0" w:color="auto"/>
              <w:right w:val="single" w:sz="4" w:space="0" w:color="auto"/>
            </w:tcBorders>
            <w:shd w:val="clear" w:color="auto" w:fill="C6EFCE"/>
            <w:noWrap/>
            <w:vAlign w:val="bottom"/>
          </w:tcPr>
          <w:p w14:paraId="2BFC25BD" w14:textId="27345EFC" w:rsidR="003F5418" w:rsidRDefault="002A6C25">
            <w:pPr>
              <w:pStyle w:val="P68B1DB1-Normal9"/>
              <w:rPr>
                <w:noProof/>
              </w:rPr>
            </w:pPr>
            <w:r>
              <w:rPr>
                <w:noProof/>
              </w:rPr>
              <w:t>19 919 595 964 EUR</w:t>
            </w:r>
          </w:p>
        </w:tc>
      </w:tr>
    </w:tbl>
    <w:p w14:paraId="19D0FD89" w14:textId="77777777" w:rsidR="003F5418" w:rsidRDefault="002A6C25">
      <w:pPr>
        <w:pStyle w:val="P68B1DB1-Normal33"/>
        <w:spacing w:after="200" w:line="276" w:lineRule="auto"/>
        <w:rPr>
          <w:noProof/>
        </w:rPr>
      </w:pPr>
      <w:r>
        <w:rPr>
          <w:noProof/>
        </w:rPr>
        <w:br w:type="page"/>
      </w:r>
    </w:p>
    <w:p w14:paraId="019B248D" w14:textId="77777777" w:rsidR="003F5418" w:rsidRDefault="002A6C25">
      <w:pPr>
        <w:pStyle w:val="P68B1DB1-Normal33"/>
        <w:spacing w:after="200" w:line="276" w:lineRule="auto"/>
        <w:rPr>
          <w:noProof/>
        </w:rPr>
      </w:pPr>
      <w:r>
        <w:rPr>
          <w:noProof/>
        </w:rPr>
        <w:t xml:space="preserve">3. SZAKASZ: KIEGÉSZÍTŐ INTÉZKEDÉSEK </w:t>
      </w:r>
    </w:p>
    <w:p w14:paraId="37D5D60B" w14:textId="77777777" w:rsidR="003F5418" w:rsidRDefault="002A6C25">
      <w:pPr>
        <w:pStyle w:val="P68B1DB1-NumPar141"/>
        <w:numPr>
          <w:ilvl w:val="0"/>
          <w:numId w:val="142"/>
        </w:numPr>
        <w:rPr>
          <w:noProof/>
        </w:rPr>
      </w:pPr>
      <w:r>
        <w:rPr>
          <w:noProof/>
        </w:rPr>
        <w:t>A helyreállítási és rezilienciaépítési terv nyomon követéséhez és végrehajtásához kapcsolódó intézkedések</w:t>
      </w:r>
    </w:p>
    <w:p w14:paraId="21812CE8" w14:textId="77777777" w:rsidR="003F5418" w:rsidRDefault="002A6C25">
      <w:pPr>
        <w:pStyle w:val="P68B1DB1-Normal35"/>
        <w:spacing w:before="120" w:after="120"/>
        <w:jc w:val="both"/>
        <w:rPr>
          <w:noProof/>
        </w:rPr>
      </w:pPr>
      <w:r>
        <w:rPr>
          <w:noProof/>
        </w:rPr>
        <w:t>Olaszország helyreállítási és rezilienciaépítési</w:t>
      </w:r>
      <w:r>
        <w:rPr>
          <w:noProof/>
        </w:rPr>
        <w:t xml:space="preserve"> tervének nyomon követése és végrehajtása a következő rendelkezéseknek megfelelően történik.</w:t>
      </w:r>
    </w:p>
    <w:p w14:paraId="73A4751A" w14:textId="77777777" w:rsidR="003F5418" w:rsidRDefault="002A6C25">
      <w:pPr>
        <w:pStyle w:val="P68B1DB1-Normal35"/>
        <w:spacing w:before="120" w:after="120"/>
        <w:jc w:val="both"/>
        <w:rPr>
          <w:noProof/>
        </w:rPr>
      </w:pPr>
      <w:r>
        <w:rPr>
          <w:noProof/>
        </w:rPr>
        <w:t>A 2023. február 24-i 13. sz. törvényerejű rendelettel módosított, 2021. május 31-i 77. sz. törvényerejű rendeletnek megfelelően a terv nyomon követésére és végreha</w:t>
      </w:r>
      <w:r>
        <w:rPr>
          <w:noProof/>
        </w:rPr>
        <w:t>jtására több koordináló struktúra jön létre. Ezek közé tartoznak különösen a következők: a Miniszterek Tanácsának elnökségén belül létrehozott magas szintű irányítóbizottság („cabina di regia”), amelynek fő feladata a terv végrehajtásának irányítása és koo</w:t>
      </w:r>
      <w:r>
        <w:rPr>
          <w:noProof/>
        </w:rPr>
        <w:t xml:space="preserve">rdinálása; ii. a Miniszterek Tanácsának elnöksége által – legalább a terv időtartamára – létrehozott küldetési struktúra, amely felhatalmazással rendelkezik arra, hogy a terv végrehajtása és nyomon követése tekintetében központi koordinációs struktúraként </w:t>
      </w:r>
      <w:r>
        <w:rPr>
          <w:noProof/>
        </w:rPr>
        <w:t>működjön; a Gazdasági és Pénzügyminisztérium technikai struktúrája, amely ellátja a terv végrehajtásának operatív nyomon követését, az eljárások és kiadások szabályszerűségének és a jelentéstételnek az ellenőrzését, valamint a végrehajtási szakasz technika</w:t>
      </w:r>
      <w:r>
        <w:rPr>
          <w:noProof/>
        </w:rPr>
        <w:t>i és operatív támogatását. Az Európai Bizottság felé a Miniszterelnöki Hivatalon belül létrehozott missziós struktúra jár el egyedüli nemzeti szintű kapcsolattartó pontként. A terv eredményeinek értékeléséről a Gazdasági és Pénzügyminisztérium gondoskodik.</w:t>
      </w:r>
      <w:r>
        <w:rPr>
          <w:noProof/>
        </w:rPr>
        <w:t xml:space="preserve"> Annak érdekében, hogy biztosított legyen a terv végrehajtásában való részvételük, a szociális partnerek és más érdekelt felek részt vesznek a »cabina di regia« célzott ülésein. Emellett a tervben foglalt intézkedésekért felelős valamennyi központi közigaz</w:t>
      </w:r>
      <w:r>
        <w:rPr>
          <w:noProof/>
        </w:rPr>
        <w:t>gatási szerv szintjén meghatároznak olyan koordináló struktúrákat, amelyek feladata – egyebek mellett a végrehajtás, valamint a mérföldkövek és a célok teljesítésében való előrehaladás felügyeletéhez kapcsolódóan is – az érintett intézkedések irányítása, n</w:t>
      </w:r>
      <w:r>
        <w:rPr>
          <w:noProof/>
        </w:rPr>
        <w:t>yomon követése, jelentése és kontrollja. Továbbá annak érdekében, hogy biztosított legyen a projektek eredményes és határidőre történő végrehajtása, és ex-ante mechanizmusok álljanak rendelkezésre a konfliktusok rendezéséhez, olyan jogérvényesítő mechanizm</w:t>
      </w:r>
      <w:r>
        <w:rPr>
          <w:noProof/>
        </w:rPr>
        <w:t>usokat is létrehoznak, amelyek – részben helyettesítő hatáskörök gyakorlásával is – eljárnak a tervben foglalt intézkedésekért felelős hatóságokkal szemben a végrehajtás során felmerülő vitás kérdések rendezésében.</w:t>
      </w:r>
    </w:p>
    <w:p w14:paraId="072D68D3" w14:textId="77777777" w:rsidR="003F5418" w:rsidRDefault="002A6C25">
      <w:pPr>
        <w:pStyle w:val="P68B1DB1-Normal35"/>
        <w:spacing w:before="120" w:after="120"/>
        <w:jc w:val="both"/>
        <w:rPr>
          <w:noProof/>
        </w:rPr>
      </w:pPr>
      <w:r>
        <w:rPr>
          <w:noProof/>
        </w:rPr>
        <w:t>A nyomon követés és a végrehajtás terület</w:t>
      </w:r>
      <w:r>
        <w:rPr>
          <w:noProof/>
        </w:rPr>
        <w:t>én rendelkezésre álló igazgatási kapacitás megerősítése érdekében ideiglenes alkalmazottak felvételét tervezik, részben a 2021. június 9-i 80. sz. törvényerejű rendeletnek megfelelően a tervben foglalt intézkedésekért felelős központi közigazgatási szervek</w:t>
      </w:r>
      <w:r>
        <w:rPr>
          <w:noProof/>
        </w:rPr>
        <w:t>nél és a Gazdasági és Pénzügyminisztériumnál (ideértve a központi koordináló struktúrát és az államháztartási főosztályt is), részben pedig a dél-olaszországi régiók közigazgatási szerveinél, amelyekben – különösen a 2020. évi 178. sz. törvénynek megfelelő</w:t>
      </w:r>
      <w:r>
        <w:rPr>
          <w:noProof/>
        </w:rPr>
        <w:t>en – meg kívánják erősíteni az uniós források tervezésében és felhasználásában részt vevő emberi erőforrásokat. Emellett a 2023. február 24-i 13. sz. törvényerejű rendeletnek megfelelően a hatékony működés biztosítása érdekében erőforrásokat kap a Miniszte</w:t>
      </w:r>
      <w:r>
        <w:rPr>
          <w:noProof/>
        </w:rPr>
        <w:t>relnöki Hivatalon belüli missziós struktúra is. Végezetül a központi és a helyi közigazgatási szervek a projektek végrehajtásával kapcsolatban technikai és operatív támogatást kapnak többek között az állami tőkével működő vállalatoktól és a technikai segít</w:t>
      </w:r>
      <w:r>
        <w:rPr>
          <w:noProof/>
        </w:rPr>
        <w:t>ségnyújtás céljából rendelkezésre álló szakértőktől, miközben külső szakértők igénybevételére is lehetőség lesz. Mindezekkel az intézkedésekkel párhuzamosan – a 2021. május 31-i 77. sz. törvényerejű rendelet és a 2023. február 24-i 13. sz. törvényerejű ren</w:t>
      </w:r>
      <w:r>
        <w:rPr>
          <w:noProof/>
        </w:rPr>
        <w:t xml:space="preserve">delet alapján – olyan intézkedésekre is sor kerül, amelyek a bürokrácia csökkentését és az igazgatási eljárások egyszerűsítését célozzák. </w:t>
      </w:r>
    </w:p>
    <w:p w14:paraId="741B1C39" w14:textId="77777777" w:rsidR="003F5418" w:rsidRDefault="002A6C25">
      <w:pPr>
        <w:pStyle w:val="P68B1DB1-Normal35"/>
        <w:spacing w:before="120" w:after="120"/>
        <w:jc w:val="both"/>
        <w:rPr>
          <w:noProof/>
        </w:rPr>
      </w:pPr>
      <w:r>
        <w:rPr>
          <w:noProof/>
        </w:rPr>
        <w:t>Az érintett szervezetek egy integrált informatikai rendszerre is támaszkodnak majd (ReGiS). A Gazdasági és Pénzügymin</w:t>
      </w:r>
      <w:r>
        <w:rPr>
          <w:noProof/>
        </w:rPr>
        <w:t>isztérium keretei között működő meglévő ellenőrző szervezet, az Európai Unióval fennálló pénzügyi kapcsolatokkal foglalkozó főfelügyelet (IGRUE) feladata lesz a pénzügyi ellenőrzési rendszerek koordinálása és a kontrolloknak az Állami Területi Számlák Hiva</w:t>
      </w:r>
      <w:r>
        <w:rPr>
          <w:noProof/>
        </w:rPr>
        <w:t>tala (RTS) segítségével történő elvégzése. Továbbra is rendelkezésre fognak állni a Pénzügyőrség és az érintett független hatóságok, többek között az ANAC nemzeti korrupcióellenes ügynökség támogatásának igénybevételét lehetővé tévő megerősített keretek, a</w:t>
      </w:r>
      <w:r>
        <w:rPr>
          <w:noProof/>
        </w:rPr>
        <w:t>melyek tovább növelik a szóban forgó hivataloknak az olasz jogrendszerben már eleve meglévő fontos szerepét az államháztartás – és ezen belül az uniós források – védelme területén.</w:t>
      </w:r>
    </w:p>
    <w:p w14:paraId="4F16B20A" w14:textId="77777777" w:rsidR="003F5418" w:rsidRDefault="002A6C25">
      <w:pPr>
        <w:pStyle w:val="P68B1DB1-NumPar134"/>
        <w:numPr>
          <w:ilvl w:val="0"/>
          <w:numId w:val="142"/>
        </w:numPr>
        <w:rPr>
          <w:noProof/>
        </w:rPr>
      </w:pPr>
      <w:r>
        <w:rPr>
          <w:noProof/>
        </w:rPr>
        <w:t>A Bizottságnak az alapul szolgáló adatokhoz való teljes körű hozzáférését b</w:t>
      </w:r>
      <w:r>
        <w:rPr>
          <w:noProof/>
        </w:rPr>
        <w:t>iztosító intézkedések</w:t>
      </w:r>
    </w:p>
    <w:p w14:paraId="34B902E0" w14:textId="77777777" w:rsidR="003F5418" w:rsidRDefault="002A6C25">
      <w:pPr>
        <w:pStyle w:val="P68B1DB1-Normal35"/>
        <w:spacing w:before="120" w:after="120"/>
        <w:jc w:val="both"/>
        <w:rPr>
          <w:noProof/>
        </w:rPr>
      </w:pPr>
      <w:r>
        <w:rPr>
          <w:noProof/>
        </w:rPr>
        <w:t>Annak érdekében, hogy a Bizottság teljes mértékben hozzáférjen az alapul szolgáló releváns adatokhoz, Olaszország a következő megállapodásokkal rendelkezik:</w:t>
      </w:r>
    </w:p>
    <w:p w14:paraId="38B00BAA" w14:textId="77777777" w:rsidR="003F5418" w:rsidRDefault="002A6C25">
      <w:pPr>
        <w:pStyle w:val="P68B1DB1-Normal35"/>
        <w:spacing w:before="120" w:after="120"/>
        <w:jc w:val="both"/>
        <w:rPr>
          <w:noProof/>
        </w:rPr>
      </w:pPr>
      <w:r>
        <w:rPr>
          <w:noProof/>
        </w:rPr>
        <w:t>A Gazdasági és Pénzügyminisztérium jár el a nyomon követést végző technikai s</w:t>
      </w:r>
      <w:r>
        <w:rPr>
          <w:noProof/>
        </w:rPr>
        <w:t>truktúraként, ideértve a mérföldkövek és a célok teljesítésében elért előrehaladás nyomon követését is, meghatározott esetekben kontroll- és ellenőrzési tevékenységet végez a végrehajtással kapcsolatban, és elkészíti a jelentéseket és a kifizetési kérelmek</w:t>
      </w:r>
      <w:r>
        <w:rPr>
          <w:noProof/>
        </w:rPr>
        <w:t xml:space="preserve">et. Emellett koordinálja a mérföldkövekkel és a célokkal, a kapcsolódó mutatókkal, valamint a kvalitatív pénzügyi információkkal és más adatokkal, köztük a végső kedvezményezettek adataival kapcsolatos jelentéstételt. Az adatok rögzítése a tervben foglalt </w:t>
      </w:r>
      <w:r>
        <w:rPr>
          <w:noProof/>
        </w:rPr>
        <w:t>intézkedésekért felelős központi közigazgatási szervek szintjén történik, amelyek a szükséges adatokat jelentik a Gazdasági és Pénzügyminisztériumnak. Az (EU) 2021/241 rendelet 24. cikkének (2) bekezdésével összhangban az e melléklet 2.1. szakaszában feltü</w:t>
      </w:r>
      <w:r>
        <w:rPr>
          <w:noProof/>
        </w:rPr>
        <w:t>ntetett, releváns elfogadott mérföldkövek és célok teljesítését követően Olaszország a pénzügyi hozzájárulás és adott esetben a hitel kifizetése érdekében kellően indokolt kérelmet nyújt be a Bizottságnak. Olaszország – mind az (EU) 2021/241 rendelet 24. c</w:t>
      </w:r>
      <w:r>
        <w:rPr>
          <w:noProof/>
        </w:rPr>
        <w:t>ikkének (3) bekezdése szerinti, a kifizetési kérelem vonatkozásában elvégzendő értékelés céljából, mind pedig ellenőrzési és kontrollcélokból – köteles biztosítani, hogy a Bizottság kérésre teljes körben hozzáférjen a kifizetési kérelem kellő indokoltságát</w:t>
      </w:r>
      <w:r>
        <w:rPr>
          <w:noProof/>
        </w:rPr>
        <w:t xml:space="preserve"> alátámasztó alapul szolgáló releváns adatokhoz.</w:t>
      </w:r>
    </w:p>
    <w:p w14:paraId="54BC4CC0" w14:textId="77777777" w:rsidR="003F5418" w:rsidRDefault="003F5418">
      <w:pPr>
        <w:rPr>
          <w:noProof/>
        </w:rPr>
      </w:pPr>
    </w:p>
    <w:p w14:paraId="258E3BD0" w14:textId="77777777" w:rsidR="003F5418" w:rsidRDefault="003F5418">
      <w:pPr>
        <w:rPr>
          <w:noProof/>
        </w:rPr>
      </w:pPr>
    </w:p>
    <w:sectPr w:rsidR="003F5418">
      <w:headerReference w:type="even" r:id="rId435"/>
      <w:headerReference w:type="default" r:id="rId436"/>
      <w:footerReference w:type="even" r:id="rId437"/>
      <w:footerReference w:type="default" r:id="rId438"/>
      <w:headerReference w:type="first" r:id="rId439"/>
      <w:footerReference w:type="first" r:id="rId4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DEB75" w14:textId="77777777" w:rsidR="00AE0637" w:rsidRDefault="00AE0637">
      <w:r>
        <w:separator/>
      </w:r>
    </w:p>
  </w:endnote>
  <w:endnote w:type="continuationSeparator" w:id="0">
    <w:p w14:paraId="03C6D0E1" w14:textId="77777777" w:rsidR="00AE0637" w:rsidRDefault="00AE0637">
      <w:r>
        <w:continuationSeparator/>
      </w:r>
    </w:p>
  </w:endnote>
  <w:endnote w:type="continuationNotice" w:id="1">
    <w:p w14:paraId="4E4395BA" w14:textId="77777777" w:rsidR="00AE0637" w:rsidRDefault="00AE0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EC Square Sans Pro">
    <w:charset w:val="00"/>
    <w:family w:val="swiss"/>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CCD9" w14:textId="5205634E" w:rsidR="002A6C25" w:rsidRPr="002A6C25" w:rsidRDefault="002A6C25" w:rsidP="002A6C25">
    <w:pPr>
      <w:pStyle w:val="FooterCoverPage"/>
      <w:rPr>
        <w:rFonts w:ascii="Arial" w:hAnsi="Arial" w:cs="Arial"/>
        <w:b/>
        <w:sz w:val="48"/>
      </w:rPr>
    </w:pPr>
    <w:r w:rsidRPr="002A6C25">
      <w:rPr>
        <w:rFonts w:ascii="Arial" w:hAnsi="Arial" w:cs="Arial"/>
        <w:b/>
        <w:sz w:val="48"/>
      </w:rPr>
      <w:t>HU</w:t>
    </w:r>
    <w:r w:rsidRPr="002A6C25">
      <w:rPr>
        <w:rFonts w:ascii="Arial" w:hAnsi="Arial" w:cs="Arial"/>
        <w:b/>
        <w:sz w:val="48"/>
      </w:rPr>
      <w:tab/>
    </w:r>
    <w:r w:rsidRPr="002A6C25">
      <w:rPr>
        <w:rFonts w:ascii="Arial" w:hAnsi="Arial" w:cs="Arial"/>
        <w:b/>
        <w:sz w:val="48"/>
      </w:rPr>
      <w:tab/>
    </w:r>
    <w:r w:rsidRPr="002A6C25">
      <w:tab/>
    </w:r>
    <w:r w:rsidRPr="002A6C25">
      <w:rPr>
        <w:rFonts w:ascii="Arial" w:hAnsi="Arial" w:cs="Arial"/>
        <w:b/>
        <w:sz w:val="48"/>
      </w:rPr>
      <w:t>HU</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5D41" w14:textId="77777777" w:rsidR="003F5418" w:rsidRDefault="003F5418">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6310" w14:textId="77777777" w:rsidR="003F5418" w:rsidRDefault="003F541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795532"/>
      <w:docPartObj>
        <w:docPartGallery w:val="Page Numbers (Bottom of Page)"/>
        <w:docPartUnique/>
      </w:docPartObj>
    </w:sdtPr>
    <w:sdtEndPr>
      <w:rPr>
        <w:noProof/>
      </w:rPr>
    </w:sdtEndPr>
    <w:sdtContent>
      <w:p w14:paraId="4CA5DDA3" w14:textId="409932B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2762C1C" w14:textId="77777777" w:rsidR="003F5418" w:rsidRDefault="003F5418">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E867" w14:textId="77777777" w:rsidR="003F5418" w:rsidRDefault="003F541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C055B" w14:textId="77777777" w:rsidR="003F5418" w:rsidRDefault="003F541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231685"/>
      <w:docPartObj>
        <w:docPartGallery w:val="Page Numbers (Bottom of Page)"/>
        <w:docPartUnique/>
      </w:docPartObj>
    </w:sdtPr>
    <w:sdtEndPr>
      <w:rPr>
        <w:noProof/>
      </w:rPr>
    </w:sdtEndPr>
    <w:sdtContent>
      <w:p w14:paraId="69FD7B71" w14:textId="2BAFA62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7304A5B" w14:textId="77777777" w:rsidR="003F5418" w:rsidRDefault="003F5418">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EAD3" w14:textId="77777777" w:rsidR="003F5418" w:rsidRDefault="003F541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C7042" w14:textId="77777777" w:rsidR="003F5418" w:rsidRDefault="003F541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909044"/>
      <w:docPartObj>
        <w:docPartGallery w:val="Page Numbers (Bottom of Page)"/>
        <w:docPartUnique/>
      </w:docPartObj>
    </w:sdtPr>
    <w:sdtEndPr>
      <w:rPr>
        <w:noProof/>
      </w:rPr>
    </w:sdtEndPr>
    <w:sdtContent>
      <w:p w14:paraId="267E4C8B" w14:textId="4B600B12"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B24692D" w14:textId="77777777" w:rsidR="003F5418" w:rsidRDefault="003F5418">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5D60A" w14:textId="77777777" w:rsidR="003F5418" w:rsidRDefault="003F541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CA0D7" w14:textId="77777777" w:rsidR="003F5418" w:rsidRDefault="003F54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504340"/>
      <w:docPartObj>
        <w:docPartGallery w:val="Page Numbers (Bottom of Page)"/>
        <w:docPartUnique/>
      </w:docPartObj>
    </w:sdtPr>
    <w:sdtEndPr>
      <w:rPr>
        <w:noProof/>
      </w:rPr>
    </w:sdtEndPr>
    <w:sdtContent>
      <w:p w14:paraId="592095E8" w14:textId="0672994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3A3D81A" w14:textId="77777777" w:rsidR="003F5418" w:rsidRDefault="003F5418">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51712"/>
      <w:docPartObj>
        <w:docPartGallery w:val="Page Numbers (Bottom of Page)"/>
        <w:docPartUnique/>
      </w:docPartObj>
    </w:sdtPr>
    <w:sdtEndPr>
      <w:rPr>
        <w:noProof/>
      </w:rPr>
    </w:sdtEndPr>
    <w:sdtContent>
      <w:p w14:paraId="5A72AC44" w14:textId="444DC1D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25618D8" w14:textId="77777777" w:rsidR="003F5418" w:rsidRDefault="003F5418">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C9DC" w14:textId="77777777" w:rsidR="003F5418" w:rsidRDefault="003F541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BFD57" w14:textId="77777777" w:rsidR="003F5418" w:rsidRDefault="003F5418">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649965"/>
      <w:docPartObj>
        <w:docPartGallery w:val="Page Numbers (Bottom of Page)"/>
        <w:docPartUnique/>
      </w:docPartObj>
    </w:sdtPr>
    <w:sdtEndPr>
      <w:rPr>
        <w:noProof/>
      </w:rPr>
    </w:sdtEndPr>
    <w:sdtContent>
      <w:p w14:paraId="6D0CDAB7" w14:textId="3B657CF6"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D45C6BC" w14:textId="77777777" w:rsidR="003F5418" w:rsidRDefault="003F5418">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ADFE" w14:textId="77777777" w:rsidR="003F5418" w:rsidRDefault="003F541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14CDA" w14:textId="77777777" w:rsidR="003F5418" w:rsidRDefault="003F541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535438"/>
      <w:docPartObj>
        <w:docPartGallery w:val="Page Numbers (Bottom of Page)"/>
        <w:docPartUnique/>
      </w:docPartObj>
    </w:sdtPr>
    <w:sdtEndPr>
      <w:rPr>
        <w:noProof/>
      </w:rPr>
    </w:sdtEndPr>
    <w:sdtContent>
      <w:p w14:paraId="06EC7DA3" w14:textId="11F3F55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074E1FB" w14:textId="77777777" w:rsidR="003F5418" w:rsidRDefault="003F5418">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8B8A5" w14:textId="77777777" w:rsidR="003F5418" w:rsidRDefault="003F541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A7086" w14:textId="77777777" w:rsidR="003F5418" w:rsidRDefault="003F541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378442"/>
      <w:docPartObj>
        <w:docPartGallery w:val="Page Numbers (Bottom of Page)"/>
        <w:docPartUnique/>
      </w:docPartObj>
    </w:sdtPr>
    <w:sdtEndPr>
      <w:rPr>
        <w:noProof/>
      </w:rPr>
    </w:sdtEndPr>
    <w:sdtContent>
      <w:p w14:paraId="5F9A315E" w14:textId="735BDC8B"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5C0FEC4" w14:textId="77777777" w:rsidR="003F5418" w:rsidRDefault="003F5418">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A9DBE" w14:textId="77777777" w:rsidR="003F5418" w:rsidRDefault="003F541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96599" w14:textId="77777777" w:rsidR="003F5418" w:rsidRDefault="003F5418">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C085" w14:textId="77777777" w:rsidR="003F5418" w:rsidRDefault="003F5418">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553045"/>
      <w:docPartObj>
        <w:docPartGallery w:val="Page Numbers (Bottom of Page)"/>
        <w:docPartUnique/>
      </w:docPartObj>
    </w:sdtPr>
    <w:sdtEndPr>
      <w:rPr>
        <w:noProof/>
      </w:rPr>
    </w:sdtEndPr>
    <w:sdtContent>
      <w:p w14:paraId="14699331" w14:textId="633749CB" w:rsidR="003F5418" w:rsidRDefault="002A6C25">
        <w:pPr>
          <w:pStyle w:val="Footer"/>
          <w:jc w:val="center"/>
        </w:pPr>
        <w:r>
          <w:fldChar w:fldCharType="begin"/>
        </w:r>
        <w:r>
          <w:instrText xml:space="preserve"> PA</w:instrText>
        </w:r>
        <w:r>
          <w:instrText xml:space="preserve">GE   \* MERGEFORMAT </w:instrText>
        </w:r>
        <w:r>
          <w:fldChar w:fldCharType="separate"/>
        </w:r>
        <w:r>
          <w:t>2</w:t>
        </w:r>
        <w:r>
          <w:fldChar w:fldCharType="end"/>
        </w:r>
      </w:p>
    </w:sdtContent>
  </w:sdt>
  <w:p w14:paraId="62F69CC3" w14:textId="77777777" w:rsidR="003F5418" w:rsidRDefault="003F5418">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FCA2" w14:textId="77777777" w:rsidR="003F5418" w:rsidRDefault="003F541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EAF7" w14:textId="77777777" w:rsidR="003F5418" w:rsidRDefault="003F541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300025"/>
      <w:docPartObj>
        <w:docPartGallery w:val="Page Numbers (Bottom of Page)"/>
        <w:docPartUnique/>
      </w:docPartObj>
    </w:sdtPr>
    <w:sdtEndPr>
      <w:rPr>
        <w:noProof/>
      </w:rPr>
    </w:sdtEndPr>
    <w:sdtContent>
      <w:p w14:paraId="0B6D9E84" w14:textId="6B28B6CF"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43C8B78" w14:textId="77777777" w:rsidR="003F5418" w:rsidRDefault="003F5418">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9DE88" w14:textId="77777777" w:rsidR="003F5418" w:rsidRDefault="003F541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5EEB" w14:textId="77777777" w:rsidR="003F5418" w:rsidRDefault="003F541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09279"/>
      <w:docPartObj>
        <w:docPartGallery w:val="Page Numbers (Bottom of Page)"/>
        <w:docPartUnique/>
      </w:docPartObj>
    </w:sdtPr>
    <w:sdtEndPr>
      <w:rPr>
        <w:noProof/>
      </w:rPr>
    </w:sdtEndPr>
    <w:sdtContent>
      <w:p w14:paraId="5BE7BBE1" w14:textId="3A58F8A0"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719E035" w14:textId="77777777" w:rsidR="003F5418" w:rsidRDefault="003F5418">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46F5" w14:textId="77777777" w:rsidR="003F5418" w:rsidRDefault="003F541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6A5A3" w14:textId="77777777" w:rsidR="003F5418" w:rsidRDefault="003F5418">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4272" w14:textId="77777777" w:rsidR="003F5418" w:rsidRDefault="003F541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487318"/>
      <w:docPartObj>
        <w:docPartGallery w:val="Page Numbers (Bottom of Page)"/>
        <w:docPartUnique/>
      </w:docPartObj>
    </w:sdtPr>
    <w:sdtEndPr>
      <w:rPr>
        <w:noProof/>
      </w:rPr>
    </w:sdtEndPr>
    <w:sdtContent>
      <w:p w14:paraId="3DF018E1" w14:textId="7758FCA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472E61C" w14:textId="77777777" w:rsidR="003F5418" w:rsidRDefault="003F5418">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C640" w14:textId="77777777" w:rsidR="003F5418" w:rsidRDefault="003F541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C05E6" w14:textId="77777777" w:rsidR="003F5418" w:rsidRDefault="003F5418">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17778"/>
      <w:docPartObj>
        <w:docPartGallery w:val="Page Numbers (Bottom of Page)"/>
        <w:docPartUnique/>
      </w:docPartObj>
    </w:sdtPr>
    <w:sdtEndPr>
      <w:rPr>
        <w:noProof/>
      </w:rPr>
    </w:sdtEndPr>
    <w:sdtContent>
      <w:p w14:paraId="799F2089" w14:textId="6DE8D73F"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3F51F1E" w14:textId="77777777" w:rsidR="003F5418" w:rsidRDefault="003F5418">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9618" w14:textId="77777777" w:rsidR="003F5418" w:rsidRDefault="003F541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45BF" w14:textId="77777777" w:rsidR="003F5418" w:rsidRDefault="003F541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04405"/>
      <w:docPartObj>
        <w:docPartGallery w:val="Page Numbers (Bottom of Page)"/>
        <w:docPartUnique/>
      </w:docPartObj>
    </w:sdtPr>
    <w:sdtEndPr>
      <w:rPr>
        <w:noProof/>
      </w:rPr>
    </w:sdtEndPr>
    <w:sdtContent>
      <w:p w14:paraId="4CA94273" w14:textId="68096B79"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337B80F" w14:textId="77777777" w:rsidR="003F5418" w:rsidRDefault="003F5418">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D8E23" w14:textId="77777777" w:rsidR="003F5418" w:rsidRDefault="003F541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3C83" w14:textId="77777777" w:rsidR="003F5418" w:rsidRDefault="003F541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844585"/>
      <w:docPartObj>
        <w:docPartGallery w:val="Page Numbers (Bottom of Page)"/>
        <w:docPartUnique/>
      </w:docPartObj>
    </w:sdtPr>
    <w:sdtEndPr>
      <w:rPr>
        <w:noProof/>
      </w:rPr>
    </w:sdtEndPr>
    <w:sdtContent>
      <w:p w14:paraId="4EF57810" w14:textId="265FF492"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C016703" w14:textId="77777777" w:rsidR="003F5418" w:rsidRDefault="003F5418">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250502"/>
      <w:docPartObj>
        <w:docPartGallery w:val="Page Numbers (Bottom of Page)"/>
        <w:docPartUnique/>
      </w:docPartObj>
    </w:sdtPr>
    <w:sdtEndPr>
      <w:rPr>
        <w:noProof/>
      </w:rPr>
    </w:sdtEndPr>
    <w:sdtContent>
      <w:p w14:paraId="2C052AB8" w14:textId="4D3490C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726E64B" w14:textId="77777777" w:rsidR="003F5418" w:rsidRDefault="003F5418">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2C3D" w14:textId="77777777" w:rsidR="003F5418" w:rsidRDefault="003F541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84A8" w14:textId="77777777" w:rsidR="003F5418" w:rsidRDefault="003F5418">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33636"/>
      <w:docPartObj>
        <w:docPartGallery w:val="Page Numbers (Bottom of Page)"/>
        <w:docPartUnique/>
      </w:docPartObj>
    </w:sdtPr>
    <w:sdtEndPr>
      <w:rPr>
        <w:noProof/>
      </w:rPr>
    </w:sdtEndPr>
    <w:sdtContent>
      <w:p w14:paraId="78A1816F" w14:textId="23EA836D"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CE87CE0" w14:textId="77777777" w:rsidR="003F5418" w:rsidRDefault="003F5418">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433F" w14:textId="77777777" w:rsidR="003F5418" w:rsidRDefault="003F5418">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0A62" w14:textId="77777777" w:rsidR="003F5418" w:rsidRDefault="003F5418">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582437"/>
      <w:docPartObj>
        <w:docPartGallery w:val="Page Numbers (Bottom of Page)"/>
        <w:docPartUnique/>
      </w:docPartObj>
    </w:sdtPr>
    <w:sdtEndPr>
      <w:rPr>
        <w:noProof/>
      </w:rPr>
    </w:sdtEndPr>
    <w:sdtContent>
      <w:p w14:paraId="12422BC7" w14:textId="6B034512"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9C3272E" w14:textId="77777777" w:rsidR="003F5418" w:rsidRDefault="003F5418">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8C72" w14:textId="77777777" w:rsidR="003F5418" w:rsidRDefault="003F541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17B6" w14:textId="77777777" w:rsidR="003F5418" w:rsidRDefault="003F541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87498"/>
      <w:docPartObj>
        <w:docPartGallery w:val="Page Numbers (Bottom of Page)"/>
        <w:docPartUnique/>
      </w:docPartObj>
    </w:sdtPr>
    <w:sdtEndPr>
      <w:rPr>
        <w:noProof/>
      </w:rPr>
    </w:sdtEndPr>
    <w:sdtContent>
      <w:p w14:paraId="05D9B66B" w14:textId="67B04F54"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79E8A40" w14:textId="77777777" w:rsidR="003F5418" w:rsidRDefault="003F5418">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FAE20" w14:textId="77777777" w:rsidR="003F5418" w:rsidRDefault="003F5418">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5141" w14:textId="77777777" w:rsidR="003F5418" w:rsidRDefault="003F5418">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C75C" w14:textId="77777777" w:rsidR="003F5418" w:rsidRDefault="003F5418">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48900"/>
      <w:docPartObj>
        <w:docPartGallery w:val="Page Numbers (Bottom of Page)"/>
        <w:docPartUnique/>
      </w:docPartObj>
    </w:sdtPr>
    <w:sdtEndPr>
      <w:rPr>
        <w:noProof/>
      </w:rPr>
    </w:sdtEndPr>
    <w:sdtContent>
      <w:p w14:paraId="3DA24F96" w14:textId="23ADB462"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4CE979F" w14:textId="77777777" w:rsidR="003F5418" w:rsidRDefault="003F5418">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3894D" w14:textId="77777777" w:rsidR="003F5418" w:rsidRDefault="003F541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7000" w14:textId="77777777" w:rsidR="003F5418" w:rsidRDefault="003F5418">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180683"/>
      <w:docPartObj>
        <w:docPartGallery w:val="Page Numbers (Bottom of Page)"/>
        <w:docPartUnique/>
      </w:docPartObj>
    </w:sdtPr>
    <w:sdtEndPr>
      <w:rPr>
        <w:noProof/>
      </w:rPr>
    </w:sdtEndPr>
    <w:sdtContent>
      <w:p w14:paraId="42AF5211" w14:textId="0627AB8D"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122F80AD" w14:textId="77777777" w:rsidR="003F5418" w:rsidRDefault="003F5418">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D8CC8" w14:textId="77777777" w:rsidR="003F5418" w:rsidRDefault="003F541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93F77" w14:textId="77777777" w:rsidR="003F5418" w:rsidRDefault="003F5418">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031883"/>
      <w:docPartObj>
        <w:docPartGallery w:val="Page Numbers (Bottom of Page)"/>
        <w:docPartUnique/>
      </w:docPartObj>
    </w:sdtPr>
    <w:sdtEndPr>
      <w:rPr>
        <w:noProof/>
      </w:rPr>
    </w:sdtEndPr>
    <w:sdtContent>
      <w:p w14:paraId="5849E3A1" w14:textId="6222199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871E414" w14:textId="77777777" w:rsidR="003F5418" w:rsidRDefault="003F5418">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FB72" w14:textId="77777777" w:rsidR="003F5418" w:rsidRDefault="003F541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2F67" w14:textId="77777777" w:rsidR="003F5418" w:rsidRDefault="003F5418">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38C0E" w14:textId="77777777" w:rsidR="003F5418" w:rsidRDefault="003F5418">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8663"/>
      <w:docPartObj>
        <w:docPartGallery w:val="Page Numbers (Bottom of Page)"/>
        <w:docPartUnique/>
      </w:docPartObj>
    </w:sdtPr>
    <w:sdtEndPr>
      <w:rPr>
        <w:noProof/>
      </w:rPr>
    </w:sdtEndPr>
    <w:sdtContent>
      <w:p w14:paraId="099EBCEC" w14:textId="0C83B38F"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100D9787" w14:textId="77777777" w:rsidR="003F5418" w:rsidRDefault="003F5418">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C1A6" w14:textId="77777777" w:rsidR="003F5418" w:rsidRDefault="003F541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C837" w14:textId="77777777" w:rsidR="003F5418" w:rsidRDefault="003F5418">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676152"/>
      <w:docPartObj>
        <w:docPartGallery w:val="Page Numbers (Bottom of Page)"/>
        <w:docPartUnique/>
      </w:docPartObj>
    </w:sdtPr>
    <w:sdtEndPr>
      <w:rPr>
        <w:noProof/>
      </w:rPr>
    </w:sdtEndPr>
    <w:sdtContent>
      <w:p w14:paraId="38B8AFDA" w14:textId="10425ACF"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5327D74" w14:textId="77777777" w:rsidR="003F5418" w:rsidRDefault="003F5418">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79BC7" w14:textId="77777777" w:rsidR="003F5418" w:rsidRDefault="003F541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D72F" w14:textId="77777777" w:rsidR="003F5418" w:rsidRDefault="003F5418">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835686"/>
      <w:docPartObj>
        <w:docPartGallery w:val="Page Numbers (Bottom of Page)"/>
        <w:docPartUnique/>
      </w:docPartObj>
    </w:sdtPr>
    <w:sdtEndPr>
      <w:rPr>
        <w:noProof/>
      </w:rPr>
    </w:sdtEndPr>
    <w:sdtContent>
      <w:p w14:paraId="37223423" w14:textId="4E4E02E8"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918FB4E" w14:textId="77777777" w:rsidR="003F5418" w:rsidRDefault="003F5418">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75FB" w14:textId="77777777" w:rsidR="003F5418" w:rsidRDefault="003F541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DF091" w14:textId="77777777" w:rsidR="003F5418" w:rsidRDefault="003F541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924729"/>
      <w:docPartObj>
        <w:docPartGallery w:val="Page Numbers (Bottom of Page)"/>
        <w:docPartUnique/>
      </w:docPartObj>
    </w:sdtPr>
    <w:sdtEndPr>
      <w:rPr>
        <w:noProof/>
      </w:rPr>
    </w:sdtEndPr>
    <w:sdtContent>
      <w:p w14:paraId="098EDE89" w14:textId="119A5EE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33A1738" w14:textId="77777777" w:rsidR="003F5418" w:rsidRDefault="003F5418">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979719"/>
      <w:docPartObj>
        <w:docPartGallery w:val="Page Numbers (Bottom of Page)"/>
        <w:docPartUnique/>
      </w:docPartObj>
    </w:sdtPr>
    <w:sdtEndPr>
      <w:rPr>
        <w:noProof/>
      </w:rPr>
    </w:sdtEndPr>
    <w:sdtContent>
      <w:p w14:paraId="0303F685" w14:textId="674A1FD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C981954" w14:textId="77777777" w:rsidR="003F5418" w:rsidRDefault="003F5418">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7258" w14:textId="77777777" w:rsidR="003F5418" w:rsidRDefault="003F541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DFF0" w14:textId="77777777" w:rsidR="003F5418" w:rsidRDefault="003F541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9950"/>
      <w:docPartObj>
        <w:docPartGallery w:val="Page Numbers (Bottom of Page)"/>
        <w:docPartUnique/>
      </w:docPartObj>
    </w:sdtPr>
    <w:sdtEndPr>
      <w:rPr>
        <w:noProof/>
      </w:rPr>
    </w:sdtEndPr>
    <w:sdtContent>
      <w:p w14:paraId="0BFAA725" w14:textId="456DBED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95F1554" w14:textId="77777777" w:rsidR="003F5418" w:rsidRDefault="003F5418">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B674" w14:textId="77777777" w:rsidR="003F5418" w:rsidRDefault="003F541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742D9" w14:textId="77777777" w:rsidR="003F5418" w:rsidRDefault="003F541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572471"/>
      <w:docPartObj>
        <w:docPartGallery w:val="Page Numbers (Bottom of Page)"/>
        <w:docPartUnique/>
      </w:docPartObj>
    </w:sdtPr>
    <w:sdtEndPr>
      <w:rPr>
        <w:noProof/>
      </w:rPr>
    </w:sdtEndPr>
    <w:sdtContent>
      <w:p w14:paraId="4F681071" w14:textId="57D7F1E5"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C0960F7" w14:textId="77777777" w:rsidR="003F5418" w:rsidRDefault="003F5418">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FA172" w14:textId="77777777" w:rsidR="003F5418" w:rsidRDefault="003F541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0BEC1" w14:textId="77777777" w:rsidR="003F5418" w:rsidRDefault="003F541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695283"/>
      <w:docPartObj>
        <w:docPartGallery w:val="Page Numbers (Bottom of Page)"/>
        <w:docPartUnique/>
      </w:docPartObj>
    </w:sdtPr>
    <w:sdtEndPr>
      <w:rPr>
        <w:noProof/>
      </w:rPr>
    </w:sdtEndPr>
    <w:sdtContent>
      <w:p w14:paraId="4F53D548" w14:textId="76DC19C7"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BC3D139" w14:textId="77777777" w:rsidR="003F5418" w:rsidRDefault="003F5418">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A8EAE" w14:textId="77777777" w:rsidR="003F5418" w:rsidRDefault="003F5418">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57F1" w14:textId="77777777" w:rsidR="003F5418" w:rsidRDefault="003F541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6B76" w14:textId="77777777" w:rsidR="003F5418" w:rsidRDefault="003F541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8887"/>
      <w:docPartObj>
        <w:docPartGallery w:val="Page Numbers (Bottom of Page)"/>
        <w:docPartUnique/>
      </w:docPartObj>
    </w:sdtPr>
    <w:sdtEndPr>
      <w:rPr>
        <w:noProof/>
      </w:rPr>
    </w:sdtEndPr>
    <w:sdtContent>
      <w:p w14:paraId="3F27C110" w14:textId="558FA981"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236945E" w14:textId="77777777" w:rsidR="003F5418" w:rsidRDefault="003F5418">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2D708" w14:textId="77777777" w:rsidR="003F5418" w:rsidRDefault="003F541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4DE6" w14:textId="77777777" w:rsidR="003F5418" w:rsidRDefault="003F541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245955"/>
      <w:docPartObj>
        <w:docPartGallery w:val="Page Numbers (Bottom of Page)"/>
        <w:docPartUnique/>
      </w:docPartObj>
    </w:sdtPr>
    <w:sdtEndPr>
      <w:rPr>
        <w:noProof/>
      </w:rPr>
    </w:sdtEndPr>
    <w:sdtContent>
      <w:p w14:paraId="55290BCF" w14:textId="2EE65E61"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01A8984" w14:textId="77777777" w:rsidR="003F5418" w:rsidRDefault="003F5418">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6236E" w14:textId="77777777" w:rsidR="003F5418" w:rsidRDefault="003F5418">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B1E48" w14:textId="77777777" w:rsidR="003F5418" w:rsidRDefault="003F541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572551"/>
      <w:docPartObj>
        <w:docPartGallery w:val="Page Numbers (Bottom of Page)"/>
        <w:docPartUnique/>
      </w:docPartObj>
    </w:sdtPr>
    <w:sdtEndPr>
      <w:rPr>
        <w:noProof/>
      </w:rPr>
    </w:sdtEndPr>
    <w:sdtContent>
      <w:p w14:paraId="657940E3" w14:textId="3E2460A3"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3C633A1" w14:textId="77777777" w:rsidR="003F5418" w:rsidRDefault="003F5418">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C9D6" w14:textId="77777777" w:rsidR="003F5418" w:rsidRDefault="003F541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843DD" w14:textId="77777777" w:rsidR="003F5418" w:rsidRDefault="003F5418">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61B69" w14:textId="77777777" w:rsidR="003F5418" w:rsidRDefault="003F541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122785"/>
      <w:docPartObj>
        <w:docPartGallery w:val="Page Numbers (Bottom of Page)"/>
        <w:docPartUnique/>
      </w:docPartObj>
    </w:sdtPr>
    <w:sdtEndPr>
      <w:rPr>
        <w:noProof/>
      </w:rPr>
    </w:sdtEndPr>
    <w:sdtContent>
      <w:p w14:paraId="6B949214" w14:textId="68886236"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1A0FAD96" w14:textId="77777777" w:rsidR="003F5418" w:rsidRDefault="003F5418">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9669" w14:textId="77777777" w:rsidR="003F5418" w:rsidRDefault="003F5418">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6EFB" w14:textId="77777777" w:rsidR="003F5418" w:rsidRDefault="003F541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580418"/>
      <w:docPartObj>
        <w:docPartGallery w:val="Page Numbers (Bottom of Page)"/>
        <w:docPartUnique/>
      </w:docPartObj>
    </w:sdtPr>
    <w:sdtEndPr>
      <w:rPr>
        <w:noProof/>
      </w:rPr>
    </w:sdtEndPr>
    <w:sdtContent>
      <w:p w14:paraId="06EE22C6" w14:textId="439B4D98"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652AEA2" w14:textId="77777777" w:rsidR="003F5418" w:rsidRDefault="003F5418">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257FC" w14:textId="77777777" w:rsidR="003F5418" w:rsidRDefault="003F5418">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6F8B" w14:textId="77777777" w:rsidR="003F5418" w:rsidRDefault="003F541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76722"/>
      <w:docPartObj>
        <w:docPartGallery w:val="Page Numbers (Bottom of Page)"/>
        <w:docPartUnique/>
      </w:docPartObj>
    </w:sdtPr>
    <w:sdtEndPr>
      <w:rPr>
        <w:noProof/>
      </w:rPr>
    </w:sdtEndPr>
    <w:sdtContent>
      <w:p w14:paraId="2DAD2719" w14:textId="586BB2C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6C87FD2" w14:textId="77777777" w:rsidR="003F5418" w:rsidRDefault="003F5418">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ED93" w14:textId="77777777" w:rsidR="003F5418" w:rsidRDefault="003F5418">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EADB2" w14:textId="77777777" w:rsidR="003F5418" w:rsidRDefault="003F54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D0B61" w14:textId="6F16FE12" w:rsidR="002A6C25" w:rsidRPr="002A6C25" w:rsidRDefault="002A6C25" w:rsidP="002A6C25">
    <w:pPr>
      <w:pStyle w:val="FooterCoverPage"/>
      <w:rPr>
        <w:rFonts w:ascii="Arial" w:hAnsi="Arial" w:cs="Arial"/>
        <w:b/>
        <w:sz w:val="48"/>
      </w:rPr>
    </w:pPr>
    <w:r w:rsidRPr="002A6C25">
      <w:rPr>
        <w:rFonts w:ascii="Arial" w:hAnsi="Arial" w:cs="Arial"/>
        <w:b/>
        <w:sz w:val="48"/>
      </w:rPr>
      <w:t>HU</w:t>
    </w:r>
    <w:r w:rsidRPr="002A6C25">
      <w:rPr>
        <w:rFonts w:ascii="Arial" w:hAnsi="Arial" w:cs="Arial"/>
        <w:b/>
        <w:sz w:val="48"/>
      </w:rPr>
      <w:tab/>
    </w:r>
    <w:r w:rsidRPr="002A6C25">
      <w:rPr>
        <w:rFonts w:ascii="Arial" w:hAnsi="Arial" w:cs="Arial"/>
        <w:b/>
        <w:sz w:val="48"/>
      </w:rPr>
      <w:tab/>
    </w:r>
    <w:r w:rsidRPr="002A6C25">
      <w:tab/>
    </w:r>
    <w:r w:rsidRPr="002A6C25">
      <w:rPr>
        <w:rFonts w:ascii="Arial" w:hAnsi="Arial" w:cs="Arial"/>
        <w:b/>
        <w:sz w:val="48"/>
      </w:rPr>
      <w:t>HU</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438783"/>
      <w:docPartObj>
        <w:docPartGallery w:val="Page Numbers (Bottom of Page)"/>
        <w:docPartUnique/>
      </w:docPartObj>
    </w:sdtPr>
    <w:sdtEndPr>
      <w:rPr>
        <w:noProof/>
      </w:rPr>
    </w:sdtEndPr>
    <w:sdtContent>
      <w:p w14:paraId="4CF4F31A" w14:textId="0A2418B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78DB6FF" w14:textId="77777777" w:rsidR="003F5418" w:rsidRDefault="003F5418">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801561"/>
      <w:docPartObj>
        <w:docPartGallery w:val="Page Numbers (Bottom of Page)"/>
        <w:docPartUnique/>
      </w:docPartObj>
    </w:sdtPr>
    <w:sdtEndPr>
      <w:rPr>
        <w:noProof/>
      </w:rPr>
    </w:sdtEndPr>
    <w:sdtContent>
      <w:p w14:paraId="1BE64922" w14:textId="0DDC9C84"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F34FAA0" w14:textId="77777777" w:rsidR="003F5418" w:rsidRDefault="003F5418">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2A33" w14:textId="77777777" w:rsidR="003F5418" w:rsidRDefault="003F5418">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0B8B" w14:textId="77777777" w:rsidR="003F5418" w:rsidRDefault="003F5418">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93921"/>
      <w:docPartObj>
        <w:docPartGallery w:val="Page Numbers (Bottom of Page)"/>
        <w:docPartUnique/>
      </w:docPartObj>
    </w:sdtPr>
    <w:sdtEndPr>
      <w:rPr>
        <w:noProof/>
      </w:rPr>
    </w:sdtEndPr>
    <w:sdtContent>
      <w:p w14:paraId="1C8BFF92" w14:textId="70AC9E7D"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FF7EDDD" w14:textId="77777777" w:rsidR="003F5418" w:rsidRDefault="003F5418">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57CF" w14:textId="77777777" w:rsidR="003F5418" w:rsidRDefault="003F5418">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1081" w14:textId="77777777" w:rsidR="003F5418" w:rsidRDefault="003F5418">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967449"/>
      <w:docPartObj>
        <w:docPartGallery w:val="Page Numbers (Bottom of Page)"/>
        <w:docPartUnique/>
      </w:docPartObj>
    </w:sdtPr>
    <w:sdtEndPr>
      <w:rPr>
        <w:noProof/>
      </w:rPr>
    </w:sdtEndPr>
    <w:sdtContent>
      <w:p w14:paraId="30526C62" w14:textId="589092CE" w:rsidR="003F5418" w:rsidRDefault="002A6C25">
        <w:pPr>
          <w:pStyle w:val="Footer"/>
          <w:jc w:val="center"/>
        </w:pPr>
        <w:r>
          <w:fldChar w:fldCharType="begin"/>
        </w:r>
        <w:r>
          <w:instrText xml:space="preserve"> PAGE   </w:instrText>
        </w:r>
        <w:r>
          <w:instrText xml:space="preserve">\* MERGEFORMAT </w:instrText>
        </w:r>
        <w:r>
          <w:fldChar w:fldCharType="separate"/>
        </w:r>
        <w:r>
          <w:t>2</w:t>
        </w:r>
        <w:r>
          <w:fldChar w:fldCharType="end"/>
        </w:r>
      </w:p>
    </w:sdtContent>
  </w:sdt>
  <w:p w14:paraId="6BC9494B" w14:textId="77777777" w:rsidR="003F5418" w:rsidRDefault="003F5418">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57A10" w14:textId="77777777" w:rsidR="003F5418" w:rsidRDefault="003F5418">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9CF7" w14:textId="77777777" w:rsidR="003F5418" w:rsidRDefault="003F5418">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390389"/>
      <w:docPartObj>
        <w:docPartGallery w:val="Page Numbers (Bottom of Page)"/>
        <w:docPartUnique/>
      </w:docPartObj>
    </w:sdtPr>
    <w:sdtEndPr>
      <w:rPr>
        <w:noProof/>
      </w:rPr>
    </w:sdtEndPr>
    <w:sdtContent>
      <w:p w14:paraId="3FF2F7B5" w14:textId="288D268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67B033E" w14:textId="77777777" w:rsidR="003F5418" w:rsidRDefault="003F5418">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DEF7" w14:textId="77777777" w:rsidR="003F5418" w:rsidRDefault="003F5418">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653B8" w14:textId="77777777" w:rsidR="003F5418" w:rsidRDefault="003F5418">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E3CFA" w14:textId="77777777" w:rsidR="00045993" w:rsidRDefault="00045993">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489406"/>
      <w:docPartObj>
        <w:docPartGallery w:val="Page Numbers (Bottom of Page)"/>
        <w:docPartUnique/>
      </w:docPartObj>
    </w:sdtPr>
    <w:sdtEndPr>
      <w:rPr>
        <w:noProof/>
      </w:rPr>
    </w:sdtEndPr>
    <w:sdtContent>
      <w:p w14:paraId="79ECEFE4" w14:textId="77777777" w:rsidR="00045993" w:rsidRDefault="00045993">
        <w:pPr>
          <w:pStyle w:val="Footer"/>
          <w:jc w:val="center"/>
        </w:pPr>
        <w:r>
          <w:fldChar w:fldCharType="begin"/>
        </w:r>
        <w:r>
          <w:instrText xml:space="preserve"> PAGE   \* MERGEFORMAT </w:instrText>
        </w:r>
        <w:r>
          <w:fldChar w:fldCharType="separate"/>
        </w:r>
        <w:r>
          <w:t>2</w:t>
        </w:r>
        <w:r>
          <w:fldChar w:fldCharType="end"/>
        </w:r>
      </w:p>
    </w:sdtContent>
  </w:sdt>
  <w:p w14:paraId="11BBF2A5" w14:textId="77777777" w:rsidR="00045993" w:rsidRDefault="00045993">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EBF2" w14:textId="77777777" w:rsidR="00045993" w:rsidRDefault="0004599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313B" w14:textId="77777777" w:rsidR="003F5418" w:rsidRDefault="003F541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992641"/>
      <w:docPartObj>
        <w:docPartGallery w:val="Page Numbers (Bottom of Page)"/>
        <w:docPartUnique/>
      </w:docPartObj>
    </w:sdtPr>
    <w:sdtEndPr>
      <w:rPr>
        <w:noProof/>
      </w:rPr>
    </w:sdtEndPr>
    <w:sdtContent>
      <w:p w14:paraId="7DE04CBB" w14:textId="1D15B620"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1EBFD07" w14:textId="77777777" w:rsidR="003F5418" w:rsidRDefault="003F5418">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D8C6" w14:textId="77777777" w:rsidR="003F5418" w:rsidRDefault="003F541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0792" w14:textId="77777777" w:rsidR="003F5418" w:rsidRDefault="003F541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186196"/>
      <w:docPartObj>
        <w:docPartGallery w:val="Page Numbers (Bottom of Page)"/>
        <w:docPartUnique/>
      </w:docPartObj>
    </w:sdtPr>
    <w:sdtEndPr>
      <w:rPr>
        <w:noProof/>
      </w:rPr>
    </w:sdtEndPr>
    <w:sdtContent>
      <w:p w14:paraId="5CE6DBDD" w14:textId="0E87DC61"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4BEEEBC" w14:textId="77777777" w:rsidR="003F5418" w:rsidRDefault="003F5418">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E0D92" w14:textId="77777777" w:rsidR="003F5418" w:rsidRDefault="003F541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4118A" w14:textId="77777777" w:rsidR="003F5418" w:rsidRDefault="003F541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4779"/>
      <w:docPartObj>
        <w:docPartGallery w:val="Page Numbers (Bottom of Page)"/>
        <w:docPartUnique/>
      </w:docPartObj>
    </w:sdtPr>
    <w:sdtEndPr>
      <w:rPr>
        <w:noProof/>
      </w:rPr>
    </w:sdtEndPr>
    <w:sdtContent>
      <w:p w14:paraId="46FE841F" w14:textId="03AC5029"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D220E50" w14:textId="77777777" w:rsidR="003F5418" w:rsidRDefault="003F5418">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5C9CA" w14:textId="77777777" w:rsidR="002A6C25" w:rsidRPr="002A6C25" w:rsidRDefault="002A6C25" w:rsidP="002A6C2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CC2FC" w14:textId="77777777" w:rsidR="003F5418" w:rsidRDefault="003F541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90A0" w14:textId="77777777" w:rsidR="00045993" w:rsidRDefault="0004599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918370"/>
      <w:docPartObj>
        <w:docPartGallery w:val="Page Numbers (Bottom of Page)"/>
        <w:docPartUnique/>
      </w:docPartObj>
    </w:sdtPr>
    <w:sdtEndPr>
      <w:rPr>
        <w:noProof/>
      </w:rPr>
    </w:sdtEndPr>
    <w:sdtContent>
      <w:p w14:paraId="17564F7E" w14:textId="77777777" w:rsidR="00045993" w:rsidRDefault="00045993">
        <w:pPr>
          <w:pStyle w:val="Footer"/>
          <w:jc w:val="center"/>
        </w:pPr>
        <w:r>
          <w:fldChar w:fldCharType="begin"/>
        </w:r>
        <w:r>
          <w:instrText xml:space="preserve"> PAGE   \* MERGEFORMAT </w:instrText>
        </w:r>
        <w:r>
          <w:fldChar w:fldCharType="separate"/>
        </w:r>
        <w:r>
          <w:t>2</w:t>
        </w:r>
        <w:r>
          <w:fldChar w:fldCharType="end"/>
        </w:r>
      </w:p>
    </w:sdtContent>
  </w:sdt>
  <w:p w14:paraId="65345283" w14:textId="77777777" w:rsidR="00045993" w:rsidRDefault="00045993">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F0A2" w14:textId="77777777" w:rsidR="00045993" w:rsidRDefault="0004599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E1FB5" w14:textId="77777777" w:rsidR="00045993" w:rsidRDefault="00045993">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379264"/>
      <w:docPartObj>
        <w:docPartGallery w:val="Page Numbers (Bottom of Page)"/>
        <w:docPartUnique/>
      </w:docPartObj>
    </w:sdtPr>
    <w:sdtEndPr>
      <w:rPr>
        <w:noProof/>
      </w:rPr>
    </w:sdtEndPr>
    <w:sdtContent>
      <w:p w14:paraId="1E7FE448" w14:textId="77777777" w:rsidR="00045993" w:rsidRDefault="00045993">
        <w:pPr>
          <w:pStyle w:val="Footer"/>
          <w:jc w:val="center"/>
        </w:pPr>
        <w:r>
          <w:fldChar w:fldCharType="begin"/>
        </w:r>
        <w:r>
          <w:instrText xml:space="preserve"> PAGE   \* MERGEFORMAT </w:instrText>
        </w:r>
        <w:r>
          <w:fldChar w:fldCharType="separate"/>
        </w:r>
        <w:r>
          <w:t>2</w:t>
        </w:r>
        <w:r>
          <w:fldChar w:fldCharType="end"/>
        </w:r>
      </w:p>
    </w:sdtContent>
  </w:sdt>
  <w:p w14:paraId="2B655023" w14:textId="77777777" w:rsidR="00045993" w:rsidRDefault="00045993">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D0652" w14:textId="77777777" w:rsidR="00045993" w:rsidRDefault="0004599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D42C" w14:textId="77777777" w:rsidR="003F5418" w:rsidRDefault="003F541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365696"/>
      <w:docPartObj>
        <w:docPartGallery w:val="Page Numbers (Bottom of Page)"/>
        <w:docPartUnique/>
      </w:docPartObj>
    </w:sdtPr>
    <w:sdtEndPr>
      <w:rPr>
        <w:noProof/>
      </w:rPr>
    </w:sdtEndPr>
    <w:sdtContent>
      <w:p w14:paraId="32ED2812" w14:textId="06C7A40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3B0D315" w14:textId="77777777" w:rsidR="003F5418" w:rsidRDefault="003F5418">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2550" w14:textId="77777777" w:rsidR="003F5418" w:rsidRDefault="003F54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B9F4B" w14:textId="77777777" w:rsidR="003F5418" w:rsidRDefault="003F541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9EDE" w14:textId="77777777" w:rsidR="003F5418" w:rsidRDefault="003F541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905944"/>
      <w:docPartObj>
        <w:docPartGallery w:val="Page Numbers (Bottom of Page)"/>
        <w:docPartUnique/>
      </w:docPartObj>
    </w:sdtPr>
    <w:sdtEndPr>
      <w:rPr>
        <w:noProof/>
      </w:rPr>
    </w:sdtEndPr>
    <w:sdtContent>
      <w:p w14:paraId="496CB2D0" w14:textId="410625E6"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9E5B333" w14:textId="77777777" w:rsidR="003F5418" w:rsidRDefault="003F5418">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490B" w14:textId="77777777" w:rsidR="003F5418" w:rsidRDefault="003F541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1FE9" w14:textId="77777777" w:rsidR="00045993" w:rsidRDefault="0004599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863702"/>
      <w:docPartObj>
        <w:docPartGallery w:val="Page Numbers (Bottom of Page)"/>
        <w:docPartUnique/>
      </w:docPartObj>
    </w:sdtPr>
    <w:sdtEndPr>
      <w:rPr>
        <w:noProof/>
      </w:rPr>
    </w:sdtEndPr>
    <w:sdtContent>
      <w:p w14:paraId="3EE3B9ED" w14:textId="77777777" w:rsidR="00045993" w:rsidRDefault="00045993">
        <w:pPr>
          <w:pStyle w:val="Footer"/>
          <w:jc w:val="center"/>
        </w:pPr>
        <w:r>
          <w:fldChar w:fldCharType="begin"/>
        </w:r>
        <w:r>
          <w:instrText xml:space="preserve"> PAGE   \* MERGEFORMAT </w:instrText>
        </w:r>
        <w:r>
          <w:fldChar w:fldCharType="separate"/>
        </w:r>
        <w:r>
          <w:t>2</w:t>
        </w:r>
        <w:r>
          <w:fldChar w:fldCharType="end"/>
        </w:r>
      </w:p>
    </w:sdtContent>
  </w:sdt>
  <w:p w14:paraId="41608347" w14:textId="77777777" w:rsidR="00045993" w:rsidRDefault="00045993">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98316" w14:textId="77777777" w:rsidR="00045993" w:rsidRDefault="0004599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26773" w14:textId="77777777" w:rsidR="003F5418" w:rsidRDefault="003F541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39167"/>
      <w:docPartObj>
        <w:docPartGallery w:val="Page Numbers (Bottom of Page)"/>
        <w:docPartUnique/>
      </w:docPartObj>
    </w:sdtPr>
    <w:sdtEndPr>
      <w:rPr>
        <w:noProof/>
      </w:rPr>
    </w:sdtEndPr>
    <w:sdtContent>
      <w:p w14:paraId="0240630C" w14:textId="55DC5C05"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7FEACF2" w14:textId="77777777" w:rsidR="003F5418" w:rsidRDefault="003F5418">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216C" w14:textId="77777777" w:rsidR="003F5418" w:rsidRDefault="003F5418">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D853" w14:textId="77777777" w:rsidR="003F5418" w:rsidRDefault="003F5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518761"/>
      <w:docPartObj>
        <w:docPartGallery w:val="Page Numbers (Bottom of Page)"/>
        <w:docPartUnique/>
      </w:docPartObj>
    </w:sdtPr>
    <w:sdtEndPr>
      <w:rPr>
        <w:noProof/>
      </w:rPr>
    </w:sdtEndPr>
    <w:sdtContent>
      <w:p w14:paraId="28EF849A" w14:textId="724BD0FD" w:rsidR="003F5418" w:rsidRDefault="002A6C25">
        <w:pPr>
          <w:pStyle w:val="Footer"/>
          <w:jc w:val="center"/>
        </w:pPr>
        <w:r>
          <w:fldChar w:fldCharType="begin"/>
        </w:r>
        <w:r>
          <w:instrText xml:space="preserve"> PAGE   \* MERGEFORMAT </w:instrText>
        </w:r>
        <w:r>
          <w:fldChar w:fldCharType="separate"/>
        </w:r>
        <w:r>
          <w:rPr>
            <w:noProof/>
          </w:rPr>
          <w:t>2</w:t>
        </w:r>
        <w:r>
          <w:fldChar w:fldCharType="end"/>
        </w:r>
      </w:p>
    </w:sdtContent>
  </w:sdt>
  <w:p w14:paraId="32AC24B9" w14:textId="77777777" w:rsidR="003F5418" w:rsidRDefault="003F5418">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52216"/>
      <w:docPartObj>
        <w:docPartGallery w:val="Page Numbers (Bottom of Page)"/>
        <w:docPartUnique/>
      </w:docPartObj>
    </w:sdtPr>
    <w:sdtEndPr>
      <w:rPr>
        <w:noProof/>
      </w:rPr>
    </w:sdtEndPr>
    <w:sdtContent>
      <w:p w14:paraId="4E4FFE67" w14:textId="263B88B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B1E101A" w14:textId="77777777" w:rsidR="003F5418" w:rsidRDefault="003F5418">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17D6D" w14:textId="77777777" w:rsidR="003F5418" w:rsidRDefault="003F541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217E2" w14:textId="77777777" w:rsidR="00045993" w:rsidRDefault="0004599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805850"/>
      <w:docPartObj>
        <w:docPartGallery w:val="Page Numbers (Bottom of Page)"/>
        <w:docPartUnique/>
      </w:docPartObj>
    </w:sdtPr>
    <w:sdtEndPr>
      <w:rPr>
        <w:noProof/>
      </w:rPr>
    </w:sdtEndPr>
    <w:sdtContent>
      <w:p w14:paraId="7A62D584" w14:textId="77777777" w:rsidR="00045993" w:rsidRDefault="00045993">
        <w:pPr>
          <w:pStyle w:val="Footer"/>
          <w:jc w:val="center"/>
        </w:pPr>
        <w:r>
          <w:fldChar w:fldCharType="begin"/>
        </w:r>
        <w:r>
          <w:instrText xml:space="preserve"> PAGE   \* MERGEFORMAT </w:instrText>
        </w:r>
        <w:r>
          <w:fldChar w:fldCharType="separate"/>
        </w:r>
        <w:r>
          <w:t>2</w:t>
        </w:r>
        <w:r>
          <w:fldChar w:fldCharType="end"/>
        </w:r>
      </w:p>
    </w:sdtContent>
  </w:sdt>
  <w:p w14:paraId="3CA610F4" w14:textId="77777777" w:rsidR="00045993" w:rsidRDefault="00045993">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6975" w14:textId="77777777" w:rsidR="00045993" w:rsidRDefault="0004599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7441" w14:textId="77777777" w:rsidR="003F5418" w:rsidRDefault="003F541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13657"/>
      <w:docPartObj>
        <w:docPartGallery w:val="Page Numbers (Bottom of Page)"/>
        <w:docPartUnique/>
      </w:docPartObj>
    </w:sdtPr>
    <w:sdtEndPr>
      <w:rPr>
        <w:noProof/>
      </w:rPr>
    </w:sdtEndPr>
    <w:sdtContent>
      <w:p w14:paraId="668423F1" w14:textId="12E2BDD3"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E878943" w14:textId="77777777" w:rsidR="003F5418" w:rsidRDefault="003F5418">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5687" w14:textId="77777777" w:rsidR="003F5418" w:rsidRDefault="003F541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A0DB" w14:textId="77777777" w:rsidR="003F5418" w:rsidRDefault="003F541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077321"/>
      <w:docPartObj>
        <w:docPartGallery w:val="Page Numbers (Bottom of Page)"/>
        <w:docPartUnique/>
      </w:docPartObj>
    </w:sdtPr>
    <w:sdtEndPr>
      <w:rPr>
        <w:noProof/>
      </w:rPr>
    </w:sdtEndPr>
    <w:sdtContent>
      <w:p w14:paraId="7FABCF92" w14:textId="192439B3"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4658AD76" w14:textId="77777777" w:rsidR="003F5418" w:rsidRDefault="003F5418">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F70A4" w14:textId="77777777" w:rsidR="003F5418" w:rsidRDefault="003F541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03A" w14:textId="77777777" w:rsidR="003F5418" w:rsidRDefault="003F541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AEAD" w14:textId="77777777" w:rsidR="003F5418" w:rsidRDefault="003F541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282736"/>
      <w:docPartObj>
        <w:docPartGallery w:val="Page Numbers (Bottom of Page)"/>
        <w:docPartUnique/>
      </w:docPartObj>
    </w:sdtPr>
    <w:sdtEndPr>
      <w:rPr>
        <w:noProof/>
      </w:rPr>
    </w:sdtEndPr>
    <w:sdtContent>
      <w:p w14:paraId="4C105A93" w14:textId="24FAE64B"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A6F4E81" w14:textId="77777777" w:rsidR="003F5418" w:rsidRDefault="003F5418">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2080" w14:textId="77777777" w:rsidR="003F5418" w:rsidRDefault="003F541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CDE18" w14:textId="77777777" w:rsidR="003F5418" w:rsidRDefault="003F541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821140"/>
      <w:docPartObj>
        <w:docPartGallery w:val="Page Numbers (Bottom of Page)"/>
        <w:docPartUnique/>
      </w:docPartObj>
    </w:sdtPr>
    <w:sdtEndPr>
      <w:rPr>
        <w:noProof/>
      </w:rPr>
    </w:sdtEndPr>
    <w:sdtContent>
      <w:p w14:paraId="04CB6771" w14:textId="071713AA"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52071D9" w14:textId="77777777" w:rsidR="003F5418" w:rsidRDefault="003F5418">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0BBF" w14:textId="77777777" w:rsidR="003F5418" w:rsidRDefault="003F541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B1A9" w14:textId="77777777" w:rsidR="003F5418" w:rsidRDefault="003F541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51616"/>
      <w:docPartObj>
        <w:docPartGallery w:val="Page Numbers (Bottom of Page)"/>
        <w:docPartUnique/>
      </w:docPartObj>
    </w:sdtPr>
    <w:sdtEndPr>
      <w:rPr>
        <w:noProof/>
      </w:rPr>
    </w:sdtEndPr>
    <w:sdtContent>
      <w:p w14:paraId="5FFD4A9B" w14:textId="0AB3FD48"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7893D0C" w14:textId="77777777" w:rsidR="003F5418" w:rsidRDefault="003F5418">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CB3C7" w14:textId="77777777" w:rsidR="003F5418" w:rsidRDefault="003F54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8776" w14:textId="77777777" w:rsidR="003F5418" w:rsidRDefault="003F5418">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36B3D" w14:textId="77777777" w:rsidR="003F5418" w:rsidRDefault="003F541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387456"/>
      <w:docPartObj>
        <w:docPartGallery w:val="Page Numbers (Bottom of Page)"/>
        <w:docPartUnique/>
      </w:docPartObj>
    </w:sdtPr>
    <w:sdtEndPr>
      <w:rPr>
        <w:noProof/>
      </w:rPr>
    </w:sdtEndPr>
    <w:sdtContent>
      <w:p w14:paraId="10DCCBD8" w14:textId="45D5C05C"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66BA6F7" w14:textId="77777777" w:rsidR="003F5418" w:rsidRDefault="003F5418">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C504F" w14:textId="77777777" w:rsidR="003F5418" w:rsidRDefault="003F541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42FC2" w14:textId="77777777" w:rsidR="003F5418" w:rsidRDefault="003F541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042029"/>
      <w:docPartObj>
        <w:docPartGallery w:val="Page Numbers (Bottom of Page)"/>
        <w:docPartUnique/>
      </w:docPartObj>
    </w:sdtPr>
    <w:sdtEndPr>
      <w:rPr>
        <w:noProof/>
      </w:rPr>
    </w:sdtEndPr>
    <w:sdtContent>
      <w:p w14:paraId="5DE9967A" w14:textId="05E5449D"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AB691AE" w14:textId="77777777" w:rsidR="003F5418" w:rsidRDefault="003F5418">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33923" w14:textId="77777777" w:rsidR="003F5418" w:rsidRDefault="003F541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FB2BD" w14:textId="77777777" w:rsidR="003F5418" w:rsidRDefault="003F541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437440"/>
      <w:docPartObj>
        <w:docPartGallery w:val="Page Numbers (Bottom of Page)"/>
        <w:docPartUnique/>
      </w:docPartObj>
    </w:sdtPr>
    <w:sdtEndPr>
      <w:rPr>
        <w:noProof/>
      </w:rPr>
    </w:sdtEndPr>
    <w:sdtContent>
      <w:p w14:paraId="61820F4E" w14:textId="2C696274"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AFBF061" w14:textId="77777777" w:rsidR="003F5418" w:rsidRDefault="003F5418">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0111" w14:textId="77777777" w:rsidR="003F5418" w:rsidRDefault="003F541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10D1" w14:textId="77777777" w:rsidR="003F5418" w:rsidRDefault="003F54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449238"/>
      <w:docPartObj>
        <w:docPartGallery w:val="Page Numbers (Bottom of Page)"/>
        <w:docPartUnique/>
      </w:docPartObj>
    </w:sdtPr>
    <w:sdtEndPr>
      <w:rPr>
        <w:noProof/>
      </w:rPr>
    </w:sdtEndPr>
    <w:sdtContent>
      <w:p w14:paraId="200EDAD0" w14:textId="7D6610F9"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3A8BD159" w14:textId="77777777" w:rsidR="003F5418" w:rsidRDefault="003F5418">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844078"/>
      <w:docPartObj>
        <w:docPartGallery w:val="Page Numbers (Bottom of Page)"/>
        <w:docPartUnique/>
      </w:docPartObj>
    </w:sdtPr>
    <w:sdtEndPr>
      <w:rPr>
        <w:noProof/>
      </w:rPr>
    </w:sdtEndPr>
    <w:sdtContent>
      <w:p w14:paraId="5B24D852" w14:textId="6C0C1308"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031B4FA0" w14:textId="77777777" w:rsidR="003F5418" w:rsidRDefault="003F5418">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1053" w14:textId="77777777" w:rsidR="003F5418" w:rsidRDefault="003F541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E6D8" w14:textId="77777777" w:rsidR="003F5418" w:rsidRDefault="003F541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01240"/>
      <w:docPartObj>
        <w:docPartGallery w:val="Page Numbers (Bottom of Page)"/>
        <w:docPartUnique/>
      </w:docPartObj>
    </w:sdtPr>
    <w:sdtEndPr>
      <w:rPr>
        <w:noProof/>
      </w:rPr>
    </w:sdtEndPr>
    <w:sdtContent>
      <w:p w14:paraId="3BCCBBA1" w14:textId="0F67AC9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6A217DC3" w14:textId="77777777" w:rsidR="003F5418" w:rsidRDefault="003F5418">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63061" w14:textId="77777777" w:rsidR="003F5418" w:rsidRDefault="003F541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BDBE" w14:textId="77777777" w:rsidR="003F5418" w:rsidRDefault="003F541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726519"/>
      <w:docPartObj>
        <w:docPartGallery w:val="Page Numbers (Bottom of Page)"/>
        <w:docPartUnique/>
      </w:docPartObj>
    </w:sdtPr>
    <w:sdtEndPr>
      <w:rPr>
        <w:noProof/>
      </w:rPr>
    </w:sdtEndPr>
    <w:sdtContent>
      <w:p w14:paraId="7DDAF6AD" w14:textId="3E3D0067"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14333EA2" w14:textId="77777777" w:rsidR="003F5418" w:rsidRDefault="003F5418">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4831" w14:textId="77777777" w:rsidR="003F5418" w:rsidRDefault="003F541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FF70" w14:textId="77777777" w:rsidR="003F5418" w:rsidRDefault="003F541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768562"/>
      <w:docPartObj>
        <w:docPartGallery w:val="Page Numbers (Bottom of Page)"/>
        <w:docPartUnique/>
      </w:docPartObj>
    </w:sdtPr>
    <w:sdtEndPr>
      <w:rPr>
        <w:noProof/>
      </w:rPr>
    </w:sdtEndPr>
    <w:sdtContent>
      <w:p w14:paraId="0FD36EF8" w14:textId="639F64D5"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78213C37" w14:textId="77777777" w:rsidR="003F5418" w:rsidRDefault="003F5418">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8437E" w14:textId="77777777" w:rsidR="003F5418" w:rsidRDefault="003F541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D138" w14:textId="77777777" w:rsidR="003F5418" w:rsidRDefault="003F541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04D53" w14:textId="77777777" w:rsidR="003F5418" w:rsidRDefault="003F541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0093231"/>
      <w:docPartObj>
        <w:docPartGallery w:val="Page Numbers (Bottom of Page)"/>
        <w:docPartUnique/>
      </w:docPartObj>
    </w:sdtPr>
    <w:sdtEndPr>
      <w:rPr>
        <w:noProof/>
      </w:rPr>
    </w:sdtEndPr>
    <w:sdtContent>
      <w:p w14:paraId="2DAB4F73" w14:textId="5394FB33"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2DEC267A" w14:textId="77777777" w:rsidR="003F5418" w:rsidRDefault="003F5418">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F3875" w14:textId="77777777" w:rsidR="003F5418" w:rsidRDefault="003F541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6EA33" w14:textId="77777777" w:rsidR="003F5418" w:rsidRDefault="003F541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578604"/>
      <w:docPartObj>
        <w:docPartGallery w:val="Page Numbers (Bottom of Page)"/>
        <w:docPartUnique/>
      </w:docPartObj>
    </w:sdtPr>
    <w:sdtEndPr>
      <w:rPr>
        <w:noProof/>
      </w:rPr>
    </w:sdtEndPr>
    <w:sdtContent>
      <w:p w14:paraId="01923803" w14:textId="1F191617"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4ECBAAA" w14:textId="77777777" w:rsidR="003F5418" w:rsidRDefault="003F5418">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40BC0" w14:textId="77777777" w:rsidR="003F5418" w:rsidRDefault="003F541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0C46" w14:textId="77777777" w:rsidR="003F5418" w:rsidRDefault="003F541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7440"/>
      <w:docPartObj>
        <w:docPartGallery w:val="Page Numbers (Bottom of Page)"/>
        <w:docPartUnique/>
      </w:docPartObj>
    </w:sdtPr>
    <w:sdtEndPr>
      <w:rPr>
        <w:noProof/>
      </w:rPr>
    </w:sdtEndPr>
    <w:sdtContent>
      <w:p w14:paraId="232475CE" w14:textId="5AE0F3FE" w:rsidR="003F5418" w:rsidRDefault="002A6C25">
        <w:pPr>
          <w:pStyle w:val="Footer"/>
          <w:jc w:val="center"/>
        </w:pPr>
        <w:r>
          <w:fldChar w:fldCharType="begin"/>
        </w:r>
        <w:r>
          <w:instrText xml:space="preserve"> PAGE   \* MERGEFORMAT </w:instrText>
        </w:r>
        <w:r>
          <w:fldChar w:fldCharType="separate"/>
        </w:r>
        <w:r>
          <w:t>2</w:t>
        </w:r>
        <w:r>
          <w:fldChar w:fldCharType="end"/>
        </w:r>
      </w:p>
    </w:sdtContent>
  </w:sdt>
  <w:p w14:paraId="570A619A" w14:textId="77777777" w:rsidR="003F5418" w:rsidRDefault="003F5418">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9CCE" w14:textId="77777777" w:rsidR="003F5418" w:rsidRDefault="003F5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15AAD" w14:textId="77777777" w:rsidR="00AE0637" w:rsidRDefault="00AE0637">
      <w:r>
        <w:separator/>
      </w:r>
    </w:p>
  </w:footnote>
  <w:footnote w:type="continuationSeparator" w:id="0">
    <w:p w14:paraId="52BD8C66" w14:textId="77777777" w:rsidR="00AE0637" w:rsidRDefault="00AE0637">
      <w:r>
        <w:continuationSeparator/>
      </w:r>
    </w:p>
  </w:footnote>
  <w:footnote w:type="continuationNotice" w:id="1">
    <w:p w14:paraId="7BF8DBF4" w14:textId="77777777" w:rsidR="00AE0637" w:rsidRDefault="00AE0637"/>
  </w:footnote>
  <w:footnote w:id="2">
    <w:p w14:paraId="1DCF3D9B"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megfelelnek a jelentős károkozás elkerülését c</w:t>
      </w:r>
      <w:r>
        <w:t>élzó technikai iránymutatás (2021/C58/01) III. mellékletében meghatározott feltételeknek, valamint b) a ii. pont szerinti olyan tevékenységek és eszközök, amelyek esetében a fosszilis tüzelőanyagok használata átmeneti és technikailag elkerülhetetlen a foss</w:t>
      </w:r>
      <w:r>
        <w:t>zilis tüzelőanyagoktól mentes üzemre való időben történő átállás szempontjából.</w:t>
      </w:r>
    </w:p>
  </w:footnote>
  <w:footnote w:id="3">
    <w:p w14:paraId="327B22ED"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ho</w:t>
      </w:r>
      <w:r>
        <w:t>gy ez miért nem lehetséges. A kibocsátáskereskedelmi rendszer hatálya alá tartozó tevékenységekre vonatkozó ingyenes kiosztásra vonatkozóan az (EU) 2021/447 bizottsági végrehajtási rendeletben meghatározott referenciaértékek.</w:t>
      </w:r>
    </w:p>
  </w:footnote>
  <w:footnote w:id="4">
    <w:p w14:paraId="38F799BE" w14:textId="77777777" w:rsidR="003F5418" w:rsidRDefault="002A6C25">
      <w:pPr>
        <w:pStyle w:val="FootnoteText"/>
        <w:ind w:left="0" w:firstLine="0"/>
      </w:pPr>
      <w:r>
        <w:rPr>
          <w:rStyle w:val="FootnoteReference"/>
        </w:rPr>
        <w:footnoteRef/>
      </w:r>
      <w:r>
        <w:t xml:space="preserve"> Ez a kizárás nem vonatkozik </w:t>
      </w:r>
      <w:r>
        <w:t>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füstg</w:t>
      </w:r>
      <w:r>
        <w:t>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w:t>
      </w:r>
      <w:r>
        <w:t>mek élettartamának meghosszabbítását; amelyre vonatkozóan az üzem szintjén szolgáltattak bizonyítékot</w:t>
      </w:r>
    </w:p>
  </w:footnote>
  <w:footnote w:id="5">
    <w:p w14:paraId="0DD1D7FB"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w:t>
      </w:r>
      <w:r>
        <w:t>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w:t>
      </w:r>
      <w:r>
        <w:t xml:space="preserve"> feltéve,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6">
    <w:p w14:paraId="46577660" w14:textId="77777777" w:rsidR="003F5418" w:rsidRDefault="002A6C25">
      <w:pPr>
        <w:jc w:val="both"/>
      </w:pPr>
      <w:r>
        <w:footnoteRef/>
      </w:r>
      <w:r>
        <w:rPr>
          <w:sz w:val="20"/>
        </w:rPr>
        <w:t>Kivéve</w:t>
      </w:r>
      <w:r>
        <w:rPr>
          <w:sz w:val="20"/>
        </w:rPr>
        <w:t xml:space="preserve"> az ezen intézkedés hatálya alá tartozó, a jelentős károkozás elkerülését célzó elvről szóló technikai iránymutatás (2021/C58/01) III. mellékletében meghatározott feltételeknek megfelelő, földgázt felhasználó villamosenergia- és/vagy hőtermelésre, valamint</w:t>
      </w:r>
      <w:r>
        <w:rPr>
          <w:sz w:val="20"/>
        </w:rPr>
        <w:t xml:space="preserve"> a kapcsolódó átviteli és elosztási infrastruktúrára irányuló projekteket.</w:t>
      </w:r>
    </w:p>
  </w:footnote>
  <w:footnote w:id="7">
    <w:p w14:paraId="24651193" w14:textId="77777777" w:rsidR="003F5418" w:rsidRDefault="002A6C25">
      <w:pPr>
        <w:jc w:val="both"/>
        <w:rPr>
          <w:sz w:val="20"/>
        </w:rPr>
      </w:pPr>
      <w:r>
        <w:footnoteRef/>
      </w:r>
      <w:r>
        <w:rPr>
          <w:sz w:val="20"/>
        </w:rPr>
        <w:t xml:space="preserve">Amennyiben a támogatott tevékenység olyan előrejelzett üvegházhatásúgáz-kibocsátást ér el, amely nem éri el jelentősen a vonatkozó referenciaértékeket, meg kell indokolni, hogy ez </w:t>
      </w:r>
      <w:r>
        <w:rPr>
          <w:sz w:val="20"/>
        </w:rPr>
        <w:t>miért nem lehetséges. A kibocsátáskereskedelmi rendszer hatálya alá tartozó tevékenységekre vonatkozó ingyenes kiosztásra vonatkozóan az (EU) 2021/447 bizottsági végrehajtási rendeletben meghatározott referenciaértékek.</w:t>
      </w:r>
    </w:p>
  </w:footnote>
  <w:footnote w:id="8">
    <w:p w14:paraId="545FFFEE" w14:textId="77777777" w:rsidR="003F5418" w:rsidRDefault="002A6C25">
      <w:pPr>
        <w:jc w:val="both"/>
        <w:rPr>
          <w:sz w:val="20"/>
        </w:rPr>
      </w:pPr>
      <w:r>
        <w:footnoteRef/>
      </w:r>
      <w:r>
        <w:rPr>
          <w:sz w:val="20"/>
        </w:rPr>
        <w:t>Ez a kizárás nem vonatkozik az ezen</w:t>
      </w:r>
      <w:r>
        <w:rPr>
          <w:sz w:val="20"/>
        </w:rPr>
        <w:t xml:space="preserve">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w:t>
      </w:r>
      <w:r>
        <w:rPr>
          <w:sz w:val="20"/>
        </w:rPr>
        <w:t>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w:t>
      </w:r>
      <w:r>
        <w:rPr>
          <w:sz w:val="20"/>
        </w:rPr>
        <w:t>ttartamának meghosszabbítását; ezek esetében az üzem szintjén szolgáltatnak bizonyítékot.</w:t>
      </w:r>
    </w:p>
  </w:footnote>
  <w:footnote w:id="9">
    <w:p w14:paraId="01EA2AE7" w14:textId="77777777" w:rsidR="003F5418" w:rsidRDefault="002A6C25">
      <w:pPr>
        <w:jc w:val="both"/>
        <w:rPr>
          <w:sz w:val="20"/>
        </w:rPr>
      </w:pPr>
      <w:r>
        <w:footnoteRef/>
      </w:r>
      <w:r>
        <w:rPr>
          <w:sz w:val="20"/>
        </w:rPr>
        <w:t>Ez a kizárás nem vonatkozik az ezen intézkedés keretében a meglévő mechanikus-biológiai hulladékkezelő létesítményekben végrehajtott intézkedésekre, amennyiben az ez</w:t>
      </w:r>
      <w:r>
        <w:rPr>
          <w:sz w:val="20"/>
        </w:rPr>
        <w:t>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w:t>
      </w:r>
      <w:r>
        <w:rPr>
          <w:sz w:val="20"/>
        </w:rPr>
        <w:t>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0">
    <w:p w14:paraId="0F7C8071" w14:textId="77777777" w:rsidR="003F5418" w:rsidRDefault="002A6C25">
      <w:pPr>
        <w:pStyle w:val="FootnoteText"/>
        <w:ind w:left="0" w:firstLine="0"/>
      </w:pPr>
      <w:r>
        <w:rPr>
          <w:rStyle w:val="FootnoteReference"/>
        </w:rPr>
        <w:footnoteRef/>
      </w:r>
      <w:r>
        <w:t xml:space="preserve"> Kivéve az a) a jel</w:t>
      </w:r>
      <w:r>
        <w:t>entős károkozás elkerülését célzó technikai iránymutatás (2021/C58/01) III. mellékletében meghatározott feltételeknek megfelelő, földgázt felhasználó villamosenergia- és/vagy hőtermeléssel kapcsolatos eszközöket és tevékenységeket, valamint a kapcsolódó át</w:t>
      </w:r>
      <w:r>
        <w:t>viteli és elosztási infrastruktúrát, valamint b) a ii. pont szerinti tevékenységeket és eszközöket, amelyek esetében a fosszilis tüzelőanyagok használata átmeneti és technikailag elkerülhetetlen a fosszilis tüzelőanyagoktól mentes üzemre való időben történ</w:t>
      </w:r>
      <w:r>
        <w:t>ő átállás szempontjából.</w:t>
      </w:r>
    </w:p>
  </w:footnote>
  <w:footnote w:id="11">
    <w:p w14:paraId="36581C16" w14:textId="77777777" w:rsidR="003F5418" w:rsidRDefault="002A6C25">
      <w:pPr>
        <w:pStyle w:val="FootnoteText"/>
        <w:ind w:left="0" w:firstLine="0"/>
      </w:pPr>
      <w:r>
        <w:rPr>
          <w:rStyle w:val="FootnoteReference"/>
        </w:rPr>
        <w:footnoteRef/>
      </w:r>
      <w:r>
        <w:t xml:space="preserve"> Amennyiben a támogatott tevékenység nem eredményez a vonatkozó referenciaértékeknél lényegesen alacsonyabb előrejelzett üvegházhatásúgáz-kibocsátást, ismertetni kell azokat az okokat, amelyek miatt nem érhető el nagyobb kibocsátá</w:t>
      </w:r>
      <w:r>
        <w:t>scsökkenés. A kibocsátáskereskedelmi rendszer hatálya alá tartozó tevékenységekre vonatkozó ingyenes kiosztásra vonatkozóan az (EU) 2021/447 bizottsági végrehajtási rendeletben meghatározott referenciaértékek.</w:t>
      </w:r>
    </w:p>
  </w:footnote>
  <w:footnote w:id="12">
    <w:p w14:paraId="6D3A48D6" w14:textId="77777777" w:rsidR="003F5418" w:rsidRDefault="002A6C25">
      <w:pPr>
        <w:pStyle w:val="FootnoteText"/>
        <w:ind w:left="0" w:firstLine="0"/>
      </w:pPr>
      <w:r>
        <w:rPr>
          <w:rStyle w:val="FootnoteReference"/>
        </w:rPr>
        <w:footnoteRef/>
      </w:r>
      <w:r>
        <w:t xml:space="preserve"> Ez a kizárás nem vonatkozik az ezen intézked</w:t>
      </w:r>
      <w:r>
        <w:t>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w:t>
      </w:r>
      <w:r>
        <w:t>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w:t>
      </w:r>
      <w:r>
        <w:t>ak meghosszabbítását; ezek esetében az üzem szintjén szolgáltatnak bizonyítékot. </w:t>
      </w:r>
    </w:p>
  </w:footnote>
  <w:footnote w:id="13">
    <w:p w14:paraId="70093991"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ezen inté</w:t>
      </w:r>
      <w:r>
        <w:t>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w:t>
      </w:r>
      <w:r>
        <w:t>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4">
    <w:p w14:paraId="2CF26B62" w14:textId="77777777" w:rsidR="003F5418" w:rsidRDefault="002A6C25">
      <w:pPr>
        <w:pStyle w:val="FootnoteText"/>
        <w:ind w:left="0" w:firstLine="0"/>
      </w:pPr>
      <w:r>
        <w:rPr>
          <w:rStyle w:val="FootnoteReference"/>
        </w:rPr>
        <w:footnoteRef/>
      </w:r>
      <w:r>
        <w:t xml:space="preserve"> Az egyedi projektekhez k</w:t>
      </w:r>
      <w:r>
        <w:t>apcsolódó végső kedvezményezetteknek az éghajlatváltozáshoz való hozzájárulás kiszámítása céljából minden egyes támogatott projekt esetében meg kell indokolniuk a kiválasztott beavatkozási területet, a projekt leírásával együtt.</w:t>
      </w:r>
    </w:p>
  </w:footnote>
  <w:footnote w:id="15">
    <w:p w14:paraId="6B0E643E" w14:textId="77777777" w:rsidR="003F5418" w:rsidRDefault="002A6C25">
      <w:pPr>
        <w:pStyle w:val="FootnoteText"/>
        <w:ind w:left="0" w:firstLine="0"/>
      </w:pPr>
      <w:r>
        <w:rPr>
          <w:rStyle w:val="FootnoteReference"/>
        </w:rPr>
        <w:footnoteRef/>
      </w:r>
      <w:r>
        <w:t xml:space="preserve"> Kivéve az a) a jelentős k</w:t>
      </w:r>
      <w:r>
        <w:t xml:space="preserve">árokozás elkerülését célzó technikai iránymutatás (2021/C58/01) III. mellékletében meghatározott feltételeknek megfelelő, földgázt felhasználó villamosenergia- és/vagy hőtermeléssel kapcsolatos eszközöket és tevékenységeket, valamint a kapcsolódó átviteli </w:t>
      </w:r>
      <w:r>
        <w:t>és elosztási infrastruktúrát, valamint b) a ii. pont szerinti tevékenységeket és eszközöket, amelyek esetében a fosszilis tüzelőanyagok használata átmeneti és technikailag elkerülhetetlen a fosszilis tüzelőanyagoktól mentes üzemre való időben történő átáll</w:t>
      </w:r>
      <w:r>
        <w:t>ás szempontjából.</w:t>
      </w:r>
    </w:p>
  </w:footnote>
  <w:footnote w:id="16">
    <w:p w14:paraId="22288FF8" w14:textId="77777777" w:rsidR="003F5418" w:rsidRDefault="002A6C25">
      <w:pPr>
        <w:pStyle w:val="FootnoteText"/>
        <w:ind w:left="0" w:firstLine="0"/>
      </w:pPr>
      <w:r>
        <w:rPr>
          <w:rStyle w:val="FootnoteReference"/>
        </w:rPr>
        <w:footnoteRef/>
      </w:r>
      <w:r>
        <w:t xml:space="preserve"> Amennyiben a támogatott tevékenység nem eredményez a vonatkozó referenciaértékeknél lényegesen alacsonyabb előrejelzett üvegházhatásúgáz-kibocsátást, ismertetni kell azokat az okokat, amelyek miatt nem érhető el nagyobb kibocsátáscsökke</w:t>
      </w:r>
      <w:r>
        <w:t>nés. A kibocsátáskereskedelmi rendszer hatálya alá tartozó tevékenységekre vonatkozó ingyenes kiosztásra vonatkozóan az (EU) 2021/447 bizottsági végrehajtási rendeletben meghatározott referenciaértékek.</w:t>
      </w:r>
    </w:p>
  </w:footnote>
  <w:footnote w:id="17">
    <w:p w14:paraId="0927D0DF"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w:t>
      </w:r>
      <w:r>
        <w:t>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w:t>
      </w:r>
      <w:r>
        <w:t>sának növekedését vagy az üzemek élettartamának meghosszabbítását; ezek esetében az üzem szintjén szolgáltatnak bizonyítékot.</w:t>
      </w:r>
    </w:p>
  </w:footnote>
  <w:footnote w:id="18">
    <w:p w14:paraId="5784C231"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w:t>
      </w:r>
      <w:r>
        <w:t>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w:t>
      </w:r>
      <w:r>
        <w:t>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szolgáltatn</w:t>
      </w:r>
      <w:r>
        <w:t>ak bizonyítékot.</w:t>
      </w:r>
    </w:p>
  </w:footnote>
  <w:footnote w:id="19">
    <w:p w14:paraId="1B1AC112"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megfelelnek a jelentős károk</w:t>
      </w:r>
      <w:r>
        <w:t>ozás elkerülését célzó technikai iránymutatás (2021/C58/01) III. mellékletében meghatározott feltételeknek, valamint b) a ii. pont szerinti olyan tevékenységek és eszközök, amelyek esetében a fosszilis tüzelőanyagok használata átmeneti és technikailag elke</w:t>
      </w:r>
      <w:r>
        <w:t>rülhetetlen a fosszilis tüzelőanyagoktól mentes üzemre való időben történő átállás szempontjából.</w:t>
      </w:r>
    </w:p>
  </w:footnote>
  <w:footnote w:id="20">
    <w:p w14:paraId="6C6D9F43"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w:t>
      </w:r>
      <w:r>
        <w:t>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1">
    <w:p w14:paraId="4483B15F" w14:textId="77777777" w:rsidR="003F5418" w:rsidRDefault="002A6C25">
      <w:pPr>
        <w:pStyle w:val="P68B1DB1-Normal40"/>
        <w:jc w:val="both"/>
      </w:pPr>
      <w:r>
        <w:rPr>
          <w:vertAlign w:val="superscript"/>
        </w:rPr>
        <w:t>20</w:t>
      </w:r>
      <w:r>
        <w:t xml:space="preserve"> Ez a kizá</w:t>
      </w:r>
      <w:r>
        <w:t xml:space="preserve">rás nem vonatkozik a kizárólag a nem újrahasznosítható veszélyes hulladékok kezelésére szolgáló üzemekben ezen intézkedés keretében végrehajtott intézkedésekre, valamint a meglévő üzemekre, amennyiben az ezen intézkedés keretében végrehajtott intézkedések </w:t>
      </w:r>
      <w:r>
        <w:t>célja az energiahatékonyság növelése, a füstgázok tárolása vagy felhasználása vagy az égetési hamuból származó anyagok visszanyerése, feltéve, hogy az ezen intézkedés keretében végrehajtott ilyen intézkedések nem eredményezik az üzemek hulladékfeldolgozási</w:t>
      </w:r>
      <w:r>
        <w:t xml:space="preserve"> kapacitásának növekedését vagy az üzemek élettartamának meghosszabbítását; ezek esetében az üzem szintjén szolgáltatnak bizonyítékot.</w:t>
      </w:r>
    </w:p>
  </w:footnote>
  <w:footnote w:id="22">
    <w:p w14:paraId="0B384FDF"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w:t>
      </w:r>
      <w:r>
        <w:t xml:space="preserve"> végrehajtott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w:t>
      </w:r>
      <w:r>
        <w:t>ladék anaerob lebontása céljából, feltéve, hogy az ezen intézkedés szerinti szerinti ilyen fellépések nem eredményezik az üzemek hulladékfeldolgozási kapacitásának növelését vagy az üzemek élettartamának meghosszabbítását; ezek esetében az üzem szintjén sz</w:t>
      </w:r>
      <w:r>
        <w:t>olgáltatnak bizonyítékot.</w:t>
      </w:r>
    </w:p>
  </w:footnote>
  <w:footnote w:id="23">
    <w:p w14:paraId="0A5CE6FF"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megfelelnek a jelen</w:t>
      </w:r>
      <w:r>
        <w:t>tős károkozás elkerülését célzó technikai iránymutatás (2021/C58/01) III. mellékletében meghatározott feltételeknek, valamint b) a ii. pont szerinti olyan tevékenységek és eszközök, amelyek esetében a fosszilis tüzelőanyagok használata átmeneti és technika</w:t>
      </w:r>
      <w:r>
        <w:t>ilag elkerülhetetlen a fosszilis tüzelőanyagoktól mentes üzemre való időben történő átállás szempontjából.</w:t>
      </w:r>
    </w:p>
  </w:footnote>
  <w:footnote w:id="24">
    <w:p w14:paraId="291674F8"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w:t>
      </w:r>
      <w:r>
        <w:t>ket,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25">
    <w:p w14:paraId="5D9207A3" w14:textId="77777777" w:rsidR="003F5418" w:rsidRDefault="002A6C25">
      <w:pPr>
        <w:pStyle w:val="P68B1DB1-Normal40"/>
        <w:jc w:val="both"/>
      </w:pPr>
      <w:r>
        <w:rPr>
          <w:vertAlign w:val="superscript"/>
        </w:rPr>
        <w:t>24</w:t>
      </w:r>
      <w:r>
        <w:t xml:space="preserve"> </w:t>
      </w:r>
      <w:r>
        <w:t>Ez a kizárás nem vonatkozik a kizárólag a nem újrahasznosítható veszélyes hulladékok kezelésére szolgáló üzemekben ezen intézkedés keretében végzett tevékenységekre, valamint a meglévő üzemekre, amennyiben az ezen intézkedés keretében végrehajtott intézked</w:t>
      </w:r>
      <w:r>
        <w:t>ések célja az energiahatékonyság növelése, a kipufogógázok tárolása vagy felhasználása vagy az égetési hamuból származó anyagok visszanyerése, feltéve, hogy az ezen intézkedés keretében végrehajtott ilyen intézkedések nem eredményezik az üzemek hulladékfel</w:t>
      </w:r>
      <w:r>
        <w:t>dolgozási kapacitásának növekedését vagy az üzemek élettartamának meghosszabbítását; ezek esetében az üzem szintjén szolgáltatnak bizonyítékot.</w:t>
      </w:r>
    </w:p>
  </w:footnote>
  <w:footnote w:id="26">
    <w:p w14:paraId="463BE53C"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w:t>
      </w:r>
      <w:r>
        <w: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w:t>
      </w:r>
      <w:r>
        <w:t xml:space="preserve">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w:t>
      </w:r>
      <w:r>
        <w:t>intjén szolgáltatnak bizonyítékot.</w:t>
      </w:r>
    </w:p>
  </w:footnote>
  <w:footnote w:id="27">
    <w:p w14:paraId="02D613A8"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w:t>
      </w:r>
      <w:r>
        <w:t>k a jelentős károkozás elkerülését célzó technikai iránymutatás (2021/C58/01) III. mellékletében meghatározott feltételeknek, valamint b) a ii. pont szerinti olyan tevékenységek és eszközök, amelyek esetében a fosszilis tüzelőanyagok használata átmeneti és</w:t>
      </w:r>
      <w:r>
        <w:t xml:space="preserve"> technikailag elkerülhetetlen a fosszilis tüzelőanyagoktól mentes üzemre való időben történő átállás szempontjából.</w:t>
      </w:r>
    </w:p>
  </w:footnote>
  <w:footnote w:id="28">
    <w:p w14:paraId="69BCB3E0"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w:t>
      </w:r>
      <w:r>
        <w:t>ciaértékeket, meg kell indokolni, hogy ez miért nem lehetséges. A kibocsátáskereskedelmi rendszer hatálya alá tartozó tevékenységekre vonatkozó ingyenes kiosztásra vonatkozóan az (EU) 2021/447 bizottsági végrehajtási rendeletben meghatározott referenciaért</w:t>
      </w:r>
      <w:r>
        <w:t>ékek.</w:t>
      </w:r>
    </w:p>
  </w:footnote>
  <w:footnote w:id="29">
    <w:p w14:paraId="074D79CA" w14:textId="77777777" w:rsidR="003F5418" w:rsidRDefault="002A6C25">
      <w:pPr>
        <w:pStyle w:val="P68B1DB1-Normal40"/>
        <w:jc w:val="both"/>
      </w:pPr>
      <w:r>
        <w:t>Ez a kizárás nem vonatkozik az ezen intézkedés szerinti fellépésekre a kizárólag nem újrafeldolgozható veszélyes hulladékok kezelésére szolgáló létesítményekben, valamint a meglévő üzemekben, ahol az ezen intézkedés szerinti tevékenységek célja az en</w:t>
      </w:r>
      <w:r>
        <w:t>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w:t>
      </w:r>
      <w:r>
        <w:t>acitásának növekedését vagy az üzemek élettartamának meghosszabbítását; ezek esetében az üzem szintjén szolgáltatnak bizonyítékot.</w:t>
      </w:r>
    </w:p>
  </w:footnote>
  <w:footnote w:id="30">
    <w:p w14:paraId="4245E398"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w:t>
      </w:r>
      <w:r>
        <w:t>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w:t>
      </w:r>
      <w:r>
        <w:t>k anaerob lebontása céljából, feltéve, hogy az ezen intézkedés szerinti szerinti ilyen fellépések nem eredményezik az üzemek hulladékfeldolgozási kapacitásának növelését vagy az üzemek élettartamának meghosszabbítását; ezek esetében az üzem szintjén szolgá</w:t>
      </w:r>
      <w:r>
        <w:t>ltatnak bizonyítékot.</w:t>
      </w:r>
    </w:p>
  </w:footnote>
  <w:footnote w:id="31">
    <w:p w14:paraId="0E391451"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megfelelnek a jelentős </w:t>
      </w:r>
      <w:r>
        <w:t>károkozás elkerülését célzó technikai iránymutatás (2021/C58/01) III. mellékletében meghatározott feltételeknek, valamint b) a ii. pont szerinti olyan tevékenységek és eszközök, amelyek esetében a fosszilis tüzelőanyagok használata átmeneti és technikailag</w:t>
      </w:r>
      <w:r>
        <w:t xml:space="preserve"> elkerülhetetlen a fosszilis tüzelőanyagoktól mentes üzemre való időben történő átállás szempontjából.</w:t>
      </w:r>
    </w:p>
  </w:footnote>
  <w:footnote w:id="32">
    <w:p w14:paraId="3ECD0F96"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w:t>
      </w:r>
      <w:r>
        <w:t xml:space="preserve">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33">
    <w:p w14:paraId="5BDBD51E" w14:textId="77777777" w:rsidR="003F5418" w:rsidRDefault="002A6C25">
      <w:pPr>
        <w:pStyle w:val="FootnoteText"/>
        <w:ind w:left="0" w:firstLine="0"/>
      </w:pPr>
      <w:r>
        <w:rPr>
          <w:vertAlign w:val="superscript"/>
        </w:rPr>
        <w:t>32</w:t>
      </w:r>
      <w:r>
        <w:t xml:space="preserve"> Ez a</w:t>
      </w:r>
      <w:r>
        <w:t xml:space="preserve"> kizárás nem vonatkozik a kizárólag a nem újrahasznosítható veszélyes hulladékok kezelésére szolgáló üzemekben ezen intézkedés keretében végzett tevékenységekre, valamint a meglévő üzemekre, amennyiben az ezen intézkedés keretében végrehajtott intézkedések</w:t>
      </w:r>
      <w:r>
        <w:t xml:space="preserve"> célja az energiahatékonyság növelése, a kipufogógázok tárolása vagy felhasználása, illetve az égetési hamuból származó anyagok visszanyerése, feltéve, hogy az ezen intézkedés keretében végrehajtott ilyen intézkedések nem eredményezik az üzemek hulladékfel</w:t>
      </w:r>
      <w:r>
        <w:t>dolgozási kapacitásának növekedését vagy az üzemek élettartamának meghosszabbítását; ezek esetében az üzem szintjén szolgáltatnak bizonyítékot.</w:t>
      </w:r>
    </w:p>
  </w:footnote>
  <w:footnote w:id="34">
    <w:p w14:paraId="1B8BC1C2"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w:t>
      </w:r>
      <w:r>
        <w:t>ményekben végrehajtott intézkedésekre, amennyiben az ezen intézkedés keretében végrehajtott fellépések célja az energiahatékonyság növelése vagy az elkülönített hulladék újrafeldolgozási műveletekhez való utólagos átalakítása a biohulladék komposztálása és</w:t>
      </w:r>
      <w:r>
        <w:t xml:space="preserve"> a biohulladék anaerob lebontása céljából, feltéve, hogy az ezen intézkedés szerinti szerinti ilyen fellépések nem eredményezik az üzemek hulladékfeldolgozási kapacitásának növelését vagy az üzemek élettartamának meghosszabbítását; ezek esetében az üzem sz</w:t>
      </w:r>
      <w:r>
        <w:t>intjén szolgáltatnak bizonyítékot.</w:t>
      </w:r>
    </w:p>
  </w:footnote>
  <w:footnote w:id="35">
    <w:p w14:paraId="5B94EB7E"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w:t>
      </w:r>
      <w:r>
        <w:t>k a jelentős károkozás elkerülését célzó technikai iránymutatás (2021/C58/01) III. mellékletében meghatározott feltételeknek, valamint b) a ii. pont szerinti olyan tevékenységek és eszközök, amelyek esetében a fosszilis tüzelőanyagok használata átmeneti és</w:t>
      </w:r>
      <w:r>
        <w:t xml:space="preserve"> technikailag elkerülhetetlen a fosszilis tüzelőanyagoktól mentes üzemre való időben történő átállás szempontjából.</w:t>
      </w:r>
    </w:p>
  </w:footnote>
  <w:footnote w:id="36">
    <w:p w14:paraId="7B1B2D91"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w:t>
      </w:r>
      <w:r>
        <w:t>ciaértékeket, meg kell indokolni, hogy ez miért nem lehetséges. A kibocsátáskereskedelmi rendszer hatálya alá tartozó tevékenységekre vonatkozó ingyenes kiosztásra vonatkozóan az (EU) 2021/447 bizottsági végrehajtási rendeletben meghatározott referenciaért</w:t>
      </w:r>
      <w:r>
        <w:t>ékek.</w:t>
      </w:r>
    </w:p>
  </w:footnote>
  <w:footnote w:id="37">
    <w:p w14:paraId="5CB009FC"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w:t>
      </w:r>
      <w:r>
        <w:t>energiahatékonyság növelése, a füstgázok tárolási célú megkötése vagy a hulladékégetésből származó hamuból származó anyagok felhasználása vagy kinyerése, feltéve, hogy az ezen intézkedés szerinti fellépések nem eredményezik az üzemek hulladékfeldolgozási k</w:t>
      </w:r>
      <w:r>
        <w:t>apacitásának növekedését vagy az üzemek élettartamának meghosszabbítását; ezek esetében az üzem szintjén szolgáltatnak bizonyítékot.</w:t>
      </w:r>
    </w:p>
  </w:footnote>
  <w:footnote w:id="38">
    <w:p w14:paraId="687C018E"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w:t>
      </w:r>
      <w:r>
        <w:t>égrehajtott intézkedésekre, amennyiben az ezen intézkedés keretében végrehajtott fellépések célja az energiahatékonyság növelése vagy az elkülönített hulladék újrafeldolgozási műveletekhez való utólagos átalakítása a biohulladék komposztálása és a biohulla</w:t>
      </w:r>
      <w:r>
        <w:t>dék anaerob lebontása céljából, feltéve, hogy az ezen intézkedés szerinti szerinti ilyen fellépések nem eredményezik az üzemek hulladékfeldolgozási kapacitásának növelését vagy az üzemek élettartamának meghosszabbítását; ezek esetében az üzem szintjén szol</w:t>
      </w:r>
      <w:r>
        <w:t>gáltatnak bizonyítékot.</w:t>
      </w:r>
    </w:p>
  </w:footnote>
  <w:footnote w:id="39">
    <w:p w14:paraId="78548BD6"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projekteket, amelyek megfelelnek a jelentő</w:t>
      </w:r>
      <w:r>
        <w:t>s károkozás elkerülését célzó technikai iránymutatás (2021/C58/01) III. mellékletében meghatározott feltételeknek, valamint b) a ii. pont szerinti olyan tevékenységek és eszközök, amelyek esetében a fosszilis tüzelőanyagok használata átmeneti és technikail</w:t>
      </w:r>
      <w:r>
        <w:t>ag elkerülhetetlen a fosszilis tüzelőanyagoktól mentes üzemre való időben történő átállás szempontjából.</w:t>
      </w:r>
    </w:p>
  </w:footnote>
  <w:footnote w:id="40">
    <w:p w14:paraId="5E85761E"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w:t>
      </w:r>
      <w:r>
        <w:t>t, meg kell indokolni, hogy ez miért nem lehetséges. A kibocsátáskereskedelmi rendszer hatálya alá tartozó tevékenységekre vonatkozó ingyenes kiosztásra vonatkozóan az (EU) 2021/447 bizottsági végrehajtási rendeletben meghatározott referenciaértékek.</w:t>
      </w:r>
    </w:p>
  </w:footnote>
  <w:footnote w:id="41">
    <w:p w14:paraId="411153F6" w14:textId="77777777" w:rsidR="003F5418" w:rsidRDefault="002A6C25">
      <w:pPr>
        <w:pStyle w:val="FootnoteText"/>
        <w:ind w:left="0" w:firstLine="0"/>
      </w:pPr>
      <w:r>
        <w:rPr>
          <w:rStyle w:val="FootnoteReference"/>
        </w:rPr>
        <w:footnoteRef/>
      </w:r>
      <w:r>
        <w:t xml:space="preserve"> Ez </w:t>
      </w:r>
      <w:r>
        <w:t>a kizárás nem vonatkozik az ezen intézkedés szerinti fellépésekre a kizárólag nem újrafeldolgozható veszélyes hulladékok kezelésére szolgáló létesítményekben, valamint a meglévő üzemekben, ahol az ezen intézkedés szerinti tevékenységek célja az energiahaté</w:t>
      </w:r>
      <w:r>
        <w:t>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kapacitásána</w:t>
      </w:r>
      <w:r>
        <w:t>k növekedését vagy az üzemek élettartamának meghosszabbítását; ezek esetében az üzem szintjén szolgáltatnak bizonyítékot.</w:t>
      </w:r>
    </w:p>
  </w:footnote>
  <w:footnote w:id="42">
    <w:p w14:paraId="50CECFE5"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w:t>
      </w:r>
      <w:r>
        <w:t xml:space="preserve">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anaerob</w:t>
      </w:r>
      <w:r>
        <w:t xml:space="preserve"> lebontása céljából, feltéve, hogy az ezen intézkedés szerinti szerinti ilyen fellépések nem eredményezik az üzemek hulladékfeldolgozási kapacitásának növelését vagy az üzemek élettartamának meghosszabbítását; ezek esetében az üzem szintjén szolgáltatnak b</w:t>
      </w:r>
      <w:r>
        <w:t>izonyítékot.</w:t>
      </w:r>
    </w:p>
  </w:footnote>
  <w:footnote w:id="43">
    <w:p w14:paraId="290A61A1" w14:textId="77777777" w:rsidR="003F5418" w:rsidRDefault="002A6C25">
      <w:pPr>
        <w:pStyle w:val="FootnoteText"/>
        <w:ind w:left="0" w:firstLine="0"/>
      </w:pPr>
      <w:r>
        <w:rPr>
          <w:rStyle w:val="FootnoteReference"/>
        </w:rPr>
        <w:footnoteRef/>
      </w:r>
      <w: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w:t>
      </w:r>
      <w:r>
        <w:t>ségeket, valamint a kapcsolódó átviteli és elosztási infrastruktúrát, valamint b) a ii. pont szerinti tevékenységeket és eszközöket, amelyek esetében a fosszilis tüzelőanyagok használata átmeneti és technikailag elkerülhetetlen a fosszilis tüzelőanyagoktól</w:t>
      </w:r>
      <w:r>
        <w:t xml:space="preserve"> mentes üzemre való időben történő átállás szempontjából.</w:t>
      </w:r>
    </w:p>
  </w:footnote>
  <w:footnote w:id="44">
    <w:p w14:paraId="0E502460" w14:textId="77777777" w:rsidR="003F5418" w:rsidRDefault="002A6C25">
      <w:pPr>
        <w:pStyle w:val="FootnoteText"/>
        <w:ind w:left="0" w:firstLine="0"/>
      </w:pPr>
      <w:r>
        <w:rPr>
          <w:rStyle w:val="FootnoteReference"/>
        </w:rPr>
        <w:footnoteRef/>
      </w:r>
      <w:r>
        <w:t xml:space="preserve"> Amennyiben a támogatott tevékenység nem eredményez a vonatkozó referenciaértékeknél lényegesen alacsonyabb előrejelzett üvegházhatásúgáz-kibocsátást, ismertetni kell azokat az okokat, amelyek miat</w:t>
      </w:r>
      <w:r>
        <w:t>t nem érhető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45">
    <w:p w14:paraId="339023E8"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létesítményekben, valamint a meglévő üzemekben, ahol az ezen intézkedés szerinti tevékenységek célja az energia</w:t>
      </w:r>
      <w:r>
        <w:t>hatékonyság növelése, a füstgázok tárolási célú megkötése vagy a hulladékégetésből származó hamuból származó anyagok felhasználása vagy kinyerése, feltéve, hogy az ezen intézkedés szerinti fellépések nem eredményezik az üzemek hulladékfeldolgozási kapacitá</w:t>
      </w:r>
      <w:r>
        <w:t>sának növekedését vagy az üzemek élettartamának meghosszabbítását; ezek esetében az üzem szintjén szolgáltatnak bizonyítékot. </w:t>
      </w:r>
    </w:p>
  </w:footnote>
  <w:footnote w:id="46">
    <w:p w14:paraId="3BBE5B7D"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w:t>
      </w:r>
      <w:r>
        <w:t>jtott intézkedésekre, amennyiben az ezen intézkedés keretében végrehajtott fellépések célja az energiahatékonyság növelése vagy az elkülönített hulladék újrafeldolgozási műveletekhez való utólagos átalakítása a biohulladék komposztálása és a biohulladék an</w:t>
      </w:r>
      <w:r>
        <w:t>aerob lebontása céljából, feltéve, hogy az ezen intézkedés szerinti szerinti ilyen fellépések nem eredményezik az üzemek hulladékfeldolgozási kapacitásának növelését vagy az üzemek élettartamának meghosszabbítását; ezek esetében az üzem szintjén szolgáltat</w:t>
      </w:r>
      <w:r>
        <w:t>nak bizonyítékot. </w:t>
      </w:r>
    </w:p>
  </w:footnote>
  <w:footnote w:id="47">
    <w:p w14:paraId="10C8ACF2" w14:textId="77777777" w:rsidR="003F5418" w:rsidRDefault="002A6C25">
      <w:pPr>
        <w:pStyle w:val="FootnoteText"/>
        <w:ind w:left="0" w:firstLine="0"/>
      </w:pPr>
      <w:r>
        <w:rPr>
          <w:rStyle w:val="FootnoteReference"/>
        </w:rPr>
        <w:footnoteRef/>
      </w:r>
      <w:r>
        <w:t xml:space="preserve"> Az egyedi projektekhez kapcsolódó végső kedvezményezetteknek az éghajlatváltozáshoz való hozzájárulás kiszámítása céljából minden egyes támogatott projekt esetében meg kell indokolniuk a kiválasztott beavatkozási területet, a projekt l</w:t>
      </w:r>
      <w:r>
        <w:t>eírásával együtt. Az éghajlat-politikai hozzájárulás kiszámítása céljából a saját tőkéből, kvázisaját tőkéből, vállalati kötvényekből vagy ezekkel egyenértékű eszközökből származó, nem konkrét projektekre irányuló végső kedvezményezetteknek meg kell indoko</w:t>
      </w:r>
      <w:r>
        <w:t>lniuk a kiválasztott beavatkozási terület(ek)et. A végrehajtó partnernek féléves jelentést kell benyújtania a tagállamnak az egyes projektek/tevékenységek végrehajtásáról.</w:t>
      </w:r>
    </w:p>
    <w:p w14:paraId="7D9F6DEB" w14:textId="77777777" w:rsidR="003F5418" w:rsidRDefault="003F5418">
      <w:pPr>
        <w:pStyle w:val="FootnoteText"/>
      </w:pPr>
    </w:p>
  </w:footnote>
  <w:footnote w:id="48">
    <w:p w14:paraId="6848BE70" w14:textId="77777777" w:rsidR="003F5418" w:rsidRDefault="002A6C25">
      <w:pPr>
        <w:pStyle w:val="FootnoteText"/>
        <w:ind w:left="0" w:firstLine="0"/>
      </w:pPr>
      <w:r>
        <w:rPr>
          <w:rStyle w:val="FootnoteReference"/>
        </w:rPr>
        <w:footnoteRef/>
      </w:r>
      <w:r>
        <w:t xml:space="preserve"> A nagyvárosi területeket ebben az intézkedésben az Európai Bizottság és az OECD a</w:t>
      </w:r>
      <w:r>
        <w:t>datbázisában (Dijkstra, L., H. Poelman és P. Veneri (2019), „The EU-OECD definition of a functional urban area” [A funkcionális városi térség EU-OECD definíciója], OECD Regional Development Working Papers, No. 2019/11, OECD Publishing, Párizs, https://doi.</w:t>
      </w:r>
      <w:r>
        <w:t xml:space="preserve">org/10.1787/d58cb34d-en) meghatározott „funkcionális városi területekként” kell érteni. </w:t>
      </w:r>
    </w:p>
  </w:footnote>
  <w:footnote w:id="49">
    <w:p w14:paraId="49BEC872" w14:textId="77777777" w:rsidR="003F5418" w:rsidRDefault="002A6C25">
      <w:pPr>
        <w:pStyle w:val="FootnoteText"/>
      </w:pPr>
      <w:r>
        <w:rPr>
          <w:rStyle w:val="FootnoteReference"/>
        </w:rPr>
        <w:footnoteRef/>
      </w:r>
      <w:r>
        <w:t xml:space="preserve"> Az RRF- (EU) 2021/241 rendelet VI. melléklete szerinti 72a. beruházási területtel összhangban ezek lehetnek kétüzemű vonatok is.</w:t>
      </w:r>
    </w:p>
  </w:footnote>
  <w:footnote w:id="50">
    <w:p w14:paraId="5F50ADCD" w14:textId="1B59682C" w:rsidR="003F5418" w:rsidRDefault="002A6C25">
      <w:pPr>
        <w:pStyle w:val="FootnoteText"/>
        <w:ind w:left="0" w:firstLine="0"/>
      </w:pPr>
      <w:r>
        <w:rPr>
          <w:rStyle w:val="FootnoteReference"/>
        </w:rPr>
        <w:footnoteRef/>
      </w:r>
      <w:r>
        <w:t xml:space="preserve"> A nagyvárosi területek ebben az in</w:t>
      </w:r>
      <w:r>
        <w:t>tézkedésben az Európai Bizottság és az OECD adatbázisában (Dijkstra, L., H. Poelman és P. Veneri (2019)) meghatározott „funkcionális városi területek”.</w:t>
      </w:r>
    </w:p>
  </w:footnote>
  <w:footnote w:id="51">
    <w:p w14:paraId="371C9D9F" w14:textId="77777777" w:rsidR="003F5418" w:rsidRDefault="002A6C25">
      <w:pPr>
        <w:pStyle w:val="FootnoteText"/>
      </w:pPr>
      <w:r>
        <w:rPr>
          <w:rStyle w:val="FootnoteReference"/>
        </w:rPr>
        <w:footnoteRef/>
      </w:r>
      <w:r>
        <w:t xml:space="preserve"> Az (EU) 2021/241 rendelet VI. melléklete szerinti 72a. beruházási területtel összhangban ezek lehetnek</w:t>
      </w:r>
      <w:r>
        <w:t xml:space="preserve"> kétüzemű vonatok is.</w:t>
      </w:r>
    </w:p>
  </w:footnote>
  <w:footnote w:id="52">
    <w:p w14:paraId="5FD7BF4A" w14:textId="77777777" w:rsidR="003F5418" w:rsidRDefault="002A6C25">
      <w:pPr>
        <w:pStyle w:val="FootnoteText"/>
        <w:ind w:left="0" w:firstLine="0"/>
      </w:pPr>
      <w:r>
        <w:rPr>
          <w:rStyle w:val="FootnoteReference"/>
        </w:rPr>
        <w:footnoteRef/>
      </w:r>
      <w:r>
        <w:t xml:space="preserve"> Kivéve az a) a jelentős károkozás elkerülését célzó technikai iránymutatás (2021/C58/01) III. mellékletében meghatározott feltételeknek megfelelő, földgázt felhasználó villamosenergia- és/vagy hőtermeléssel kapcsolatos eszközöket és</w:t>
      </w:r>
      <w:r>
        <w:t xml:space="preserve"> tevékenységeket, valamint a kapcsolódó átviteli és elosztási infrastruktúrát, valamint b) a ii. pont szerinti tevékenységeket és eszközöket, amelyek esetében a fosszilis tüzelőanyagok használata átmeneti és technikailag elkerülhetetlen a fosszilis tüzelőa</w:t>
      </w:r>
      <w:r>
        <w:t>nyagoktól mentes üzemre való időben történő átállás szempontjából.</w:t>
      </w:r>
    </w:p>
  </w:footnote>
  <w:footnote w:id="53">
    <w:p w14:paraId="72D2749D" w14:textId="77777777" w:rsidR="003F5418" w:rsidRDefault="002A6C25">
      <w:pPr>
        <w:pStyle w:val="FootnoteText"/>
        <w:ind w:left="0" w:firstLine="0"/>
      </w:pPr>
      <w:r>
        <w:rPr>
          <w:rStyle w:val="FootnoteReference"/>
        </w:rPr>
        <w:footnoteRef/>
      </w:r>
      <w:r>
        <w:t xml:space="preserve"> Amennyiben a támogatott tevékenység olyan előre jelzett üvegházhatásúgáz-kibocsátást ér el, amely nem alacsonyabb a vonatkozó referenciaértékeknél, magyarázatot kell adni arra, hogy ez mi</w:t>
      </w:r>
      <w:r>
        <w:t>ért nem lehetséges. A kibocsátáskereskedelmi rendszer hatálya alá tartozó tevékenységekre vonatkozó ingyenes kiosztásra vonatkozóan az (EU) 2021/447 bizottsági végrehajtási rendeletben meghatározott referenciaértékek.</w:t>
      </w:r>
    </w:p>
  </w:footnote>
  <w:footnote w:id="54">
    <w:p w14:paraId="0ED0991C" w14:textId="77777777" w:rsidR="003F5418" w:rsidRDefault="002A6C25">
      <w:pPr>
        <w:pStyle w:val="FootnoteText"/>
        <w:ind w:left="0" w:firstLine="0"/>
      </w:pPr>
      <w:r>
        <w:rPr>
          <w:rStyle w:val="FootnoteReference"/>
        </w:rPr>
        <w:footnoteRef/>
      </w:r>
      <w:r>
        <w:t xml:space="preserve"> Ez a kizárás nem vonatkozik az ezen </w:t>
      </w:r>
      <w:r>
        <w:t>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w:t>
      </w:r>
      <w:r>
        <w:t>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w:t>
      </w:r>
      <w:r>
        <w:t>tartamának meghosszabbítását; ezek esetében az üzem szintjén szolgáltatnak bizonyítékot. </w:t>
      </w:r>
    </w:p>
  </w:footnote>
  <w:footnote w:id="55">
    <w:p w14:paraId="738E7433"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w:t>
      </w:r>
      <w:r>
        <w:t>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w:t>
      </w:r>
      <w:r>
        <w:t>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56">
    <w:p w14:paraId="3B0CCF19" w14:textId="77777777" w:rsidR="003F5418" w:rsidRDefault="002A6C25">
      <w:pPr>
        <w:pStyle w:val="FootnoteText"/>
        <w:ind w:left="0" w:firstLine="0"/>
      </w:pPr>
      <w:r>
        <w:rPr>
          <w:rStyle w:val="FootnoteReference"/>
        </w:rPr>
        <w:footnoteRef/>
      </w:r>
      <w:r>
        <w:t xml:space="preserve"> Az egyedi projekt</w:t>
      </w:r>
      <w:r>
        <w:t>ekhez kapcsolódó végső kedvezményezetteknek az éghajlatváltozáshoz való hozzájárulás kiszámítása céljából minden egyes támogatott projekt esetében meg kell indokolniuk a kiválasztott beavatkozási területet, a projekt leírásával együtt. Az éghajlat-politika</w:t>
      </w:r>
      <w:r>
        <w:t>i hozzájárulás kiszámítása céljából a saját tőkéből, kvázisaját tőkéből, vállalati kötvényekből vagy ezekkel egyenértékű eszközökből származó, nem konkrét projektekre irányuló végső kedvezményezetteknek meg kell indokolniuk a kiválasztott beavatkozási terü</w:t>
      </w:r>
      <w:r>
        <w:t>let(ek)et. A végrehajtó partnernek féléves jelentést kell benyújtania a tagállamnak az egyes projektek/tevékenységek végrehajtásáról.</w:t>
      </w:r>
    </w:p>
  </w:footnote>
  <w:footnote w:id="57">
    <w:p w14:paraId="7571D49C" w14:textId="77777777" w:rsidR="003F5418" w:rsidRDefault="002A6C25">
      <w:pPr>
        <w:pStyle w:val="FootnoteText"/>
        <w:ind w:left="0" w:firstLine="0"/>
      </w:pPr>
      <w:r>
        <w:rPr>
          <w:rStyle w:val="FootnoteReference"/>
          <w:rFonts w:eastAsiaTheme="majorEastAsia"/>
        </w:rPr>
        <w:footnoteRef/>
      </w:r>
      <w:r>
        <w:t xml:space="preserve"> A CDP Venture Capital SGR az alapkezelői tevékenységeket az ABAK-irányelv szerinti függetlenség és autonómia elvével öss</w:t>
      </w:r>
      <w:r>
        <w:t xml:space="preserve">zhangban végzi. </w:t>
      </w:r>
    </w:p>
  </w:footnote>
  <w:footnote w:id="58">
    <w:p w14:paraId="2AF65F68" w14:textId="77777777" w:rsidR="003F5418" w:rsidRDefault="002A6C25">
      <w:pPr>
        <w:pStyle w:val="FootnoteText"/>
        <w:ind w:left="0" w:firstLine="0"/>
      </w:pPr>
      <w:r>
        <w:rPr>
          <w:rStyle w:val="FootnoteReference"/>
          <w:rFonts w:eastAsiaTheme="majorEastAsia"/>
        </w:rPr>
        <w:footnoteRef/>
      </w:r>
      <w:r>
        <w:t xml:space="preserve"> Úgy tekinthető, hogy a végső kedvezményezett „jelentősen egy ágazatra vagy üzleti tevékenységre” összpontosít, ha az ágazat vagy tevékenység a végső kedvezményezett üzleti tevékenységének lényeges része, a végső kedvezményezett bruttó be</w:t>
      </w:r>
      <w:r>
        <w:t>vételéhez, nyereségéhez vagy ügyfélköréhez viszonyítva. A korlátozás alá eső ágazatból vagy tevékenységből származó bruttó bevétel semmi esetre sem haladhatja meg a bruttó bevétel 50%-át.</w:t>
      </w:r>
    </w:p>
  </w:footnote>
  <w:footnote w:id="59">
    <w:p w14:paraId="48B6E0A3" w14:textId="77777777" w:rsidR="003F5418" w:rsidRDefault="002A6C25">
      <w:pPr>
        <w:jc w:val="both"/>
        <w:rPr>
          <w:sz w:val="20"/>
        </w:rPr>
      </w:pPr>
      <w:r>
        <w:rPr>
          <w:rStyle w:val="FootnoteReference"/>
          <w:rFonts w:eastAsiaTheme="majorEastAsia"/>
        </w:rPr>
        <w:footnoteRef/>
      </w:r>
      <w:r>
        <w:rPr>
          <w:sz w:val="20"/>
        </w:rPr>
        <w:t xml:space="preserve"> Kivéve az a) a jelentős károkozás elkerülését célzó technikai irán</w:t>
      </w:r>
      <w:r>
        <w:rPr>
          <w:sz w:val="20"/>
        </w:rPr>
        <w:t>ymutatás (2021/C58/01) III. mellékletében meghatározott feltételeknek megfelelő, földgázt felhasználó villamosenergia- és/vagy hőtermeléssel kapcsolatos eszközöket és tevékenységeket, valamint a kapcsolódó átviteli és elosztási infrastruktúrát, valamint b)</w:t>
      </w:r>
      <w:r>
        <w:rPr>
          <w:sz w:val="20"/>
        </w:rPr>
        <w:t xml:space="preserve"> a ii. pont szerinti tevékenységeket és eszközöket, amelyek esetében a fosszilis tüzelőanyagok használata átmeneti és technikailag elkerülhetetlen a fosszilis tüzelőanyagoktól mentes üzemre való időben történő átállás szempontjából.</w:t>
      </w:r>
    </w:p>
  </w:footnote>
  <w:footnote w:id="60">
    <w:p w14:paraId="2AD4AE79" w14:textId="77777777" w:rsidR="003F5418" w:rsidRDefault="002A6C25">
      <w:pPr>
        <w:jc w:val="both"/>
        <w:rPr>
          <w:sz w:val="20"/>
        </w:rPr>
      </w:pPr>
      <w:r>
        <w:rPr>
          <w:rStyle w:val="FootnoteReference"/>
          <w:rFonts w:eastAsiaTheme="majorEastAsia"/>
        </w:rPr>
        <w:footnoteRef/>
      </w:r>
      <w:r>
        <w:rPr>
          <w:sz w:val="20"/>
        </w:rPr>
        <w:t xml:space="preserve"> Beleértve az uniós kibocsátáskereskedelmi rendszer (ETS) keretében végzett olyan tevékenységeket és eszközöket, amelyek elérik a vonatkozó referenciaértékeket meg nem haladó, előre jelzett üvegházhatásúgáz-kibocsátást. Amennyiben a támogatott tevékenység </w:t>
      </w:r>
      <w:r>
        <w:rPr>
          <w:sz w:val="20"/>
        </w:rPr>
        <w:t>nem eredményez a vonatkozó referenciaértékeknél lényegesen alacsonyabb előrejelzett üvegházhatásúgáz-kibocsátást, ismertetni kell azokat az okokat, amelyek miatt nem érhető el nagyobb kibocsátáscsökkenés. A kibocsátáskereskedelmi rendszer hatálya alá tarto</w:t>
      </w:r>
      <w:r>
        <w:rPr>
          <w:sz w:val="20"/>
        </w:rPr>
        <w:t>zó tevékenységekre vonatkozó ingyenes kiosztásra vonatkozóan az (EU) 2021/447 bizottsági végrehajtási rendeletben meghatározott referenciaértékek.</w:t>
      </w:r>
    </w:p>
  </w:footnote>
  <w:footnote w:id="61">
    <w:p w14:paraId="3C3628F4" w14:textId="77777777" w:rsidR="003F5418" w:rsidRDefault="002A6C25">
      <w:pPr>
        <w:jc w:val="both"/>
        <w:rPr>
          <w:sz w:val="20"/>
        </w:rPr>
      </w:pPr>
      <w:r>
        <w:rPr>
          <w:rStyle w:val="FootnoteReference"/>
          <w:rFonts w:eastAsiaTheme="majorEastAsia"/>
        </w:rPr>
        <w:footnoteRef/>
      </w:r>
      <w:r>
        <w:rPr>
          <w:sz w:val="20"/>
        </w:rPr>
        <w:t xml:space="preserve"> A szennyező járművek nem kibocsátásmentes járművek.</w:t>
      </w:r>
    </w:p>
  </w:footnote>
  <w:footnote w:id="62">
    <w:p w14:paraId="04CE000C" w14:textId="77777777" w:rsidR="003F5418" w:rsidRDefault="002A6C25">
      <w:pPr>
        <w:pStyle w:val="FootnoteText"/>
        <w:ind w:left="0" w:firstLine="0"/>
      </w:pPr>
      <w:r>
        <w:rPr>
          <w:rStyle w:val="FootnoteReference"/>
          <w:rFonts w:eastAsiaTheme="majorEastAsia"/>
        </w:rPr>
        <w:footnoteRef/>
      </w:r>
      <w:r>
        <w:t xml:space="preserve"> Ez a kizárás nem vonatkozik a kizárólag a nem újrahas</w:t>
      </w:r>
      <w:r>
        <w:t>znosítható veszélyes hulladékok kezelésére szolgáló üzemekben végzett tevékenységekre, valamint a meglévő üzemekre, amennyiben az ezen intézkedés keretében végrehajtott intézkedések célja az energiahatékonyság növelése, a kipufogógázok tárolása vagy felhas</w:t>
      </w:r>
      <w:r>
        <w:t>ználása vagy az égetési hamuból származó anyagok visszanyerése, feltéve, hogy az ezen intézkedés keretében végrehajtott ilyen intézkedések nem eredményezik az üzemek hulladékfeldolgozási kapacitásának növekedését vagy az üzemek élettartamának meghosszabbít</w:t>
      </w:r>
      <w:r>
        <w:t>ását; ezek esetében az üzem szintjén szolgáltatnak bizonyítékot.</w:t>
      </w:r>
    </w:p>
  </w:footnote>
  <w:footnote w:id="63">
    <w:p w14:paraId="6DE472F2"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kapcsolatos p</w:t>
      </w:r>
      <w:r>
        <w:t>rojekteket, amelyek megfelelnek a jelentős károkozás elkerülését célzó technikai iránymutatás (2021/C58/01) III. mellékletében meghatározott feltételeknek, valamint b) a ii. pont szerinti olyan tevékenységek és eszközök, amelyek esetében a fosszilis tüzelő</w:t>
      </w:r>
      <w:r>
        <w:t>anyagok használata átmeneti és technikailag elkerülhetetlen a fosszilis tüzelőanyagoktól mentes üzemre való időben történő átállás szempontjából.</w:t>
      </w:r>
    </w:p>
  </w:footnote>
  <w:footnote w:id="64">
    <w:p w14:paraId="701A9CA8"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w:t>
      </w:r>
      <w:r>
        <w:t>jelentősen a vonatkozó referenciaértékeket, meg kell indokolni, hogy ez miért nem lehetséges. A kibocsátáskereskedelmi rendszer hatálya alá tartozó tevékenységekre vonatkozó ingyenes kiosztásra vonatkozóan az (EU) 2021/447 bizottsági végrehajtási rendeletb</w:t>
      </w:r>
      <w:r>
        <w:t>en meghatározott referenciaértékek.</w:t>
      </w:r>
    </w:p>
  </w:footnote>
  <w:footnote w:id="65">
    <w:p w14:paraId="47F8C4DA" w14:textId="77777777" w:rsidR="003F5418" w:rsidRDefault="002A6C25">
      <w:pPr>
        <w:pStyle w:val="P68B1DB1-Normal40"/>
        <w:jc w:val="both"/>
      </w:pPr>
      <w:r>
        <w:rPr>
          <w:vertAlign w:val="superscript"/>
        </w:rPr>
        <w:t>64</w:t>
      </w:r>
      <w:r>
        <w:t xml:space="preserve"> Ez a kizárás nem vonatkozik a kizárólag a nem újrahasznosítható veszélyes hulladékok kezelésére szolgáló üzemekben ezen intézkedés keretében végzett tevékenységekre, valamint a meglévő üzemekre, amennyiben az ezen int</w:t>
      </w:r>
      <w:r>
        <w:t>ézkedés keretében végrehajtott intézkedések célja az energiahatékonyság növelése, a füstgázok tárolása vagy felhasználása vagy az égetési hamuból származó anyagok visszanyerése, feltéve, hogy az ezen intézkedés keretében végrehajtott ilyen intézkedések nem</w:t>
      </w:r>
      <w:r>
        <w:t xml:space="preserve"> eredményezik az üzemek hulladékfeldolgozási kapacitásának növekedését vagy az üzemek élettartamának meghosszabbítását; ezek esetében az üzem szintjén szolgáltatnak bizonyítékot.</w:t>
      </w:r>
    </w:p>
  </w:footnote>
  <w:footnote w:id="66">
    <w:p w14:paraId="2DA4C7B9" w14:textId="77777777" w:rsidR="003F5418" w:rsidRDefault="002A6C25">
      <w:pPr>
        <w:pStyle w:val="FootnoteText"/>
        <w:ind w:left="0" w:firstLine="0"/>
      </w:pPr>
      <w:r>
        <w:rPr>
          <w:rStyle w:val="FootnoteReference"/>
        </w:rPr>
        <w:footnoteRef/>
      </w:r>
      <w:r>
        <w:t xml:space="preserve"> Ez a kizárás nem vonatkozik az ezen intézkedés keretében a meglévő mechanik</w:t>
      </w:r>
      <w:r>
        <w:t>us-biológiai hulladékkezelő létesítményekben végrehajtott intézkedésekre, amennyiben az ezen intézkedés keretében végrehajtott fellépések célja az energiahatékonyság növelése vagy az elkülönített hulladék újrafeldolgozási műveletekhez való utólagos átalakí</w:t>
      </w:r>
      <w:r>
        <w:t>tása a biohulladék komposztálása és a biohulladék anaerob lebontása céljából, feltéve, hogy az ezen intézkedés szerinti szerinti ilyen fellépések nem eredményezik az üzemek hulladékfeldolgozási kapacitásának növelését vagy az üzemek élettartamának meghossz</w:t>
      </w:r>
      <w:r>
        <w:t>abbítását; ezek esetében az üzem szintjén szolgáltatnak bizonyítékot.</w:t>
      </w:r>
    </w:p>
  </w:footnote>
  <w:footnote w:id="67">
    <w:p w14:paraId="258EC698" w14:textId="77777777" w:rsidR="003F5418" w:rsidRDefault="002A6C25">
      <w:pPr>
        <w:pStyle w:val="FootnoteText"/>
        <w:ind w:left="0" w:firstLine="0"/>
      </w:pPr>
      <w:r>
        <w:rPr>
          <w:rStyle w:val="FootnoteReference"/>
        </w:rPr>
        <w:footnoteRef/>
      </w:r>
      <w:r>
        <w:t xml:space="preserve"> Kivéve az a) az ezen intézkedés hatálya alá tartozó, földgázt felhasználó villamosenergia- és/vagy hőtermeléssel, valamint a kapcsolódó átviteli és elosztási infrastruktúrával kapcsola</w:t>
      </w:r>
      <w:r>
        <w:t>tos projekteket, amelyek megfelelnek a jelentős károkozás elkerülését célzó technikai iránymutatás (2021/C58/01) III. mellékletében meghatározott feltételeknek, valamint b) a ii. pont szerinti olyan tevékenységek és eszközök, amelyek esetében a fosszilis t</w:t>
      </w:r>
      <w:r>
        <w:t>üzelőanyagok használata átmeneti és technikailag elkerülhetetlen a fosszilis tüzelőanyagoktól mentes üzemre való időben történő átállás szempontjából.</w:t>
      </w:r>
    </w:p>
  </w:footnote>
  <w:footnote w:id="68">
    <w:p w14:paraId="71658C82"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w:t>
      </w:r>
      <w:r>
        <w:t>i el jelentősen a vonatkozó referenciaértékeket, meg kell indokolni, hogy ez miért nem lehetséges. A kibocsátáskereskedelmi rendszer hatálya alá tartozó tevékenységekre vonatkozó ingyenes kiosztásra vonatkozóan az (EU) 2021/447 bizottsági végrehajtási rend</w:t>
      </w:r>
      <w:r>
        <w:t>eletben meghatározott referenciaértékek.</w:t>
      </w:r>
    </w:p>
  </w:footnote>
  <w:footnote w:id="69">
    <w:p w14:paraId="5FCC4884" w14:textId="77777777" w:rsidR="003F5418" w:rsidRDefault="002A6C25">
      <w:pPr>
        <w:pStyle w:val="P68B1DB1-Normal40"/>
        <w:jc w:val="both"/>
      </w:pPr>
      <w:r>
        <w:t>Ez a kizárás nem vonatkozik az ezen intézkedés szerinti fellépésekre a kizárólag nem újrafeldolgozható veszélyes hulladékok kezelésére szolgáló létesítményekben, valamint a meglévő üzemekben, ahol az ezen intézkedés</w:t>
      </w:r>
      <w:r>
        <w:t xml:space="preserve"> szerinti tevékenységek célja az energiahatékonyság növelése, a füstgázok tárolási célú megkötése vagy a hulladékégetésből származó hamuból származó anyagok felhasználása vagy kinyerése, feltéve, hogy az ezen intézkedés szerinti fellépések nem eredményezik</w:t>
      </w:r>
      <w:r>
        <w:t xml:space="preserve"> az üzemek hulladékfeldolgozási kapacitásának növekedését vagy az üzemek élettartamának meghosszabbítását; ezek esetében az üzem szintjén szolgáltatnak bizonyítékot.</w:t>
      </w:r>
    </w:p>
  </w:footnote>
  <w:footnote w:id="70">
    <w:p w14:paraId="3B06E25F"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w:t>
      </w:r>
      <w:r>
        <w:t>hulladékkezelő létesítményekben végrehajtott intézkedésekre, amennyiben az ezen intézkedés keretében végrehajtott fellépések célja az energiahatékonyság növelése vagy az elkülönített hulladék újrafeldolgozási műveletekhez való utólagos átalakítása a biohul</w:t>
      </w:r>
      <w:r>
        <w:t>ladék komposztálása és a biohulladék anaerob lebontása céljából, feltéve, hogy az ezen intézkedés szerinti szerinti ilyen fellépések nem eredményezik az üzemek hulladékfeldolgozási kapacitásának növelését vagy az üzemek élettartamának meghosszabbítását; ez</w:t>
      </w:r>
      <w:r>
        <w:t>ek esetében az üzem szintjén szolgáltatnak bizonyítékot.</w:t>
      </w:r>
    </w:p>
  </w:footnote>
  <w:footnote w:id="71">
    <w:p w14:paraId="12271801"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(2021/C58/01) III. mellékletében meghatározott feltételeknek megfelelő, földgázt felhasználó villamosenergia- és/vagy hőtermelésre, v</w:t>
      </w:r>
      <w:r>
        <w:t>alamint a kapcsolódó átviteli és elosztási infrastruktúrára irányuló projekteket.</w:t>
      </w:r>
    </w:p>
  </w:footnote>
  <w:footnote w:id="72">
    <w:p w14:paraId="00D08867"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w:t>
      </w:r>
      <w:r>
        <w:t>hogy ez miért nem lehetséges. A kibocsátáskereskedelmi rendszer hatálya alá tartozó tevékenységekre vonatkozó ingyenes kiosztásra vonatkozóan az (EU) 2021/447 bizottsági végrehajtási rendeletben meghatározott referenciaértékek.</w:t>
      </w:r>
    </w:p>
  </w:footnote>
  <w:footnote w:id="73">
    <w:p w14:paraId="5B0D8712" w14:textId="77777777" w:rsidR="003F5418" w:rsidRDefault="002A6C25">
      <w:pPr>
        <w:pStyle w:val="FootnoteText"/>
        <w:ind w:left="0" w:firstLine="0"/>
      </w:pPr>
      <w:r>
        <w:rPr>
          <w:rStyle w:val="FootnoteReference"/>
        </w:rPr>
        <w:footnoteRef/>
      </w:r>
      <w:r>
        <w:t xml:space="preserve"> Ez a kizárás nem vonatkozi</w:t>
      </w:r>
      <w:r>
        <w:t>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füs</w:t>
      </w:r>
      <w:r>
        <w:t>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w:t>
      </w:r>
      <w:r>
        <w:t>zemek élettartamának meghosszabbítását; ezek esetében az üzem szintjén szolgáltatnak bizonyítékot.</w:t>
      </w:r>
    </w:p>
  </w:footnote>
  <w:footnote w:id="74">
    <w:p w14:paraId="3103AB76"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w:t>
      </w:r>
      <w:r>
        <w:t>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 fe</w:t>
      </w:r>
      <w:r>
        <w:t>ltéve, hogy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5">
    <w:p w14:paraId="2E401FB0" w14:textId="77777777" w:rsidR="003F5418" w:rsidRDefault="002A6C25">
      <w:pPr>
        <w:pStyle w:val="FootnoteText"/>
        <w:ind w:left="0" w:firstLine="0"/>
      </w:pPr>
      <w:r>
        <w:rPr>
          <w:rStyle w:val="FootnoteReference"/>
        </w:rPr>
        <w:footnoteRef/>
      </w:r>
      <w:r>
        <w:t xml:space="preserve"> Kivéve a</w:t>
      </w:r>
      <w:r>
        <w:t>z a) az ezen intézkedés hatálya alá tartozó, földgázt felhasználó villamosenergia- és/vagy hőtermeléssel, valamint a kapcsolódó átviteli és elosztási infrastruktúrával kapcsolatos projekteket, amelyek megfelelnek a jelentős károkozás elkerülését célzó tech</w:t>
      </w:r>
      <w:r>
        <w:t>nikai iránymutatás (2021/C58/01) III. mellékletében meghatározott feltételeknek, valamint b) a ii. pont szerinti olyan tevékenységek és eszközök, amelyek esetében a fosszilis tüzelőanyagok használata átmeneti és technikailag elkerülhetetlen a fosszilis tüz</w:t>
      </w:r>
      <w:r>
        <w:t>előanyagoktól mentes üzemre való időben történő átállás szempontjából.</w:t>
      </w:r>
    </w:p>
  </w:footnote>
  <w:footnote w:id="76">
    <w:p w14:paraId="6D0C5CB4"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hogy ez mié</w:t>
      </w:r>
      <w:r>
        <w:t>rt nem lehetséges. A kibocsátáskereskedelmi rendszer hatálya alá tartozó tevékenységekre vonatkozó ingyenes kiosztásra vonatkozóan az (EU) 2021/447 bizottsági végrehajtási rendeletben meghatározott referenciaértékek.</w:t>
      </w:r>
    </w:p>
  </w:footnote>
  <w:footnote w:id="77">
    <w:p w14:paraId="0E4D6752" w14:textId="77777777" w:rsidR="003F5418" w:rsidRDefault="002A6C25">
      <w:pPr>
        <w:pStyle w:val="FootnoteText"/>
        <w:ind w:left="0" w:firstLine="0"/>
      </w:pPr>
      <w:r>
        <w:rPr>
          <w:rStyle w:val="FootnoteReference"/>
        </w:rPr>
        <w:footnoteRef/>
      </w:r>
      <w:r>
        <w:t xml:space="preserve"> Ez a kizárás nem vonatkozik az ezen i</w:t>
      </w:r>
      <w:r>
        <w:t>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w:t>
      </w:r>
      <w:r>
        <w:t>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w:t>
      </w:r>
      <w:r>
        <w:t>artamának meghosszabbítását; ezek esetében az üzem szintjén szolgáltatnak bizonyítékot.</w:t>
      </w:r>
    </w:p>
  </w:footnote>
  <w:footnote w:id="78">
    <w:p w14:paraId="4A816711"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w:t>
      </w:r>
      <w:r>
        <w:t>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w:t>
      </w:r>
      <w:r>
        <w:t xml:space="preserve"> az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79">
    <w:p w14:paraId="0383EBF9" w14:textId="77777777" w:rsidR="003F5418" w:rsidRDefault="002A6C25">
      <w:pPr>
        <w:pStyle w:val="FootnoteText"/>
        <w:ind w:left="0" w:firstLine="0"/>
      </w:pPr>
      <w:r>
        <w:rPr>
          <w:rStyle w:val="FootnoteReference"/>
        </w:rPr>
        <w:footnoteRef/>
      </w:r>
      <w:r>
        <w:t xml:space="preserve"> Kivéve az ezen inté</w:t>
      </w:r>
      <w:r>
        <w:t>zkedés hatálya alá tartozó, a jelentős károkozás elkerülését célzó elvről szóló technikai iránymutatás (2021/C58/01) III. mellékletében meghatározott feltételeknek megfelelő, földgázt felhasználó villamosenergia- és/vagy hőtermelésre, valamint a kapcsolódó</w:t>
      </w:r>
      <w:r>
        <w:t xml:space="preserve"> átviteli és elosztási infrastruktúrára irányuló projekteket.</w:t>
      </w:r>
    </w:p>
  </w:footnote>
  <w:footnote w:id="80">
    <w:p w14:paraId="77006733"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hogy ez miért nem le</w:t>
      </w:r>
      <w:r>
        <w:t>hetséges. A kibocsátáskereskedelmi rendszer hatálya alá tartozó tevékenységekre vonatkozó ingyenes kiosztásra vonatkozóan az (EU) 2021/447 bizottsági végrehajtási rendeletben meghatározott referenciaértékek.</w:t>
      </w:r>
    </w:p>
  </w:footnote>
  <w:footnote w:id="81">
    <w:p w14:paraId="6584151F" w14:textId="77777777" w:rsidR="003F5418" w:rsidRDefault="002A6C25">
      <w:pPr>
        <w:pStyle w:val="FootnoteText"/>
        <w:ind w:left="0" w:firstLine="0"/>
      </w:pPr>
      <w:r>
        <w:rPr>
          <w:rStyle w:val="FootnoteReference"/>
        </w:rPr>
        <w:footnoteRef/>
      </w:r>
      <w:r>
        <w:t xml:space="preserve"> Ez a kizárás nem vonatkozik az ezen intézkedés</w:t>
      </w:r>
      <w:r>
        <w:t xml:space="preserve"> szerinti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w:t>
      </w:r>
      <w:r>
        <w:t xml:space="preserve"> megkötése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w:t>
      </w:r>
      <w:r>
        <w:t xml:space="preserve"> meghosszabbítását; ezek esetében az üzem szintjén szolgáltatnak bizonyítékot.</w:t>
      </w:r>
    </w:p>
  </w:footnote>
  <w:footnote w:id="82">
    <w:p w14:paraId="172B415F"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ezen intézke</w:t>
      </w:r>
      <w:r>
        <w:t xml:space="preserv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w:t>
      </w:r>
      <w:r>
        <w:t>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83">
    <w:p w14:paraId="71779DB2" w14:textId="77777777" w:rsidR="003F5418" w:rsidRDefault="002A6C25">
      <w:pPr>
        <w:pStyle w:val="FootnoteText"/>
        <w:ind w:left="0" w:firstLine="0"/>
      </w:pPr>
      <w:r>
        <w:rPr>
          <w:rStyle w:val="FootnoteReference"/>
        </w:rPr>
        <w:footnoteRef/>
      </w:r>
      <w:r>
        <w:t xml:space="preserve"> </w:t>
      </w:r>
      <w:r>
        <w:rPr>
          <w:rStyle w:val="normaltextrun"/>
          <w:color w:val="000000"/>
          <w:shd w:val="clear" w:color="auto" w:fill="FFFFFF"/>
        </w:rPr>
        <w:t>OECD, Skills Studies on „Sup</w:t>
      </w:r>
      <w:r>
        <w:rPr>
          <w:rStyle w:val="normaltextrun"/>
          <w:color w:val="000000"/>
          <w:shd w:val="clear" w:color="auto" w:fill="FFFFFF"/>
        </w:rPr>
        <w:t>porting Entrepreneurship and Innovation in Higher Education in Italy” [A vállalkozói készség és az innováció támogatása Olaszországban]</w:t>
      </w:r>
    </w:p>
  </w:footnote>
  <w:footnote w:id="84">
    <w:p w14:paraId="14E99ABF"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w:t>
      </w:r>
      <w:r>
        <w:t>tás (2021/C58/01) III. mellékletében meghatározott feltételeknek megfelelő, földgázt felhasználó villamosenergia- és/vagy hőtermelésre, valamint a kapcsolódó átviteli és elosztási infrastruktúrára irányuló projekteket.</w:t>
      </w:r>
    </w:p>
  </w:footnote>
  <w:footnote w:id="85">
    <w:p w14:paraId="60E24636" w14:textId="77777777" w:rsidR="003F5418" w:rsidRDefault="002A6C25">
      <w:pPr>
        <w:pStyle w:val="FootnoteText"/>
        <w:ind w:left="0" w:firstLine="0"/>
      </w:pPr>
      <w:r>
        <w:rPr>
          <w:rStyle w:val="FootnoteReference"/>
        </w:rPr>
        <w:footnoteRef/>
      </w:r>
      <w:r>
        <w:t xml:space="preserve"> Amennyiben a támogatott tevékenység</w:t>
      </w:r>
      <w:r>
        <w:t xml:space="preserve"> olyan előrejelzett üvegházhatásúgáz-kibocsátást ér el, amely nem éri el jelentősen a vonatkozó referenciaértékeket, meg kell indokolni, hogy ez miért nem lehetséges. A kibocsátáskereskedelmi rendszer hatálya alá tartozó tevékenységekre vonatkozó ingyenes </w:t>
      </w:r>
      <w:r>
        <w:t>kiosztásra vonatkozóan az (EU) 2021/447 bizottsági végrehajtási rendeletben meghatározott referenciaértékek.</w:t>
      </w:r>
    </w:p>
  </w:footnote>
  <w:footnote w:id="86">
    <w:p w14:paraId="63AC61A1"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w:t>
      </w:r>
      <w:r>
        <w:t>étesítményekben, valamint a meglévő üzemekben, ahol az ezen intézkedés szerinti tevékenységek célja az energiahatékonyság növelése, a füstgázok tárolási célú megkötése vagy a hulladékégetésből származó hamuból származó anyagok felhasználása vagy kinyerése,</w:t>
      </w:r>
      <w:r>
        <w:t xml:space="preserve"> feltéve,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87">
    <w:p w14:paraId="672A396C" w14:textId="77777777" w:rsidR="003F5418" w:rsidRDefault="002A6C25">
      <w:pPr>
        <w:pStyle w:val="FootnoteText"/>
        <w:ind w:left="0" w:firstLine="0"/>
      </w:pPr>
      <w:r>
        <w:rPr>
          <w:rStyle w:val="FootnoteReference"/>
        </w:rPr>
        <w:footnoteRef/>
      </w:r>
      <w:r>
        <w:t xml:space="preserve"> Ez a kizárás nem v</w:t>
      </w:r>
      <w:r>
        <w:t>onatkozik az ezen intézkedés keretében a meglévő mechanikus-biológiai hulladékkezelő létesítményekben végrehajtott intézkedésekre, amennyiben az ezen intézkedés keretében végrehajtott fellépések célja az energiahatékonyság növelése vagy az elkülönített hul</w:t>
      </w:r>
      <w:r>
        <w:t>ladék újrafeldolgozási műveletekhez való utólagos átalakítása a biohulladék komposztálása és a biohulladék anaerob lebontása céljából, feltéve, hogy az ezen intézkedés szerinti szerinti ilyen fellépések nem eredményezik az üzemek hulladékfeldolgozási kapac</w:t>
      </w:r>
      <w:r>
        <w:t>itásának növelését vagy az üzemek élettartamának meghosszabbítását; ezek esetében az üzem szintjén szolgáltatnak bizonyítékot.</w:t>
      </w:r>
    </w:p>
  </w:footnote>
  <w:footnote w:id="88">
    <w:p w14:paraId="59E9DF91"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w:t>
      </w:r>
      <w:r>
        <w:t>/C58/01) III. mellékletében meghatározott feltételeknek megfelelő, földgázt felhasználó villamosenergia- és/vagy hőtermelésre, valamint a kapcsolódó átviteli és elosztási infrastruktúrára irányuló projekteket.</w:t>
      </w:r>
    </w:p>
  </w:footnote>
  <w:footnote w:id="89">
    <w:p w14:paraId="7C3296C3" w14:textId="77777777" w:rsidR="003F5418" w:rsidRDefault="002A6C25">
      <w:pPr>
        <w:pStyle w:val="FootnoteText"/>
        <w:ind w:left="0" w:firstLine="0"/>
      </w:pPr>
      <w:r>
        <w:rPr>
          <w:rStyle w:val="FootnoteReference"/>
        </w:rPr>
        <w:footnoteRef/>
      </w:r>
      <w:r>
        <w:t xml:space="preserve"> Amennyiben a támogatott tevékenység olyan el</w:t>
      </w:r>
      <w:r>
        <w:t>őrejelzett üvegházhatásúgáz-kibocsátást ér el, amely nem éri el jelentősen a vonatkozó referenciaértékeket, meg kell indokolni, hogy ez miért nem lehetséges. A kibocsátáskereskedelmi rendszer hatálya alá tartozó tevékenységekre vonatkozó ingyenes kiosztásr</w:t>
      </w:r>
      <w:r>
        <w:t>a vonatkozóan az (EU) 2021/447 bizottsági végrehajtási rendeletben meghatározott referenciaértékek.</w:t>
      </w:r>
    </w:p>
  </w:footnote>
  <w:footnote w:id="90">
    <w:p w14:paraId="3BCEB5EB"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létesítmén</w:t>
      </w:r>
      <w:r>
        <w:t>yekben, valamint a meglévő üzemekben, ahol az ezen intézkedés szerinti tevékenységek célja az energiahatékonyság növelése, a füstgázok tárolási célú megkötése vagy a hulladékégetésből származó hamuból származó anyagok felhasználása vagy kinyerése, feltéve,</w:t>
      </w:r>
      <w:r>
        <w:t xml:space="preserve"> hogy az ezen intézkedés szerinti fellépések nem eredményezik az üzemek hulladékfeldolgozási kapacitásának növekedését vagy az üzemek élettartamának meghosszabbítását; ezek esetében az üzem szintjén szolgáltatnak bizonyítékot.</w:t>
      </w:r>
    </w:p>
  </w:footnote>
  <w:footnote w:id="91">
    <w:p w14:paraId="0425D49D" w14:textId="77777777" w:rsidR="003F5418" w:rsidRDefault="002A6C25">
      <w:pPr>
        <w:pStyle w:val="FootnoteText"/>
        <w:ind w:left="0" w:firstLine="0"/>
      </w:pPr>
      <w:r>
        <w:rPr>
          <w:rStyle w:val="FootnoteReference"/>
        </w:rPr>
        <w:footnoteRef/>
      </w:r>
      <w:r>
        <w:t xml:space="preserve"> Ez a kizárás nem vonatkozik</w:t>
      </w:r>
      <w:r>
        <w:t xml:space="preserve"> az ezen intézkedés keretében a meglévő mechanikus-biológiai hulladékkezelő létesítményekben végrehajtott intézkedésekre, amennyiben az ezen intézkedés keretében végrehajtott fellépések célja az energiahatékonyság növelése vagy az elkülönített hulladék újr</w:t>
      </w:r>
      <w:r>
        <w:t xml:space="preserve">afeldolgozási műveletekhez való utólagos átalakítása a biohulladék komposztálása és a biohulladék anaerob lebontása céljából, feltéve, hogy az ezen intézkedés szerinti szerinti ilyen fellépések nem eredményezik az üzemek hulladékfeldolgozási kapacitásának </w:t>
      </w:r>
      <w:r>
        <w:t>növelését vagy az üzemek élettartamának meghosszabbítását; ezek esetében az üzem szintjén szolgáltatnak bizonyítékot.</w:t>
      </w:r>
    </w:p>
  </w:footnote>
  <w:footnote w:id="92">
    <w:p w14:paraId="3A5A2F27"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(2021/C58/01) </w:t>
      </w:r>
      <w:r>
        <w:t>III. mellékletében meghatározott feltételeknek megfelelő, földgázt felhasználó villamosenergia- és/vagy hőtermelésre, valamint a kapcsolódó átviteli és elosztási infrastruktúrára irányuló projekteket.</w:t>
      </w:r>
    </w:p>
  </w:footnote>
  <w:footnote w:id="93">
    <w:p w14:paraId="30CFB3C6" w14:textId="77777777" w:rsidR="003F5418" w:rsidRDefault="002A6C25">
      <w:pPr>
        <w:pStyle w:val="FootnoteText"/>
        <w:ind w:left="0" w:firstLine="0"/>
      </w:pPr>
      <w:r>
        <w:rPr>
          <w:rStyle w:val="FootnoteReference"/>
        </w:rPr>
        <w:footnoteRef/>
      </w:r>
      <w:r>
        <w:t xml:space="preserve"> Amennyiben a támogatott tevékenység olyan előrejelzet</w:t>
      </w:r>
      <w:r>
        <w:t>t üvegházhatásúgáz-kibocsátást ér el, amely nem éri el jelentősen a vonatkozó referenciaértékeket, meg kell indokolni, hogy ez miért nem lehetséges. A kibocsátáskereskedelmi rendszer hatálya alá tartozó tevékenységekre vonatkozó ingyenes kiosztásra vonatko</w:t>
      </w:r>
      <w:r>
        <w:t>zóan az (EU) 2021/447 bizottsági végrehajtási rendeletben meghatározott referenciaértékek.</w:t>
      </w:r>
    </w:p>
  </w:footnote>
  <w:footnote w:id="94">
    <w:p w14:paraId="2B308D25" w14:textId="77777777" w:rsidR="003F5418" w:rsidRDefault="002A6C25">
      <w:pPr>
        <w:pStyle w:val="FootnoteText"/>
        <w:ind w:left="0" w:firstLine="0"/>
      </w:pPr>
      <w:r>
        <w:rPr>
          <w:rStyle w:val="FootnoteReference"/>
        </w:rPr>
        <w:footnoteRef/>
      </w:r>
      <w:r>
        <w:t xml:space="preserve"> Ez a kizárás nem vonatkozik az ezen intézkedés szerinti fellépésekre a kizárólag nem újrafeldolgozható veszélyes hulladékok kezelésére szolgáló létesítményekben, v</w:t>
      </w:r>
      <w:r>
        <w:t xml:space="preserve">alamint a meglévő üzemekben, ahol az ezen intézkedés szerinti tevékenységek célja az energiahatékonyság növelése, a füstgázok tárolási célú megkötése vagy a hulladékégetésből származó hamuból származó anyagok felhasználása vagy kinyerése, feltéve, hogy az </w:t>
      </w:r>
      <w:r>
        <w:t>ezen intézkedés szerinti fellépések nem eredményezik az üzemek hulladékfeldolgozási kapacitásának növekedését vagy az üzemek élettartamának meghosszabbítását; ezek esetében az üzem szintjén szolgáltatnak bizonyítékot.</w:t>
      </w:r>
    </w:p>
  </w:footnote>
  <w:footnote w:id="95">
    <w:p w14:paraId="00A39299" w14:textId="77777777" w:rsidR="003F5418" w:rsidRDefault="002A6C25">
      <w:pPr>
        <w:pStyle w:val="FootnoteText"/>
        <w:ind w:left="0" w:firstLine="0"/>
      </w:pPr>
      <w:r>
        <w:rPr>
          <w:rStyle w:val="FootnoteReference"/>
        </w:rPr>
        <w:footnoteRef/>
      </w:r>
      <w:r>
        <w:t xml:space="preserve"> Ez a kizárás nem vonatkozik az ezen </w:t>
      </w:r>
      <w:r>
        <w:t>intézkedés keretében a meglévő mechanikus-biológiai hulladékkezelő létesítményekben végrehajtott intézkedésekre, amennyiben az ezen intézkedés keretében végrehajtott fellépések célja az energiahatékonyság növelése vagy az elkülönített hulladék újrafeldolgo</w:t>
      </w:r>
      <w:r>
        <w:t>zási műveletekhez való utólagos átalakítása a biohulladék komposztálása és a biohulladék anaerob lebontása céljából, feltéve, hogy az ezen intézkedés szerinti szerinti ilyen fellépések nem eredményezik az üzemek hulladékfeldolgozási kapacitásának növelését</w:t>
      </w:r>
      <w:r>
        <w:t xml:space="preserve"> vagy az üzemek élettartamának meghosszabbítását; ezek esetében az üzem szintjén szolgáltatnak bizonyítékot.</w:t>
      </w:r>
    </w:p>
  </w:footnote>
  <w:footnote w:id="96">
    <w:p w14:paraId="1E3B9601"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(2021/C58/01) III. mell</w:t>
      </w:r>
      <w:r>
        <w:t>ékletében meghatározott feltételeknek megfelelő, földgázt felhasználó villamosenergia- és/vagy hőtermelésre, valamint a kapcsolódó átviteli és elosztási infrastruktúrára irányuló projekteket.</w:t>
      </w:r>
    </w:p>
  </w:footnote>
  <w:footnote w:id="97">
    <w:p w14:paraId="6EF67476" w14:textId="77777777" w:rsidR="003F5418" w:rsidRDefault="002A6C25">
      <w:pPr>
        <w:pStyle w:val="FootnoteText"/>
        <w:ind w:left="0" w:firstLine="0"/>
      </w:pPr>
      <w:r>
        <w:rPr>
          <w:rStyle w:val="FootnoteReference"/>
        </w:rPr>
        <w:footnoteRef/>
      </w:r>
      <w:r>
        <w:t xml:space="preserve"> Amennyiben a támogatott tevékenység olyan előrejelzett üvegház</w:t>
      </w:r>
      <w:r>
        <w:t>hatásúgáz-kibocsátást ér el, amely nem éri el jelentősen a vonatkozó referenciaértékeket, meg kell indokolni, hogy ez miért nem lehetséges. A kibocsátáskereskedelmi rendszer hatálya alá tartozó tevékenységekre vonatkozó ingyenes kiosztásra vonatkozóan az (</w:t>
      </w:r>
      <w:r>
        <w:t>EU) 2021/447 bizottsági végrehajtási rendeletben meghatározott referenciaértékek.</w:t>
      </w:r>
    </w:p>
  </w:footnote>
  <w:footnote w:id="98">
    <w:p w14:paraId="7FDEBEDF" w14:textId="77777777" w:rsidR="003F5418" w:rsidRDefault="002A6C25">
      <w:pPr>
        <w:jc w:val="both"/>
      </w:pPr>
      <w:r>
        <w:rPr>
          <w:rStyle w:val="FootnoteReference"/>
          <w:sz w:val="20"/>
        </w:rPr>
        <w:footnoteRef/>
      </w:r>
      <w:r>
        <w:rPr>
          <w:sz w:val="20"/>
        </w:rPr>
        <w:t xml:space="preserve"> Ez a kizárás nem vonatkozik az ezen intézkedés szerinti fellépésekre a kizárólag nem újrafeldolgozható veszélyes hulladékok kezelésére szolgáló létesítményekben, valamint a</w:t>
      </w:r>
      <w:r>
        <w:rPr>
          <w:sz w:val="20"/>
        </w:rPr>
        <w:t xml:space="preserve"> meglévő üzemekben, ahol az ezen intézkedés szerinti tevékenységek célja az energiahatékonyság növelése, a füstgázok tárolási célú megkötése vagy a hulladékégetésből származó hamuból származó anyagok felhasználása vagy kinyerése, feltéve, hogy az ezen inté</w:t>
      </w:r>
      <w:r>
        <w:rPr>
          <w:sz w:val="20"/>
        </w:rPr>
        <w:t>zkedés szerinti fellépések nem eredményezik az üzemek hulladékfeldolgozási kapacitásának növekedését vagy az üzemek élettartamának meghosszabbítását; ezek esetében az üzem szintjén szolgáltatnak bizonyítékot.</w:t>
      </w:r>
    </w:p>
  </w:footnote>
  <w:footnote w:id="99">
    <w:p w14:paraId="1F4D7E1B"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vagy </w:t>
      </w:r>
      <w:r>
        <w:t>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hulladé</w:t>
      </w:r>
      <w:r>
        <w:t>kfeldolgozási kapacitásának növelését vagy az üzemek élettartamának meghosszabbítását; ezek esetében az üzem szintjén szolgáltatnak bizonyítékot.</w:t>
      </w:r>
    </w:p>
  </w:footnote>
  <w:footnote w:id="100">
    <w:p w14:paraId="7AEB867B" w14:textId="77777777" w:rsidR="003F5418" w:rsidRDefault="002A6C25">
      <w:pPr>
        <w:pStyle w:val="FootnoteText"/>
        <w:ind w:left="0" w:firstLine="0"/>
      </w:pPr>
      <w:r>
        <w:rPr>
          <w:rStyle w:val="FootnoteReference"/>
        </w:rPr>
        <w:footnoteRef/>
      </w:r>
      <w:r>
        <w:t xml:space="preserve"> A munkacsomag a projektmunka lebontásának egyik eleme, például: beruházás előtti tesztelés, készségek és kép</w:t>
      </w:r>
      <w:r>
        <w:t>zés, projektmenedzsment és koordináció. Ez a tevékenységekben és feladatokban leírt projektmunkák csoportját képviseli. A munkacsomagoknak egyértelmű és logikus kapcsolatot kell mutatniuk a projekt célkitűzéseivel és a többi munkacsomaggal. Minden egyes mu</w:t>
      </w:r>
      <w:r>
        <w:t xml:space="preserve">nkacsomag a projekt alrészét képezi, amely a projekt átfogó céljainak eléréséhez vezető lépés. </w:t>
      </w:r>
    </w:p>
  </w:footnote>
  <w:footnote w:id="101">
    <w:p w14:paraId="3893111F"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(2021/C58/01) III. mellékletében meg</w:t>
      </w:r>
      <w:r>
        <w:t>határozott feltételeknek megfelelő, földgázt felhasználó villamosenergia- és/vagy hőtermelésre, valamint a kapcsolódó átviteli és elosztási infrastruktúrára irányuló projekteket.</w:t>
      </w:r>
    </w:p>
  </w:footnote>
  <w:footnote w:id="102">
    <w:p w14:paraId="7D04B696"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w:t>
      </w:r>
      <w:r>
        <w:t xml:space="preserve">ocsátást ér el, amely nem éri el jelentősen a vonatkozó referenciaértékeket, meg kell indokolni, hogy ez miért nem lehetséges. A kibocsátáskereskedelmi rendszer hatálya alá tartozó tevékenységekre vonatkozó ingyenes kiosztásra vonatkozóan az (EU) 2021/447 </w:t>
      </w:r>
      <w:r>
        <w:t>bizottsági végrehajtási rendeletben meghatározott referenciaértékek.</w:t>
      </w:r>
    </w:p>
  </w:footnote>
  <w:footnote w:id="103">
    <w:p w14:paraId="38DDA103" w14:textId="77777777" w:rsidR="003F5418" w:rsidRDefault="002A6C25">
      <w:pPr>
        <w:jc w:val="both"/>
      </w:pPr>
      <w:r>
        <w:rPr>
          <w:rStyle w:val="FootnoteReference"/>
        </w:rPr>
        <w:footnoteRef/>
      </w:r>
      <w:r>
        <w:rPr>
          <w:sz w:val="20"/>
        </w:rPr>
        <w:t>Ez a kizárás nem vonatkozik az ezen intézkedés szerinti fellépésekre a kizárólag nem újrafeldolgozható veszélyes hulladékok kezelésére szolgáló létesítményekben, valamint a meglévő üzeme</w:t>
      </w:r>
      <w:r>
        <w:rPr>
          <w:sz w:val="20"/>
        </w:rPr>
        <w:t>kben, ahol az ezen intézkedés szerinti tevékenységek célja az energiahatékonyság növelése, a füstgázok tárolási célú megkötése vagy a hulladékégetésből származó hamuból származó anyagok felhasználása vagy kinyerése, feltéve, hogy az ezen intézkedés szerint</w:t>
      </w:r>
      <w:r>
        <w:rPr>
          <w:sz w:val="20"/>
        </w:rPr>
        <w:t>i fellépések nem eredményezik az üzemek hulladékfeldolgozási kapacitásának növekedését vagy az üzemek élettartamának meghosszabbítását; ezek esetében az üzem szintjén szolgáltatnak bizonyítékot.</w:t>
      </w:r>
    </w:p>
  </w:footnote>
  <w:footnote w:id="104">
    <w:p w14:paraId="2976C822" w14:textId="77777777" w:rsidR="003F5418" w:rsidRDefault="002A6C25">
      <w:pPr>
        <w:pStyle w:val="FootnoteText"/>
        <w:ind w:left="0" w:firstLine="0"/>
      </w:pPr>
      <w:r>
        <w:rPr>
          <w:rStyle w:val="FootnoteReference"/>
        </w:rPr>
        <w:footnoteRef/>
      </w:r>
      <w:r>
        <w:t xml:space="preserve"> Ez a kizárás nem vonatkozik az ezen intézkedés keretében a </w:t>
      </w:r>
      <w:r>
        <w:t xml:space="preserve">meglévő mechanikus-biológiai hulladékkezelő létesítményekben végrehajtott intézkedésekre, amennyiben az ezen intézkedés keretében végrehajtott fellépések célja az energiahatékonyság növelése vagy az elkülönített hulladék újrafeldolgozási műveletekhez való </w:t>
      </w:r>
      <w:r>
        <w:t>utólagos átalakítása a biohulladék komposztálása és a biohulladék anaerob lebontása céljából, feltéve, hogy az ezen intézkedés szerinti szerinti ilyen fellépések nem eredményezik az üzemek hulladékfeldolgozási kapacitásának növelését vagy az üzemek élettar</w:t>
      </w:r>
      <w:r>
        <w:t>tamának meghosszabbítását; ezek esetében az üzem szintjén szolgáltatnak bizonyítékot.</w:t>
      </w:r>
    </w:p>
  </w:footnote>
  <w:footnote w:id="105">
    <w:p w14:paraId="4CE8843C" w14:textId="77777777" w:rsidR="003F5418" w:rsidRDefault="002A6C25">
      <w:pPr>
        <w:pStyle w:val="FootnoteText"/>
        <w:ind w:left="0" w:firstLine="0"/>
      </w:pPr>
      <w:r>
        <w:rPr>
          <w:rStyle w:val="FootnoteReference"/>
        </w:rPr>
        <w:footnoteRef/>
      </w:r>
      <w:r>
        <w:t xml:space="preserve"> Kivéve az ezen intézkedés hatálya alá tartozó, a jelentős károkozás elkerülését célzó elvről szóló technikai iránymutatás (2021/C58/01) III. mellékletében meghatározott</w:t>
      </w:r>
      <w:r>
        <w:t xml:space="preserve"> feltételeknek megfelelő, földgázt felhasználó villamosenergia- és/vagy hőtermelésre, valamint a kapcsolódó átviteli és elosztási infrastruktúrára irányuló projekteket.</w:t>
      </w:r>
    </w:p>
  </w:footnote>
  <w:footnote w:id="106">
    <w:p w14:paraId="0F25E15E"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w:t>
      </w:r>
      <w:r>
        <w:t>r el, amely nem éri el jelentősen a vonatkozó referenciaértékeket, meg kell indokolni, hogy ez miért nem lehetséges. A kibocsátáskereskedelmi rendszer hatálya alá tartozó tevékenységekre vonatkozó ingyenes kiosztásra vonatkozóan az (EU) 2021/447 bizottsági</w:t>
      </w:r>
      <w:r>
        <w:t xml:space="preserve"> végrehajtási rendeletben meghatározott referenciaértékek.</w:t>
      </w:r>
    </w:p>
  </w:footnote>
  <w:footnote w:id="107">
    <w:p w14:paraId="3B439862" w14:textId="77777777" w:rsidR="003F5418" w:rsidRDefault="002A6C25">
      <w:pPr>
        <w:jc w:val="both"/>
      </w:pPr>
      <w:r>
        <w:rPr>
          <w:rStyle w:val="FootnoteReference"/>
          <w:sz w:val="20"/>
        </w:rPr>
        <w:footnoteRef/>
      </w:r>
      <w:r>
        <w:rPr>
          <w:sz w:val="20"/>
        </w:rPr>
        <w:t xml:space="preserve"> Ez a kizárás nem vonatkozik az ezen intézkedés szerinti fellépésekre a kizárólag nem újrafeldolgozható veszélyes hulladékok kezelésére szolgáló létesítményekben, valamint a meglévő üzemekben, aho</w:t>
      </w:r>
      <w:r>
        <w:rPr>
          <w:sz w:val="20"/>
        </w:rPr>
        <w:t>l az ezen intézkedés szerinti tevékenységek célja az energiahatékonyság növelése, a füstgázok tárolási célú megkötése vagy a hulladékégetésből származó hamuból származó anyagok felhasználása vagy kinyerése, feltéve, hogy az ezen intézkedés szerinti fellépé</w:t>
      </w:r>
      <w:r>
        <w:rPr>
          <w:sz w:val="20"/>
        </w:rPr>
        <w:t>sek nem eredményezik az üzemek hulladékfeldolgozási kapacitásának növekedését vagy az üzemek élettartamának meghosszabbítását; ezek esetében az üzem szintjén szolgáltatnak bizonyítékot.</w:t>
      </w:r>
    </w:p>
  </w:footnote>
  <w:footnote w:id="108">
    <w:p w14:paraId="2B39BB26" w14:textId="77777777" w:rsidR="003F5418" w:rsidRDefault="002A6C25">
      <w:pPr>
        <w:pStyle w:val="FootnoteText"/>
        <w:ind w:left="0" w:firstLine="0"/>
      </w:pPr>
      <w:r>
        <w:rPr>
          <w:rStyle w:val="FootnoteReference"/>
        </w:rPr>
        <w:footnoteRef/>
      </w:r>
      <w:r>
        <w:t xml:space="preserve"> Ez a kizárás nem vonatkozik az ezen intézkedés keretében a meglévő m</w:t>
      </w:r>
      <w:r>
        <w:t xml:space="preserve">echanikus-biológiai hulladékkezelő létesítményekben végrehajtott intézkedésekre, amennyiben az ezen intézkedés keretében végrehajtott fellépések célja az energiahatékonyság növelése vagy az elkülönített hulladék újrafeldolgozási műveletekhez való utólagos </w:t>
      </w:r>
      <w:r>
        <w:t>átalakítása a biohulladék komposztálása és a biohulladék anaerob lebontása céljából, feltéve, hogy az ezen intézkedés szerinti szerinti ilyen fellépések nem eredményezik az üzemek hulladékfeldolgozási kapacitásának növelését vagy az üzemek élettartamának m</w:t>
      </w:r>
      <w:r>
        <w:t>eghosszabbítását; ezek esetében az üzem szintjén szolgáltatnak bizonyítékot.</w:t>
      </w:r>
    </w:p>
  </w:footnote>
  <w:footnote w:id="109">
    <w:p w14:paraId="60CD6896" w14:textId="77777777" w:rsidR="003F5418" w:rsidRDefault="002A6C25">
      <w:pPr>
        <w:pStyle w:val="FootnoteText"/>
        <w:ind w:left="0" w:firstLine="0"/>
      </w:pPr>
      <w:r>
        <w:rPr>
          <w:rStyle w:val="FootnoteReference"/>
          <w:rFonts w:eastAsiaTheme="majorEastAsia"/>
        </w:rPr>
        <w:footnoteRef/>
      </w:r>
      <w:r>
        <w:t xml:space="preserve"> A CDP Venture Capital SGR az alapkezelői tevékenységeket az ABAK-irányelv szerinti függetlenség és autonómia elvével összhangban végzi.</w:t>
      </w:r>
    </w:p>
  </w:footnote>
  <w:footnote w:id="110">
    <w:p w14:paraId="43321CC8" w14:textId="77777777" w:rsidR="003F5418" w:rsidRDefault="002A6C25">
      <w:pPr>
        <w:pStyle w:val="FootnoteText"/>
        <w:ind w:left="0" w:firstLine="0"/>
      </w:pPr>
      <w:r>
        <w:rPr>
          <w:rStyle w:val="FootnoteReference"/>
          <w:rFonts w:eastAsiaTheme="majorEastAsia"/>
        </w:rPr>
        <w:footnoteRef/>
      </w:r>
      <w:r>
        <w:t xml:space="preserve"> Úgy tekinthető, hogy a végső kedvezmény</w:t>
      </w:r>
      <w:r>
        <w:t xml:space="preserve">ezett „jelentősen egy ágazatra vagy üzleti tevékenységre” összpontosít, ha az ágazat vagy tevékenység a végső kedvezményezett üzleti tevékenységének lényeges része, a végső kedvezményezett bruttó bevételéhez, nyereségéhez vagy ügyfélköréhez viszonyítva. A </w:t>
      </w:r>
      <w:r>
        <w:t>korlátozás alá eső ágazatból vagy tevékenységből származó bruttó bevétel semmi esetre sem haladhatja meg a bruttó bevétel 50%-át.</w:t>
      </w:r>
    </w:p>
  </w:footnote>
  <w:footnote w:id="111">
    <w:p w14:paraId="7486F9C6" w14:textId="77777777" w:rsidR="003F5418" w:rsidRDefault="002A6C25">
      <w:pPr>
        <w:jc w:val="both"/>
        <w:rPr>
          <w:sz w:val="20"/>
        </w:rPr>
      </w:pPr>
      <w:r>
        <w:rPr>
          <w:rStyle w:val="FootnoteReference"/>
          <w:rFonts w:eastAsiaTheme="majorEastAsia"/>
        </w:rPr>
        <w:footnoteRef/>
      </w:r>
      <w:r>
        <w:rPr>
          <w:sz w:val="20"/>
        </w:rPr>
        <w:t xml:space="preserve"> Kivéve az a) a jelentős károkozás elkerülését célzó technikai iránymutatás (2021/C58/01) III. mellékletében meghatározott fe</w:t>
      </w:r>
      <w:r>
        <w:rPr>
          <w:sz w:val="20"/>
        </w:rPr>
        <w:t>ltételeknek megfelelő, földgázt felhasználó villamosenergia- és/vagy hőtermeléssel kapcsolatos eszközöket és tevékenységeket, valamint a kapcsolódó átviteli és elosztási infrastruktúrát, valamint b) a ii. pont szerinti tevékenységeket és eszközöket, amelye</w:t>
      </w:r>
      <w:r>
        <w:rPr>
          <w:sz w:val="20"/>
        </w:rPr>
        <w:t>k esetében a fosszilis tüzelőanyagok használata átmeneti és technikailag elkerülhetetlen a fosszilis tüzelőanyagoktól mentes üzemre való időben történő átállás szempontjából.</w:t>
      </w:r>
    </w:p>
  </w:footnote>
  <w:footnote w:id="112">
    <w:p w14:paraId="792907F4" w14:textId="77777777" w:rsidR="003F5418" w:rsidRDefault="002A6C25">
      <w:pPr>
        <w:jc w:val="both"/>
        <w:rPr>
          <w:sz w:val="20"/>
        </w:rPr>
      </w:pPr>
      <w:r>
        <w:rPr>
          <w:rStyle w:val="FootnoteReference"/>
          <w:rFonts w:eastAsiaTheme="majorEastAsia"/>
        </w:rPr>
        <w:footnoteRef/>
      </w:r>
      <w:r>
        <w:rPr>
          <w:sz w:val="20"/>
        </w:rPr>
        <w:t xml:space="preserve"> Beleértve az uniós kibocsátáskereskedelmi rendszer (ETS) keretében végzett olya</w:t>
      </w:r>
      <w:r>
        <w:rPr>
          <w:sz w:val="20"/>
        </w:rPr>
        <w:t>n tevékenységeket és eszközöket, amelyek elérik a vonatkozó referenciaértékeket meg nem haladó, előre jelzett üvegházhatásúgáz-kibocsátást. Amennyiben a támogatott tevékenység nem eredményez a vonatkozó referenciaértékeknél lényegesen alacsonyabb előrejelz</w:t>
      </w:r>
      <w:r>
        <w:rPr>
          <w:sz w:val="20"/>
        </w:rPr>
        <w:t>ett üvegházhatásúgáz-kibocsátást, ismertetni kell azokat az okokat, amelyek miatt nem érhető el nagyobb kibocsátáscsökkenés. A kibocsátáskereskedelmi rendszer hatálya alá tartozó tevékenységekre vonatkozó ingyenes kiosztásra vonatkozóan az (EU) 2021/447 bi</w:t>
      </w:r>
      <w:r>
        <w:rPr>
          <w:sz w:val="20"/>
        </w:rPr>
        <w:t>zottsági végrehajtási rendeletben meghatározott referenciaértékek.</w:t>
      </w:r>
    </w:p>
  </w:footnote>
  <w:footnote w:id="113">
    <w:p w14:paraId="3623128E" w14:textId="77777777" w:rsidR="003F5418" w:rsidRDefault="002A6C25">
      <w:pPr>
        <w:jc w:val="both"/>
        <w:rPr>
          <w:sz w:val="20"/>
        </w:rPr>
      </w:pPr>
      <w:r>
        <w:rPr>
          <w:rStyle w:val="FootnoteReference"/>
          <w:rFonts w:eastAsiaTheme="majorEastAsia"/>
        </w:rPr>
        <w:footnoteRef/>
      </w:r>
      <w:r>
        <w:rPr>
          <w:sz w:val="20"/>
        </w:rPr>
        <w:t xml:space="preserve"> A szennyező járművek nem kibocsátásmentes járművek.</w:t>
      </w:r>
    </w:p>
  </w:footnote>
  <w:footnote w:id="114">
    <w:p w14:paraId="7A8B8F40" w14:textId="77777777" w:rsidR="003F5418" w:rsidRDefault="002A6C25">
      <w:pPr>
        <w:pStyle w:val="FootnoteText"/>
        <w:ind w:left="0" w:firstLine="0"/>
      </w:pPr>
      <w:r>
        <w:rPr>
          <w:rStyle w:val="FootnoteReference"/>
          <w:rFonts w:eastAsiaTheme="majorEastAsia"/>
        </w:rPr>
        <w:footnoteRef/>
      </w:r>
      <w:r>
        <w:t xml:space="preserve"> Ez a kizárás nem vonatkozik a kizárólag a nem újrahasznosítható veszélyes hulladékok kezelésére szolgáló üzemekben végzett tevékenysé</w:t>
      </w:r>
      <w:r>
        <w:t>gekre, valamint a meglévő üzemekre, amennyiben az ezen intézkedés keretében végrehajtott intézkedések célja az energiahatékonyság növelése, a kipufogógázok tárolása vagy felhasználása vagy az égetési hamuból származó anyagok visszanyerése, feltéve, hogy az</w:t>
      </w:r>
      <w:r>
        <w:t xml:space="preserve"> ezen intézkedés keretében végrehajtott ilyen intézkedések nem eredményezik az üzemek hulladékfeldolgozási kapacitásának növekedését vagy az üzemek élettartamának meghosszabbítását; ezek esetében az üzem szintjén szolgáltatnak bizonyítékot.</w:t>
      </w:r>
    </w:p>
  </w:footnote>
  <w:footnote w:id="115">
    <w:p w14:paraId="570376E5" w14:textId="77777777" w:rsidR="003F5418" w:rsidRDefault="002A6C25">
      <w:pPr>
        <w:pStyle w:val="FootnoteText"/>
        <w:ind w:left="0" w:firstLine="0"/>
      </w:pPr>
      <w:r>
        <w:rPr>
          <w:rStyle w:val="FootnoteReference"/>
        </w:rPr>
        <w:footnoteRef/>
      </w:r>
      <w:r>
        <w:t xml:space="preserve"> Kivéve az eze</w:t>
      </w:r>
      <w:r>
        <w:t>n intézkedés hatálya alá tartozó, a jelentős károkozás elkerülését célzó elvről szóló technikai iránymutatás (2021/C58/01) III. mellékletében meghatározott feltételeknek megfelelő, földgázt felhasználó villamosenergia- és/vagy hőtermelésre, valamint a kapc</w:t>
      </w:r>
      <w:r>
        <w:t>solódó átviteli és elosztási infrastruktúrára irányuló projekteket.</w:t>
      </w:r>
    </w:p>
  </w:footnote>
  <w:footnote w:id="116">
    <w:p w14:paraId="3AF517B8"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hogy ez miért </w:t>
      </w:r>
      <w:r>
        <w:t>nem lehetséges. A kibocsátáskereskedelmi rendszer hatálya alá tartozó tevékenységekre vonatkozó ingyenes kiosztásra vonatkozóan az (EU) 2021/447 bizottsági végrehajtási rendeletben meghatározott referenciaértékek.</w:t>
      </w:r>
    </w:p>
  </w:footnote>
  <w:footnote w:id="117">
    <w:p w14:paraId="679BB03A" w14:textId="77777777" w:rsidR="003F5418" w:rsidRDefault="002A6C25">
      <w:pPr>
        <w:jc w:val="both"/>
      </w:pPr>
      <w:r>
        <w:rPr>
          <w:rStyle w:val="FootnoteReference"/>
          <w:sz w:val="20"/>
        </w:rPr>
        <w:footnoteRef/>
      </w:r>
      <w:r>
        <w:rPr>
          <w:sz w:val="20"/>
        </w:rPr>
        <w:t xml:space="preserve"> Ez a kizárás nem vonatkozik az ezen inté</w:t>
      </w:r>
      <w:r>
        <w:rPr>
          <w:sz w:val="20"/>
        </w:rPr>
        <w:t>zkedés szerinti fellépésekre a kizárólag nem újrafeldolgozható veszélyes hulladékok kezelésére szolgáló létesítményekben, valamint a meglévő üzemekben, ahol az ezen intézkedés szerinti tevékenységek célja az energiahatékonyság növelése, a füstgázok tárolás</w:t>
      </w:r>
      <w:r>
        <w:rPr>
          <w:sz w:val="20"/>
        </w:rPr>
        <w:t>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élettart</w:t>
      </w:r>
      <w:r>
        <w:rPr>
          <w:sz w:val="20"/>
        </w:rPr>
        <w:t>amának meghosszabbítását; ezek esetében az üzem szintjén szolgáltatnak bizonyítékot.</w:t>
      </w:r>
    </w:p>
  </w:footnote>
  <w:footnote w:id="118">
    <w:p w14:paraId="5AC49EB9"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ezen i</w:t>
      </w:r>
      <w:r>
        <w:t>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hogy az</w:t>
      </w:r>
      <w:r>
        <w:t xml:space="preserve"> ezen intézkedés szerinti szerinti ilyen fellépések nem eredményezik az üzemek hulladékfeldolgozási kapacitásának növelését vagy az üzemek élettartamának meghosszabbítását; ezek esetében az üzem szintjén szolgáltatnak bizonyítékot.</w:t>
      </w:r>
    </w:p>
  </w:footnote>
  <w:footnote w:id="119">
    <w:p w14:paraId="440A1080" w14:textId="77777777" w:rsidR="003F5418" w:rsidRDefault="002A6C25">
      <w:pPr>
        <w:pStyle w:val="FootnoteText"/>
        <w:ind w:left="0" w:firstLine="0"/>
      </w:pPr>
      <w:r>
        <w:rPr>
          <w:rStyle w:val="FootnoteReference"/>
        </w:rPr>
        <w:footnoteRef/>
      </w:r>
      <w:r>
        <w:t xml:space="preserve"> Kivéve az ezen intézke</w:t>
      </w:r>
      <w:r>
        <w:t>dés hatálya alá tartozó, a jelentős károkozás elkerülését célzó elvről szóló technikai iránymutatás (2021/C58/01) III. mellékletében meghatározott feltételeknek megfelelő, földgázt felhasználó villamosenergia- és/vagy hőtermelésre, valamint a kapcsolódó át</w:t>
      </w:r>
      <w:r>
        <w:t>viteli és elosztási infrastruktúrára irányuló projekteket.</w:t>
      </w:r>
    </w:p>
  </w:footnote>
  <w:footnote w:id="120">
    <w:p w14:paraId="5127CA8D" w14:textId="77777777" w:rsidR="003F5418" w:rsidRDefault="002A6C25">
      <w:pPr>
        <w:pStyle w:val="FootnoteText"/>
        <w:ind w:left="0" w:firstLine="0"/>
      </w:pPr>
      <w:r>
        <w:rPr>
          <w:rStyle w:val="FootnoteReference"/>
        </w:rPr>
        <w:footnoteRef/>
      </w:r>
      <w:r>
        <w:t xml:space="preserve"> Amennyiben a támogatott tevékenység olyan előrejelzett üvegházhatásúgáz-kibocsátást ér el, amely nem éri el jelentősen a vonatkozó referenciaértékeket, meg kell indokolni, hogy ez miért nem lehet</w:t>
      </w:r>
      <w:r>
        <w:t>séges. A kibocsátáskereskedelmi rendszer hatálya alá tartozó tevékenységekre vonatkozó ingyenes kiosztásra vonatkozóan az (EU) 2021/447 bizottsági végrehajtási rendeletben meghatározott referenciaértékek.</w:t>
      </w:r>
    </w:p>
  </w:footnote>
  <w:footnote w:id="121">
    <w:p w14:paraId="7E926B12" w14:textId="77777777" w:rsidR="003F5418" w:rsidRDefault="002A6C25">
      <w:pPr>
        <w:jc w:val="both"/>
      </w:pPr>
      <w:r>
        <w:rPr>
          <w:rStyle w:val="FootnoteReference"/>
          <w:sz w:val="20"/>
        </w:rPr>
        <w:footnoteRef/>
      </w:r>
      <w:r>
        <w:rPr>
          <w:sz w:val="20"/>
        </w:rPr>
        <w:t xml:space="preserve"> Ez a kizárás nem vonatkozik az ezen intézkedés sz</w:t>
      </w:r>
      <w:r>
        <w:rPr>
          <w:sz w:val="20"/>
        </w:rPr>
        <w:t>erinti fellépésekre a kizárólag nem újrafeldolgozható veszélyes hulladékok kezelésére szolgáló létesítményekben, valamint a meglévő üzemekben, ahol az ezen intézkedés szerinti tevékenységek célja az energiahatékonyság növelése, a füstgázok tárolási célú me</w:t>
      </w:r>
      <w:r>
        <w:rPr>
          <w:sz w:val="20"/>
        </w:rPr>
        <w:t>gkötése vagy a hulladékégetésből származó hamuból származó anyagok felhasználása vagy kinyerése, feltéve, hogy az ezen intézkedés szerinti fellépések nem eredményezik az üzemek hulladékfeldolgozási kapacitásának növekedését vagy az üzemek élettartamának me</w:t>
      </w:r>
      <w:r>
        <w:rPr>
          <w:sz w:val="20"/>
        </w:rPr>
        <w:t>ghosszabbítását; ezek esetében az üzem szintjén szolgáltatnak bizonyítékot.</w:t>
      </w:r>
    </w:p>
  </w:footnote>
  <w:footnote w:id="122">
    <w:p w14:paraId="5222884D" w14:textId="77777777" w:rsidR="003F5418" w:rsidRDefault="002A6C25">
      <w:pPr>
        <w:pStyle w:val="FootnoteText"/>
        <w:ind w:left="0" w:firstLine="0"/>
      </w:pPr>
      <w:r>
        <w:rPr>
          <w:rStyle w:val="FootnoteReference"/>
        </w:rPr>
        <w:footnoteRef/>
      </w:r>
      <w:r>
        <w:t xml:space="preserve"> Ez a kizárás nem vonatkozik az ezen intézkedés keretében a meglévő mechanikus-biológiai hulladékkezelő létesítményekben végrehajtott intézkedésekre, amennyiben az ezen intézkedés</w:t>
      </w:r>
      <w:r>
        <w:t xml:space="preserve"> keretében végrehajtott fellépések célja az energiahatékonyság növelése vagy az elkülönített hulladék újrafeldolgozási műveletekhez való utólagos átalakítása a biohulladék komposztálása és a biohulladék anaerob lebontása céljából, feltéve, hogy az ezen int</w:t>
      </w:r>
      <w:r>
        <w:t>ézkedés szerinti szerinti ilyen fellépések nem eredményezik az üzemek hulladékfeldolgozási kapacitásának növelését vagy az üzemek élettartamának meghosszabbítását; ezek esetében az üzem szintjén szolgáltatnak bizonyítékot.</w:t>
      </w:r>
    </w:p>
  </w:footnote>
  <w:footnote w:id="123">
    <w:p w14:paraId="11D3C812" w14:textId="77777777" w:rsidR="003F5418" w:rsidRDefault="002A6C25">
      <w:pPr>
        <w:pStyle w:val="FootnoteText"/>
        <w:ind w:left="0" w:firstLine="0"/>
      </w:pPr>
      <w:r>
        <w:rPr>
          <w:rStyle w:val="FootnoteReference"/>
        </w:rPr>
        <w:footnoteRef/>
      </w:r>
      <w:r>
        <w:t xml:space="preserve"> Kivéve az a) a jelentős károkoz</w:t>
      </w:r>
      <w:r>
        <w:t>ás elkerülését célzó technikai iránymutatás (2021/C58/01) III. mellékletében meghatározott feltételeknek megfelelő, földgázt felhasználó villamosenergia- és/vagy hőtermeléssel kapcsolatos eszközöket és tevékenységeket, valamint a kapcsolódó átviteli és elo</w:t>
      </w:r>
      <w:r>
        <w:t>sztási infrastruktúrát, valamint b) a ii. pont szerinti tevékenységeket és eszközöket, amelyek esetében a fosszilis tüzelőanyagok használata átmeneti és technikailag elkerülhetetlen a fosszilis tüzelőanyagoktól mentes üzemre való időben történő átállás sze</w:t>
      </w:r>
      <w:r>
        <w:t>mpontjából.</w:t>
      </w:r>
    </w:p>
  </w:footnote>
  <w:footnote w:id="124">
    <w:p w14:paraId="04AF02B4" w14:textId="77777777" w:rsidR="003F5418" w:rsidRDefault="002A6C25">
      <w:pPr>
        <w:pStyle w:val="FootnoteText"/>
        <w:ind w:left="0" w:firstLine="0"/>
        <w:rPr>
          <w:rFonts w:eastAsia="EC Square Sans Pro"/>
        </w:rPr>
      </w:pPr>
      <w:r>
        <w:rPr>
          <w:rStyle w:val="FootnoteReference"/>
          <w:rFonts w:eastAsiaTheme="majorEastAsia"/>
        </w:rPr>
        <w:footnoteRef/>
      </w:r>
      <w:r>
        <w:t xml:space="preserve"> Amennyiben a támogatott tevékenység nem eredményez a vonatkozó referenciaértékeknél lényegesen alacsonyabb előrejelzett üvegházhatásúgáz-kibocsátást, ismertetni kell azokat az okokat, amelyek miatt nem érhető el nagyobb kibocsátáscsökkenés. A</w:t>
      </w:r>
      <w:r>
        <w:t xml:space="preserve"> kibocsátáskereskedelmi rendszer hatálya alá tartozó tevékenységekre vonatkozó ingyenes kiosztásra vonatkozóan az (EU) 2021/447 bizottsági végrehajtási rendeletben meghatározott referenciaértékek.</w:t>
      </w:r>
    </w:p>
  </w:footnote>
  <w:footnote w:id="125">
    <w:p w14:paraId="490774A7" w14:textId="77777777" w:rsidR="003F5418" w:rsidRDefault="002A6C25">
      <w:pPr>
        <w:pStyle w:val="FootnoteText"/>
        <w:ind w:left="0" w:firstLine="0"/>
      </w:pPr>
      <w:r>
        <w:rPr>
          <w:rStyle w:val="FootnoteReference"/>
          <w:rFonts w:eastAsiaTheme="majorEastAsia"/>
        </w:rPr>
        <w:footnoteRef/>
      </w:r>
      <w:r>
        <w:t xml:space="preserve"> Ez a kizárás nem vonatkozik az ezen intézkedés szerinti f</w:t>
      </w:r>
      <w:r>
        <w:t xml:space="preserve">ellépésekre a kizárólag nem újrafeldolgozható veszélyes hulladékok kezelésére szolgáló létesítményekben, valamint a meglévő üzemekben, ahol az ezen intézkedés szerinti tevékenységek célja az energiahatékonyság növelése, a füstgázok tárolási célú megkötése </w:t>
      </w:r>
      <w:r>
        <w:t>vagy a hulladékégetésből származó hamuból származó anyagok felhasználása vagy kinyerése, feltéve, hogy az ezen intézkedés szerinti fellépések nem eredményezik az üzemek hulladékfeldolgozási kapacitásának növekedését vagy az üzemek élettartamának meghosszab</w:t>
      </w:r>
      <w:r>
        <w:t>bítását; ezek esetében az üzem szintjén szolgáltatnak bizonyítékot. </w:t>
      </w:r>
    </w:p>
  </w:footnote>
  <w:footnote w:id="126">
    <w:p w14:paraId="3E130C86" w14:textId="77777777" w:rsidR="003F5418" w:rsidRDefault="002A6C25">
      <w:pPr>
        <w:pStyle w:val="FootnoteText"/>
        <w:ind w:left="0" w:firstLine="0"/>
      </w:pPr>
      <w:r>
        <w:rPr>
          <w:rStyle w:val="FootnoteReference"/>
          <w:rFonts w:eastAsiaTheme="majorEastAsia"/>
        </w:rPr>
        <w:footnoteRef/>
      </w:r>
      <w:r>
        <w:t xml:space="preserve"> Ez a kizárás nem vonatkozik az ezen intézkedés keretében a meglévő mechanikus-biológiai hulladékkezelő létesítményekben végrehajtott intézkedésekre, amennyiben az ezen intézkedés kereté</w:t>
      </w:r>
      <w:r>
        <w:t>ben végrehajtott fellépések célja az energiahatékonyság növelése vagy az elkülönített hulladék újrafeldolgozási műveletekhez való utólagos átalakítása a biohulladék komposztálása és a biohulladék anaerob lebontása céljából, feltéve, hogy az ezen intézkedés</w:t>
      </w:r>
      <w:r>
        <w:t xml:space="preserve"> szerinti szerinti ilyen fellépések nem eredményezik az üzemek hulladékfeldolgozási kapacitásának növelését vagy az üzemek élettartamának meghosszabbítását; ezek esetében az üzem szintjén szolgáltatnak bizonyítékot. </w:t>
      </w:r>
    </w:p>
  </w:footnote>
  <w:footnote w:id="127">
    <w:p w14:paraId="7BD4530F" w14:textId="77777777" w:rsidR="003F5418" w:rsidRDefault="002A6C25">
      <w:pPr>
        <w:pStyle w:val="FootnoteText"/>
        <w:ind w:left="0" w:firstLine="0"/>
      </w:pPr>
      <w:r>
        <w:rPr>
          <w:rStyle w:val="FootnoteReference"/>
        </w:rPr>
        <w:footnoteRef/>
      </w:r>
      <w:r>
        <w:t xml:space="preserve"> Kivéve az a) a jelentős károkozás elkerülését célzó technikai iránymutatás (2021/C58/01) III. mellékletében meghatározott feltételeknek megfelelő, földgázt felhasználó villamosenergia- és/vagy hőtermeléssel kapcsolatos eszközöket és tevékenységeket, valam</w:t>
      </w:r>
      <w:r>
        <w:t>int a kapcsolódó átviteli és elosztási infrastruktúrát, valamint b) a ii. pont szerinti tevékenységeket és eszközöket, amelyek esetében a fosszilis tüzelőanyagok használata átmeneti és technikailag elkerülhetetlen a fosszilis tüzelőanyagoktól mentes üzemre</w:t>
      </w:r>
      <w:r>
        <w:t xml:space="preserve"> való időben történő átállás szempontjából.</w:t>
      </w:r>
    </w:p>
  </w:footnote>
  <w:footnote w:id="128">
    <w:p w14:paraId="1B83533F" w14:textId="77777777" w:rsidR="003F5418" w:rsidRDefault="002A6C25">
      <w:pPr>
        <w:pStyle w:val="FootnoteText"/>
        <w:ind w:left="0" w:firstLine="0"/>
        <w:rPr>
          <w:rFonts w:eastAsia="EC Square Sans Pro"/>
        </w:rPr>
      </w:pPr>
      <w:r>
        <w:rPr>
          <w:rStyle w:val="FootnoteReference"/>
          <w:rFonts w:eastAsiaTheme="majorEastAsia"/>
        </w:rPr>
        <w:footnoteRef/>
      </w:r>
      <w:r>
        <w:t xml:space="preserve"> Amennyiben a támogatott tevékenység nem eredményez a vonatkozó referenciaértékeknél lényegesen alacsonyabb előrejelzett üvegházhatásúgáz-kibocsátást, ismertetni kell azokat az okokat, amelyek miatt nem érhető e</w:t>
      </w:r>
      <w:r>
        <w:t>l nagyobb kibocsátáscsökkenés. A kibocsátáskereskedelmi rendszer hatálya alá tartozó tevékenységekre vonatkozó ingyenes kiosztásra vonatkozóan az (EU) 2021/447 bizottsági végrehajtási rendeletben meghatározott referenciaértékek. </w:t>
      </w:r>
    </w:p>
  </w:footnote>
  <w:footnote w:id="129">
    <w:p w14:paraId="181D67D7" w14:textId="77777777" w:rsidR="003F5418" w:rsidRDefault="002A6C25">
      <w:pPr>
        <w:pStyle w:val="FootnoteText"/>
        <w:ind w:left="0" w:firstLine="0"/>
      </w:pPr>
      <w:r>
        <w:rPr>
          <w:rStyle w:val="FootnoteReference"/>
          <w:rFonts w:eastAsiaTheme="majorEastAsia"/>
        </w:rPr>
        <w:footnoteRef/>
      </w:r>
      <w:r>
        <w:t xml:space="preserve"> Ez a kizárás nem vonatko</w:t>
      </w:r>
      <w:r>
        <w:t>zik az ezen intézkedés szerinti fellépésekre a kizárólag nem újrafeldolgozható veszélyes hulladékok kezelésére szolgáló létesítményekben, valamint a meglévő üzemekben, ahol az ezen intézkedés szerinti tevékenységek célja az energiahatékonyság növelése, a f</w:t>
      </w:r>
      <w:r>
        <w:t>üstgázok tárolási célú megkötése vagy a hulladékégetésből származó hamuból származó anyagok felhasználása vagy kinyerése, feltéve, hogy az ezen intézkedés szerinti fellépések nem eredményezik az üzemek hulladékfeldolgozási kapacitásának növekedését vagy az</w:t>
      </w:r>
      <w:r>
        <w:t xml:space="preserve"> üzemek élettartamának meghosszabbítását; ezek esetében az üzem szintjén szolgáltatnak bizonyítékot. </w:t>
      </w:r>
    </w:p>
  </w:footnote>
  <w:footnote w:id="130">
    <w:p w14:paraId="3B254F50" w14:textId="77777777" w:rsidR="003F5418" w:rsidRDefault="002A6C25">
      <w:pPr>
        <w:pStyle w:val="FootnoteText"/>
        <w:ind w:left="0" w:firstLine="0"/>
      </w:pPr>
      <w:r>
        <w:rPr>
          <w:rStyle w:val="FootnoteReference"/>
          <w:rFonts w:eastAsiaTheme="majorEastAsia"/>
        </w:rPr>
        <w:footnoteRef/>
      </w:r>
      <w:r>
        <w:t xml:space="preserve"> Ez a kizárás nem vonatkozik az ezen intézkedés keretében a meglévő mechanikus-biológiai hulladékkezelő létesítményekben végrehajtott intézkedésekre, ame</w:t>
      </w:r>
      <w:r>
        <w:t>nnyiben az ezen intézkedés keretében végrehajtott fellépések célja az energiahatékonyság növelése vagy az elkülönített hulladék újrafeldolgozási műveletekhez való utólagos átalakítása a biohulladék komposztálása és a biohulladék anaerob lebontása céljából,</w:t>
      </w:r>
      <w:r>
        <w:t xml:space="preserve"> feltéve, hogy az ezen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31">
    <w:p w14:paraId="21609059" w14:textId="77777777" w:rsidR="003F5418" w:rsidRDefault="002A6C25">
      <w:pPr>
        <w:rPr>
          <w:sz w:val="20"/>
        </w:rPr>
      </w:pPr>
      <w:r>
        <w:rPr>
          <w:sz w:val="16"/>
        </w:rPr>
        <w:footnoteRef/>
      </w:r>
      <w:r>
        <w:rPr>
          <w:sz w:val="20"/>
        </w:rPr>
        <w:t>Kivév</w:t>
      </w:r>
      <w:r>
        <w:rPr>
          <w:sz w:val="20"/>
        </w:rPr>
        <w:t xml:space="preserve">e az a) a jelentős károkozás elkerülését célzó technikai iránymutatás (2021/C58/01) III. mellékletében meghatározott feltételeknek megfelelő, földgázt felhasználó villamosenergia- és/vagy hőtermeléssel kapcsolatos eszközöket és tevékenységeket, valamint a </w:t>
      </w:r>
      <w:r>
        <w:rPr>
          <w:sz w:val="20"/>
        </w:rPr>
        <w:t xml:space="preserve">kapcsolódó átviteli és elosztási infrastruktúrát, valamint b) a ii. pont szerinti tevékenységeket és eszközöket, amelyek esetében a fosszilis tüzelőanyagok használata átmeneti és technikailag elkerülhetetlen a fosszilis tüzelőanyagoktól mentes üzemre való </w:t>
      </w:r>
      <w:r>
        <w:rPr>
          <w:sz w:val="20"/>
        </w:rPr>
        <w:t>időben történő átállás szempontjából</w:t>
      </w:r>
    </w:p>
  </w:footnote>
  <w:footnote w:id="132">
    <w:p w14:paraId="108E6979" w14:textId="77777777" w:rsidR="003F5418" w:rsidRDefault="002A6C25">
      <w:pPr>
        <w:pStyle w:val="P68B1DB1-Normal40"/>
      </w:pPr>
      <w:r>
        <w:footnoteRef/>
      </w:r>
      <w:r>
        <w:t>Amennyiben a támogatott tevékenység nem eredményez a vonatkozó referenciaértékeknél lényegesen alacsonyabb előrejelzett üvegházhatásúgáz-kibocsátást, ismertetni kell azokat az okokat, amelyek miatt nem érhető el nagyob</w:t>
      </w:r>
      <w:r>
        <w:t>b kibocsátáscsökkenés. A kibocsátáskereskedelmi rendszer hatálya alá tartozó tevékenységekre vonatkozó ingyenes kiosztásra vonatkozóan az (EU) 2021/447 bizottsági végrehajtási rendeletben meghatározott referenciaértékek.</w:t>
      </w:r>
    </w:p>
  </w:footnote>
  <w:footnote w:id="133">
    <w:p w14:paraId="4270F0D8" w14:textId="77777777" w:rsidR="003F5418" w:rsidRDefault="002A6C25">
      <w:pPr>
        <w:pStyle w:val="P68B1DB1-Normal40"/>
        <w:rPr>
          <w:sz w:val="18"/>
        </w:rPr>
      </w:pPr>
      <w:r>
        <w:footnoteRef/>
      </w:r>
      <w:r>
        <w:t>Ez a kizárás nem vonatkozik az eze</w:t>
      </w:r>
      <w:r>
        <w:t>n intézkedés szerinti fellépésekre a kizárólag nem újrafeldolgozható veszélyes hulladékok kezelésére szolgáló létesítményekben, valamint a meglévő üzemekben, ahol az ezen intézkedés szerinti tevékenységek célja az energiahatékonyság növelése, a füstgázok t</w:t>
      </w:r>
      <w:r>
        <w:t>árolási célú megkötése vagy a hulladékégetésből származó hamuból származó anyagok felhasználása vagy kinyerése, feltéve, hogy az ezen intézkedés szerinti fellépések nem eredményezik az üzemek hulladékfeldolgozási kapacitásának növekedését vagy az üzemek él</w:t>
      </w:r>
      <w:r>
        <w:t>ettartamának meghosszabbítását; ezek esetében az üzem szintjén szolgáltatnak bizonyítékot. </w:t>
      </w:r>
    </w:p>
  </w:footnote>
  <w:footnote w:id="134">
    <w:p w14:paraId="01D4568E" w14:textId="77777777" w:rsidR="003F5418" w:rsidRDefault="002A6C25">
      <w:pPr>
        <w:pStyle w:val="P68B1DB1-Normal40"/>
        <w:rPr>
          <w:sz w:val="18"/>
        </w:rPr>
      </w:pPr>
      <w:r>
        <w:footnoteRef/>
      </w:r>
      <w:r>
        <w:t xml:space="preserve">Ez a kizárás nem vonatkozik az ezen intézkedés keretében a meglévő mechanikus-biológiai hulladékkezelő létesítményekben végrehajtott intézkedésekre, amennyiben az </w:t>
      </w:r>
      <w:r>
        <w:t>ezen intézkedés keretében végrehajtott fellépések célja az energiahatékonyság növelése vagy az elkülönített hulladék újrafeldolgozási műveletekhez való utólagos átalakítása a biohulladék komposztálása és a biohulladék anaerob lebontása céljából, feltéve, h</w:t>
      </w:r>
      <w:r>
        <w:t>ogy az ezen intézkedés szerinti szerinti ilyen fellépések nem eredményezik az üzemek hulladékfeldolgozási kapacitásának növelését vagy az üzemek élettartamának meghosszabbítását; ezek esetében az üzem szintjén szolgáltatnak bizonyítékot. </w:t>
      </w:r>
    </w:p>
  </w:footnote>
  <w:footnote w:id="135">
    <w:p w14:paraId="4A092F05" w14:textId="77777777" w:rsidR="003F5418" w:rsidRDefault="002A6C25">
      <w:pPr>
        <w:pStyle w:val="P68B1DB1-Normal40"/>
        <w:rPr>
          <w:sz w:val="18"/>
        </w:rPr>
      </w:pPr>
      <w:r>
        <w:footnoteRef/>
      </w:r>
      <w:r>
        <w:t>A végső kedvezmé</w:t>
      </w:r>
      <w:r>
        <w:t>nyezetteknek az éghajlat-politikai hozzájárulás kiszámítása céljából minden támogatott projekt esetében meg kell indokolniuk a kiválasztott beavatkozási területet, valamint a projekt leírását. A végrehajtó partnernek féléves jelentést kell benyújtania a ta</w:t>
      </w:r>
      <w:r>
        <w:t>gállamnak az egyes projektek/tevékenységek végrehajtásáról.</w:t>
      </w:r>
    </w:p>
  </w:footnote>
  <w:footnote w:id="136">
    <w:p w14:paraId="5D5DBDD1" w14:textId="77777777" w:rsidR="003F5418" w:rsidRDefault="002A6C25">
      <w:pPr>
        <w:pStyle w:val="FootnoteText"/>
        <w:rPr>
          <w:rFonts w:eastAsiaTheme="majorEastAsia"/>
        </w:rPr>
      </w:pPr>
      <w:r>
        <w:rPr>
          <w:rStyle w:val="FootnoteReference"/>
        </w:rPr>
        <w:footnoteRef/>
      </w:r>
      <w:r>
        <w:rPr>
          <w:rStyle w:val="normaltextrun"/>
        </w:rPr>
        <w:t>A program különösen a 2016. december 11-i 232. sz. törvény A. és B. mellékletére hivatkozik.</w:t>
      </w:r>
    </w:p>
  </w:footnote>
  <w:footnote w:id="137">
    <w:p w14:paraId="7047D416" w14:textId="77777777" w:rsidR="003F5418" w:rsidRDefault="002A6C25">
      <w:pPr>
        <w:pStyle w:val="FootnoteText"/>
        <w:ind w:left="0" w:firstLine="0"/>
      </w:pPr>
      <w:r>
        <w:rPr>
          <w:rStyle w:val="FootnoteReference"/>
        </w:rPr>
        <w:footnoteRef/>
      </w:r>
      <w:r>
        <w:t xml:space="preserve"> Az újonnan alapított vállalkozások esetében az energiamegtakarítást az ugyanabban az ágazatban működ</w:t>
      </w:r>
      <w:r>
        <w:t>ő, hasonló jellemzőkkel rendelkező (méret szerinti) vállalatok éves átlagos fogyasztásához viszonyítva kell mérni (ATECO-kód).</w:t>
      </w:r>
    </w:p>
  </w:footnote>
  <w:footnote w:id="138">
    <w:p w14:paraId="0EA0560B" w14:textId="77777777" w:rsidR="003F5418" w:rsidRDefault="003F5418">
      <w:pPr>
        <w:pStyle w:val="FootnoteText"/>
      </w:pPr>
    </w:p>
  </w:footnote>
  <w:footnote w:id="139">
    <w:p w14:paraId="381195D3" w14:textId="77777777" w:rsidR="003F5418" w:rsidRDefault="002A6C25">
      <w:pPr>
        <w:pStyle w:val="FootnoteText"/>
        <w:ind w:left="0" w:firstLine="0"/>
      </w:pPr>
      <w:r>
        <w:rPr>
          <w:rStyle w:val="FootnoteReference"/>
          <w:rFonts w:eastAsiaTheme="majorEastAsia"/>
        </w:rPr>
        <w:footnoteRef/>
      </w:r>
      <w:r>
        <w:t xml:space="preserve"> Úgy tekinthető, hogy a végső kedvezményezett „jelentősen egy ágazatra vagy üzleti tevékenységre” összpontosít, ha az ágazat va</w:t>
      </w:r>
      <w:r>
        <w:t>gy tevékenység a végső kedvezményezett üzleti tevékenységének lényeges része, a végső kedvezményezett bruttó bevételéhez, nyereségéhez vagy ügyfélköréhez viszonyítva. A korlátozás alá eső ágazatból vagy tevékenységből származó bruttó bevétel semmi esetre s</w:t>
      </w:r>
      <w:r>
        <w:t>em haladhatja meg a bruttó bevétel 50%-át.</w:t>
      </w:r>
    </w:p>
  </w:footnote>
  <w:footnote w:id="140">
    <w:p w14:paraId="15AD917A" w14:textId="77777777" w:rsidR="003F5418" w:rsidRDefault="002A6C25">
      <w:pPr>
        <w:jc w:val="both"/>
        <w:rPr>
          <w:sz w:val="20"/>
        </w:rPr>
      </w:pPr>
      <w:r>
        <w:rPr>
          <w:rStyle w:val="FootnoteReference"/>
          <w:rFonts w:eastAsiaTheme="majorEastAsia"/>
          <w:sz w:val="20"/>
        </w:rPr>
        <w:footnoteRef/>
      </w:r>
      <w:r>
        <w:rPr>
          <w:sz w:val="20"/>
        </w:rPr>
        <w:t xml:space="preserve"> Kivéve az a) a jelentős károkozás elkerülését célzó technikai iránymutatás (2021/C58/01) III. mellékletében meghatározott feltételeknek megfelelő, földgázt felhasználó villamosenergia- és/vagy hőtermeléssel kapc</w:t>
      </w:r>
      <w:r>
        <w:rPr>
          <w:sz w:val="20"/>
        </w:rPr>
        <w:t>solatos eszközöket és tevékenységeket, valamint a kapcsolódó átviteli és elosztási infrastruktúrát, valamint b) a ii. pont szerinti tevékenységeket és eszközöket, amelyek esetében a fosszilis tüzelőanyagok használata átmeneti és technikailag elkerülhetetle</w:t>
      </w:r>
      <w:r>
        <w:rPr>
          <w:sz w:val="20"/>
        </w:rPr>
        <w:t>n a fosszilis tüzelőanyagoktól mentes üzemre való időben történő átállás szempontjából.</w:t>
      </w:r>
    </w:p>
  </w:footnote>
  <w:footnote w:id="141">
    <w:p w14:paraId="3EB2B649" w14:textId="77777777" w:rsidR="003F5418" w:rsidRDefault="002A6C25">
      <w:pPr>
        <w:jc w:val="both"/>
        <w:rPr>
          <w:sz w:val="20"/>
        </w:rPr>
      </w:pPr>
      <w:r>
        <w:rPr>
          <w:rStyle w:val="FootnoteReference"/>
          <w:rFonts w:eastAsiaTheme="majorEastAsia"/>
          <w:sz w:val="20"/>
        </w:rPr>
        <w:footnoteRef/>
      </w:r>
      <w:r>
        <w:rPr>
          <w:sz w:val="20"/>
        </w:rPr>
        <w:t xml:space="preserve"> Beleértve az uniós kibocsátáskereskedelmi rendszer (ETS) keretében végzett olyan tevékenységeket és eszközöket, amelyek elérik a vonatkozó referenciaértékeket meg nem</w:t>
      </w:r>
      <w:r>
        <w:rPr>
          <w:sz w:val="20"/>
        </w:rPr>
        <w:t xml:space="preserve"> haladó, előre jelzett üvegházhatásúgáz-kibocsátást. Amennyiben a támogatott tevékenység nem eredményez a vonatkozó referenciaértékeknél lényegesen alacsonyabb előrejelzett üvegházhatásúgáz-kibocsátást, ismertetni kell azokat az okokat, amelyek miatt nem é</w:t>
      </w:r>
      <w:r>
        <w:rPr>
          <w:sz w:val="20"/>
        </w:rPr>
        <w:t>rhető el nagyobb kibocsátáscsökkenés. A kibocsátáskereskedelmi rendszer hatálya alá tartozó tevékenységekre vonatkozó ingyenes kiosztásra vonatkozóan az (EU) 2021/447 bizottsági végrehajtási rendeletben meghatározott referenciaértékek.</w:t>
      </w:r>
    </w:p>
  </w:footnote>
  <w:footnote w:id="142">
    <w:p w14:paraId="6907D480" w14:textId="77777777" w:rsidR="003F5418" w:rsidRDefault="002A6C25">
      <w:pPr>
        <w:jc w:val="both"/>
        <w:rPr>
          <w:sz w:val="20"/>
        </w:rPr>
      </w:pPr>
      <w:r>
        <w:rPr>
          <w:rStyle w:val="FootnoteReference"/>
          <w:rFonts w:eastAsiaTheme="majorEastAsia"/>
          <w:sz w:val="20"/>
        </w:rPr>
        <w:footnoteRef/>
      </w:r>
      <w:r>
        <w:rPr>
          <w:sz w:val="20"/>
        </w:rPr>
        <w:t xml:space="preserve"> A szennyező járműv</w:t>
      </w:r>
      <w:r>
        <w:rPr>
          <w:sz w:val="20"/>
        </w:rPr>
        <w:t>ek nem kibocsátásmentes járművek.</w:t>
      </w:r>
    </w:p>
  </w:footnote>
  <w:footnote w:id="143">
    <w:p w14:paraId="6C70255D" w14:textId="77777777" w:rsidR="003F5418" w:rsidRDefault="002A6C25">
      <w:pPr>
        <w:pStyle w:val="FootnoteText"/>
        <w:ind w:left="0" w:firstLine="0"/>
      </w:pPr>
      <w:r>
        <w:rPr>
          <w:rStyle w:val="FootnoteReference"/>
          <w:rFonts w:eastAsiaTheme="majorEastAsia"/>
        </w:rPr>
        <w:footnoteRef/>
      </w:r>
      <w:r>
        <w:t xml:space="preserve"> Ez a kizárás nem vonatkozik a kizárólag a nem újrahasznosítható veszélyes hulladékok kezelésére szolgáló üzemekben végzett tevékenységekre, valamint a meglévő üzemekre, amennyiben az ezen intézkedés keretében végrehajtot</w:t>
      </w:r>
      <w:r>
        <w:t>t intézkedések célja az energiahatékonyság növelése, a kipufogógázok tárolása vagy felhasználása vagy az égetési hamuból származó anyagok visszanyerése, feltéve, hogy az ezen intézkedés keretében végrehajtott ilyen intézkedések nem eredményezik az üzemek h</w:t>
      </w:r>
      <w:r>
        <w:t>ulladékfeldolgozási kapacitásának növekedését vagy az üzemek élettartamának meghosszabbítását; ezek esetében az üzem szintjén szolgáltatnak bizonyítékot.</w:t>
      </w:r>
    </w:p>
  </w:footnote>
  <w:footnote w:id="144">
    <w:p w14:paraId="25564C16" w14:textId="77777777" w:rsidR="003F5418" w:rsidRDefault="002A6C25">
      <w:pPr>
        <w:pStyle w:val="FootnoteText"/>
        <w:ind w:left="0" w:firstLine="0"/>
      </w:pPr>
      <w:r>
        <w:rPr>
          <w:rStyle w:val="FootnoteReference"/>
        </w:rPr>
        <w:footnoteRef/>
      </w:r>
      <w:r>
        <w:t xml:space="preserve"> Az egyedi projektekhez kapcsolódó végső kedvezményezetteknek az éghajlatváltozáshoz való hozzájárulá</w:t>
      </w:r>
      <w:r>
        <w:t xml:space="preserve">s kiszámítása céljából minden egyes támogatott projekt esetében meg kell indokolniuk a kiválasztott beavatkozási területet, a projekt leírásával együtt. </w:t>
      </w:r>
    </w:p>
    <w:p w14:paraId="7AB19FA9" w14:textId="77777777" w:rsidR="003F5418" w:rsidRDefault="003F5418">
      <w:pPr>
        <w:pStyle w:val="FootnoteText"/>
      </w:pPr>
    </w:p>
  </w:footnote>
  <w:footnote w:id="145">
    <w:p w14:paraId="0B471507" w14:textId="77777777" w:rsidR="003F5418" w:rsidRDefault="002A6C25">
      <w:pPr>
        <w:pStyle w:val="FootnoteText"/>
        <w:ind w:left="0" w:firstLine="0"/>
      </w:pPr>
      <w:r>
        <w:rPr>
          <w:rStyle w:val="FootnoteReference"/>
        </w:rPr>
        <w:footnoteRef/>
      </w:r>
      <w:r>
        <w:t xml:space="preserve"> Az egyedi projektekhez kapcsolódó végső kedvezményezetteknek az éghajlatváltozáshoz való hozzájárul</w:t>
      </w:r>
      <w:r>
        <w:t>ás kiszámítása céljából minden egyes támogatott projekt esetében meg kell indokolniuk a kiválasztott beavatkozási területet, a projekt leírásával együtt.</w:t>
      </w:r>
    </w:p>
  </w:footnote>
  <w:footnote w:id="146">
    <w:p w14:paraId="40FE601F" w14:textId="77777777" w:rsidR="003F5418" w:rsidRDefault="002A6C25">
      <w:pPr>
        <w:pStyle w:val="FootnoteText"/>
        <w:ind w:left="0" w:firstLine="0"/>
      </w:pPr>
      <w:r>
        <w:rPr>
          <w:rStyle w:val="FootnoteReference"/>
        </w:rPr>
        <w:footnoteRef/>
      </w:r>
      <w:r>
        <w:t xml:space="preserve"> Kivéve az a) a jelentős károkozás elkerülését célzó technikai iránymutatás (2021/C58/01) III. mellék</w:t>
      </w:r>
      <w:r>
        <w:t>letében meghatározott feltételeknek megfelelő, földgázt felhasználó villamosenergia- és/vagy hőtermeléssel kapcsolatos eszközöket és tevékenységeket, valamint a kapcsolódó átviteli és elosztási infrastruktúrát, valamint b) a ii. pont szerinti tevékenységek</w:t>
      </w:r>
      <w:r>
        <w:t>et és eszközöket, amelyek esetében a fosszilis tüzelőanyagok használata átmeneti és technikailag elkerülhetetlen a fosszilis tüzelőanyagoktól mentes üzemre való időben történő átállás szempontjából.</w:t>
      </w:r>
    </w:p>
  </w:footnote>
  <w:footnote w:id="147">
    <w:p w14:paraId="79BA5009" w14:textId="77777777" w:rsidR="003F5418" w:rsidRDefault="002A6C25">
      <w:pPr>
        <w:pStyle w:val="FootnoteText"/>
        <w:ind w:left="0" w:firstLine="0"/>
        <w:rPr>
          <w:rFonts w:eastAsia="EC Square Sans Pro"/>
        </w:rPr>
      </w:pPr>
      <w:r>
        <w:rPr>
          <w:rStyle w:val="FootnoteReference"/>
          <w:rFonts w:eastAsiaTheme="majorEastAsia"/>
        </w:rPr>
        <w:footnoteRef/>
      </w:r>
      <w:r>
        <w:t xml:space="preserve"> Amennyiben a támogatott tevékenység nem eredményez a vo</w:t>
      </w:r>
      <w:r>
        <w:t xml:space="preserve">natkozó referenciaértékeknél lényegesen alacsonyabb előrejelzett üvegházhatásúgáz-kibocsátást, ismertetni kell azokat az okokat, amelyek miatt nem érhető el nagyobb kibocsátáscsökkenés. A kibocsátáskereskedelmi rendszer hatálya alá tartozó tevékenységekre </w:t>
      </w:r>
      <w:r>
        <w:t>vonatkozó ingyenes kiosztásra vonatkozóan az (EU) 2021/447 bizottsági végrehajtási rendeletben meghatározott referenciaértékek. </w:t>
      </w:r>
    </w:p>
  </w:footnote>
  <w:footnote w:id="148">
    <w:p w14:paraId="7B9D741C" w14:textId="77777777" w:rsidR="003F5418" w:rsidRDefault="002A6C25">
      <w:pPr>
        <w:pStyle w:val="FootnoteText"/>
        <w:ind w:left="0" w:firstLine="0"/>
      </w:pPr>
      <w:r>
        <w:rPr>
          <w:rStyle w:val="FootnoteReference"/>
          <w:rFonts w:eastAsiaTheme="majorEastAsia"/>
        </w:rPr>
        <w:footnoteRef/>
      </w:r>
      <w:r>
        <w:t xml:space="preserve"> Ez a kizárás nem vonatkozik az ezen intézkedés szerinti fellépésekre a kizárólag nem újrafeldolgozható veszélyes hulladékok k</w:t>
      </w:r>
      <w:r>
        <w:t>ezelésére szolgáló létesítményekben, valamint a meglévő üzemekben, ahol az ezen intézkedés szerinti tevékenységek célja az energiahatékonyság növelése, a füstgázok tárolási célú megkötése vagy a hulladékégetésből származó hamuból származó anyagok felhaszná</w:t>
      </w:r>
      <w:r>
        <w:t>lása vagy kinyerése, feltéve, hogy az ezen intézkedés szerinti fellépések nem eredményezik az üzemek hulladékfeldolgozási kapacitásának növekedését vagy az üzemek élettartamának meghosszabbítását; ezek esetében az üzem szintjén szolgáltatnak bizonyítékot. </w:t>
      </w:r>
    </w:p>
  </w:footnote>
  <w:footnote w:id="149">
    <w:p w14:paraId="627C4656" w14:textId="77777777" w:rsidR="003F5418" w:rsidRDefault="002A6C25">
      <w:pPr>
        <w:pStyle w:val="FootnoteText"/>
        <w:ind w:left="0" w:firstLine="0"/>
      </w:pPr>
      <w:r>
        <w:rPr>
          <w:rStyle w:val="FootnoteReference"/>
          <w:rFonts w:eastAsiaTheme="majorEastAsia"/>
        </w:rPr>
        <w:footnoteRef/>
      </w:r>
      <w:r>
        <w:t xml:space="preserve"> Ez a kizárás nem vonatkozik az ezen intézkedés keretében a meglévő mechanikus-biológiai hulladékkezelő létesítményekben végrehajtott intézkedésekre, amennyiben az ezen intézkedés keretében végrehajtott fellépések célja az energiahatékonyság növelése vag</w:t>
      </w:r>
      <w:r>
        <w:t>y az elkülönített hulladék újrafeldolgozási műveletekhez való utólagos átalakítása a biohulladék komposztálása és a biohulladék anaerob lebontása céljából, feltéve, hogy az ezen intézkedés szerinti szerinti ilyen fellépések nem eredményezik az üzemek hulla</w:t>
      </w:r>
      <w:r>
        <w:t>dékfeldolgozási kapacitásának növelését vagy az üzemek élettartamának meghosszabbítását; ezek esetében az üzem szintjén szolgáltatnak bizonyítékot. </w:t>
      </w:r>
    </w:p>
  </w:footnote>
  <w:footnote w:id="150">
    <w:p w14:paraId="54A34E4C" w14:textId="77777777" w:rsidR="003F5418" w:rsidRDefault="002A6C25">
      <w:pPr>
        <w:pStyle w:val="FootnoteText"/>
        <w:ind w:left="0" w:firstLine="0"/>
      </w:pPr>
      <w:r>
        <w:rPr>
          <w:rStyle w:val="FootnoteReference"/>
        </w:rPr>
        <w:footnoteRef/>
      </w:r>
      <w:r>
        <w:t xml:space="preserve"> Az egyedi projektekhez kapcsolódó végső kedvezményezetteknek az éghajlatváltozáshoz való hozzájárulás kis</w:t>
      </w:r>
      <w:r>
        <w:t xml:space="preserve">zámítása céljából minden egyes támogatott projekt esetében meg kell indokolniuk a kiválasztott beavatkozási területet, a projekt leírásával együtt. </w:t>
      </w:r>
    </w:p>
    <w:p w14:paraId="17FF9985" w14:textId="77777777" w:rsidR="003F5418" w:rsidRDefault="003F541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64DEE" w14:textId="77777777" w:rsidR="002A6C25" w:rsidRPr="002A6C25" w:rsidRDefault="002A6C25" w:rsidP="002A6C25">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CAECF" w14:textId="77777777" w:rsidR="003F5418" w:rsidRDefault="003F541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1A6E3" w14:textId="77777777" w:rsidR="003F5418" w:rsidRDefault="003F5418">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A967" w14:textId="77777777" w:rsidR="003F5418" w:rsidRDefault="003F541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07A86" w14:textId="77777777" w:rsidR="003F5418" w:rsidRDefault="003F5418">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A4160" w14:textId="77777777" w:rsidR="003F5418" w:rsidRDefault="003F5418">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AF8C" w14:textId="77777777" w:rsidR="003F5418" w:rsidRDefault="003F541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CA516" w14:textId="77777777" w:rsidR="003F5418" w:rsidRDefault="003F5418">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5089" w14:textId="77777777" w:rsidR="003F5418" w:rsidRDefault="003F5418">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2BA2" w14:textId="77777777" w:rsidR="003F5418" w:rsidRDefault="003F5418">
    <w:pPr>
      <w:pStyle w:val="Header"/>
      <w:rPr>
        <w:rFonts w:eastAsia="Calibri"/>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350E6" w14:textId="77777777" w:rsidR="003F5418" w:rsidRDefault="003F541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9AEE7" w14:textId="77777777" w:rsidR="003F5418" w:rsidRDefault="003F54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26B86" w14:textId="77777777" w:rsidR="003F5418" w:rsidRDefault="003F5418">
    <w:pPr>
      <w:pStyle w:val="Header"/>
      <w:rPr>
        <w:sz w:val="10"/>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A1039" w14:textId="77777777" w:rsidR="003F5418" w:rsidRDefault="003F5418">
    <w:pPr>
      <w:pStyle w:val="Header"/>
      <w:rPr>
        <w:rFonts w:eastAsia="Calibri"/>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4CA12" w14:textId="77777777" w:rsidR="003F5418" w:rsidRDefault="003F541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44C8" w14:textId="77777777" w:rsidR="003F5418" w:rsidRDefault="003F541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C6EC" w14:textId="77777777" w:rsidR="003F5418" w:rsidRDefault="003F5418">
    <w:pPr>
      <w:pStyle w:val="Header"/>
      <w:rPr>
        <w:rFonts w:eastAsia="Calibri"/>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B4C97" w14:textId="77777777" w:rsidR="003F5418" w:rsidRDefault="003F5418">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6F4A" w14:textId="77777777" w:rsidR="003F5418" w:rsidRDefault="003F5418">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7BD9C" w14:textId="77777777" w:rsidR="003F5418" w:rsidRDefault="003F5418">
    <w:pPr>
      <w:pStyle w:val="Header"/>
      <w:rPr>
        <w:rFonts w:eastAsia="Calibri"/>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D1629" w14:textId="77777777" w:rsidR="003F5418" w:rsidRDefault="003F541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0672" w14:textId="77777777" w:rsidR="003F5418" w:rsidRDefault="003F5418">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A0483" w14:textId="77777777" w:rsidR="003F5418" w:rsidRDefault="003F5418">
    <w:pPr>
      <w:pStyle w:val="Header"/>
      <w:rPr>
        <w:rFonts w:eastAsia="Calibri"/>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6523" w14:textId="77777777" w:rsidR="003F5418" w:rsidRDefault="003F541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E352" w14:textId="77777777" w:rsidR="003F5418" w:rsidRDefault="003F541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8225" w14:textId="77777777" w:rsidR="003F5418" w:rsidRDefault="003F541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1966" w14:textId="77777777" w:rsidR="003F5418" w:rsidRDefault="003F5418">
    <w:pPr>
      <w:pStyle w:val="Header"/>
      <w:rPr>
        <w:rFonts w:eastAsia="Calibri"/>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7299" w14:textId="77777777" w:rsidR="003F5418" w:rsidRDefault="003F5418">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1EFF6" w14:textId="77777777" w:rsidR="003F5418" w:rsidRDefault="003F541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E9958" w14:textId="77777777" w:rsidR="003F5418" w:rsidRDefault="003F5418">
    <w:pPr>
      <w:pStyle w:val="Header"/>
      <w:rPr>
        <w:rFonts w:eastAsia="Calibri"/>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4E9B3" w14:textId="77777777" w:rsidR="003F5418" w:rsidRDefault="003F541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BC63" w14:textId="77777777" w:rsidR="003F5418" w:rsidRDefault="003F541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32D29" w14:textId="77777777" w:rsidR="003F5418" w:rsidRDefault="003F5418">
    <w:pPr>
      <w:pStyle w:val="Header"/>
      <w:rPr>
        <w:rFonts w:eastAsia="Calibri"/>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D281" w14:textId="77777777" w:rsidR="003F5418" w:rsidRDefault="003F541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15C2F" w14:textId="77777777" w:rsidR="003F5418" w:rsidRDefault="003F541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F9C89" w14:textId="77777777" w:rsidR="003F5418" w:rsidRDefault="003F5418">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FDF8" w14:textId="77777777" w:rsidR="003F5418" w:rsidRDefault="003F5418">
    <w:pPr>
      <w:pStyle w:val="Header"/>
      <w:rPr>
        <w:rFonts w:eastAsia="Calibri"/>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0C097" w14:textId="77777777" w:rsidR="003F5418" w:rsidRDefault="003F541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E0E4" w14:textId="77777777" w:rsidR="003F5418" w:rsidRDefault="003F5418">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6693" w14:textId="77777777" w:rsidR="003F5418" w:rsidRDefault="003F5418">
    <w:pPr>
      <w:pStyle w:val="Header"/>
      <w:rPr>
        <w:rFonts w:eastAsia="Calibri"/>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B1B56" w14:textId="77777777" w:rsidR="003F5418" w:rsidRDefault="003F541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1977" w14:textId="77777777" w:rsidR="003F5418" w:rsidRDefault="003F541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C2C3" w14:textId="77777777" w:rsidR="003F5418" w:rsidRDefault="003F5418">
    <w:pPr>
      <w:pStyle w:val="Header"/>
      <w:rPr>
        <w:rFonts w:eastAsia="Calibri"/>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96AA" w14:textId="77777777" w:rsidR="003F5418" w:rsidRDefault="003F5418">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C676" w14:textId="77777777" w:rsidR="003F5418" w:rsidRDefault="003F541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E12B" w14:textId="77777777" w:rsidR="003F5418" w:rsidRDefault="003F5418">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EA1E7" w14:textId="77777777" w:rsidR="003F5418" w:rsidRDefault="003F5418">
    <w:pPr>
      <w:jc w:val="both"/>
      <w:rPr>
        <w:sz w:val="20"/>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1D18" w14:textId="77777777" w:rsidR="003F5418" w:rsidRDefault="003F5418">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8FED4" w14:textId="77777777" w:rsidR="003F5418" w:rsidRDefault="003F5418">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5305" w14:textId="77777777" w:rsidR="003F5418" w:rsidRDefault="003F5418">
    <w:pPr>
      <w:pStyle w:val="Header"/>
      <w:rPr>
        <w:rFonts w:eastAsia="Calibri"/>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D18D" w14:textId="77777777" w:rsidR="003F5418" w:rsidRDefault="003F5418">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19BD" w14:textId="77777777" w:rsidR="003F5418" w:rsidRDefault="003F5418">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02BB" w14:textId="77777777" w:rsidR="003F5418" w:rsidRDefault="003F5418">
    <w:pPr>
      <w:pStyle w:val="Header"/>
      <w:rPr>
        <w:rFonts w:eastAsia="Calibri"/>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1C681" w14:textId="77777777" w:rsidR="003F5418" w:rsidRDefault="003F5418">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0FFB" w14:textId="77777777" w:rsidR="003F5418" w:rsidRDefault="003F5418">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0D4DE" w14:textId="77777777" w:rsidR="003F5418" w:rsidRDefault="003F5418">
    <w:pPr>
      <w:pStyle w:val="Header"/>
      <w:rPr>
        <w:rFonts w:eastAsia="Calibri"/>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0D904" w14:textId="77777777" w:rsidR="003F5418" w:rsidRDefault="003F541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49BD" w14:textId="77777777" w:rsidR="003F5418" w:rsidRDefault="003F5418">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4A87" w14:textId="77777777" w:rsidR="003F5418" w:rsidRDefault="003F5418">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5D9B" w14:textId="77777777" w:rsidR="003F5418" w:rsidRDefault="003F5418">
    <w:pPr>
      <w:pStyle w:val="Header"/>
      <w:rPr>
        <w:rFonts w:eastAsia="Calibri"/>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ED4A" w14:textId="77777777" w:rsidR="003F5418" w:rsidRDefault="003F5418">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DA2F" w14:textId="77777777" w:rsidR="003F5418" w:rsidRDefault="003F5418">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D247" w14:textId="77777777" w:rsidR="003F5418" w:rsidRDefault="003F5418">
    <w:pPr>
      <w:pStyle w:val="Header"/>
      <w:rPr>
        <w:rFonts w:eastAsia="Calibri"/>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7E64" w14:textId="77777777" w:rsidR="003F5418" w:rsidRDefault="003F5418">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C7236" w14:textId="77777777" w:rsidR="003F5418" w:rsidRDefault="003F5418">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8625" w14:textId="77777777" w:rsidR="003F5418" w:rsidRDefault="003F5418">
    <w:pPr>
      <w:pStyle w:val="Header"/>
      <w:rPr>
        <w:rFonts w:eastAsia="Calibri"/>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EE4C" w14:textId="77777777" w:rsidR="003F5418" w:rsidRDefault="003F541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8ADB" w14:textId="77777777" w:rsidR="003F5418" w:rsidRDefault="003F5418">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9587" w14:textId="77777777" w:rsidR="003F5418" w:rsidRDefault="003F5418">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0ED5" w14:textId="77777777" w:rsidR="003F5418" w:rsidRDefault="003F5418">
    <w:pPr>
      <w:pStyle w:val="Header"/>
      <w:rPr>
        <w:rFonts w:eastAsia="Calibri"/>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A5E5" w14:textId="77777777" w:rsidR="003F5418" w:rsidRDefault="003F5418">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ACFE" w14:textId="77777777" w:rsidR="003F5418" w:rsidRDefault="003F5418">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B48C3" w14:textId="77777777" w:rsidR="003F5418" w:rsidRDefault="003F5418">
    <w:pPr>
      <w:pStyle w:val="Header"/>
      <w:rPr>
        <w:rFonts w:eastAsia="Calibri"/>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4245" w14:textId="77777777" w:rsidR="003F5418" w:rsidRDefault="003F5418">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89F8" w14:textId="77777777" w:rsidR="003F5418" w:rsidRDefault="003F5418">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8892" w14:textId="77777777" w:rsidR="003F5418" w:rsidRDefault="003F5418">
    <w:pPr>
      <w:pStyle w:val="Header"/>
      <w:rPr>
        <w:rFonts w:eastAsia="Calibri"/>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1DFE" w14:textId="77777777" w:rsidR="003F5418" w:rsidRDefault="003F5418">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FA008" w14:textId="77777777" w:rsidR="003F5418" w:rsidRDefault="003F541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3BC13" w14:textId="77777777" w:rsidR="003F5418" w:rsidRDefault="003F5418">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8601" w14:textId="77777777" w:rsidR="003F5418" w:rsidRDefault="003F5418">
    <w:pPr>
      <w:pStyle w:val="Header"/>
      <w:rPr>
        <w:rFonts w:eastAsia="Calibri"/>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2D63B" w14:textId="77777777" w:rsidR="003F5418" w:rsidRDefault="003F5418">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3C56" w14:textId="77777777" w:rsidR="003F5418" w:rsidRDefault="003F5418">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2389" w14:textId="77777777" w:rsidR="003F5418" w:rsidRDefault="003F5418">
    <w:pPr>
      <w:pStyle w:val="Header"/>
      <w:rPr>
        <w:rFonts w:eastAsia="Calibri"/>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AD0F" w14:textId="77777777" w:rsidR="003F5418" w:rsidRDefault="003F5418">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4C98" w14:textId="77777777" w:rsidR="003F5418" w:rsidRDefault="003F541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65A2" w14:textId="77777777" w:rsidR="003F5418" w:rsidRDefault="003F5418">
    <w:pPr>
      <w:pStyle w:val="Header"/>
      <w:rPr>
        <w:rFonts w:eastAsia="Calibri"/>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0EEDB" w14:textId="77777777" w:rsidR="003F5418" w:rsidRDefault="003F5418">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FF04" w14:textId="77777777" w:rsidR="003F5418" w:rsidRDefault="003F5418">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8F81" w14:textId="77777777" w:rsidR="003F5418" w:rsidRDefault="003F5418">
    <w:pPr>
      <w:pStyle w:val="Header"/>
      <w:rPr>
        <w:rFonts w:eastAsia="Calibri"/>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338E" w14:textId="77777777" w:rsidR="003F5418" w:rsidRDefault="003F5418">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9DF2" w14:textId="77777777" w:rsidR="003F5418" w:rsidRDefault="003F5418">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524F" w14:textId="77777777" w:rsidR="003F5418" w:rsidRDefault="003F5418">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0079" w14:textId="77777777" w:rsidR="003F5418" w:rsidRDefault="003F5418">
    <w:pPr>
      <w:pStyle w:val="Header"/>
      <w:rPr>
        <w:rFonts w:eastAsia="Calibri"/>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2816" w14:textId="77777777" w:rsidR="003F5418" w:rsidRDefault="003F5418">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CCBD" w14:textId="77777777" w:rsidR="003F5418" w:rsidRDefault="003F5418">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D02D" w14:textId="77777777" w:rsidR="003F5418" w:rsidRDefault="003F5418">
    <w:pPr>
      <w:pStyle w:val="Header"/>
      <w:rPr>
        <w:rFonts w:eastAsia="Calibri"/>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C29F" w14:textId="77777777" w:rsidR="003F5418" w:rsidRDefault="003F5418">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46278" w14:textId="77777777" w:rsidR="003F5418" w:rsidRDefault="003F5418">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0732" w14:textId="77777777" w:rsidR="003F5418" w:rsidRDefault="003F5418">
    <w:pPr>
      <w:pStyle w:val="Header"/>
      <w:rPr>
        <w:rFonts w:eastAsia="Calibri"/>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FD93" w14:textId="77777777" w:rsidR="003F5418" w:rsidRDefault="003F541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A0D3" w14:textId="77777777" w:rsidR="003F5418" w:rsidRDefault="003F5418">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6C90" w14:textId="77777777" w:rsidR="003F5418" w:rsidRDefault="003F5418">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32D3" w14:textId="77777777" w:rsidR="003F5418" w:rsidRDefault="003F5418">
    <w:pPr>
      <w:pStyle w:val="Header"/>
      <w:rPr>
        <w:rFonts w:eastAsia="Calibri"/>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8612" w14:textId="77777777" w:rsidR="003F5418" w:rsidRDefault="003F5418">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7AAC7" w14:textId="77777777" w:rsidR="003F5418" w:rsidRDefault="003F5418">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CB686" w14:textId="77777777" w:rsidR="003F5418" w:rsidRDefault="003F5418">
    <w:pPr>
      <w:pStyle w:val="Header"/>
      <w:rPr>
        <w:rFonts w:eastAsia="Calibri"/>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4114" w14:textId="77777777" w:rsidR="003F5418" w:rsidRDefault="003F5418">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F179A" w14:textId="77777777" w:rsidR="003F5418" w:rsidRDefault="003F5418">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2E79" w14:textId="77777777" w:rsidR="003F5418" w:rsidRDefault="003F5418">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AD44" w14:textId="77777777" w:rsidR="003F5418" w:rsidRDefault="003F5418">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4FC0" w14:textId="77777777" w:rsidR="003F5418" w:rsidRDefault="003F54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F334" w14:textId="77777777" w:rsidR="002A6C25" w:rsidRPr="002A6C25" w:rsidRDefault="002A6C25" w:rsidP="002A6C2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CA69" w14:textId="77777777" w:rsidR="003F5418" w:rsidRDefault="003F5418">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88E" w14:textId="77777777" w:rsidR="003F5418" w:rsidRDefault="003F5418">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3A231" w14:textId="77777777" w:rsidR="003F5418" w:rsidRDefault="003F5418">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2C7A" w14:textId="77777777" w:rsidR="003F5418" w:rsidRDefault="003F5418">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AE5E2" w14:textId="77777777" w:rsidR="003F5418" w:rsidRDefault="003F5418">
    <w:pPr>
      <w:pStyle w:val="Header"/>
      <w:rPr>
        <w:sz w:val="10"/>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3314" w14:textId="77777777" w:rsidR="003F5418" w:rsidRDefault="003F5418">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9E8AE" w14:textId="77777777" w:rsidR="003F5418" w:rsidRDefault="003F5418">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C312" w14:textId="77777777" w:rsidR="003F5418" w:rsidRDefault="003F5418">
    <w:pPr>
      <w:pStyle w:val="Header"/>
      <w:rPr>
        <w:rFonts w:eastAsia="Calibri"/>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C421D" w14:textId="77777777" w:rsidR="003F5418" w:rsidRDefault="003F5418">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D8863" w14:textId="77777777" w:rsidR="003F5418" w:rsidRDefault="003F5418">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A4EA" w14:textId="77777777" w:rsidR="003F5418" w:rsidRDefault="003F5418">
    <w:pPr>
      <w:pStyle w:val="Header"/>
      <w:rPr>
        <w:rFonts w:eastAsia="Calibri"/>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3494" w14:textId="77777777" w:rsidR="003F5418" w:rsidRDefault="003F5418">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554AA" w14:textId="77777777" w:rsidR="003F5418" w:rsidRDefault="003F5418">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3141" w14:textId="77777777" w:rsidR="00045993" w:rsidRDefault="00045993">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F29CD" w14:textId="77777777" w:rsidR="00045993" w:rsidRDefault="00045993">
    <w:pPr>
      <w:pStyle w:val="Header"/>
      <w:rPr>
        <w:rFonts w:eastAsia="Calibri"/>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06505" w14:textId="77777777" w:rsidR="00045993" w:rsidRDefault="0004599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E07BA" w14:textId="77777777" w:rsidR="003F5418" w:rsidRDefault="003F541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F42A" w14:textId="77777777" w:rsidR="003F5418" w:rsidRDefault="003F541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900D5" w14:textId="77777777" w:rsidR="003F5418" w:rsidRDefault="003F541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B605D" w14:textId="77777777" w:rsidR="003F5418" w:rsidRDefault="003F541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A831" w14:textId="77777777" w:rsidR="003F5418" w:rsidRDefault="003F541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B07A" w14:textId="77777777" w:rsidR="003F5418" w:rsidRDefault="003F541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301D" w14:textId="77777777" w:rsidR="003F5418" w:rsidRDefault="003F541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70F3" w14:textId="77777777" w:rsidR="003F5418" w:rsidRDefault="003F54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E9137" w14:textId="77777777" w:rsidR="002A6C25" w:rsidRPr="002A6C25" w:rsidRDefault="002A6C25" w:rsidP="002A6C2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3AB42" w14:textId="77777777" w:rsidR="003F5418" w:rsidRDefault="003F541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85A5" w14:textId="77777777" w:rsidR="00045993" w:rsidRDefault="0004599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7C02" w14:textId="77777777" w:rsidR="00045993" w:rsidRDefault="0004599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B66B" w14:textId="77777777" w:rsidR="00045993" w:rsidRDefault="0004599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DA48" w14:textId="77777777" w:rsidR="00045993" w:rsidRDefault="0004599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1900" w14:textId="77777777" w:rsidR="00045993" w:rsidRDefault="0004599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CEBBA" w14:textId="77777777" w:rsidR="00045993" w:rsidRDefault="0004599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E9A3" w14:textId="77777777" w:rsidR="003F5418" w:rsidRDefault="003F541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90936" w14:textId="77777777" w:rsidR="003F5418" w:rsidRDefault="003F541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80E3" w14:textId="77777777" w:rsidR="003F5418" w:rsidRDefault="003F54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AA70" w14:textId="77777777" w:rsidR="003F5418" w:rsidRDefault="003F541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14F39" w14:textId="77777777" w:rsidR="003F5418" w:rsidRDefault="003F541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C98BC" w14:textId="77777777" w:rsidR="003F5418" w:rsidRDefault="003F5418">
    <w:pPr>
      <w:pStyle w:val="Header"/>
      <w:rPr>
        <w:rFonts w:eastAsia="Calibri"/>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6BD1" w14:textId="77777777" w:rsidR="003F5418" w:rsidRDefault="003F541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AC1F9" w14:textId="77777777" w:rsidR="00045993" w:rsidRDefault="0004599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3B13" w14:textId="77777777" w:rsidR="00045993" w:rsidRDefault="00045993">
    <w:pPr>
      <w:pStyle w:val="Header"/>
      <w:rPr>
        <w:rFonts w:eastAsia="Calibri"/>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97DDA" w14:textId="77777777" w:rsidR="00045993" w:rsidRDefault="0004599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2094" w14:textId="77777777" w:rsidR="003F5418" w:rsidRDefault="003F541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59C0" w14:textId="77777777" w:rsidR="003F5418" w:rsidRDefault="003F5418">
    <w:pPr>
      <w:pStyle w:val="Header"/>
      <w:rPr>
        <w:rFonts w:eastAsia="Calibri"/>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91E5" w14:textId="77777777" w:rsidR="003F5418" w:rsidRDefault="003F541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7E56" w14:textId="77777777" w:rsidR="003F5418" w:rsidRDefault="003F54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AACCA" w14:textId="77777777" w:rsidR="003F5418" w:rsidRDefault="003F541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7682" w14:textId="77777777" w:rsidR="003F5418" w:rsidRDefault="003F541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8271" w14:textId="77777777" w:rsidR="003F5418" w:rsidRDefault="003F541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E47E" w14:textId="77777777" w:rsidR="00045993" w:rsidRDefault="0004599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51CCD" w14:textId="77777777" w:rsidR="00045993" w:rsidRDefault="0004599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8167" w14:textId="77777777" w:rsidR="00045993" w:rsidRDefault="0004599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1D05" w14:textId="77777777" w:rsidR="003F5418" w:rsidRDefault="003F541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673F" w14:textId="77777777" w:rsidR="003F5418" w:rsidRDefault="003F5418">
    <w:pPr>
      <w:pStyle w:val="Header"/>
      <w:rPr>
        <w:rFonts w:eastAsia="Calibri"/>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6A66E" w14:textId="77777777" w:rsidR="003F5418" w:rsidRDefault="003F541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75B9A" w14:textId="77777777" w:rsidR="003F5418" w:rsidRDefault="003F5418">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FF2CE" w14:textId="77777777" w:rsidR="003F5418" w:rsidRDefault="003F5418">
    <w:pPr>
      <w:pStyle w:val="Header"/>
      <w:rPr>
        <w:rFonts w:eastAsia="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16249" w14:textId="77777777" w:rsidR="003F5418" w:rsidRDefault="003F541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D768" w14:textId="77777777" w:rsidR="003F5418" w:rsidRDefault="003F541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EDAEA" w14:textId="77777777" w:rsidR="003F5418" w:rsidRDefault="003F5418">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4891" w14:textId="77777777" w:rsidR="003F5418" w:rsidRDefault="003F5418">
    <w:pPr>
      <w:pStyle w:val="Header"/>
      <w:rPr>
        <w:rFonts w:eastAsia="Calibri"/>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7687" w14:textId="77777777" w:rsidR="003F5418" w:rsidRDefault="003F541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7567A" w14:textId="77777777" w:rsidR="003F5418" w:rsidRDefault="003F5418">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92D88" w14:textId="77777777" w:rsidR="003F5418" w:rsidRDefault="003F541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667E" w14:textId="77777777" w:rsidR="003F5418" w:rsidRDefault="003F541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24B7C" w14:textId="77777777" w:rsidR="003F5418" w:rsidRDefault="003F5418">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5DCA9" w14:textId="77777777" w:rsidR="003F5418" w:rsidRDefault="003F5418">
    <w:pPr>
      <w:pStyle w:val="Header"/>
      <w:rPr>
        <w:rFonts w:eastAsia="Calibri"/>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4AF59" w14:textId="77777777" w:rsidR="003F5418" w:rsidRDefault="003F54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539CE" w14:textId="77777777" w:rsidR="003F5418" w:rsidRDefault="003F541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601B1" w14:textId="77777777" w:rsidR="003F5418" w:rsidRDefault="003F5418">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F57B" w14:textId="77777777" w:rsidR="003F5418" w:rsidRDefault="003F5418">
    <w:pPr>
      <w:pStyle w:val="Header"/>
      <w:rPr>
        <w:rFonts w:eastAsia="Calibri"/>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1DCF" w14:textId="77777777" w:rsidR="003F5418" w:rsidRDefault="003F541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43F1" w14:textId="77777777" w:rsidR="003F5418" w:rsidRDefault="003F5418">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C7CE" w14:textId="77777777" w:rsidR="003F5418" w:rsidRDefault="003F5418">
    <w:pPr>
      <w:pStyle w:val="Header"/>
      <w:rPr>
        <w:rFonts w:eastAsia="Calibri"/>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6011E" w14:textId="77777777" w:rsidR="003F5418" w:rsidRDefault="003F541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6CE7" w14:textId="77777777" w:rsidR="003F5418" w:rsidRDefault="003F5418">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A59B" w14:textId="77777777" w:rsidR="003F5418" w:rsidRDefault="003F5418">
    <w:pPr>
      <w:pStyle w:val="Header"/>
      <w:rPr>
        <w:rFonts w:eastAsia="Calibri"/>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EDBD1" w14:textId="77777777" w:rsidR="003F5418" w:rsidRDefault="003F541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6444" w14:textId="77777777" w:rsidR="003F5418" w:rsidRDefault="003F54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AD90" w14:textId="77777777" w:rsidR="003F5418" w:rsidRDefault="003F541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D34E4" w14:textId="77777777" w:rsidR="003F5418" w:rsidRDefault="003F5418">
    <w:pPr>
      <w:pStyle w:val="Header"/>
      <w:rPr>
        <w:rFonts w:eastAsia="Calibri"/>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1573" w14:textId="77777777" w:rsidR="003F5418" w:rsidRDefault="003F541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DBF05" w14:textId="77777777" w:rsidR="003F5418" w:rsidRDefault="003F5418">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2312" w14:textId="77777777" w:rsidR="003F5418" w:rsidRDefault="003F5418">
    <w:pPr>
      <w:pStyle w:val="Header"/>
      <w:rPr>
        <w:rFonts w:eastAsia="Calibri"/>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6B9F" w14:textId="77777777" w:rsidR="003F5418" w:rsidRDefault="003F541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97F1F" w14:textId="77777777" w:rsidR="003F5418" w:rsidRDefault="003F5418">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0D8E" w14:textId="77777777" w:rsidR="003F5418" w:rsidRDefault="003F5418">
    <w:pPr>
      <w:pStyle w:val="Header"/>
      <w:rPr>
        <w:rFonts w:eastAsia="Calibri"/>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2134" w14:textId="77777777" w:rsidR="003F5418" w:rsidRDefault="003F5418">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8FB8" w14:textId="77777777" w:rsidR="003F5418" w:rsidRDefault="003F5418">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1A24" w14:textId="77777777" w:rsidR="003F5418" w:rsidRDefault="003F5418">
    <w:pPr>
      <w:pStyle w:val="Header"/>
      <w:rPr>
        <w:rFonts w:eastAsia="Calibri"/>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4EE7" w14:textId="77777777" w:rsidR="003F5418" w:rsidRDefault="003F541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EFE4E" w14:textId="77777777" w:rsidR="003F5418" w:rsidRDefault="003F541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C983" w14:textId="77777777" w:rsidR="003F5418" w:rsidRDefault="003F541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F81B" w14:textId="77777777" w:rsidR="003F5418" w:rsidRDefault="003F5418">
    <w:pPr>
      <w:pStyle w:val="Header"/>
      <w:rPr>
        <w:rFonts w:eastAsia="Calibri"/>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A3FB" w14:textId="77777777" w:rsidR="003F5418" w:rsidRDefault="003F5418">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A117" w14:textId="77777777" w:rsidR="003F5418" w:rsidRDefault="003F541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60A3C" w14:textId="77777777" w:rsidR="003F5418" w:rsidRDefault="003F5418">
    <w:pPr>
      <w:pStyle w:val="Header"/>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687E" w14:textId="77777777" w:rsidR="003F5418" w:rsidRDefault="003F541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8E1D" w14:textId="77777777" w:rsidR="003F5418" w:rsidRDefault="003F541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2B3D" w14:textId="77777777" w:rsidR="003F5418" w:rsidRDefault="003F5418">
    <w:pPr>
      <w:pStyle w:val="Header"/>
      <w:rPr>
        <w:rFonts w:eastAsia="Calibri"/>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5C31" w14:textId="77777777" w:rsidR="003F5418" w:rsidRDefault="003F54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3FE8279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003373"/>
    <w:multiLevelType w:val="hybridMultilevel"/>
    <w:tmpl w:val="F3802738"/>
    <w:lvl w:ilvl="0" w:tplc="FC26DA30">
      <w:start w:val="1"/>
      <w:numFmt w:val="bullet"/>
      <w:lvlText w:val="-"/>
      <w:lvlJc w:val="left"/>
      <w:pPr>
        <w:ind w:left="720" w:hanging="360"/>
      </w:pPr>
      <w:rPr>
        <w:rFonts w:ascii="Symbol" w:hAnsi="Symbol" w:hint="default"/>
      </w:rPr>
    </w:lvl>
    <w:lvl w:ilvl="1" w:tplc="0462880E">
      <w:start w:val="1"/>
      <w:numFmt w:val="bullet"/>
      <w:lvlText w:val="o"/>
      <w:lvlJc w:val="left"/>
      <w:pPr>
        <w:ind w:left="1440" w:hanging="360"/>
      </w:pPr>
      <w:rPr>
        <w:rFonts w:ascii="Courier New" w:hAnsi="Courier New" w:hint="default"/>
      </w:rPr>
    </w:lvl>
    <w:lvl w:ilvl="2" w:tplc="F90A8E8E">
      <w:start w:val="1"/>
      <w:numFmt w:val="bullet"/>
      <w:lvlText w:val=""/>
      <w:lvlJc w:val="left"/>
      <w:pPr>
        <w:ind w:left="2160" w:hanging="360"/>
      </w:pPr>
      <w:rPr>
        <w:rFonts w:ascii="Wingdings" w:hAnsi="Wingdings" w:hint="default"/>
      </w:rPr>
    </w:lvl>
    <w:lvl w:ilvl="3" w:tplc="6D4420D6">
      <w:start w:val="1"/>
      <w:numFmt w:val="bullet"/>
      <w:lvlText w:val=""/>
      <w:lvlJc w:val="left"/>
      <w:pPr>
        <w:ind w:left="2880" w:hanging="360"/>
      </w:pPr>
      <w:rPr>
        <w:rFonts w:ascii="Symbol" w:hAnsi="Symbol" w:hint="default"/>
      </w:rPr>
    </w:lvl>
    <w:lvl w:ilvl="4" w:tplc="16727DC8">
      <w:start w:val="1"/>
      <w:numFmt w:val="bullet"/>
      <w:lvlText w:val="o"/>
      <w:lvlJc w:val="left"/>
      <w:pPr>
        <w:ind w:left="3600" w:hanging="360"/>
      </w:pPr>
      <w:rPr>
        <w:rFonts w:ascii="Courier New" w:hAnsi="Courier New" w:hint="default"/>
      </w:rPr>
    </w:lvl>
    <w:lvl w:ilvl="5" w:tplc="C7B4C740">
      <w:start w:val="1"/>
      <w:numFmt w:val="bullet"/>
      <w:lvlText w:val=""/>
      <w:lvlJc w:val="left"/>
      <w:pPr>
        <w:ind w:left="4320" w:hanging="360"/>
      </w:pPr>
      <w:rPr>
        <w:rFonts w:ascii="Wingdings" w:hAnsi="Wingdings" w:hint="default"/>
      </w:rPr>
    </w:lvl>
    <w:lvl w:ilvl="6" w:tplc="6172E3C4">
      <w:start w:val="1"/>
      <w:numFmt w:val="bullet"/>
      <w:lvlText w:val=""/>
      <w:lvlJc w:val="left"/>
      <w:pPr>
        <w:ind w:left="5040" w:hanging="360"/>
      </w:pPr>
      <w:rPr>
        <w:rFonts w:ascii="Symbol" w:hAnsi="Symbol" w:hint="default"/>
      </w:rPr>
    </w:lvl>
    <w:lvl w:ilvl="7" w:tplc="778A8E7C">
      <w:start w:val="1"/>
      <w:numFmt w:val="bullet"/>
      <w:lvlText w:val="o"/>
      <w:lvlJc w:val="left"/>
      <w:pPr>
        <w:ind w:left="5760" w:hanging="360"/>
      </w:pPr>
      <w:rPr>
        <w:rFonts w:ascii="Courier New" w:hAnsi="Courier New" w:hint="default"/>
      </w:rPr>
    </w:lvl>
    <w:lvl w:ilvl="8" w:tplc="B5700FD6">
      <w:start w:val="1"/>
      <w:numFmt w:val="bullet"/>
      <w:lvlText w:val=""/>
      <w:lvlJc w:val="left"/>
      <w:pPr>
        <w:ind w:left="6480" w:hanging="360"/>
      </w:pPr>
      <w:rPr>
        <w:rFonts w:ascii="Wingdings" w:hAnsi="Wingdings" w:hint="default"/>
      </w:rPr>
    </w:lvl>
  </w:abstractNum>
  <w:abstractNum w:abstractNumId="6" w15:restartNumberingAfterBreak="0">
    <w:nsid w:val="03E93C56"/>
    <w:multiLevelType w:val="hybridMultilevel"/>
    <w:tmpl w:val="013A6670"/>
    <w:lvl w:ilvl="0" w:tplc="D8CCA47E">
      <w:start w:val="1"/>
      <w:numFmt w:val="bullet"/>
      <w:lvlText w:val="-"/>
      <w:lvlJc w:val="left"/>
      <w:pPr>
        <w:ind w:left="1440" w:hanging="360"/>
      </w:pPr>
      <w:rPr>
        <w:rFonts w:ascii="&quot;Times New Roman&quot;,serif" w:hAnsi="&quot;Times New Roman&quot;,serif"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2F1D3B"/>
    <w:multiLevelType w:val="hybridMultilevel"/>
    <w:tmpl w:val="38A2126E"/>
    <w:lvl w:ilvl="0" w:tplc="218C80C4">
      <w:start w:val="1"/>
      <w:numFmt w:val="bullet"/>
      <w:lvlText w:val="-"/>
      <w:lvlJc w:val="left"/>
      <w:pPr>
        <w:ind w:left="696" w:hanging="360"/>
      </w:pPr>
      <w:rPr>
        <w:rFonts w:ascii="Calibri" w:hAnsi="Calibri" w:hint="default"/>
      </w:rPr>
    </w:lvl>
    <w:lvl w:ilvl="1" w:tplc="08090003" w:tentative="1">
      <w:start w:val="1"/>
      <w:numFmt w:val="bullet"/>
      <w:lvlText w:val="o"/>
      <w:lvlJc w:val="left"/>
      <w:pPr>
        <w:ind w:left="1416" w:hanging="360"/>
      </w:pPr>
      <w:rPr>
        <w:rFonts w:ascii="Courier New" w:hAnsi="Courier New" w:cs="Courier New" w:hint="default"/>
      </w:rPr>
    </w:lvl>
    <w:lvl w:ilvl="2" w:tplc="08090005" w:tentative="1">
      <w:start w:val="1"/>
      <w:numFmt w:val="bullet"/>
      <w:lvlText w:val=""/>
      <w:lvlJc w:val="left"/>
      <w:pPr>
        <w:ind w:left="2136" w:hanging="360"/>
      </w:pPr>
      <w:rPr>
        <w:rFonts w:ascii="Wingdings" w:hAnsi="Wingdings" w:hint="default"/>
      </w:rPr>
    </w:lvl>
    <w:lvl w:ilvl="3" w:tplc="08090001" w:tentative="1">
      <w:start w:val="1"/>
      <w:numFmt w:val="bullet"/>
      <w:lvlText w:val=""/>
      <w:lvlJc w:val="left"/>
      <w:pPr>
        <w:ind w:left="2856" w:hanging="360"/>
      </w:pPr>
      <w:rPr>
        <w:rFonts w:ascii="Symbol" w:hAnsi="Symbol" w:hint="default"/>
      </w:rPr>
    </w:lvl>
    <w:lvl w:ilvl="4" w:tplc="08090003" w:tentative="1">
      <w:start w:val="1"/>
      <w:numFmt w:val="bullet"/>
      <w:lvlText w:val="o"/>
      <w:lvlJc w:val="left"/>
      <w:pPr>
        <w:ind w:left="3576" w:hanging="360"/>
      </w:pPr>
      <w:rPr>
        <w:rFonts w:ascii="Courier New" w:hAnsi="Courier New" w:cs="Courier New" w:hint="default"/>
      </w:rPr>
    </w:lvl>
    <w:lvl w:ilvl="5" w:tplc="08090005" w:tentative="1">
      <w:start w:val="1"/>
      <w:numFmt w:val="bullet"/>
      <w:lvlText w:val=""/>
      <w:lvlJc w:val="left"/>
      <w:pPr>
        <w:ind w:left="4296" w:hanging="360"/>
      </w:pPr>
      <w:rPr>
        <w:rFonts w:ascii="Wingdings" w:hAnsi="Wingdings" w:hint="default"/>
      </w:rPr>
    </w:lvl>
    <w:lvl w:ilvl="6" w:tplc="08090001" w:tentative="1">
      <w:start w:val="1"/>
      <w:numFmt w:val="bullet"/>
      <w:lvlText w:val=""/>
      <w:lvlJc w:val="left"/>
      <w:pPr>
        <w:ind w:left="5016" w:hanging="360"/>
      </w:pPr>
      <w:rPr>
        <w:rFonts w:ascii="Symbol" w:hAnsi="Symbol" w:hint="default"/>
      </w:rPr>
    </w:lvl>
    <w:lvl w:ilvl="7" w:tplc="08090003" w:tentative="1">
      <w:start w:val="1"/>
      <w:numFmt w:val="bullet"/>
      <w:lvlText w:val="o"/>
      <w:lvlJc w:val="left"/>
      <w:pPr>
        <w:ind w:left="5736" w:hanging="360"/>
      </w:pPr>
      <w:rPr>
        <w:rFonts w:ascii="Courier New" w:hAnsi="Courier New" w:cs="Courier New" w:hint="default"/>
      </w:rPr>
    </w:lvl>
    <w:lvl w:ilvl="8" w:tplc="08090005" w:tentative="1">
      <w:start w:val="1"/>
      <w:numFmt w:val="bullet"/>
      <w:lvlText w:val=""/>
      <w:lvlJc w:val="left"/>
      <w:pPr>
        <w:ind w:left="6456" w:hanging="360"/>
      </w:pPr>
      <w:rPr>
        <w:rFonts w:ascii="Wingdings" w:hAnsi="Wingdings" w:hint="default"/>
      </w:rPr>
    </w:lvl>
  </w:abstractNum>
  <w:abstractNum w:abstractNumId="8" w15:restartNumberingAfterBreak="0">
    <w:nsid w:val="06331374"/>
    <w:multiLevelType w:val="hybridMultilevel"/>
    <w:tmpl w:val="F94A11DC"/>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6F47115"/>
    <w:multiLevelType w:val="hybridMultilevel"/>
    <w:tmpl w:val="523AD6C6"/>
    <w:lvl w:ilvl="0" w:tplc="E4E01FB6">
      <w:start w:val="1"/>
      <w:numFmt w:val="lowerRoman"/>
      <w:lvlText w:val="%1."/>
      <w:lvlJc w:val="right"/>
      <w:pPr>
        <w:ind w:left="720" w:hanging="360"/>
      </w:pPr>
    </w:lvl>
    <w:lvl w:ilvl="1" w:tplc="CC14CE30">
      <w:start w:val="1"/>
      <w:numFmt w:val="lowerLetter"/>
      <w:lvlText w:val="%2."/>
      <w:lvlJc w:val="left"/>
      <w:pPr>
        <w:ind w:left="1440" w:hanging="360"/>
      </w:pPr>
    </w:lvl>
    <w:lvl w:ilvl="2" w:tplc="7C30A1AA">
      <w:start w:val="1"/>
      <w:numFmt w:val="lowerRoman"/>
      <w:lvlText w:val="%3."/>
      <w:lvlJc w:val="right"/>
      <w:pPr>
        <w:ind w:left="2160" w:hanging="180"/>
      </w:pPr>
    </w:lvl>
    <w:lvl w:ilvl="3" w:tplc="A5343F08">
      <w:start w:val="1"/>
      <w:numFmt w:val="decimal"/>
      <w:lvlText w:val="%4."/>
      <w:lvlJc w:val="left"/>
      <w:pPr>
        <w:ind w:left="2880" w:hanging="360"/>
      </w:pPr>
    </w:lvl>
    <w:lvl w:ilvl="4" w:tplc="A412B3A4">
      <w:start w:val="1"/>
      <w:numFmt w:val="lowerLetter"/>
      <w:lvlText w:val="%5."/>
      <w:lvlJc w:val="left"/>
      <w:pPr>
        <w:ind w:left="3600" w:hanging="360"/>
      </w:pPr>
    </w:lvl>
    <w:lvl w:ilvl="5" w:tplc="2D3A5EC6">
      <w:start w:val="1"/>
      <w:numFmt w:val="lowerRoman"/>
      <w:lvlText w:val="%6."/>
      <w:lvlJc w:val="right"/>
      <w:pPr>
        <w:ind w:left="4320" w:hanging="180"/>
      </w:pPr>
    </w:lvl>
    <w:lvl w:ilvl="6" w:tplc="442A8E74">
      <w:start w:val="1"/>
      <w:numFmt w:val="decimal"/>
      <w:lvlText w:val="%7."/>
      <w:lvlJc w:val="left"/>
      <w:pPr>
        <w:ind w:left="5040" w:hanging="360"/>
      </w:pPr>
    </w:lvl>
    <w:lvl w:ilvl="7" w:tplc="978A2838">
      <w:start w:val="1"/>
      <w:numFmt w:val="lowerLetter"/>
      <w:lvlText w:val="%8."/>
      <w:lvlJc w:val="left"/>
      <w:pPr>
        <w:ind w:left="5760" w:hanging="360"/>
      </w:pPr>
    </w:lvl>
    <w:lvl w:ilvl="8" w:tplc="5EC4DE44">
      <w:start w:val="1"/>
      <w:numFmt w:val="lowerRoman"/>
      <w:lvlText w:val="%9."/>
      <w:lvlJc w:val="right"/>
      <w:pPr>
        <w:ind w:left="6480" w:hanging="180"/>
      </w:pPr>
    </w:lvl>
  </w:abstractNum>
  <w:abstractNum w:abstractNumId="10" w15:restartNumberingAfterBreak="0">
    <w:nsid w:val="07D98546"/>
    <w:multiLevelType w:val="hybridMultilevel"/>
    <w:tmpl w:val="6D76B0A6"/>
    <w:lvl w:ilvl="0" w:tplc="3D16F5F8">
      <w:start w:val="1"/>
      <w:numFmt w:val="bullet"/>
      <w:lvlText w:val=""/>
      <w:lvlJc w:val="left"/>
      <w:pPr>
        <w:ind w:left="720" w:hanging="360"/>
      </w:pPr>
      <w:rPr>
        <w:rFonts w:ascii="Symbol" w:hAnsi="Symbol" w:hint="default"/>
      </w:rPr>
    </w:lvl>
    <w:lvl w:ilvl="1" w:tplc="F5CE726E">
      <w:start w:val="1"/>
      <w:numFmt w:val="bullet"/>
      <w:lvlText w:val="o"/>
      <w:lvlJc w:val="left"/>
      <w:pPr>
        <w:ind w:left="1440" w:hanging="360"/>
      </w:pPr>
      <w:rPr>
        <w:rFonts w:ascii="Courier New" w:hAnsi="Courier New" w:hint="default"/>
      </w:rPr>
    </w:lvl>
    <w:lvl w:ilvl="2" w:tplc="4DE4A18C">
      <w:start w:val="1"/>
      <w:numFmt w:val="bullet"/>
      <w:lvlText w:val=""/>
      <w:lvlJc w:val="left"/>
      <w:pPr>
        <w:ind w:left="2160" w:hanging="360"/>
      </w:pPr>
      <w:rPr>
        <w:rFonts w:ascii="Wingdings" w:hAnsi="Wingdings" w:hint="default"/>
      </w:rPr>
    </w:lvl>
    <w:lvl w:ilvl="3" w:tplc="28FC9676">
      <w:start w:val="1"/>
      <w:numFmt w:val="bullet"/>
      <w:lvlText w:val=""/>
      <w:lvlJc w:val="left"/>
      <w:pPr>
        <w:ind w:left="2880" w:hanging="360"/>
      </w:pPr>
      <w:rPr>
        <w:rFonts w:ascii="Symbol" w:hAnsi="Symbol" w:hint="default"/>
      </w:rPr>
    </w:lvl>
    <w:lvl w:ilvl="4" w:tplc="948E80A8">
      <w:start w:val="1"/>
      <w:numFmt w:val="bullet"/>
      <w:lvlText w:val="o"/>
      <w:lvlJc w:val="left"/>
      <w:pPr>
        <w:ind w:left="3600" w:hanging="360"/>
      </w:pPr>
      <w:rPr>
        <w:rFonts w:ascii="Courier New" w:hAnsi="Courier New" w:hint="default"/>
      </w:rPr>
    </w:lvl>
    <w:lvl w:ilvl="5" w:tplc="20D04130">
      <w:start w:val="1"/>
      <w:numFmt w:val="bullet"/>
      <w:lvlText w:val=""/>
      <w:lvlJc w:val="left"/>
      <w:pPr>
        <w:ind w:left="4320" w:hanging="360"/>
      </w:pPr>
      <w:rPr>
        <w:rFonts w:ascii="Wingdings" w:hAnsi="Wingdings" w:hint="default"/>
      </w:rPr>
    </w:lvl>
    <w:lvl w:ilvl="6" w:tplc="3A4C0894">
      <w:start w:val="1"/>
      <w:numFmt w:val="bullet"/>
      <w:lvlText w:val=""/>
      <w:lvlJc w:val="left"/>
      <w:pPr>
        <w:ind w:left="5040" w:hanging="360"/>
      </w:pPr>
      <w:rPr>
        <w:rFonts w:ascii="Symbol" w:hAnsi="Symbol" w:hint="default"/>
      </w:rPr>
    </w:lvl>
    <w:lvl w:ilvl="7" w:tplc="94BEA838">
      <w:start w:val="1"/>
      <w:numFmt w:val="bullet"/>
      <w:lvlText w:val="o"/>
      <w:lvlJc w:val="left"/>
      <w:pPr>
        <w:ind w:left="5760" w:hanging="360"/>
      </w:pPr>
      <w:rPr>
        <w:rFonts w:ascii="Courier New" w:hAnsi="Courier New" w:hint="default"/>
      </w:rPr>
    </w:lvl>
    <w:lvl w:ilvl="8" w:tplc="F59CF7E0">
      <w:start w:val="1"/>
      <w:numFmt w:val="bullet"/>
      <w:lvlText w:val=""/>
      <w:lvlJc w:val="left"/>
      <w:pPr>
        <w:ind w:left="6480" w:hanging="360"/>
      </w:pPr>
      <w:rPr>
        <w:rFonts w:ascii="Wingdings" w:hAnsi="Wingdings" w:hint="default"/>
      </w:rPr>
    </w:lvl>
  </w:abstractNum>
  <w:abstractNum w:abstractNumId="11" w15:restartNumberingAfterBreak="0">
    <w:nsid w:val="0869CDD7"/>
    <w:multiLevelType w:val="hybridMultilevel"/>
    <w:tmpl w:val="E6F60F72"/>
    <w:lvl w:ilvl="0" w:tplc="CC5A35A2">
      <w:start w:val="1"/>
      <w:numFmt w:val="bullet"/>
      <w:lvlText w:val="-"/>
      <w:lvlJc w:val="left"/>
      <w:pPr>
        <w:ind w:left="720" w:hanging="360"/>
      </w:pPr>
      <w:rPr>
        <w:rFonts w:ascii="Symbol" w:hAnsi="Symbol" w:hint="default"/>
      </w:rPr>
    </w:lvl>
    <w:lvl w:ilvl="1" w:tplc="E90CF390">
      <w:start w:val="1"/>
      <w:numFmt w:val="bullet"/>
      <w:lvlText w:val="o"/>
      <w:lvlJc w:val="left"/>
      <w:pPr>
        <w:ind w:left="1440" w:hanging="360"/>
      </w:pPr>
      <w:rPr>
        <w:rFonts w:ascii="Courier New" w:hAnsi="Courier New" w:hint="default"/>
      </w:rPr>
    </w:lvl>
    <w:lvl w:ilvl="2" w:tplc="62C827A8">
      <w:start w:val="1"/>
      <w:numFmt w:val="bullet"/>
      <w:lvlText w:val=""/>
      <w:lvlJc w:val="left"/>
      <w:pPr>
        <w:ind w:left="2160" w:hanging="360"/>
      </w:pPr>
      <w:rPr>
        <w:rFonts w:ascii="Wingdings" w:hAnsi="Wingdings" w:hint="default"/>
      </w:rPr>
    </w:lvl>
    <w:lvl w:ilvl="3" w:tplc="C6AC6B24">
      <w:start w:val="1"/>
      <w:numFmt w:val="bullet"/>
      <w:lvlText w:val=""/>
      <w:lvlJc w:val="left"/>
      <w:pPr>
        <w:ind w:left="2880" w:hanging="360"/>
      </w:pPr>
      <w:rPr>
        <w:rFonts w:ascii="Symbol" w:hAnsi="Symbol" w:hint="default"/>
      </w:rPr>
    </w:lvl>
    <w:lvl w:ilvl="4" w:tplc="DF44F6A4">
      <w:start w:val="1"/>
      <w:numFmt w:val="bullet"/>
      <w:lvlText w:val="o"/>
      <w:lvlJc w:val="left"/>
      <w:pPr>
        <w:ind w:left="3600" w:hanging="360"/>
      </w:pPr>
      <w:rPr>
        <w:rFonts w:ascii="Courier New" w:hAnsi="Courier New" w:hint="default"/>
      </w:rPr>
    </w:lvl>
    <w:lvl w:ilvl="5" w:tplc="8126F19E">
      <w:start w:val="1"/>
      <w:numFmt w:val="bullet"/>
      <w:lvlText w:val=""/>
      <w:lvlJc w:val="left"/>
      <w:pPr>
        <w:ind w:left="4320" w:hanging="360"/>
      </w:pPr>
      <w:rPr>
        <w:rFonts w:ascii="Wingdings" w:hAnsi="Wingdings" w:hint="default"/>
      </w:rPr>
    </w:lvl>
    <w:lvl w:ilvl="6" w:tplc="E4401EFE">
      <w:start w:val="1"/>
      <w:numFmt w:val="bullet"/>
      <w:lvlText w:val=""/>
      <w:lvlJc w:val="left"/>
      <w:pPr>
        <w:ind w:left="5040" w:hanging="360"/>
      </w:pPr>
      <w:rPr>
        <w:rFonts w:ascii="Symbol" w:hAnsi="Symbol" w:hint="default"/>
      </w:rPr>
    </w:lvl>
    <w:lvl w:ilvl="7" w:tplc="57C0F16C">
      <w:start w:val="1"/>
      <w:numFmt w:val="bullet"/>
      <w:lvlText w:val="o"/>
      <w:lvlJc w:val="left"/>
      <w:pPr>
        <w:ind w:left="5760" w:hanging="360"/>
      </w:pPr>
      <w:rPr>
        <w:rFonts w:ascii="Courier New" w:hAnsi="Courier New" w:hint="default"/>
      </w:rPr>
    </w:lvl>
    <w:lvl w:ilvl="8" w:tplc="59DA7ED4">
      <w:start w:val="1"/>
      <w:numFmt w:val="bullet"/>
      <w:lvlText w:val=""/>
      <w:lvlJc w:val="left"/>
      <w:pPr>
        <w:ind w:left="6480" w:hanging="360"/>
      </w:pPr>
      <w:rPr>
        <w:rFonts w:ascii="Wingdings" w:hAnsi="Wingdings" w:hint="default"/>
      </w:rPr>
    </w:lvl>
  </w:abstractNum>
  <w:abstractNum w:abstractNumId="12" w15:restartNumberingAfterBreak="0">
    <w:nsid w:val="08AF58AF"/>
    <w:multiLevelType w:val="hybridMultilevel"/>
    <w:tmpl w:val="DB0CF5D2"/>
    <w:lvl w:ilvl="0" w:tplc="218C80C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F41E71"/>
    <w:multiLevelType w:val="hybridMultilevel"/>
    <w:tmpl w:val="8BBC1E6E"/>
    <w:lvl w:ilvl="0" w:tplc="7C1A5438">
      <w:start w:val="17"/>
      <w:numFmt w:val="bullet"/>
      <w:lvlText w:val="-"/>
      <w:lvlJc w:val="left"/>
      <w:pPr>
        <w:ind w:left="720" w:hanging="360"/>
      </w:pPr>
      <w:rPr>
        <w:rFonts w:ascii="Times New Roman" w:eastAsia="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41762F"/>
    <w:multiLevelType w:val="hybridMultilevel"/>
    <w:tmpl w:val="7586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34378D"/>
    <w:multiLevelType w:val="hybridMultilevel"/>
    <w:tmpl w:val="DC28A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F34087D"/>
    <w:multiLevelType w:val="hybridMultilevel"/>
    <w:tmpl w:val="EEA26554"/>
    <w:lvl w:ilvl="0" w:tplc="9C18E2D8">
      <w:start w:val="3"/>
      <w:numFmt w:val="decimal"/>
      <w:lvlText w:val="%1."/>
      <w:lvlJc w:val="left"/>
      <w:pPr>
        <w:ind w:left="720" w:hanging="360"/>
      </w:pPr>
    </w:lvl>
    <w:lvl w:ilvl="1" w:tplc="2E4EAE98">
      <w:start w:val="1"/>
      <w:numFmt w:val="lowerLetter"/>
      <w:lvlText w:val="%2."/>
      <w:lvlJc w:val="left"/>
      <w:pPr>
        <w:ind w:left="1440" w:hanging="360"/>
      </w:pPr>
    </w:lvl>
    <w:lvl w:ilvl="2" w:tplc="A11E6626">
      <w:start w:val="1"/>
      <w:numFmt w:val="lowerRoman"/>
      <w:lvlText w:val="%3."/>
      <w:lvlJc w:val="right"/>
      <w:pPr>
        <w:ind w:left="2160" w:hanging="180"/>
      </w:pPr>
    </w:lvl>
    <w:lvl w:ilvl="3" w:tplc="29CE4106">
      <w:start w:val="1"/>
      <w:numFmt w:val="decimal"/>
      <w:lvlText w:val="%4."/>
      <w:lvlJc w:val="left"/>
      <w:pPr>
        <w:ind w:left="2880" w:hanging="360"/>
      </w:pPr>
    </w:lvl>
    <w:lvl w:ilvl="4" w:tplc="D444D812">
      <w:start w:val="1"/>
      <w:numFmt w:val="lowerLetter"/>
      <w:lvlText w:val="%5."/>
      <w:lvlJc w:val="left"/>
      <w:pPr>
        <w:ind w:left="3600" w:hanging="360"/>
      </w:pPr>
    </w:lvl>
    <w:lvl w:ilvl="5" w:tplc="CF42B4F0">
      <w:start w:val="1"/>
      <w:numFmt w:val="lowerRoman"/>
      <w:lvlText w:val="%6."/>
      <w:lvlJc w:val="right"/>
      <w:pPr>
        <w:ind w:left="4320" w:hanging="180"/>
      </w:pPr>
    </w:lvl>
    <w:lvl w:ilvl="6" w:tplc="0700C77A">
      <w:start w:val="1"/>
      <w:numFmt w:val="decimal"/>
      <w:lvlText w:val="%7."/>
      <w:lvlJc w:val="left"/>
      <w:pPr>
        <w:ind w:left="5040" w:hanging="360"/>
      </w:pPr>
    </w:lvl>
    <w:lvl w:ilvl="7" w:tplc="17E63D3A">
      <w:start w:val="1"/>
      <w:numFmt w:val="lowerLetter"/>
      <w:lvlText w:val="%8."/>
      <w:lvlJc w:val="left"/>
      <w:pPr>
        <w:ind w:left="5760" w:hanging="360"/>
      </w:pPr>
    </w:lvl>
    <w:lvl w:ilvl="8" w:tplc="4482C260">
      <w:start w:val="1"/>
      <w:numFmt w:val="lowerRoman"/>
      <w:lvlText w:val="%9."/>
      <w:lvlJc w:val="right"/>
      <w:pPr>
        <w:ind w:left="6480" w:hanging="180"/>
      </w:pPr>
    </w:lvl>
  </w:abstractNum>
  <w:abstractNum w:abstractNumId="17" w15:restartNumberingAfterBreak="0">
    <w:nsid w:val="0FFB5314"/>
    <w:multiLevelType w:val="hybridMultilevel"/>
    <w:tmpl w:val="0B088D8A"/>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00D6C98"/>
    <w:multiLevelType w:val="hybridMultilevel"/>
    <w:tmpl w:val="C11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E31054"/>
    <w:multiLevelType w:val="hybridMultilevel"/>
    <w:tmpl w:val="56EE6114"/>
    <w:lvl w:ilvl="0" w:tplc="CFA0E118">
      <w:start w:val="1"/>
      <w:numFmt w:val="decimal"/>
      <w:lvlText w:val="%1."/>
      <w:lvlJc w:val="left"/>
      <w:pPr>
        <w:ind w:left="720" w:hanging="360"/>
      </w:pPr>
    </w:lvl>
    <w:lvl w:ilvl="1" w:tplc="FB12925A">
      <w:start w:val="1"/>
      <w:numFmt w:val="lowerLetter"/>
      <w:lvlText w:val="%2."/>
      <w:lvlJc w:val="left"/>
      <w:pPr>
        <w:ind w:left="1440" w:hanging="360"/>
      </w:pPr>
    </w:lvl>
    <w:lvl w:ilvl="2" w:tplc="20E2E64E">
      <w:start w:val="1"/>
      <w:numFmt w:val="lowerRoman"/>
      <w:lvlText w:val="%3."/>
      <w:lvlJc w:val="right"/>
      <w:pPr>
        <w:ind w:left="2160" w:hanging="180"/>
      </w:pPr>
    </w:lvl>
    <w:lvl w:ilvl="3" w:tplc="FB6E4BF0">
      <w:start w:val="1"/>
      <w:numFmt w:val="decimal"/>
      <w:lvlText w:val="%4."/>
      <w:lvlJc w:val="left"/>
      <w:pPr>
        <w:ind w:left="2880" w:hanging="360"/>
      </w:pPr>
    </w:lvl>
    <w:lvl w:ilvl="4" w:tplc="918E96C4">
      <w:start w:val="1"/>
      <w:numFmt w:val="lowerLetter"/>
      <w:lvlText w:val="%5."/>
      <w:lvlJc w:val="left"/>
      <w:pPr>
        <w:ind w:left="3600" w:hanging="360"/>
      </w:pPr>
    </w:lvl>
    <w:lvl w:ilvl="5" w:tplc="5AF2756E">
      <w:start w:val="1"/>
      <w:numFmt w:val="lowerRoman"/>
      <w:lvlText w:val="%6."/>
      <w:lvlJc w:val="right"/>
      <w:pPr>
        <w:ind w:left="4320" w:hanging="180"/>
      </w:pPr>
    </w:lvl>
    <w:lvl w:ilvl="6" w:tplc="863E6374">
      <w:start w:val="1"/>
      <w:numFmt w:val="decimal"/>
      <w:lvlText w:val="%7."/>
      <w:lvlJc w:val="left"/>
      <w:pPr>
        <w:ind w:left="5040" w:hanging="360"/>
      </w:pPr>
    </w:lvl>
    <w:lvl w:ilvl="7" w:tplc="DC2066C6">
      <w:start w:val="1"/>
      <w:numFmt w:val="lowerLetter"/>
      <w:lvlText w:val="%8."/>
      <w:lvlJc w:val="left"/>
      <w:pPr>
        <w:ind w:left="5760" w:hanging="360"/>
      </w:pPr>
    </w:lvl>
    <w:lvl w:ilvl="8" w:tplc="591E6DF6">
      <w:start w:val="1"/>
      <w:numFmt w:val="lowerRoman"/>
      <w:lvlText w:val="%9."/>
      <w:lvlJc w:val="right"/>
      <w:pPr>
        <w:ind w:left="6480" w:hanging="180"/>
      </w:pPr>
    </w:lvl>
  </w:abstractNum>
  <w:abstractNum w:abstractNumId="20" w15:restartNumberingAfterBreak="0">
    <w:nsid w:val="13281B67"/>
    <w:multiLevelType w:val="hybridMultilevel"/>
    <w:tmpl w:val="A6605D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4244ED7"/>
    <w:multiLevelType w:val="multilevel"/>
    <w:tmpl w:val="98069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4ED7B12"/>
    <w:multiLevelType w:val="hybridMultilevel"/>
    <w:tmpl w:val="29EA5478"/>
    <w:lvl w:ilvl="0" w:tplc="7AACA2A8">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3" w15:restartNumberingAfterBreak="0">
    <w:nsid w:val="15E226B0"/>
    <w:multiLevelType w:val="multilevel"/>
    <w:tmpl w:val="C5D2B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65622D8"/>
    <w:multiLevelType w:val="hybridMultilevel"/>
    <w:tmpl w:val="E6E46808"/>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65C3F6D"/>
    <w:multiLevelType w:val="hybridMultilevel"/>
    <w:tmpl w:val="4EDE002A"/>
    <w:lvl w:ilvl="0" w:tplc="9E1AC07E">
      <w:start w:val="1"/>
      <w:numFmt w:val="bullet"/>
      <w:lvlText w:val="·"/>
      <w:lvlJc w:val="left"/>
      <w:pPr>
        <w:ind w:left="720" w:hanging="360"/>
      </w:pPr>
      <w:rPr>
        <w:rFonts w:ascii="Symbol" w:hAnsi="Symbol" w:hint="default"/>
      </w:rPr>
    </w:lvl>
    <w:lvl w:ilvl="1" w:tplc="508224BC">
      <w:start w:val="1"/>
      <w:numFmt w:val="bullet"/>
      <w:lvlText w:val="o"/>
      <w:lvlJc w:val="left"/>
      <w:pPr>
        <w:ind w:left="1440" w:hanging="360"/>
      </w:pPr>
      <w:rPr>
        <w:rFonts w:ascii="Courier New" w:hAnsi="Courier New" w:hint="default"/>
      </w:rPr>
    </w:lvl>
    <w:lvl w:ilvl="2" w:tplc="9F481042">
      <w:start w:val="1"/>
      <w:numFmt w:val="bullet"/>
      <w:lvlText w:val=""/>
      <w:lvlJc w:val="left"/>
      <w:pPr>
        <w:ind w:left="2160" w:hanging="360"/>
      </w:pPr>
      <w:rPr>
        <w:rFonts w:ascii="Wingdings" w:hAnsi="Wingdings" w:hint="default"/>
      </w:rPr>
    </w:lvl>
    <w:lvl w:ilvl="3" w:tplc="23665F78">
      <w:start w:val="1"/>
      <w:numFmt w:val="bullet"/>
      <w:lvlText w:val=""/>
      <w:lvlJc w:val="left"/>
      <w:pPr>
        <w:ind w:left="2880" w:hanging="360"/>
      </w:pPr>
      <w:rPr>
        <w:rFonts w:ascii="Symbol" w:hAnsi="Symbol" w:hint="default"/>
      </w:rPr>
    </w:lvl>
    <w:lvl w:ilvl="4" w:tplc="F2821104">
      <w:start w:val="1"/>
      <w:numFmt w:val="bullet"/>
      <w:lvlText w:val="o"/>
      <w:lvlJc w:val="left"/>
      <w:pPr>
        <w:ind w:left="3600" w:hanging="360"/>
      </w:pPr>
      <w:rPr>
        <w:rFonts w:ascii="Courier New" w:hAnsi="Courier New" w:hint="default"/>
      </w:rPr>
    </w:lvl>
    <w:lvl w:ilvl="5" w:tplc="1A8256D0">
      <w:start w:val="1"/>
      <w:numFmt w:val="bullet"/>
      <w:lvlText w:val=""/>
      <w:lvlJc w:val="left"/>
      <w:pPr>
        <w:ind w:left="4320" w:hanging="360"/>
      </w:pPr>
      <w:rPr>
        <w:rFonts w:ascii="Wingdings" w:hAnsi="Wingdings" w:hint="default"/>
      </w:rPr>
    </w:lvl>
    <w:lvl w:ilvl="6" w:tplc="EB802166">
      <w:start w:val="1"/>
      <w:numFmt w:val="bullet"/>
      <w:lvlText w:val=""/>
      <w:lvlJc w:val="left"/>
      <w:pPr>
        <w:ind w:left="5040" w:hanging="360"/>
      </w:pPr>
      <w:rPr>
        <w:rFonts w:ascii="Symbol" w:hAnsi="Symbol" w:hint="default"/>
      </w:rPr>
    </w:lvl>
    <w:lvl w:ilvl="7" w:tplc="CA1E5EAC">
      <w:start w:val="1"/>
      <w:numFmt w:val="bullet"/>
      <w:lvlText w:val="o"/>
      <w:lvlJc w:val="left"/>
      <w:pPr>
        <w:ind w:left="5760" w:hanging="360"/>
      </w:pPr>
      <w:rPr>
        <w:rFonts w:ascii="Courier New" w:hAnsi="Courier New" w:hint="default"/>
      </w:rPr>
    </w:lvl>
    <w:lvl w:ilvl="8" w:tplc="5F70D53E">
      <w:start w:val="1"/>
      <w:numFmt w:val="bullet"/>
      <w:lvlText w:val=""/>
      <w:lvlJc w:val="left"/>
      <w:pPr>
        <w:ind w:left="6480" w:hanging="360"/>
      </w:pPr>
      <w:rPr>
        <w:rFonts w:ascii="Wingdings" w:hAnsi="Wingdings" w:hint="default"/>
      </w:rPr>
    </w:lvl>
  </w:abstractNum>
  <w:abstractNum w:abstractNumId="26" w15:restartNumberingAfterBreak="0">
    <w:nsid w:val="17280188"/>
    <w:multiLevelType w:val="hybridMultilevel"/>
    <w:tmpl w:val="E94EFBCE"/>
    <w:lvl w:ilvl="0" w:tplc="28B87E4A">
      <w:start w:val="1"/>
      <w:numFmt w:val="bullet"/>
      <w:lvlText w:val="-"/>
      <w:lvlJc w:val="left"/>
      <w:pPr>
        <w:ind w:left="720" w:hanging="360"/>
      </w:pPr>
      <w:rPr>
        <w:rFonts w:ascii="Times New Roman" w:eastAsia="Times New Roman" w:hAnsi="Times New Roman" w:cs="Times New Roman"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43AF22"/>
    <w:multiLevelType w:val="hybridMultilevel"/>
    <w:tmpl w:val="FFFFFFFF"/>
    <w:lvl w:ilvl="0" w:tplc="F2F688FA">
      <w:start w:val="1"/>
      <w:numFmt w:val="decimal"/>
      <w:lvlText w:val="%1."/>
      <w:lvlJc w:val="left"/>
      <w:pPr>
        <w:ind w:left="720" w:hanging="360"/>
      </w:pPr>
    </w:lvl>
    <w:lvl w:ilvl="1" w:tplc="8562956E">
      <w:start w:val="1"/>
      <w:numFmt w:val="lowerLetter"/>
      <w:lvlText w:val="%2."/>
      <w:lvlJc w:val="left"/>
      <w:pPr>
        <w:ind w:left="1440" w:hanging="360"/>
      </w:pPr>
    </w:lvl>
    <w:lvl w:ilvl="2" w:tplc="48623FFC">
      <w:start w:val="1"/>
      <w:numFmt w:val="lowerRoman"/>
      <w:lvlText w:val="%3."/>
      <w:lvlJc w:val="right"/>
      <w:pPr>
        <w:ind w:left="2160" w:hanging="180"/>
      </w:pPr>
    </w:lvl>
    <w:lvl w:ilvl="3" w:tplc="131EE938">
      <w:start w:val="1"/>
      <w:numFmt w:val="decimal"/>
      <w:lvlText w:val="%4."/>
      <w:lvlJc w:val="left"/>
      <w:pPr>
        <w:ind w:left="2880" w:hanging="360"/>
      </w:pPr>
    </w:lvl>
    <w:lvl w:ilvl="4" w:tplc="B178D99A">
      <w:start w:val="1"/>
      <w:numFmt w:val="lowerLetter"/>
      <w:lvlText w:val="%5."/>
      <w:lvlJc w:val="left"/>
      <w:pPr>
        <w:ind w:left="3600" w:hanging="360"/>
      </w:pPr>
    </w:lvl>
    <w:lvl w:ilvl="5" w:tplc="9EE2F188">
      <w:start w:val="1"/>
      <w:numFmt w:val="lowerRoman"/>
      <w:lvlText w:val="%6."/>
      <w:lvlJc w:val="right"/>
      <w:pPr>
        <w:ind w:left="4320" w:hanging="180"/>
      </w:pPr>
    </w:lvl>
    <w:lvl w:ilvl="6" w:tplc="9EB049AA">
      <w:start w:val="1"/>
      <w:numFmt w:val="decimal"/>
      <w:lvlText w:val="%7."/>
      <w:lvlJc w:val="left"/>
      <w:pPr>
        <w:ind w:left="5040" w:hanging="360"/>
      </w:pPr>
    </w:lvl>
    <w:lvl w:ilvl="7" w:tplc="66D67C22">
      <w:start w:val="1"/>
      <w:numFmt w:val="lowerLetter"/>
      <w:lvlText w:val="%8."/>
      <w:lvlJc w:val="left"/>
      <w:pPr>
        <w:ind w:left="5760" w:hanging="360"/>
      </w:pPr>
    </w:lvl>
    <w:lvl w:ilvl="8" w:tplc="8EF6D5DA">
      <w:start w:val="1"/>
      <w:numFmt w:val="lowerRoman"/>
      <w:lvlText w:val="%9."/>
      <w:lvlJc w:val="right"/>
      <w:pPr>
        <w:ind w:left="6480" w:hanging="180"/>
      </w:pPr>
    </w:lvl>
  </w:abstractNum>
  <w:abstractNum w:abstractNumId="29" w15:restartNumberingAfterBreak="0">
    <w:nsid w:val="19811323"/>
    <w:multiLevelType w:val="hybridMultilevel"/>
    <w:tmpl w:val="D428AE0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3numb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pStyle w:val="Point0letter"/>
      <w:lvlText w:val="(%4)"/>
      <w:lvlJc w:val="left"/>
      <w:pPr>
        <w:tabs>
          <w:tab w:val="num" w:pos="1417"/>
        </w:tabs>
        <w:ind w:left="1417" w:hanging="567"/>
      </w:pPr>
    </w:lvl>
    <w:lvl w:ilvl="4">
      <w:start w:val="1"/>
      <w:numFmt w:val="decimal"/>
      <w:pStyle w:val="Point1number"/>
      <w:lvlText w:val="(%5)"/>
      <w:lvlJc w:val="left"/>
      <w:pPr>
        <w:tabs>
          <w:tab w:val="num" w:pos="1984"/>
        </w:tabs>
        <w:ind w:left="1984" w:hanging="567"/>
      </w:pPr>
    </w:lvl>
    <w:lvl w:ilvl="5">
      <w:start w:val="1"/>
      <w:numFmt w:val="lowerLetter"/>
      <w:pStyle w:val="Point1letter"/>
      <w:lvlText w:val="(%6)"/>
      <w:lvlJc w:val="left"/>
      <w:pPr>
        <w:tabs>
          <w:tab w:val="num" w:pos="1984"/>
        </w:tabs>
        <w:ind w:left="1984" w:hanging="567"/>
      </w:pPr>
    </w:lvl>
    <w:lvl w:ilvl="6">
      <w:start w:val="1"/>
      <w:numFmt w:val="decimal"/>
      <w:pStyle w:val="Point2number"/>
      <w:lvlText w:val="(%7)"/>
      <w:lvlJc w:val="left"/>
      <w:pPr>
        <w:tabs>
          <w:tab w:val="num" w:pos="2551"/>
        </w:tabs>
        <w:ind w:left="2551" w:hanging="567"/>
      </w:pPr>
    </w:lvl>
    <w:lvl w:ilvl="7">
      <w:start w:val="1"/>
      <w:numFmt w:val="lowerLetter"/>
      <w:pStyle w:val="Point2letter"/>
      <w:lvlText w:val="(%8)"/>
      <w:lvlJc w:val="left"/>
      <w:pPr>
        <w:tabs>
          <w:tab w:val="num" w:pos="2551"/>
        </w:tabs>
        <w:ind w:left="2551" w:hanging="567"/>
      </w:pPr>
    </w:lvl>
    <w:lvl w:ilvl="8">
      <w:start w:val="1"/>
      <w:numFmt w:val="lowerLetter"/>
      <w:pStyle w:val="Point3letter"/>
      <w:lvlText w:val="(%9)"/>
      <w:lvlJc w:val="left"/>
      <w:pPr>
        <w:tabs>
          <w:tab w:val="num" w:pos="3118"/>
        </w:tabs>
        <w:ind w:left="3118" w:hanging="567"/>
      </w:pPr>
    </w:lvl>
  </w:abstractNum>
  <w:abstractNum w:abstractNumId="31" w15:restartNumberingAfterBreak="0">
    <w:nsid w:val="1E317D26"/>
    <w:multiLevelType w:val="hybridMultilevel"/>
    <w:tmpl w:val="F2566412"/>
    <w:lvl w:ilvl="0" w:tplc="7CC4E43C">
      <w:start w:val="1"/>
      <w:numFmt w:val="decimal"/>
      <w:lvlText w:val="%1."/>
      <w:lvlJc w:val="left"/>
      <w:pPr>
        <w:ind w:left="720" w:hanging="360"/>
      </w:pPr>
    </w:lvl>
    <w:lvl w:ilvl="1" w:tplc="98B4BE10">
      <w:start w:val="1"/>
      <w:numFmt w:val="lowerLetter"/>
      <w:lvlText w:val="%2."/>
      <w:lvlJc w:val="left"/>
      <w:pPr>
        <w:ind w:left="1440" w:hanging="360"/>
      </w:pPr>
    </w:lvl>
    <w:lvl w:ilvl="2" w:tplc="E28A6A02">
      <w:start w:val="1"/>
      <w:numFmt w:val="lowerRoman"/>
      <w:lvlText w:val="%3."/>
      <w:lvlJc w:val="right"/>
      <w:pPr>
        <w:ind w:left="2160" w:hanging="180"/>
      </w:pPr>
    </w:lvl>
    <w:lvl w:ilvl="3" w:tplc="6EB468B2">
      <w:start w:val="1"/>
      <w:numFmt w:val="decimal"/>
      <w:lvlText w:val="%4."/>
      <w:lvlJc w:val="left"/>
      <w:pPr>
        <w:ind w:left="2880" w:hanging="360"/>
      </w:pPr>
    </w:lvl>
    <w:lvl w:ilvl="4" w:tplc="DD965FD8">
      <w:start w:val="1"/>
      <w:numFmt w:val="lowerLetter"/>
      <w:lvlText w:val="%5."/>
      <w:lvlJc w:val="left"/>
      <w:pPr>
        <w:ind w:left="3600" w:hanging="360"/>
      </w:pPr>
    </w:lvl>
    <w:lvl w:ilvl="5" w:tplc="4E466424">
      <w:start w:val="1"/>
      <w:numFmt w:val="lowerRoman"/>
      <w:lvlText w:val="%6."/>
      <w:lvlJc w:val="right"/>
      <w:pPr>
        <w:ind w:left="4320" w:hanging="180"/>
      </w:pPr>
    </w:lvl>
    <w:lvl w:ilvl="6" w:tplc="2174BC9C">
      <w:start w:val="1"/>
      <w:numFmt w:val="decimal"/>
      <w:lvlText w:val="%7."/>
      <w:lvlJc w:val="left"/>
      <w:pPr>
        <w:ind w:left="5040" w:hanging="360"/>
      </w:pPr>
    </w:lvl>
    <w:lvl w:ilvl="7" w:tplc="3EA00D02">
      <w:start w:val="1"/>
      <w:numFmt w:val="lowerLetter"/>
      <w:lvlText w:val="%8."/>
      <w:lvlJc w:val="left"/>
      <w:pPr>
        <w:ind w:left="5760" w:hanging="360"/>
      </w:pPr>
    </w:lvl>
    <w:lvl w:ilvl="8" w:tplc="4616220A">
      <w:start w:val="1"/>
      <w:numFmt w:val="lowerRoman"/>
      <w:lvlText w:val="%9."/>
      <w:lvlJc w:val="right"/>
      <w:pPr>
        <w:ind w:left="6480" w:hanging="180"/>
      </w:pPr>
    </w:lvl>
  </w:abstractNum>
  <w:abstractNum w:abstractNumId="32" w15:restartNumberingAfterBreak="0">
    <w:nsid w:val="1E950445"/>
    <w:multiLevelType w:val="multilevel"/>
    <w:tmpl w:val="610804BC"/>
    <w:lvl w:ilvl="0">
      <w:start w:val="1"/>
      <w:numFmt w:val="decimal"/>
      <w:lvlText w:val="%1."/>
      <w:lvlJc w:val="left"/>
      <w:pPr>
        <w:ind w:left="476" w:hanging="476"/>
      </w:pPr>
      <w:rPr>
        <w:rFonts w:hint="default"/>
        <w:b/>
        <w:bCs/>
      </w:rPr>
    </w:lvl>
    <w:lvl w:ilvl="1">
      <w:start w:val="1"/>
      <w:numFmt w:val="lowerLetter"/>
      <w:lvlText w:val="%2)"/>
      <w:lvlJc w:val="left"/>
      <w:pPr>
        <w:ind w:left="836" w:hanging="360"/>
      </w:p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F000BCD"/>
    <w:multiLevelType w:val="hybridMultilevel"/>
    <w:tmpl w:val="E334FCE4"/>
    <w:lvl w:ilvl="0" w:tplc="41A8472E">
      <w:start w:val="1"/>
      <w:numFmt w:val="bullet"/>
      <w:lvlText w:val="-"/>
      <w:lvlJc w:val="left"/>
      <w:pPr>
        <w:ind w:left="720" w:hanging="360"/>
      </w:pPr>
      <w:rPr>
        <w:rFonts w:ascii="Calibri" w:hAnsi="Calibri" w:hint="default"/>
      </w:rPr>
    </w:lvl>
    <w:lvl w:ilvl="1" w:tplc="1382DC1A">
      <w:start w:val="1"/>
      <w:numFmt w:val="bullet"/>
      <w:lvlText w:val="o"/>
      <w:lvlJc w:val="left"/>
      <w:pPr>
        <w:ind w:left="1440" w:hanging="360"/>
      </w:pPr>
      <w:rPr>
        <w:rFonts w:ascii="Courier New" w:hAnsi="Courier New" w:hint="default"/>
      </w:rPr>
    </w:lvl>
    <w:lvl w:ilvl="2" w:tplc="4A086676">
      <w:start w:val="1"/>
      <w:numFmt w:val="bullet"/>
      <w:lvlText w:val=""/>
      <w:lvlJc w:val="left"/>
      <w:pPr>
        <w:ind w:left="2160" w:hanging="360"/>
      </w:pPr>
      <w:rPr>
        <w:rFonts w:ascii="Wingdings" w:hAnsi="Wingdings" w:hint="default"/>
      </w:rPr>
    </w:lvl>
    <w:lvl w:ilvl="3" w:tplc="24D8C2E8">
      <w:start w:val="1"/>
      <w:numFmt w:val="bullet"/>
      <w:lvlText w:val=""/>
      <w:lvlJc w:val="left"/>
      <w:pPr>
        <w:ind w:left="2880" w:hanging="360"/>
      </w:pPr>
      <w:rPr>
        <w:rFonts w:ascii="Symbol" w:hAnsi="Symbol" w:hint="default"/>
      </w:rPr>
    </w:lvl>
    <w:lvl w:ilvl="4" w:tplc="B8C04682">
      <w:start w:val="1"/>
      <w:numFmt w:val="bullet"/>
      <w:lvlText w:val="o"/>
      <w:lvlJc w:val="left"/>
      <w:pPr>
        <w:ind w:left="3600" w:hanging="360"/>
      </w:pPr>
      <w:rPr>
        <w:rFonts w:ascii="Courier New" w:hAnsi="Courier New" w:hint="default"/>
      </w:rPr>
    </w:lvl>
    <w:lvl w:ilvl="5" w:tplc="7D3033D2">
      <w:start w:val="1"/>
      <w:numFmt w:val="bullet"/>
      <w:lvlText w:val=""/>
      <w:lvlJc w:val="left"/>
      <w:pPr>
        <w:ind w:left="4320" w:hanging="360"/>
      </w:pPr>
      <w:rPr>
        <w:rFonts w:ascii="Wingdings" w:hAnsi="Wingdings" w:hint="default"/>
      </w:rPr>
    </w:lvl>
    <w:lvl w:ilvl="6" w:tplc="53D233BC">
      <w:start w:val="1"/>
      <w:numFmt w:val="bullet"/>
      <w:lvlText w:val=""/>
      <w:lvlJc w:val="left"/>
      <w:pPr>
        <w:ind w:left="5040" w:hanging="360"/>
      </w:pPr>
      <w:rPr>
        <w:rFonts w:ascii="Symbol" w:hAnsi="Symbol" w:hint="default"/>
      </w:rPr>
    </w:lvl>
    <w:lvl w:ilvl="7" w:tplc="187CA474">
      <w:start w:val="1"/>
      <w:numFmt w:val="bullet"/>
      <w:lvlText w:val="o"/>
      <w:lvlJc w:val="left"/>
      <w:pPr>
        <w:ind w:left="5760" w:hanging="360"/>
      </w:pPr>
      <w:rPr>
        <w:rFonts w:ascii="Courier New" w:hAnsi="Courier New" w:hint="default"/>
      </w:rPr>
    </w:lvl>
    <w:lvl w:ilvl="8" w:tplc="726C11C6">
      <w:start w:val="1"/>
      <w:numFmt w:val="bullet"/>
      <w:lvlText w:val=""/>
      <w:lvlJc w:val="left"/>
      <w:pPr>
        <w:ind w:left="6480" w:hanging="360"/>
      </w:pPr>
      <w:rPr>
        <w:rFonts w:ascii="Wingdings" w:hAnsi="Wingdings" w:hint="default"/>
      </w:rPr>
    </w:lvl>
  </w:abstractNum>
  <w:abstractNum w:abstractNumId="3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164AFB"/>
    <w:multiLevelType w:val="hybridMultilevel"/>
    <w:tmpl w:val="8B6C2238"/>
    <w:lvl w:ilvl="0" w:tplc="1C2C3C14">
      <w:start w:val="1"/>
      <w:numFmt w:val="decimal"/>
      <w:lvlText w:val="%1."/>
      <w:lvlJc w:val="left"/>
      <w:pPr>
        <w:ind w:left="1080" w:hanging="360"/>
      </w:pPr>
    </w:lvl>
    <w:lvl w:ilvl="1" w:tplc="400CA014">
      <w:start w:val="1"/>
      <w:numFmt w:val="lowerLetter"/>
      <w:lvlText w:val="%2."/>
      <w:lvlJc w:val="left"/>
      <w:pPr>
        <w:ind w:left="1800" w:hanging="360"/>
      </w:pPr>
    </w:lvl>
    <w:lvl w:ilvl="2" w:tplc="9FE250C4">
      <w:start w:val="1"/>
      <w:numFmt w:val="lowerRoman"/>
      <w:lvlText w:val="%3."/>
      <w:lvlJc w:val="right"/>
      <w:pPr>
        <w:ind w:left="2520" w:hanging="180"/>
      </w:pPr>
    </w:lvl>
    <w:lvl w:ilvl="3" w:tplc="0220BE9C">
      <w:start w:val="1"/>
      <w:numFmt w:val="decimal"/>
      <w:lvlText w:val="%4."/>
      <w:lvlJc w:val="left"/>
      <w:pPr>
        <w:ind w:left="3240" w:hanging="360"/>
      </w:pPr>
    </w:lvl>
    <w:lvl w:ilvl="4" w:tplc="194015C8">
      <w:start w:val="1"/>
      <w:numFmt w:val="lowerLetter"/>
      <w:lvlText w:val="%5."/>
      <w:lvlJc w:val="left"/>
      <w:pPr>
        <w:ind w:left="3960" w:hanging="360"/>
      </w:pPr>
    </w:lvl>
    <w:lvl w:ilvl="5" w:tplc="FD30D5EA">
      <w:start w:val="1"/>
      <w:numFmt w:val="lowerRoman"/>
      <w:lvlText w:val="%6."/>
      <w:lvlJc w:val="right"/>
      <w:pPr>
        <w:ind w:left="4680" w:hanging="180"/>
      </w:pPr>
    </w:lvl>
    <w:lvl w:ilvl="6" w:tplc="17522B08">
      <w:start w:val="1"/>
      <w:numFmt w:val="decimal"/>
      <w:lvlText w:val="%7."/>
      <w:lvlJc w:val="left"/>
      <w:pPr>
        <w:ind w:left="5400" w:hanging="360"/>
      </w:pPr>
    </w:lvl>
    <w:lvl w:ilvl="7" w:tplc="1C7E61F4">
      <w:start w:val="1"/>
      <w:numFmt w:val="lowerLetter"/>
      <w:lvlText w:val="%8."/>
      <w:lvlJc w:val="left"/>
      <w:pPr>
        <w:ind w:left="6120" w:hanging="360"/>
      </w:pPr>
    </w:lvl>
    <w:lvl w:ilvl="8" w:tplc="2A36D5F2">
      <w:start w:val="1"/>
      <w:numFmt w:val="lowerRoman"/>
      <w:lvlText w:val="%9."/>
      <w:lvlJc w:val="right"/>
      <w:pPr>
        <w:ind w:left="6840" w:hanging="180"/>
      </w:pPr>
    </w:lvl>
  </w:abstractNum>
  <w:abstractNum w:abstractNumId="36" w15:restartNumberingAfterBreak="0">
    <w:nsid w:val="24AF1572"/>
    <w:multiLevelType w:val="singleLevel"/>
    <w:tmpl w:val="3FE82790"/>
    <w:styleLink w:val="Puntielenco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6E7148B"/>
    <w:multiLevelType w:val="hybridMultilevel"/>
    <w:tmpl w:val="AE1ABF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281E48E5"/>
    <w:multiLevelType w:val="hybridMultilevel"/>
    <w:tmpl w:val="670CB30C"/>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282C67BF"/>
    <w:multiLevelType w:val="hybridMultilevel"/>
    <w:tmpl w:val="8DC0602E"/>
    <w:lvl w:ilvl="0" w:tplc="FFFFFFFF">
      <w:start w:val="1"/>
      <w:numFmt w:val="lowerLetter"/>
      <w:lvlText w:val="%1."/>
      <w:lvlJc w:val="left"/>
      <w:pPr>
        <w:ind w:left="720" w:hanging="360"/>
      </w:p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839411F"/>
    <w:multiLevelType w:val="hybridMultilevel"/>
    <w:tmpl w:val="0F08FE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28BD17F5"/>
    <w:multiLevelType w:val="hybridMultilevel"/>
    <w:tmpl w:val="6E3089F2"/>
    <w:lvl w:ilvl="0" w:tplc="6E24EB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A0B2753"/>
    <w:multiLevelType w:val="hybridMultilevel"/>
    <w:tmpl w:val="4ED0FDE0"/>
    <w:lvl w:ilvl="0" w:tplc="FF1EC724">
      <w:start w:val="2"/>
      <w:numFmt w:val="decimal"/>
      <w:lvlText w:val="%1."/>
      <w:lvlJc w:val="left"/>
      <w:pPr>
        <w:ind w:left="720" w:hanging="360"/>
      </w:pPr>
    </w:lvl>
    <w:lvl w:ilvl="1" w:tplc="58CCFBB0">
      <w:start w:val="1"/>
      <w:numFmt w:val="lowerLetter"/>
      <w:lvlText w:val="%2."/>
      <w:lvlJc w:val="left"/>
      <w:pPr>
        <w:ind w:left="1440" w:hanging="360"/>
      </w:pPr>
    </w:lvl>
    <w:lvl w:ilvl="2" w:tplc="3416B1D6">
      <w:start w:val="1"/>
      <w:numFmt w:val="lowerRoman"/>
      <w:lvlText w:val="%3."/>
      <w:lvlJc w:val="right"/>
      <w:pPr>
        <w:ind w:left="2160" w:hanging="180"/>
      </w:pPr>
    </w:lvl>
    <w:lvl w:ilvl="3" w:tplc="107E25C2">
      <w:start w:val="1"/>
      <w:numFmt w:val="decimal"/>
      <w:lvlText w:val="%4."/>
      <w:lvlJc w:val="left"/>
      <w:pPr>
        <w:ind w:left="2880" w:hanging="360"/>
      </w:pPr>
    </w:lvl>
    <w:lvl w:ilvl="4" w:tplc="07AA6102">
      <w:start w:val="1"/>
      <w:numFmt w:val="lowerLetter"/>
      <w:lvlText w:val="%5."/>
      <w:lvlJc w:val="left"/>
      <w:pPr>
        <w:ind w:left="3600" w:hanging="360"/>
      </w:pPr>
    </w:lvl>
    <w:lvl w:ilvl="5" w:tplc="240E7BF8">
      <w:start w:val="1"/>
      <w:numFmt w:val="lowerRoman"/>
      <w:lvlText w:val="%6."/>
      <w:lvlJc w:val="right"/>
      <w:pPr>
        <w:ind w:left="4320" w:hanging="180"/>
      </w:pPr>
    </w:lvl>
    <w:lvl w:ilvl="6" w:tplc="53322624">
      <w:start w:val="1"/>
      <w:numFmt w:val="decimal"/>
      <w:lvlText w:val="%7."/>
      <w:lvlJc w:val="left"/>
      <w:pPr>
        <w:ind w:left="5040" w:hanging="360"/>
      </w:pPr>
    </w:lvl>
    <w:lvl w:ilvl="7" w:tplc="7B9C8002">
      <w:start w:val="1"/>
      <w:numFmt w:val="lowerLetter"/>
      <w:lvlText w:val="%8."/>
      <w:lvlJc w:val="left"/>
      <w:pPr>
        <w:ind w:left="5760" w:hanging="360"/>
      </w:pPr>
    </w:lvl>
    <w:lvl w:ilvl="8" w:tplc="40929C8C">
      <w:start w:val="1"/>
      <w:numFmt w:val="lowerRoman"/>
      <w:lvlText w:val="%9."/>
      <w:lvlJc w:val="right"/>
      <w:pPr>
        <w:ind w:left="6480" w:hanging="180"/>
      </w:pPr>
    </w:lvl>
  </w:abstractNum>
  <w:abstractNum w:abstractNumId="43" w15:restartNumberingAfterBreak="0">
    <w:nsid w:val="2A4C5E6E"/>
    <w:multiLevelType w:val="hybridMultilevel"/>
    <w:tmpl w:val="B7D874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A8C6896"/>
    <w:multiLevelType w:val="hybridMultilevel"/>
    <w:tmpl w:val="2C564158"/>
    <w:lvl w:ilvl="0" w:tplc="18090015">
      <w:start w:val="17"/>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2A92660E"/>
    <w:multiLevelType w:val="hybridMultilevel"/>
    <w:tmpl w:val="E50C9DBA"/>
    <w:lvl w:ilvl="0" w:tplc="2EE8D4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436764"/>
    <w:multiLevelType w:val="hybridMultilevel"/>
    <w:tmpl w:val="8DE88880"/>
    <w:lvl w:ilvl="0" w:tplc="B476C69E">
      <w:start w:val="1"/>
      <w:numFmt w:val="bullet"/>
      <w:lvlText w:val="-"/>
      <w:lvlJc w:val="left"/>
      <w:pPr>
        <w:ind w:left="1429" w:hanging="360"/>
      </w:pPr>
      <w:rPr>
        <w:rFonts w:ascii="Times" w:eastAsiaTheme="minorHAnsi" w:hAnsi="Times" w:cs="Time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8" w15:restartNumberingAfterBreak="0">
    <w:nsid w:val="2D7B7DD8"/>
    <w:multiLevelType w:val="hybridMultilevel"/>
    <w:tmpl w:val="B1C8EDC6"/>
    <w:lvl w:ilvl="0" w:tplc="0809001B">
      <w:start w:val="1"/>
      <w:numFmt w:val="lowerRoman"/>
      <w:lvlText w:val="%1."/>
      <w:lvlJc w:val="right"/>
      <w:pPr>
        <w:ind w:left="1200" w:hanging="360"/>
      </w:pPr>
      <w:rPr>
        <w:rFonts w:hint="default"/>
      </w:rPr>
    </w:lvl>
    <w:lvl w:ilvl="1" w:tplc="080C0003" w:tentative="1">
      <w:start w:val="1"/>
      <w:numFmt w:val="bullet"/>
      <w:lvlText w:val="o"/>
      <w:lvlJc w:val="left"/>
      <w:pPr>
        <w:ind w:left="1920" w:hanging="360"/>
      </w:pPr>
      <w:rPr>
        <w:rFonts w:ascii="Courier New" w:hAnsi="Courier New" w:cs="Courier New" w:hint="default"/>
      </w:rPr>
    </w:lvl>
    <w:lvl w:ilvl="2" w:tplc="080C0005" w:tentative="1">
      <w:start w:val="1"/>
      <w:numFmt w:val="bullet"/>
      <w:lvlText w:val=""/>
      <w:lvlJc w:val="left"/>
      <w:pPr>
        <w:ind w:left="2640" w:hanging="360"/>
      </w:pPr>
      <w:rPr>
        <w:rFonts w:ascii="Wingdings" w:hAnsi="Wingdings" w:hint="default"/>
      </w:rPr>
    </w:lvl>
    <w:lvl w:ilvl="3" w:tplc="080C0001" w:tentative="1">
      <w:start w:val="1"/>
      <w:numFmt w:val="bullet"/>
      <w:lvlText w:val=""/>
      <w:lvlJc w:val="left"/>
      <w:pPr>
        <w:ind w:left="3360" w:hanging="360"/>
      </w:pPr>
      <w:rPr>
        <w:rFonts w:ascii="Symbol" w:hAnsi="Symbol" w:hint="default"/>
      </w:rPr>
    </w:lvl>
    <w:lvl w:ilvl="4" w:tplc="080C0003" w:tentative="1">
      <w:start w:val="1"/>
      <w:numFmt w:val="bullet"/>
      <w:lvlText w:val="o"/>
      <w:lvlJc w:val="left"/>
      <w:pPr>
        <w:ind w:left="4080" w:hanging="360"/>
      </w:pPr>
      <w:rPr>
        <w:rFonts w:ascii="Courier New" w:hAnsi="Courier New" w:cs="Courier New" w:hint="default"/>
      </w:rPr>
    </w:lvl>
    <w:lvl w:ilvl="5" w:tplc="080C0005" w:tentative="1">
      <w:start w:val="1"/>
      <w:numFmt w:val="bullet"/>
      <w:lvlText w:val=""/>
      <w:lvlJc w:val="left"/>
      <w:pPr>
        <w:ind w:left="4800" w:hanging="360"/>
      </w:pPr>
      <w:rPr>
        <w:rFonts w:ascii="Wingdings" w:hAnsi="Wingdings" w:hint="default"/>
      </w:rPr>
    </w:lvl>
    <w:lvl w:ilvl="6" w:tplc="080C0001" w:tentative="1">
      <w:start w:val="1"/>
      <w:numFmt w:val="bullet"/>
      <w:lvlText w:val=""/>
      <w:lvlJc w:val="left"/>
      <w:pPr>
        <w:ind w:left="5520" w:hanging="360"/>
      </w:pPr>
      <w:rPr>
        <w:rFonts w:ascii="Symbol" w:hAnsi="Symbol" w:hint="default"/>
      </w:rPr>
    </w:lvl>
    <w:lvl w:ilvl="7" w:tplc="080C0003" w:tentative="1">
      <w:start w:val="1"/>
      <w:numFmt w:val="bullet"/>
      <w:lvlText w:val="o"/>
      <w:lvlJc w:val="left"/>
      <w:pPr>
        <w:ind w:left="6240" w:hanging="360"/>
      </w:pPr>
      <w:rPr>
        <w:rFonts w:ascii="Courier New" w:hAnsi="Courier New" w:cs="Courier New" w:hint="default"/>
      </w:rPr>
    </w:lvl>
    <w:lvl w:ilvl="8" w:tplc="080C0005" w:tentative="1">
      <w:start w:val="1"/>
      <w:numFmt w:val="bullet"/>
      <w:lvlText w:val=""/>
      <w:lvlJc w:val="left"/>
      <w:pPr>
        <w:ind w:left="6960" w:hanging="360"/>
      </w:pPr>
      <w:rPr>
        <w:rFonts w:ascii="Wingdings" w:hAnsi="Wingdings" w:hint="default"/>
      </w:rPr>
    </w:lvl>
  </w:abstractNum>
  <w:abstractNum w:abstractNumId="49" w15:restartNumberingAfterBreak="0">
    <w:nsid w:val="2E340810"/>
    <w:multiLevelType w:val="hybridMultilevel"/>
    <w:tmpl w:val="0A2E0620"/>
    <w:lvl w:ilvl="0" w:tplc="3988A4E4">
      <w:start w:val="1"/>
      <w:numFmt w:val="decimal"/>
      <w:lvlText w:val="%1."/>
      <w:lvlJc w:val="left"/>
      <w:pPr>
        <w:ind w:left="720" w:hanging="360"/>
      </w:pPr>
    </w:lvl>
    <w:lvl w:ilvl="1" w:tplc="71A08712">
      <w:start w:val="1"/>
      <w:numFmt w:val="lowerLetter"/>
      <w:lvlText w:val="%2."/>
      <w:lvlJc w:val="left"/>
      <w:pPr>
        <w:ind w:left="1440" w:hanging="360"/>
      </w:pPr>
    </w:lvl>
    <w:lvl w:ilvl="2" w:tplc="341CA6C8">
      <w:start w:val="1"/>
      <w:numFmt w:val="lowerRoman"/>
      <w:lvlText w:val="%3."/>
      <w:lvlJc w:val="right"/>
      <w:pPr>
        <w:ind w:left="2160" w:hanging="180"/>
      </w:pPr>
    </w:lvl>
    <w:lvl w:ilvl="3" w:tplc="C2D4D574">
      <w:start w:val="1"/>
      <w:numFmt w:val="decimal"/>
      <w:lvlText w:val="%4."/>
      <w:lvlJc w:val="left"/>
      <w:pPr>
        <w:ind w:left="2880" w:hanging="360"/>
      </w:pPr>
    </w:lvl>
    <w:lvl w:ilvl="4" w:tplc="457AA47C">
      <w:start w:val="1"/>
      <w:numFmt w:val="lowerLetter"/>
      <w:lvlText w:val="%5."/>
      <w:lvlJc w:val="left"/>
      <w:pPr>
        <w:ind w:left="3600" w:hanging="360"/>
      </w:pPr>
    </w:lvl>
    <w:lvl w:ilvl="5" w:tplc="DBF00120">
      <w:start w:val="1"/>
      <w:numFmt w:val="lowerRoman"/>
      <w:lvlText w:val="%6."/>
      <w:lvlJc w:val="right"/>
      <w:pPr>
        <w:ind w:left="4320" w:hanging="180"/>
      </w:pPr>
    </w:lvl>
    <w:lvl w:ilvl="6" w:tplc="713A207A">
      <w:start w:val="1"/>
      <w:numFmt w:val="decimal"/>
      <w:lvlText w:val="%7."/>
      <w:lvlJc w:val="left"/>
      <w:pPr>
        <w:ind w:left="5040" w:hanging="360"/>
      </w:pPr>
    </w:lvl>
    <w:lvl w:ilvl="7" w:tplc="41A81C90">
      <w:start w:val="1"/>
      <w:numFmt w:val="lowerLetter"/>
      <w:lvlText w:val="%8."/>
      <w:lvlJc w:val="left"/>
      <w:pPr>
        <w:ind w:left="5760" w:hanging="360"/>
      </w:pPr>
    </w:lvl>
    <w:lvl w:ilvl="8" w:tplc="11FC6786">
      <w:start w:val="1"/>
      <w:numFmt w:val="lowerRoman"/>
      <w:lvlText w:val="%9."/>
      <w:lvlJc w:val="right"/>
      <w:pPr>
        <w:ind w:left="6480" w:hanging="180"/>
      </w:pPr>
    </w:lvl>
  </w:abstractNum>
  <w:abstractNum w:abstractNumId="50" w15:restartNumberingAfterBreak="0">
    <w:nsid w:val="2ECB60E5"/>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721DFB"/>
    <w:multiLevelType w:val="hybridMultilevel"/>
    <w:tmpl w:val="A00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36938"/>
    <w:multiLevelType w:val="hybridMultilevel"/>
    <w:tmpl w:val="FFFFFFFF"/>
    <w:lvl w:ilvl="0" w:tplc="27C8A6CA">
      <w:start w:val="1"/>
      <w:numFmt w:val="decimal"/>
      <w:lvlText w:val="%1)"/>
      <w:lvlJc w:val="left"/>
      <w:pPr>
        <w:ind w:left="720" w:hanging="360"/>
      </w:pPr>
    </w:lvl>
    <w:lvl w:ilvl="1" w:tplc="320092F0">
      <w:start w:val="1"/>
      <w:numFmt w:val="lowerLetter"/>
      <w:lvlText w:val="%2."/>
      <w:lvlJc w:val="left"/>
      <w:pPr>
        <w:ind w:left="1440" w:hanging="360"/>
      </w:pPr>
    </w:lvl>
    <w:lvl w:ilvl="2" w:tplc="A8BCDE2E">
      <w:start w:val="1"/>
      <w:numFmt w:val="lowerRoman"/>
      <w:lvlText w:val="%3."/>
      <w:lvlJc w:val="right"/>
      <w:pPr>
        <w:ind w:left="2160" w:hanging="180"/>
      </w:pPr>
    </w:lvl>
    <w:lvl w:ilvl="3" w:tplc="0A18BAC0">
      <w:start w:val="1"/>
      <w:numFmt w:val="decimal"/>
      <w:lvlText w:val="%4."/>
      <w:lvlJc w:val="left"/>
      <w:pPr>
        <w:ind w:left="2880" w:hanging="360"/>
      </w:pPr>
    </w:lvl>
    <w:lvl w:ilvl="4" w:tplc="D9B0F620">
      <w:start w:val="1"/>
      <w:numFmt w:val="lowerLetter"/>
      <w:lvlText w:val="%5."/>
      <w:lvlJc w:val="left"/>
      <w:pPr>
        <w:ind w:left="3600" w:hanging="360"/>
      </w:pPr>
    </w:lvl>
    <w:lvl w:ilvl="5" w:tplc="EF5E7E2A">
      <w:start w:val="1"/>
      <w:numFmt w:val="lowerRoman"/>
      <w:lvlText w:val="%6."/>
      <w:lvlJc w:val="right"/>
      <w:pPr>
        <w:ind w:left="4320" w:hanging="180"/>
      </w:pPr>
    </w:lvl>
    <w:lvl w:ilvl="6" w:tplc="73B45644">
      <w:start w:val="1"/>
      <w:numFmt w:val="decimal"/>
      <w:lvlText w:val="%7."/>
      <w:lvlJc w:val="left"/>
      <w:pPr>
        <w:ind w:left="5040" w:hanging="360"/>
      </w:pPr>
    </w:lvl>
    <w:lvl w:ilvl="7" w:tplc="EE5C03F4">
      <w:start w:val="1"/>
      <w:numFmt w:val="lowerLetter"/>
      <w:lvlText w:val="%8."/>
      <w:lvlJc w:val="left"/>
      <w:pPr>
        <w:ind w:left="5760" w:hanging="360"/>
      </w:pPr>
    </w:lvl>
    <w:lvl w:ilvl="8" w:tplc="EA3C9C72">
      <w:start w:val="1"/>
      <w:numFmt w:val="lowerRoman"/>
      <w:lvlText w:val="%9."/>
      <w:lvlJc w:val="right"/>
      <w:pPr>
        <w:ind w:left="6480" w:hanging="180"/>
      </w:pPr>
    </w:lvl>
  </w:abstractNum>
  <w:abstractNum w:abstractNumId="53" w15:restartNumberingAfterBreak="0">
    <w:nsid w:val="31FA11EB"/>
    <w:multiLevelType w:val="singleLevel"/>
    <w:tmpl w:val="3E140CA2"/>
    <w:styleLink w:val="Stileimportato9"/>
    <w:lvl w:ilvl="0">
      <w:start w:val="1"/>
      <w:numFmt w:val="decimal"/>
      <w:lvlText w:val="%1."/>
      <w:lvlJc w:val="left"/>
      <w:pPr>
        <w:tabs>
          <w:tab w:val="num" w:pos="1209"/>
        </w:tabs>
        <w:ind w:left="1209" w:hanging="360"/>
      </w:pPr>
    </w:lvl>
  </w:abstractNum>
  <w:abstractNum w:abstractNumId="54" w15:restartNumberingAfterBreak="0">
    <w:nsid w:val="33022218"/>
    <w:multiLevelType w:val="hybridMultilevel"/>
    <w:tmpl w:val="99364126"/>
    <w:lvl w:ilvl="0" w:tplc="CBEE287A">
      <w:start w:val="3"/>
      <w:numFmt w:val="decimal"/>
      <w:lvlText w:val="%1."/>
      <w:lvlJc w:val="left"/>
      <w:pPr>
        <w:ind w:left="720" w:hanging="360"/>
      </w:pPr>
    </w:lvl>
    <w:lvl w:ilvl="1" w:tplc="2D8220A0">
      <w:start w:val="1"/>
      <w:numFmt w:val="lowerLetter"/>
      <w:lvlText w:val="%2."/>
      <w:lvlJc w:val="left"/>
      <w:pPr>
        <w:ind w:left="1440" w:hanging="360"/>
      </w:pPr>
    </w:lvl>
    <w:lvl w:ilvl="2" w:tplc="06706872">
      <w:start w:val="1"/>
      <w:numFmt w:val="lowerRoman"/>
      <w:lvlText w:val="%3."/>
      <w:lvlJc w:val="right"/>
      <w:pPr>
        <w:ind w:left="2160" w:hanging="180"/>
      </w:pPr>
    </w:lvl>
    <w:lvl w:ilvl="3" w:tplc="6714F92E">
      <w:start w:val="1"/>
      <w:numFmt w:val="decimal"/>
      <w:lvlText w:val="%4."/>
      <w:lvlJc w:val="left"/>
      <w:pPr>
        <w:ind w:left="2880" w:hanging="360"/>
      </w:pPr>
    </w:lvl>
    <w:lvl w:ilvl="4" w:tplc="12E8D4DA">
      <w:start w:val="1"/>
      <w:numFmt w:val="lowerLetter"/>
      <w:lvlText w:val="%5."/>
      <w:lvlJc w:val="left"/>
      <w:pPr>
        <w:ind w:left="3600" w:hanging="360"/>
      </w:pPr>
    </w:lvl>
    <w:lvl w:ilvl="5" w:tplc="69C4FDE4">
      <w:start w:val="1"/>
      <w:numFmt w:val="lowerRoman"/>
      <w:lvlText w:val="%6."/>
      <w:lvlJc w:val="right"/>
      <w:pPr>
        <w:ind w:left="4320" w:hanging="180"/>
      </w:pPr>
    </w:lvl>
    <w:lvl w:ilvl="6" w:tplc="CF78ECBA">
      <w:start w:val="1"/>
      <w:numFmt w:val="decimal"/>
      <w:lvlText w:val="%7."/>
      <w:lvlJc w:val="left"/>
      <w:pPr>
        <w:ind w:left="5040" w:hanging="360"/>
      </w:pPr>
    </w:lvl>
    <w:lvl w:ilvl="7" w:tplc="43F691B2">
      <w:start w:val="1"/>
      <w:numFmt w:val="lowerLetter"/>
      <w:lvlText w:val="%8."/>
      <w:lvlJc w:val="left"/>
      <w:pPr>
        <w:ind w:left="5760" w:hanging="360"/>
      </w:pPr>
    </w:lvl>
    <w:lvl w:ilvl="8" w:tplc="F13AD010">
      <w:start w:val="1"/>
      <w:numFmt w:val="lowerRoman"/>
      <w:lvlText w:val="%9."/>
      <w:lvlJc w:val="right"/>
      <w:pPr>
        <w:ind w:left="6480" w:hanging="180"/>
      </w:pPr>
    </w:lvl>
  </w:abstractNum>
  <w:abstractNum w:abstractNumId="55" w15:restartNumberingAfterBreak="0">
    <w:nsid w:val="339807E9"/>
    <w:multiLevelType w:val="hybridMultilevel"/>
    <w:tmpl w:val="269EC50C"/>
    <w:lvl w:ilvl="0" w:tplc="04100017">
      <w:start w:val="1"/>
      <w:numFmt w:val="lowerLetter"/>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34B4179E"/>
    <w:multiLevelType w:val="hybridMultilevel"/>
    <w:tmpl w:val="B08A5420"/>
    <w:lvl w:ilvl="0" w:tplc="67C66DFC">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72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35E41947"/>
    <w:multiLevelType w:val="hybridMultilevel"/>
    <w:tmpl w:val="A470DA80"/>
    <w:lvl w:ilvl="0" w:tplc="ADE0F75A">
      <w:start w:val="1"/>
      <w:numFmt w:val="lowerRoman"/>
      <w:lvlText w:val="%1)"/>
      <w:lvlJc w:val="left"/>
      <w:pPr>
        <w:ind w:left="720" w:hanging="72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35FC3D1B"/>
    <w:multiLevelType w:val="hybridMultilevel"/>
    <w:tmpl w:val="D05E2708"/>
    <w:lvl w:ilvl="0" w:tplc="28B87E4A">
      <w:start w:val="1"/>
      <w:numFmt w:val="bullet"/>
      <w:lvlText w:val="-"/>
      <w:lvlJc w:val="left"/>
      <w:pPr>
        <w:ind w:left="919" w:hanging="360"/>
      </w:pPr>
      <w:rPr>
        <w:rFonts w:ascii="Times New Roman" w:eastAsia="Times New Roman" w:hAnsi="Times New Roman" w:cs="Times New Roman" w:hint="default"/>
      </w:rPr>
    </w:lvl>
    <w:lvl w:ilvl="1" w:tplc="04100019" w:tentative="1">
      <w:start w:val="1"/>
      <w:numFmt w:val="lowerLetter"/>
      <w:lvlText w:val="%2."/>
      <w:lvlJc w:val="left"/>
      <w:pPr>
        <w:ind w:left="1639" w:hanging="360"/>
      </w:pPr>
    </w:lvl>
    <w:lvl w:ilvl="2" w:tplc="0410001B" w:tentative="1">
      <w:start w:val="1"/>
      <w:numFmt w:val="lowerRoman"/>
      <w:lvlText w:val="%3."/>
      <w:lvlJc w:val="right"/>
      <w:pPr>
        <w:ind w:left="2359" w:hanging="180"/>
      </w:pPr>
    </w:lvl>
    <w:lvl w:ilvl="3" w:tplc="0410000F" w:tentative="1">
      <w:start w:val="1"/>
      <w:numFmt w:val="decimal"/>
      <w:lvlText w:val="%4."/>
      <w:lvlJc w:val="left"/>
      <w:pPr>
        <w:ind w:left="3079" w:hanging="360"/>
      </w:pPr>
    </w:lvl>
    <w:lvl w:ilvl="4" w:tplc="04100019" w:tentative="1">
      <w:start w:val="1"/>
      <w:numFmt w:val="lowerLetter"/>
      <w:lvlText w:val="%5."/>
      <w:lvlJc w:val="left"/>
      <w:pPr>
        <w:ind w:left="3799" w:hanging="360"/>
      </w:pPr>
    </w:lvl>
    <w:lvl w:ilvl="5" w:tplc="0410001B" w:tentative="1">
      <w:start w:val="1"/>
      <w:numFmt w:val="lowerRoman"/>
      <w:lvlText w:val="%6."/>
      <w:lvlJc w:val="right"/>
      <w:pPr>
        <w:ind w:left="4519" w:hanging="180"/>
      </w:pPr>
    </w:lvl>
    <w:lvl w:ilvl="6" w:tplc="0410000F" w:tentative="1">
      <w:start w:val="1"/>
      <w:numFmt w:val="decimal"/>
      <w:lvlText w:val="%7."/>
      <w:lvlJc w:val="left"/>
      <w:pPr>
        <w:ind w:left="5239" w:hanging="360"/>
      </w:pPr>
    </w:lvl>
    <w:lvl w:ilvl="7" w:tplc="04100019" w:tentative="1">
      <w:start w:val="1"/>
      <w:numFmt w:val="lowerLetter"/>
      <w:lvlText w:val="%8."/>
      <w:lvlJc w:val="left"/>
      <w:pPr>
        <w:ind w:left="5959" w:hanging="360"/>
      </w:pPr>
    </w:lvl>
    <w:lvl w:ilvl="8" w:tplc="0410001B" w:tentative="1">
      <w:start w:val="1"/>
      <w:numFmt w:val="lowerRoman"/>
      <w:lvlText w:val="%9."/>
      <w:lvlJc w:val="right"/>
      <w:pPr>
        <w:ind w:left="6679" w:hanging="180"/>
      </w:pPr>
    </w:lvl>
  </w:abstractNum>
  <w:abstractNum w:abstractNumId="59" w15:restartNumberingAfterBreak="0">
    <w:nsid w:val="36B7EA3A"/>
    <w:multiLevelType w:val="hybridMultilevel"/>
    <w:tmpl w:val="DA126374"/>
    <w:lvl w:ilvl="0" w:tplc="C69E552A">
      <w:start w:val="1"/>
      <w:numFmt w:val="bullet"/>
      <w:lvlText w:val="-"/>
      <w:lvlJc w:val="left"/>
      <w:pPr>
        <w:ind w:left="720" w:hanging="360"/>
      </w:pPr>
      <w:rPr>
        <w:rFonts w:ascii="Calibri" w:hAnsi="Calibri" w:hint="default"/>
      </w:rPr>
    </w:lvl>
    <w:lvl w:ilvl="1" w:tplc="C5CA705E">
      <w:start w:val="1"/>
      <w:numFmt w:val="bullet"/>
      <w:lvlText w:val="o"/>
      <w:lvlJc w:val="left"/>
      <w:pPr>
        <w:ind w:left="1440" w:hanging="360"/>
      </w:pPr>
      <w:rPr>
        <w:rFonts w:ascii="Courier New" w:hAnsi="Courier New" w:hint="default"/>
      </w:rPr>
    </w:lvl>
    <w:lvl w:ilvl="2" w:tplc="3F4253CA">
      <w:start w:val="1"/>
      <w:numFmt w:val="bullet"/>
      <w:lvlText w:val=""/>
      <w:lvlJc w:val="left"/>
      <w:pPr>
        <w:ind w:left="2160" w:hanging="360"/>
      </w:pPr>
      <w:rPr>
        <w:rFonts w:ascii="Wingdings" w:hAnsi="Wingdings" w:hint="default"/>
      </w:rPr>
    </w:lvl>
    <w:lvl w:ilvl="3" w:tplc="DFE26692">
      <w:start w:val="1"/>
      <w:numFmt w:val="bullet"/>
      <w:lvlText w:val=""/>
      <w:lvlJc w:val="left"/>
      <w:pPr>
        <w:ind w:left="2880" w:hanging="360"/>
      </w:pPr>
      <w:rPr>
        <w:rFonts w:ascii="Symbol" w:hAnsi="Symbol" w:hint="default"/>
      </w:rPr>
    </w:lvl>
    <w:lvl w:ilvl="4" w:tplc="70560F24">
      <w:start w:val="1"/>
      <w:numFmt w:val="bullet"/>
      <w:lvlText w:val="o"/>
      <w:lvlJc w:val="left"/>
      <w:pPr>
        <w:ind w:left="3600" w:hanging="360"/>
      </w:pPr>
      <w:rPr>
        <w:rFonts w:ascii="Courier New" w:hAnsi="Courier New" w:hint="default"/>
      </w:rPr>
    </w:lvl>
    <w:lvl w:ilvl="5" w:tplc="4E720168">
      <w:start w:val="1"/>
      <w:numFmt w:val="bullet"/>
      <w:lvlText w:val=""/>
      <w:lvlJc w:val="left"/>
      <w:pPr>
        <w:ind w:left="4320" w:hanging="360"/>
      </w:pPr>
      <w:rPr>
        <w:rFonts w:ascii="Wingdings" w:hAnsi="Wingdings" w:hint="default"/>
      </w:rPr>
    </w:lvl>
    <w:lvl w:ilvl="6" w:tplc="5C2677D0">
      <w:start w:val="1"/>
      <w:numFmt w:val="bullet"/>
      <w:lvlText w:val=""/>
      <w:lvlJc w:val="left"/>
      <w:pPr>
        <w:ind w:left="5040" w:hanging="360"/>
      </w:pPr>
      <w:rPr>
        <w:rFonts w:ascii="Symbol" w:hAnsi="Symbol" w:hint="default"/>
      </w:rPr>
    </w:lvl>
    <w:lvl w:ilvl="7" w:tplc="DBDC180E">
      <w:start w:val="1"/>
      <w:numFmt w:val="bullet"/>
      <w:lvlText w:val="o"/>
      <w:lvlJc w:val="left"/>
      <w:pPr>
        <w:ind w:left="5760" w:hanging="360"/>
      </w:pPr>
      <w:rPr>
        <w:rFonts w:ascii="Courier New" w:hAnsi="Courier New" w:hint="default"/>
      </w:rPr>
    </w:lvl>
    <w:lvl w:ilvl="8" w:tplc="57DCE5D6">
      <w:start w:val="1"/>
      <w:numFmt w:val="bullet"/>
      <w:lvlText w:val=""/>
      <w:lvlJc w:val="left"/>
      <w:pPr>
        <w:ind w:left="6480" w:hanging="360"/>
      </w:pPr>
      <w:rPr>
        <w:rFonts w:ascii="Wingdings" w:hAnsi="Wingdings" w:hint="default"/>
      </w:rPr>
    </w:lvl>
  </w:abstractNum>
  <w:abstractNum w:abstractNumId="60" w15:restartNumberingAfterBreak="0">
    <w:nsid w:val="372537F3"/>
    <w:multiLevelType w:val="hybridMultilevel"/>
    <w:tmpl w:val="3E14E07E"/>
    <w:lvl w:ilvl="0" w:tplc="8EBEB170">
      <w:start w:val="1"/>
      <w:numFmt w:val="decimal"/>
      <w:lvlText w:val="%1."/>
      <w:lvlJc w:val="left"/>
      <w:pPr>
        <w:ind w:left="720" w:hanging="360"/>
      </w:pPr>
    </w:lvl>
    <w:lvl w:ilvl="1" w:tplc="18090019" w:tentative="1">
      <w:start w:val="1"/>
      <w:numFmt w:val="lowerLetter"/>
      <w:lvlText w:val="%2."/>
      <w:lvlJc w:val="left"/>
      <w:pPr>
        <w:ind w:left="-720" w:hanging="360"/>
      </w:pPr>
    </w:lvl>
    <w:lvl w:ilvl="2" w:tplc="1809001B" w:tentative="1">
      <w:start w:val="1"/>
      <w:numFmt w:val="lowerRoman"/>
      <w:lvlText w:val="%3."/>
      <w:lvlJc w:val="right"/>
      <w:pPr>
        <w:ind w:left="0" w:hanging="180"/>
      </w:pPr>
    </w:lvl>
    <w:lvl w:ilvl="3" w:tplc="1809000F" w:tentative="1">
      <w:start w:val="1"/>
      <w:numFmt w:val="decimal"/>
      <w:lvlText w:val="%4."/>
      <w:lvlJc w:val="left"/>
      <w:pPr>
        <w:ind w:left="720" w:hanging="360"/>
      </w:pPr>
    </w:lvl>
    <w:lvl w:ilvl="4" w:tplc="18090019" w:tentative="1">
      <w:start w:val="1"/>
      <w:numFmt w:val="lowerLetter"/>
      <w:lvlText w:val="%5."/>
      <w:lvlJc w:val="left"/>
      <w:pPr>
        <w:ind w:left="1440" w:hanging="360"/>
      </w:pPr>
    </w:lvl>
    <w:lvl w:ilvl="5" w:tplc="1809001B" w:tentative="1">
      <w:start w:val="1"/>
      <w:numFmt w:val="lowerRoman"/>
      <w:lvlText w:val="%6."/>
      <w:lvlJc w:val="right"/>
      <w:pPr>
        <w:ind w:left="2160" w:hanging="180"/>
      </w:pPr>
    </w:lvl>
    <w:lvl w:ilvl="6" w:tplc="1809000F" w:tentative="1">
      <w:start w:val="1"/>
      <w:numFmt w:val="decimal"/>
      <w:lvlText w:val="%7."/>
      <w:lvlJc w:val="left"/>
      <w:pPr>
        <w:ind w:left="2880" w:hanging="360"/>
      </w:pPr>
    </w:lvl>
    <w:lvl w:ilvl="7" w:tplc="18090019" w:tentative="1">
      <w:start w:val="1"/>
      <w:numFmt w:val="lowerLetter"/>
      <w:lvlText w:val="%8."/>
      <w:lvlJc w:val="left"/>
      <w:pPr>
        <w:ind w:left="3600" w:hanging="360"/>
      </w:pPr>
    </w:lvl>
    <w:lvl w:ilvl="8" w:tplc="1809001B" w:tentative="1">
      <w:start w:val="1"/>
      <w:numFmt w:val="lowerRoman"/>
      <w:lvlText w:val="%9."/>
      <w:lvlJc w:val="right"/>
      <w:pPr>
        <w:ind w:left="4320" w:hanging="180"/>
      </w:pPr>
    </w:lvl>
  </w:abstractNum>
  <w:abstractNum w:abstractNumId="61" w15:restartNumberingAfterBreak="0">
    <w:nsid w:val="3758C3CB"/>
    <w:multiLevelType w:val="hybridMultilevel"/>
    <w:tmpl w:val="4DFC13A4"/>
    <w:lvl w:ilvl="0" w:tplc="BA84E760">
      <w:start w:val="1"/>
      <w:numFmt w:val="bullet"/>
      <w:lvlText w:val=""/>
      <w:lvlJc w:val="left"/>
      <w:pPr>
        <w:ind w:left="720" w:hanging="360"/>
      </w:pPr>
      <w:rPr>
        <w:rFonts w:ascii="Symbol" w:hAnsi="Symbol" w:hint="default"/>
      </w:rPr>
    </w:lvl>
    <w:lvl w:ilvl="1" w:tplc="ED1A8E8E">
      <w:start w:val="1"/>
      <w:numFmt w:val="bullet"/>
      <w:lvlText w:val="o"/>
      <w:lvlJc w:val="left"/>
      <w:pPr>
        <w:ind w:left="1440" w:hanging="360"/>
      </w:pPr>
      <w:rPr>
        <w:rFonts w:ascii="Courier New" w:hAnsi="Courier New" w:hint="default"/>
      </w:rPr>
    </w:lvl>
    <w:lvl w:ilvl="2" w:tplc="67B85CAA">
      <w:start w:val="1"/>
      <w:numFmt w:val="bullet"/>
      <w:lvlText w:val=""/>
      <w:lvlJc w:val="left"/>
      <w:pPr>
        <w:ind w:left="2160" w:hanging="360"/>
      </w:pPr>
      <w:rPr>
        <w:rFonts w:ascii="Wingdings" w:hAnsi="Wingdings" w:hint="default"/>
      </w:rPr>
    </w:lvl>
    <w:lvl w:ilvl="3" w:tplc="39DE89E6">
      <w:start w:val="1"/>
      <w:numFmt w:val="bullet"/>
      <w:lvlText w:val=""/>
      <w:lvlJc w:val="left"/>
      <w:pPr>
        <w:ind w:left="2880" w:hanging="360"/>
      </w:pPr>
      <w:rPr>
        <w:rFonts w:ascii="Symbol" w:hAnsi="Symbol" w:hint="default"/>
      </w:rPr>
    </w:lvl>
    <w:lvl w:ilvl="4" w:tplc="D560473C">
      <w:start w:val="1"/>
      <w:numFmt w:val="bullet"/>
      <w:lvlText w:val="o"/>
      <w:lvlJc w:val="left"/>
      <w:pPr>
        <w:ind w:left="3600" w:hanging="360"/>
      </w:pPr>
      <w:rPr>
        <w:rFonts w:ascii="Courier New" w:hAnsi="Courier New" w:hint="default"/>
      </w:rPr>
    </w:lvl>
    <w:lvl w:ilvl="5" w:tplc="5ACE0484">
      <w:start w:val="1"/>
      <w:numFmt w:val="bullet"/>
      <w:lvlText w:val=""/>
      <w:lvlJc w:val="left"/>
      <w:pPr>
        <w:ind w:left="4320" w:hanging="360"/>
      </w:pPr>
      <w:rPr>
        <w:rFonts w:ascii="Wingdings" w:hAnsi="Wingdings" w:hint="default"/>
      </w:rPr>
    </w:lvl>
    <w:lvl w:ilvl="6" w:tplc="8E560066">
      <w:start w:val="1"/>
      <w:numFmt w:val="bullet"/>
      <w:lvlText w:val=""/>
      <w:lvlJc w:val="left"/>
      <w:pPr>
        <w:ind w:left="5040" w:hanging="360"/>
      </w:pPr>
      <w:rPr>
        <w:rFonts w:ascii="Symbol" w:hAnsi="Symbol" w:hint="default"/>
      </w:rPr>
    </w:lvl>
    <w:lvl w:ilvl="7" w:tplc="8D743554">
      <w:start w:val="1"/>
      <w:numFmt w:val="bullet"/>
      <w:lvlText w:val="o"/>
      <w:lvlJc w:val="left"/>
      <w:pPr>
        <w:ind w:left="5760" w:hanging="360"/>
      </w:pPr>
      <w:rPr>
        <w:rFonts w:ascii="Courier New" w:hAnsi="Courier New" w:hint="default"/>
      </w:rPr>
    </w:lvl>
    <w:lvl w:ilvl="8" w:tplc="40A0AD42">
      <w:start w:val="1"/>
      <w:numFmt w:val="bullet"/>
      <w:lvlText w:val=""/>
      <w:lvlJc w:val="left"/>
      <w:pPr>
        <w:ind w:left="6480" w:hanging="360"/>
      </w:pPr>
      <w:rPr>
        <w:rFonts w:ascii="Wingdings" w:hAnsi="Wingdings" w:hint="default"/>
      </w:rPr>
    </w:lvl>
  </w:abstractNum>
  <w:abstractNum w:abstractNumId="62" w15:restartNumberingAfterBreak="0">
    <w:nsid w:val="377D80B8"/>
    <w:multiLevelType w:val="hybridMultilevel"/>
    <w:tmpl w:val="817C1776"/>
    <w:lvl w:ilvl="0" w:tplc="5C7C5328">
      <w:start w:val="1"/>
      <w:numFmt w:val="decimal"/>
      <w:lvlText w:val="%1."/>
      <w:lvlJc w:val="left"/>
      <w:pPr>
        <w:ind w:left="720" w:hanging="360"/>
      </w:pPr>
    </w:lvl>
    <w:lvl w:ilvl="1" w:tplc="89A628D8">
      <w:start w:val="1"/>
      <w:numFmt w:val="lowerLetter"/>
      <w:lvlText w:val="%2."/>
      <w:lvlJc w:val="left"/>
      <w:pPr>
        <w:ind w:left="1440" w:hanging="360"/>
      </w:pPr>
    </w:lvl>
    <w:lvl w:ilvl="2" w:tplc="69EE39E2">
      <w:start w:val="1"/>
      <w:numFmt w:val="lowerRoman"/>
      <w:lvlText w:val="%3."/>
      <w:lvlJc w:val="right"/>
      <w:pPr>
        <w:ind w:left="2160" w:hanging="180"/>
      </w:pPr>
    </w:lvl>
    <w:lvl w:ilvl="3" w:tplc="F98CFEEA">
      <w:start w:val="1"/>
      <w:numFmt w:val="decimal"/>
      <w:lvlText w:val="%4."/>
      <w:lvlJc w:val="left"/>
      <w:pPr>
        <w:ind w:left="2880" w:hanging="360"/>
      </w:pPr>
    </w:lvl>
    <w:lvl w:ilvl="4" w:tplc="1F14A060">
      <w:start w:val="1"/>
      <w:numFmt w:val="lowerLetter"/>
      <w:lvlText w:val="%5."/>
      <w:lvlJc w:val="left"/>
      <w:pPr>
        <w:ind w:left="3600" w:hanging="360"/>
      </w:pPr>
    </w:lvl>
    <w:lvl w:ilvl="5" w:tplc="EFF2C43E">
      <w:start w:val="1"/>
      <w:numFmt w:val="lowerRoman"/>
      <w:lvlText w:val="%6."/>
      <w:lvlJc w:val="right"/>
      <w:pPr>
        <w:ind w:left="4320" w:hanging="180"/>
      </w:pPr>
    </w:lvl>
    <w:lvl w:ilvl="6" w:tplc="24121E84">
      <w:start w:val="1"/>
      <w:numFmt w:val="decimal"/>
      <w:lvlText w:val="%7."/>
      <w:lvlJc w:val="left"/>
      <w:pPr>
        <w:ind w:left="5040" w:hanging="360"/>
      </w:pPr>
    </w:lvl>
    <w:lvl w:ilvl="7" w:tplc="1FB6D0DE">
      <w:start w:val="1"/>
      <w:numFmt w:val="lowerLetter"/>
      <w:lvlText w:val="%8."/>
      <w:lvlJc w:val="left"/>
      <w:pPr>
        <w:ind w:left="5760" w:hanging="360"/>
      </w:pPr>
    </w:lvl>
    <w:lvl w:ilvl="8" w:tplc="7F042080">
      <w:start w:val="1"/>
      <w:numFmt w:val="lowerRoman"/>
      <w:lvlText w:val="%9."/>
      <w:lvlJc w:val="right"/>
      <w:pPr>
        <w:ind w:left="6480" w:hanging="180"/>
      </w:pPr>
    </w:lvl>
  </w:abstractNum>
  <w:abstractNum w:abstractNumId="63" w15:restartNumberingAfterBreak="0">
    <w:nsid w:val="38456AB7"/>
    <w:multiLevelType w:val="hybridMultilevel"/>
    <w:tmpl w:val="3E14E07E"/>
    <w:lvl w:ilvl="0" w:tplc="FFFFFFFF">
      <w:start w:val="1"/>
      <w:numFmt w:val="decimal"/>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0" w:hanging="180"/>
      </w:pPr>
    </w:lvl>
    <w:lvl w:ilvl="3" w:tplc="FFFFFFFF" w:tentative="1">
      <w:start w:val="1"/>
      <w:numFmt w:val="decimal"/>
      <w:lvlText w:val="%4."/>
      <w:lvlJc w:val="left"/>
      <w:pPr>
        <w:ind w:left="720" w:hanging="360"/>
      </w:pPr>
    </w:lvl>
    <w:lvl w:ilvl="4" w:tplc="FFFFFFFF" w:tentative="1">
      <w:start w:val="1"/>
      <w:numFmt w:val="lowerLetter"/>
      <w:lvlText w:val="%5."/>
      <w:lvlJc w:val="left"/>
      <w:pPr>
        <w:ind w:left="1440" w:hanging="360"/>
      </w:pPr>
    </w:lvl>
    <w:lvl w:ilvl="5" w:tplc="FFFFFFFF" w:tentative="1">
      <w:start w:val="1"/>
      <w:numFmt w:val="lowerRoman"/>
      <w:lvlText w:val="%6."/>
      <w:lvlJc w:val="right"/>
      <w:pPr>
        <w:ind w:left="2160" w:hanging="180"/>
      </w:pPr>
    </w:lvl>
    <w:lvl w:ilvl="6" w:tplc="FFFFFFFF" w:tentative="1">
      <w:start w:val="1"/>
      <w:numFmt w:val="decimal"/>
      <w:lvlText w:val="%7."/>
      <w:lvlJc w:val="left"/>
      <w:pPr>
        <w:ind w:left="2880" w:hanging="360"/>
      </w:pPr>
    </w:lvl>
    <w:lvl w:ilvl="7" w:tplc="FFFFFFFF" w:tentative="1">
      <w:start w:val="1"/>
      <w:numFmt w:val="lowerLetter"/>
      <w:lvlText w:val="%8."/>
      <w:lvlJc w:val="left"/>
      <w:pPr>
        <w:ind w:left="3600" w:hanging="360"/>
      </w:pPr>
    </w:lvl>
    <w:lvl w:ilvl="8" w:tplc="FFFFFFFF" w:tentative="1">
      <w:start w:val="1"/>
      <w:numFmt w:val="lowerRoman"/>
      <w:lvlText w:val="%9."/>
      <w:lvlJc w:val="right"/>
      <w:pPr>
        <w:ind w:left="4320" w:hanging="180"/>
      </w:pPr>
    </w:lvl>
  </w:abstractNum>
  <w:abstractNum w:abstractNumId="64" w15:restartNumberingAfterBreak="0">
    <w:nsid w:val="38694BE1"/>
    <w:multiLevelType w:val="hybridMultilevel"/>
    <w:tmpl w:val="604EEDF2"/>
    <w:lvl w:ilvl="0" w:tplc="7C1A5438">
      <w:start w:val="17"/>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3B8CD78C"/>
    <w:multiLevelType w:val="hybridMultilevel"/>
    <w:tmpl w:val="CCDA5AB8"/>
    <w:lvl w:ilvl="0" w:tplc="D80E48EE">
      <w:start w:val="1"/>
      <w:numFmt w:val="decimal"/>
      <w:lvlText w:val="%1."/>
      <w:lvlJc w:val="left"/>
      <w:pPr>
        <w:ind w:left="720" w:hanging="360"/>
      </w:pPr>
    </w:lvl>
    <w:lvl w:ilvl="1" w:tplc="57BC2BA0">
      <w:start w:val="1"/>
      <w:numFmt w:val="lowerLetter"/>
      <w:lvlText w:val="%2."/>
      <w:lvlJc w:val="left"/>
      <w:pPr>
        <w:ind w:left="1440" w:hanging="360"/>
      </w:pPr>
    </w:lvl>
    <w:lvl w:ilvl="2" w:tplc="0F64D1EE">
      <w:start w:val="1"/>
      <w:numFmt w:val="lowerRoman"/>
      <w:lvlText w:val="%3."/>
      <w:lvlJc w:val="right"/>
      <w:pPr>
        <w:ind w:left="2160" w:hanging="180"/>
      </w:pPr>
    </w:lvl>
    <w:lvl w:ilvl="3" w:tplc="2E64383C">
      <w:start w:val="1"/>
      <w:numFmt w:val="decimal"/>
      <w:lvlText w:val="%4."/>
      <w:lvlJc w:val="left"/>
      <w:pPr>
        <w:ind w:left="2880" w:hanging="360"/>
      </w:pPr>
    </w:lvl>
    <w:lvl w:ilvl="4" w:tplc="CBB0DC1A">
      <w:start w:val="1"/>
      <w:numFmt w:val="lowerLetter"/>
      <w:lvlText w:val="%5."/>
      <w:lvlJc w:val="left"/>
      <w:pPr>
        <w:ind w:left="3600" w:hanging="360"/>
      </w:pPr>
    </w:lvl>
    <w:lvl w:ilvl="5" w:tplc="80329570">
      <w:start w:val="1"/>
      <w:numFmt w:val="lowerRoman"/>
      <w:lvlText w:val="%6."/>
      <w:lvlJc w:val="right"/>
      <w:pPr>
        <w:ind w:left="4320" w:hanging="180"/>
      </w:pPr>
    </w:lvl>
    <w:lvl w:ilvl="6" w:tplc="89C4BDF6">
      <w:start w:val="1"/>
      <w:numFmt w:val="decimal"/>
      <w:lvlText w:val="%7."/>
      <w:lvlJc w:val="left"/>
      <w:pPr>
        <w:ind w:left="5040" w:hanging="360"/>
      </w:pPr>
    </w:lvl>
    <w:lvl w:ilvl="7" w:tplc="FF2CC2DC">
      <w:start w:val="1"/>
      <w:numFmt w:val="lowerLetter"/>
      <w:lvlText w:val="%8."/>
      <w:lvlJc w:val="left"/>
      <w:pPr>
        <w:ind w:left="5760" w:hanging="360"/>
      </w:pPr>
    </w:lvl>
    <w:lvl w:ilvl="8" w:tplc="22CAF0FA">
      <w:start w:val="1"/>
      <w:numFmt w:val="lowerRoman"/>
      <w:lvlText w:val="%9."/>
      <w:lvlJc w:val="right"/>
      <w:pPr>
        <w:ind w:left="6480" w:hanging="180"/>
      </w:pPr>
    </w:lvl>
  </w:abstractNum>
  <w:abstractNum w:abstractNumId="66" w15:restartNumberingAfterBreak="0">
    <w:nsid w:val="3C2236D8"/>
    <w:multiLevelType w:val="hybridMultilevel"/>
    <w:tmpl w:val="FFFFFFFF"/>
    <w:lvl w:ilvl="0" w:tplc="2074684C">
      <w:start w:val="1"/>
      <w:numFmt w:val="decimal"/>
      <w:lvlText w:val="%1."/>
      <w:lvlJc w:val="left"/>
      <w:pPr>
        <w:ind w:left="720" w:hanging="360"/>
      </w:pPr>
    </w:lvl>
    <w:lvl w:ilvl="1" w:tplc="CC820F8C">
      <w:start w:val="1"/>
      <w:numFmt w:val="lowerLetter"/>
      <w:lvlText w:val="%2."/>
      <w:lvlJc w:val="left"/>
      <w:pPr>
        <w:ind w:left="1440" w:hanging="360"/>
      </w:pPr>
    </w:lvl>
    <w:lvl w:ilvl="2" w:tplc="D53A9272">
      <w:start w:val="1"/>
      <w:numFmt w:val="lowerRoman"/>
      <w:lvlText w:val="%3."/>
      <w:lvlJc w:val="right"/>
      <w:pPr>
        <w:ind w:left="2160" w:hanging="180"/>
      </w:pPr>
    </w:lvl>
    <w:lvl w:ilvl="3" w:tplc="C40690AC">
      <w:start w:val="1"/>
      <w:numFmt w:val="decimal"/>
      <w:lvlText w:val="%4."/>
      <w:lvlJc w:val="left"/>
      <w:pPr>
        <w:ind w:left="2880" w:hanging="360"/>
      </w:pPr>
    </w:lvl>
    <w:lvl w:ilvl="4" w:tplc="B30A1550">
      <w:start w:val="1"/>
      <w:numFmt w:val="lowerLetter"/>
      <w:lvlText w:val="%5."/>
      <w:lvlJc w:val="left"/>
      <w:pPr>
        <w:ind w:left="3600" w:hanging="360"/>
      </w:pPr>
    </w:lvl>
    <w:lvl w:ilvl="5" w:tplc="242633CE">
      <w:start w:val="1"/>
      <w:numFmt w:val="lowerRoman"/>
      <w:lvlText w:val="%6."/>
      <w:lvlJc w:val="right"/>
      <w:pPr>
        <w:ind w:left="4320" w:hanging="180"/>
      </w:pPr>
    </w:lvl>
    <w:lvl w:ilvl="6" w:tplc="C18CAF68">
      <w:start w:val="1"/>
      <w:numFmt w:val="decimal"/>
      <w:lvlText w:val="%7."/>
      <w:lvlJc w:val="left"/>
      <w:pPr>
        <w:ind w:left="5040" w:hanging="360"/>
      </w:pPr>
    </w:lvl>
    <w:lvl w:ilvl="7" w:tplc="B3985A0E">
      <w:start w:val="1"/>
      <w:numFmt w:val="lowerLetter"/>
      <w:lvlText w:val="%8."/>
      <w:lvlJc w:val="left"/>
      <w:pPr>
        <w:ind w:left="5760" w:hanging="360"/>
      </w:pPr>
    </w:lvl>
    <w:lvl w:ilvl="8" w:tplc="54F4A368">
      <w:start w:val="1"/>
      <w:numFmt w:val="lowerRoman"/>
      <w:lvlText w:val="%9."/>
      <w:lvlJc w:val="right"/>
      <w:pPr>
        <w:ind w:left="6480" w:hanging="180"/>
      </w:pPr>
    </w:lvl>
  </w:abstractNum>
  <w:abstractNum w:abstractNumId="67" w15:restartNumberingAfterBreak="0">
    <w:nsid w:val="3DF2400B"/>
    <w:multiLevelType w:val="hybridMultilevel"/>
    <w:tmpl w:val="6AE078CE"/>
    <w:lvl w:ilvl="0" w:tplc="EFFAF4EA">
      <w:start w:val="1"/>
      <w:numFmt w:val="decimal"/>
      <w:lvlText w:val="%1."/>
      <w:lvlJc w:val="left"/>
      <w:pPr>
        <w:ind w:left="720" w:hanging="360"/>
      </w:pPr>
    </w:lvl>
    <w:lvl w:ilvl="1" w:tplc="51EC3BF0">
      <w:start w:val="1"/>
      <w:numFmt w:val="lowerLetter"/>
      <w:lvlText w:val="%2."/>
      <w:lvlJc w:val="left"/>
      <w:pPr>
        <w:ind w:left="1440" w:hanging="360"/>
      </w:pPr>
    </w:lvl>
    <w:lvl w:ilvl="2" w:tplc="E40890F6">
      <w:start w:val="1"/>
      <w:numFmt w:val="lowerRoman"/>
      <w:lvlText w:val="%3."/>
      <w:lvlJc w:val="right"/>
      <w:pPr>
        <w:ind w:left="2160" w:hanging="180"/>
      </w:pPr>
    </w:lvl>
    <w:lvl w:ilvl="3" w:tplc="9FA276BA">
      <w:start w:val="1"/>
      <w:numFmt w:val="decimal"/>
      <w:lvlText w:val="%4."/>
      <w:lvlJc w:val="left"/>
      <w:pPr>
        <w:ind w:left="2880" w:hanging="360"/>
      </w:pPr>
    </w:lvl>
    <w:lvl w:ilvl="4" w:tplc="3FAC320E">
      <w:start w:val="1"/>
      <w:numFmt w:val="lowerLetter"/>
      <w:lvlText w:val="%5."/>
      <w:lvlJc w:val="left"/>
      <w:pPr>
        <w:ind w:left="3600" w:hanging="360"/>
      </w:pPr>
    </w:lvl>
    <w:lvl w:ilvl="5" w:tplc="A17A4636">
      <w:start w:val="1"/>
      <w:numFmt w:val="lowerRoman"/>
      <w:lvlText w:val="%6."/>
      <w:lvlJc w:val="right"/>
      <w:pPr>
        <w:ind w:left="4320" w:hanging="180"/>
      </w:pPr>
    </w:lvl>
    <w:lvl w:ilvl="6" w:tplc="06542920">
      <w:start w:val="1"/>
      <w:numFmt w:val="decimal"/>
      <w:lvlText w:val="%7."/>
      <w:lvlJc w:val="left"/>
      <w:pPr>
        <w:ind w:left="5040" w:hanging="360"/>
      </w:pPr>
    </w:lvl>
    <w:lvl w:ilvl="7" w:tplc="38265764">
      <w:start w:val="1"/>
      <w:numFmt w:val="lowerLetter"/>
      <w:lvlText w:val="%8."/>
      <w:lvlJc w:val="left"/>
      <w:pPr>
        <w:ind w:left="5760" w:hanging="360"/>
      </w:pPr>
    </w:lvl>
    <w:lvl w:ilvl="8" w:tplc="E85E00CC">
      <w:start w:val="1"/>
      <w:numFmt w:val="lowerRoman"/>
      <w:lvlText w:val="%9."/>
      <w:lvlJc w:val="right"/>
      <w:pPr>
        <w:ind w:left="6480" w:hanging="180"/>
      </w:pPr>
    </w:lvl>
  </w:abstractNum>
  <w:abstractNum w:abstractNumId="68" w15:restartNumberingAfterBreak="0">
    <w:nsid w:val="3F5DAD3D"/>
    <w:multiLevelType w:val="hybridMultilevel"/>
    <w:tmpl w:val="19D8C2B2"/>
    <w:lvl w:ilvl="0" w:tplc="C2E428C2">
      <w:start w:val="1"/>
      <w:numFmt w:val="bullet"/>
      <w:lvlText w:val=""/>
      <w:lvlJc w:val="left"/>
      <w:pPr>
        <w:ind w:left="720" w:hanging="360"/>
      </w:pPr>
      <w:rPr>
        <w:rFonts w:ascii="Symbol" w:hAnsi="Symbol" w:hint="default"/>
      </w:rPr>
    </w:lvl>
    <w:lvl w:ilvl="1" w:tplc="0C22B68E">
      <w:start w:val="1"/>
      <w:numFmt w:val="bullet"/>
      <w:lvlText w:val="o"/>
      <w:lvlJc w:val="left"/>
      <w:pPr>
        <w:ind w:left="1440" w:hanging="360"/>
      </w:pPr>
      <w:rPr>
        <w:rFonts w:ascii="Courier New" w:hAnsi="Courier New" w:hint="default"/>
      </w:rPr>
    </w:lvl>
    <w:lvl w:ilvl="2" w:tplc="E4D0A124">
      <w:start w:val="1"/>
      <w:numFmt w:val="bullet"/>
      <w:lvlText w:val=""/>
      <w:lvlJc w:val="left"/>
      <w:pPr>
        <w:ind w:left="2160" w:hanging="360"/>
      </w:pPr>
      <w:rPr>
        <w:rFonts w:ascii="Wingdings" w:hAnsi="Wingdings" w:hint="default"/>
      </w:rPr>
    </w:lvl>
    <w:lvl w:ilvl="3" w:tplc="8B8C0FE0">
      <w:start w:val="1"/>
      <w:numFmt w:val="bullet"/>
      <w:lvlText w:val=""/>
      <w:lvlJc w:val="left"/>
      <w:pPr>
        <w:ind w:left="2880" w:hanging="360"/>
      </w:pPr>
      <w:rPr>
        <w:rFonts w:ascii="Symbol" w:hAnsi="Symbol" w:hint="default"/>
      </w:rPr>
    </w:lvl>
    <w:lvl w:ilvl="4" w:tplc="8200B01A">
      <w:start w:val="1"/>
      <w:numFmt w:val="bullet"/>
      <w:lvlText w:val="o"/>
      <w:lvlJc w:val="left"/>
      <w:pPr>
        <w:ind w:left="3600" w:hanging="360"/>
      </w:pPr>
      <w:rPr>
        <w:rFonts w:ascii="Courier New" w:hAnsi="Courier New" w:hint="default"/>
      </w:rPr>
    </w:lvl>
    <w:lvl w:ilvl="5" w:tplc="8CE23AFA">
      <w:start w:val="1"/>
      <w:numFmt w:val="bullet"/>
      <w:lvlText w:val=""/>
      <w:lvlJc w:val="left"/>
      <w:pPr>
        <w:ind w:left="4320" w:hanging="360"/>
      </w:pPr>
      <w:rPr>
        <w:rFonts w:ascii="Wingdings" w:hAnsi="Wingdings" w:hint="default"/>
      </w:rPr>
    </w:lvl>
    <w:lvl w:ilvl="6" w:tplc="FE767C14">
      <w:start w:val="1"/>
      <w:numFmt w:val="bullet"/>
      <w:lvlText w:val=""/>
      <w:lvlJc w:val="left"/>
      <w:pPr>
        <w:ind w:left="5040" w:hanging="360"/>
      </w:pPr>
      <w:rPr>
        <w:rFonts w:ascii="Symbol" w:hAnsi="Symbol" w:hint="default"/>
      </w:rPr>
    </w:lvl>
    <w:lvl w:ilvl="7" w:tplc="7C4E4910">
      <w:start w:val="1"/>
      <w:numFmt w:val="bullet"/>
      <w:lvlText w:val="o"/>
      <w:lvlJc w:val="left"/>
      <w:pPr>
        <w:ind w:left="5760" w:hanging="360"/>
      </w:pPr>
      <w:rPr>
        <w:rFonts w:ascii="Courier New" w:hAnsi="Courier New" w:hint="default"/>
      </w:rPr>
    </w:lvl>
    <w:lvl w:ilvl="8" w:tplc="5ADE80FC">
      <w:start w:val="1"/>
      <w:numFmt w:val="bullet"/>
      <w:lvlText w:val=""/>
      <w:lvlJc w:val="left"/>
      <w:pPr>
        <w:ind w:left="6480" w:hanging="360"/>
      </w:pPr>
      <w:rPr>
        <w:rFonts w:ascii="Wingdings" w:hAnsi="Wingdings" w:hint="default"/>
      </w:rPr>
    </w:lvl>
  </w:abstractNum>
  <w:abstractNum w:abstractNumId="69" w15:restartNumberingAfterBreak="0">
    <w:nsid w:val="3FC5D24E"/>
    <w:multiLevelType w:val="hybridMultilevel"/>
    <w:tmpl w:val="F5C29AC8"/>
    <w:lvl w:ilvl="0" w:tplc="8062D636">
      <w:start w:val="1"/>
      <w:numFmt w:val="bullet"/>
      <w:lvlText w:val="-"/>
      <w:lvlJc w:val="left"/>
      <w:pPr>
        <w:ind w:left="720" w:hanging="360"/>
      </w:pPr>
      <w:rPr>
        <w:rFonts w:ascii="Calibri" w:hAnsi="Calibri" w:hint="default"/>
      </w:rPr>
    </w:lvl>
    <w:lvl w:ilvl="1" w:tplc="770EEB34">
      <w:start w:val="1"/>
      <w:numFmt w:val="bullet"/>
      <w:lvlText w:val="o"/>
      <w:lvlJc w:val="left"/>
      <w:pPr>
        <w:ind w:left="1440" w:hanging="360"/>
      </w:pPr>
      <w:rPr>
        <w:rFonts w:ascii="Courier New" w:hAnsi="Courier New" w:hint="default"/>
      </w:rPr>
    </w:lvl>
    <w:lvl w:ilvl="2" w:tplc="BE6EF79E">
      <w:start w:val="1"/>
      <w:numFmt w:val="bullet"/>
      <w:lvlText w:val=""/>
      <w:lvlJc w:val="left"/>
      <w:pPr>
        <w:ind w:left="2160" w:hanging="360"/>
      </w:pPr>
      <w:rPr>
        <w:rFonts w:ascii="Wingdings" w:hAnsi="Wingdings" w:hint="default"/>
      </w:rPr>
    </w:lvl>
    <w:lvl w:ilvl="3" w:tplc="22F8C68A">
      <w:start w:val="1"/>
      <w:numFmt w:val="bullet"/>
      <w:lvlText w:val=""/>
      <w:lvlJc w:val="left"/>
      <w:pPr>
        <w:ind w:left="2880" w:hanging="360"/>
      </w:pPr>
      <w:rPr>
        <w:rFonts w:ascii="Symbol" w:hAnsi="Symbol" w:hint="default"/>
      </w:rPr>
    </w:lvl>
    <w:lvl w:ilvl="4" w:tplc="44168134">
      <w:start w:val="1"/>
      <w:numFmt w:val="bullet"/>
      <w:lvlText w:val="o"/>
      <w:lvlJc w:val="left"/>
      <w:pPr>
        <w:ind w:left="3600" w:hanging="360"/>
      </w:pPr>
      <w:rPr>
        <w:rFonts w:ascii="Courier New" w:hAnsi="Courier New" w:hint="default"/>
      </w:rPr>
    </w:lvl>
    <w:lvl w:ilvl="5" w:tplc="0D70E404">
      <w:start w:val="1"/>
      <w:numFmt w:val="bullet"/>
      <w:lvlText w:val=""/>
      <w:lvlJc w:val="left"/>
      <w:pPr>
        <w:ind w:left="4320" w:hanging="360"/>
      </w:pPr>
      <w:rPr>
        <w:rFonts w:ascii="Wingdings" w:hAnsi="Wingdings" w:hint="default"/>
      </w:rPr>
    </w:lvl>
    <w:lvl w:ilvl="6" w:tplc="F20EAB4A">
      <w:start w:val="1"/>
      <w:numFmt w:val="bullet"/>
      <w:lvlText w:val=""/>
      <w:lvlJc w:val="left"/>
      <w:pPr>
        <w:ind w:left="5040" w:hanging="360"/>
      </w:pPr>
      <w:rPr>
        <w:rFonts w:ascii="Symbol" w:hAnsi="Symbol" w:hint="default"/>
      </w:rPr>
    </w:lvl>
    <w:lvl w:ilvl="7" w:tplc="D52202C8">
      <w:start w:val="1"/>
      <w:numFmt w:val="bullet"/>
      <w:lvlText w:val="o"/>
      <w:lvlJc w:val="left"/>
      <w:pPr>
        <w:ind w:left="5760" w:hanging="360"/>
      </w:pPr>
      <w:rPr>
        <w:rFonts w:ascii="Courier New" w:hAnsi="Courier New" w:hint="default"/>
      </w:rPr>
    </w:lvl>
    <w:lvl w:ilvl="8" w:tplc="EDEC057C">
      <w:start w:val="1"/>
      <w:numFmt w:val="bullet"/>
      <w:lvlText w:val=""/>
      <w:lvlJc w:val="left"/>
      <w:pPr>
        <w:ind w:left="6480" w:hanging="360"/>
      </w:pPr>
      <w:rPr>
        <w:rFonts w:ascii="Wingdings" w:hAnsi="Wingdings" w:hint="default"/>
      </w:rPr>
    </w:lvl>
  </w:abstractNum>
  <w:abstractNum w:abstractNumId="70" w15:restartNumberingAfterBreak="0">
    <w:nsid w:val="41227CF3"/>
    <w:multiLevelType w:val="hybridMultilevel"/>
    <w:tmpl w:val="399A2470"/>
    <w:lvl w:ilvl="0" w:tplc="CC0442C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414855CA"/>
    <w:multiLevelType w:val="hybridMultilevel"/>
    <w:tmpl w:val="CBD06058"/>
    <w:lvl w:ilvl="0" w:tplc="72CEB050">
      <w:start w:val="2"/>
      <w:numFmt w:val="decimal"/>
      <w:lvlText w:val="%1."/>
      <w:lvlJc w:val="left"/>
      <w:pPr>
        <w:ind w:left="720" w:hanging="360"/>
      </w:pPr>
    </w:lvl>
    <w:lvl w:ilvl="1" w:tplc="7F729E30">
      <w:start w:val="1"/>
      <w:numFmt w:val="lowerLetter"/>
      <w:lvlText w:val="%2."/>
      <w:lvlJc w:val="left"/>
      <w:pPr>
        <w:ind w:left="1440" w:hanging="360"/>
      </w:pPr>
    </w:lvl>
    <w:lvl w:ilvl="2" w:tplc="47087F4A">
      <w:start w:val="1"/>
      <w:numFmt w:val="lowerRoman"/>
      <w:lvlText w:val="%3."/>
      <w:lvlJc w:val="right"/>
      <w:pPr>
        <w:ind w:left="2160" w:hanging="180"/>
      </w:pPr>
    </w:lvl>
    <w:lvl w:ilvl="3" w:tplc="CD46AED0">
      <w:start w:val="1"/>
      <w:numFmt w:val="decimal"/>
      <w:lvlText w:val="%4."/>
      <w:lvlJc w:val="left"/>
      <w:pPr>
        <w:ind w:left="2880" w:hanging="360"/>
      </w:pPr>
    </w:lvl>
    <w:lvl w:ilvl="4" w:tplc="10422988">
      <w:start w:val="1"/>
      <w:numFmt w:val="lowerLetter"/>
      <w:lvlText w:val="%5."/>
      <w:lvlJc w:val="left"/>
      <w:pPr>
        <w:ind w:left="3600" w:hanging="360"/>
      </w:pPr>
    </w:lvl>
    <w:lvl w:ilvl="5" w:tplc="A0B233D8">
      <w:start w:val="1"/>
      <w:numFmt w:val="lowerRoman"/>
      <w:lvlText w:val="%6."/>
      <w:lvlJc w:val="right"/>
      <w:pPr>
        <w:ind w:left="4320" w:hanging="180"/>
      </w:pPr>
    </w:lvl>
    <w:lvl w:ilvl="6" w:tplc="77823684">
      <w:start w:val="1"/>
      <w:numFmt w:val="decimal"/>
      <w:lvlText w:val="%7."/>
      <w:lvlJc w:val="left"/>
      <w:pPr>
        <w:ind w:left="5040" w:hanging="360"/>
      </w:pPr>
    </w:lvl>
    <w:lvl w:ilvl="7" w:tplc="D04C8A74">
      <w:start w:val="1"/>
      <w:numFmt w:val="lowerLetter"/>
      <w:lvlText w:val="%8."/>
      <w:lvlJc w:val="left"/>
      <w:pPr>
        <w:ind w:left="5760" w:hanging="360"/>
      </w:pPr>
    </w:lvl>
    <w:lvl w:ilvl="8" w:tplc="F064B0A8">
      <w:start w:val="1"/>
      <w:numFmt w:val="lowerRoman"/>
      <w:lvlText w:val="%9."/>
      <w:lvlJc w:val="right"/>
      <w:pPr>
        <w:ind w:left="6480" w:hanging="180"/>
      </w:pPr>
    </w:lvl>
  </w:abstractNum>
  <w:abstractNum w:abstractNumId="72" w15:restartNumberingAfterBreak="0">
    <w:nsid w:val="414F4186"/>
    <w:multiLevelType w:val="hybridMultilevel"/>
    <w:tmpl w:val="CE1E0CBC"/>
    <w:name w:val="Heading22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41D67D92"/>
    <w:multiLevelType w:val="hybridMultilevel"/>
    <w:tmpl w:val="4B707842"/>
    <w:lvl w:ilvl="0" w:tplc="FB5C9744">
      <w:start w:val="1"/>
      <w:numFmt w:val="bullet"/>
      <w:lvlText w:val=""/>
      <w:lvlJc w:val="left"/>
      <w:pPr>
        <w:ind w:left="720" w:hanging="360"/>
      </w:pPr>
      <w:rPr>
        <w:rFonts w:ascii="Symbol" w:hAnsi="Symbol" w:hint="default"/>
      </w:rPr>
    </w:lvl>
    <w:lvl w:ilvl="1" w:tplc="7ED42678">
      <w:start w:val="1"/>
      <w:numFmt w:val="bullet"/>
      <w:lvlText w:val="o"/>
      <w:lvlJc w:val="left"/>
      <w:pPr>
        <w:ind w:left="1440" w:hanging="360"/>
      </w:pPr>
      <w:rPr>
        <w:rFonts w:ascii="Courier New" w:hAnsi="Courier New" w:hint="default"/>
      </w:rPr>
    </w:lvl>
    <w:lvl w:ilvl="2" w:tplc="2C74D8CC">
      <w:start w:val="1"/>
      <w:numFmt w:val="bullet"/>
      <w:lvlText w:val=""/>
      <w:lvlJc w:val="left"/>
      <w:pPr>
        <w:ind w:left="2160" w:hanging="360"/>
      </w:pPr>
      <w:rPr>
        <w:rFonts w:ascii="Wingdings" w:hAnsi="Wingdings" w:hint="default"/>
      </w:rPr>
    </w:lvl>
    <w:lvl w:ilvl="3" w:tplc="BA725A80">
      <w:start w:val="1"/>
      <w:numFmt w:val="bullet"/>
      <w:lvlText w:val=""/>
      <w:lvlJc w:val="left"/>
      <w:pPr>
        <w:ind w:left="2880" w:hanging="360"/>
      </w:pPr>
      <w:rPr>
        <w:rFonts w:ascii="Symbol" w:hAnsi="Symbol" w:hint="default"/>
      </w:rPr>
    </w:lvl>
    <w:lvl w:ilvl="4" w:tplc="33AA5C24">
      <w:start w:val="1"/>
      <w:numFmt w:val="bullet"/>
      <w:lvlText w:val="o"/>
      <w:lvlJc w:val="left"/>
      <w:pPr>
        <w:ind w:left="3600" w:hanging="360"/>
      </w:pPr>
      <w:rPr>
        <w:rFonts w:ascii="Courier New" w:hAnsi="Courier New" w:hint="default"/>
      </w:rPr>
    </w:lvl>
    <w:lvl w:ilvl="5" w:tplc="3C9EE60C">
      <w:start w:val="1"/>
      <w:numFmt w:val="bullet"/>
      <w:lvlText w:val=""/>
      <w:lvlJc w:val="left"/>
      <w:pPr>
        <w:ind w:left="4320" w:hanging="360"/>
      </w:pPr>
      <w:rPr>
        <w:rFonts w:ascii="Wingdings" w:hAnsi="Wingdings" w:hint="default"/>
      </w:rPr>
    </w:lvl>
    <w:lvl w:ilvl="6" w:tplc="D98C7E5A">
      <w:start w:val="1"/>
      <w:numFmt w:val="bullet"/>
      <w:lvlText w:val=""/>
      <w:lvlJc w:val="left"/>
      <w:pPr>
        <w:ind w:left="5040" w:hanging="360"/>
      </w:pPr>
      <w:rPr>
        <w:rFonts w:ascii="Symbol" w:hAnsi="Symbol" w:hint="default"/>
      </w:rPr>
    </w:lvl>
    <w:lvl w:ilvl="7" w:tplc="DFE4E6D0">
      <w:start w:val="1"/>
      <w:numFmt w:val="bullet"/>
      <w:lvlText w:val="o"/>
      <w:lvlJc w:val="left"/>
      <w:pPr>
        <w:ind w:left="5760" w:hanging="360"/>
      </w:pPr>
      <w:rPr>
        <w:rFonts w:ascii="Courier New" w:hAnsi="Courier New" w:hint="default"/>
      </w:rPr>
    </w:lvl>
    <w:lvl w:ilvl="8" w:tplc="37588974">
      <w:start w:val="1"/>
      <w:numFmt w:val="bullet"/>
      <w:lvlText w:val=""/>
      <w:lvlJc w:val="left"/>
      <w:pPr>
        <w:ind w:left="6480" w:hanging="360"/>
      </w:pPr>
      <w:rPr>
        <w:rFonts w:ascii="Wingdings" w:hAnsi="Wingdings" w:hint="default"/>
      </w:rPr>
    </w:lvl>
  </w:abstractNum>
  <w:abstractNum w:abstractNumId="7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5" w15:restartNumberingAfterBreak="0">
    <w:nsid w:val="42737F5F"/>
    <w:multiLevelType w:val="hybridMultilevel"/>
    <w:tmpl w:val="30D47F12"/>
    <w:lvl w:ilvl="0" w:tplc="18090011">
      <w:start w:val="1"/>
      <w:numFmt w:val="decimal"/>
      <w:lvlText w:val="%1)"/>
      <w:lvlJc w:val="left"/>
      <w:pPr>
        <w:ind w:left="720" w:hanging="360"/>
      </w:pPr>
      <w:rPr>
        <w:rFonts w:hint="default"/>
      </w:rPr>
    </w:lvl>
    <w:lvl w:ilvl="1" w:tplc="7AACA2A8">
      <w:start w:val="1"/>
      <w:numFmt w:val="lowerRoman"/>
      <w:lvlText w:val="%2)"/>
      <w:lvlJc w:val="left"/>
      <w:pPr>
        <w:ind w:left="1440" w:hanging="360"/>
      </w:pPr>
      <w:rPr>
        <w:rFonts w:hint="default"/>
      </w:rPr>
    </w:lvl>
    <w:lvl w:ilvl="2" w:tplc="135C1798">
      <w:start w:val="1"/>
      <w:numFmt w:val="lowerRoman"/>
      <w:lvlText w:val="%3."/>
      <w:lvlJc w:val="right"/>
      <w:pPr>
        <w:ind w:left="2160" w:hanging="180"/>
      </w:pPr>
    </w:lvl>
    <w:lvl w:ilvl="3" w:tplc="8EBEB170">
      <w:start w:val="1"/>
      <w:numFmt w:val="decimal"/>
      <w:lvlText w:val="%4."/>
      <w:lvlJc w:val="left"/>
      <w:pPr>
        <w:ind w:left="2880" w:hanging="360"/>
      </w:pPr>
    </w:lvl>
    <w:lvl w:ilvl="4" w:tplc="C03A1DA6">
      <w:start w:val="1"/>
      <w:numFmt w:val="lowerLetter"/>
      <w:lvlText w:val="%5."/>
      <w:lvlJc w:val="left"/>
      <w:pPr>
        <w:ind w:left="3600" w:hanging="360"/>
      </w:pPr>
    </w:lvl>
    <w:lvl w:ilvl="5" w:tplc="F2E60BEE">
      <w:start w:val="1"/>
      <w:numFmt w:val="lowerRoman"/>
      <w:lvlText w:val="%6."/>
      <w:lvlJc w:val="right"/>
      <w:pPr>
        <w:ind w:left="4320" w:hanging="180"/>
      </w:pPr>
    </w:lvl>
    <w:lvl w:ilvl="6" w:tplc="FF086586">
      <w:start w:val="1"/>
      <w:numFmt w:val="decimal"/>
      <w:lvlText w:val="%7."/>
      <w:lvlJc w:val="left"/>
      <w:pPr>
        <w:ind w:left="5040" w:hanging="360"/>
      </w:pPr>
    </w:lvl>
    <w:lvl w:ilvl="7" w:tplc="4B904216">
      <w:start w:val="1"/>
      <w:numFmt w:val="lowerLetter"/>
      <w:lvlText w:val="%8."/>
      <w:lvlJc w:val="left"/>
      <w:pPr>
        <w:ind w:left="5760" w:hanging="360"/>
      </w:pPr>
    </w:lvl>
    <w:lvl w:ilvl="8" w:tplc="C6CAEAEE">
      <w:start w:val="1"/>
      <w:numFmt w:val="lowerRoman"/>
      <w:lvlText w:val="%9."/>
      <w:lvlJc w:val="right"/>
      <w:pPr>
        <w:ind w:left="6480" w:hanging="180"/>
      </w:pPr>
    </w:lvl>
  </w:abstractNum>
  <w:abstractNum w:abstractNumId="76" w15:restartNumberingAfterBreak="0">
    <w:nsid w:val="42DE3906"/>
    <w:multiLevelType w:val="hybridMultilevel"/>
    <w:tmpl w:val="FFFFFFFF"/>
    <w:lvl w:ilvl="0" w:tplc="AD8C62EC">
      <w:start w:val="1"/>
      <w:numFmt w:val="bullet"/>
      <w:lvlText w:val=""/>
      <w:lvlJc w:val="left"/>
      <w:pPr>
        <w:ind w:left="720" w:hanging="360"/>
      </w:pPr>
      <w:rPr>
        <w:rFonts w:ascii="Symbol" w:hAnsi="Symbol" w:hint="default"/>
      </w:rPr>
    </w:lvl>
    <w:lvl w:ilvl="1" w:tplc="62584E8C">
      <w:start w:val="1"/>
      <w:numFmt w:val="bullet"/>
      <w:lvlText w:val="o"/>
      <w:lvlJc w:val="left"/>
      <w:pPr>
        <w:ind w:left="1440" w:hanging="360"/>
      </w:pPr>
      <w:rPr>
        <w:rFonts w:ascii="Courier New" w:hAnsi="Courier New" w:hint="default"/>
      </w:rPr>
    </w:lvl>
    <w:lvl w:ilvl="2" w:tplc="B1C2F78C">
      <w:start w:val="1"/>
      <w:numFmt w:val="bullet"/>
      <w:lvlText w:val=""/>
      <w:lvlJc w:val="left"/>
      <w:pPr>
        <w:ind w:left="2160" w:hanging="360"/>
      </w:pPr>
      <w:rPr>
        <w:rFonts w:ascii="Wingdings" w:hAnsi="Wingdings" w:hint="default"/>
      </w:rPr>
    </w:lvl>
    <w:lvl w:ilvl="3" w:tplc="4E487676">
      <w:start w:val="1"/>
      <w:numFmt w:val="bullet"/>
      <w:lvlText w:val=""/>
      <w:lvlJc w:val="left"/>
      <w:pPr>
        <w:ind w:left="2880" w:hanging="360"/>
      </w:pPr>
      <w:rPr>
        <w:rFonts w:ascii="Symbol" w:hAnsi="Symbol" w:hint="default"/>
      </w:rPr>
    </w:lvl>
    <w:lvl w:ilvl="4" w:tplc="052CA484">
      <w:start w:val="1"/>
      <w:numFmt w:val="bullet"/>
      <w:lvlText w:val="o"/>
      <w:lvlJc w:val="left"/>
      <w:pPr>
        <w:ind w:left="3600" w:hanging="360"/>
      </w:pPr>
      <w:rPr>
        <w:rFonts w:ascii="Courier New" w:hAnsi="Courier New" w:hint="default"/>
      </w:rPr>
    </w:lvl>
    <w:lvl w:ilvl="5" w:tplc="078854A2">
      <w:start w:val="1"/>
      <w:numFmt w:val="bullet"/>
      <w:lvlText w:val=""/>
      <w:lvlJc w:val="left"/>
      <w:pPr>
        <w:ind w:left="4320" w:hanging="360"/>
      </w:pPr>
      <w:rPr>
        <w:rFonts w:ascii="Wingdings" w:hAnsi="Wingdings" w:hint="default"/>
      </w:rPr>
    </w:lvl>
    <w:lvl w:ilvl="6" w:tplc="33780E46">
      <w:start w:val="1"/>
      <w:numFmt w:val="bullet"/>
      <w:lvlText w:val=""/>
      <w:lvlJc w:val="left"/>
      <w:pPr>
        <w:ind w:left="5040" w:hanging="360"/>
      </w:pPr>
      <w:rPr>
        <w:rFonts w:ascii="Symbol" w:hAnsi="Symbol" w:hint="default"/>
      </w:rPr>
    </w:lvl>
    <w:lvl w:ilvl="7" w:tplc="D5302284">
      <w:start w:val="1"/>
      <w:numFmt w:val="bullet"/>
      <w:lvlText w:val="o"/>
      <w:lvlJc w:val="left"/>
      <w:pPr>
        <w:ind w:left="5760" w:hanging="360"/>
      </w:pPr>
      <w:rPr>
        <w:rFonts w:ascii="Courier New" w:hAnsi="Courier New" w:hint="default"/>
      </w:rPr>
    </w:lvl>
    <w:lvl w:ilvl="8" w:tplc="9D6232FE">
      <w:start w:val="1"/>
      <w:numFmt w:val="bullet"/>
      <w:lvlText w:val=""/>
      <w:lvlJc w:val="left"/>
      <w:pPr>
        <w:ind w:left="6480" w:hanging="360"/>
      </w:pPr>
      <w:rPr>
        <w:rFonts w:ascii="Wingdings" w:hAnsi="Wingdings" w:hint="default"/>
      </w:rPr>
    </w:lvl>
  </w:abstractNum>
  <w:abstractNum w:abstractNumId="7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78" w15:restartNumberingAfterBreak="0">
    <w:nsid w:val="43CB7CB9"/>
    <w:multiLevelType w:val="hybridMultilevel"/>
    <w:tmpl w:val="3776FB5C"/>
    <w:lvl w:ilvl="0" w:tplc="C582BF1E">
      <w:start w:val="1"/>
      <w:numFmt w:val="bullet"/>
      <w:lvlText w:val="-"/>
      <w:lvlJc w:val="left"/>
      <w:pPr>
        <w:ind w:left="720" w:hanging="360"/>
      </w:pPr>
      <w:rPr>
        <w:rFonts w:ascii="Calibri" w:hAnsi="Calibri" w:hint="default"/>
      </w:rPr>
    </w:lvl>
    <w:lvl w:ilvl="1" w:tplc="925EA5CC">
      <w:start w:val="1"/>
      <w:numFmt w:val="bullet"/>
      <w:lvlText w:val="o"/>
      <w:lvlJc w:val="left"/>
      <w:pPr>
        <w:ind w:left="1440" w:hanging="360"/>
      </w:pPr>
      <w:rPr>
        <w:rFonts w:ascii="Courier New" w:hAnsi="Courier New" w:hint="default"/>
      </w:rPr>
    </w:lvl>
    <w:lvl w:ilvl="2" w:tplc="EDA8F6C6">
      <w:start w:val="1"/>
      <w:numFmt w:val="bullet"/>
      <w:lvlText w:val=""/>
      <w:lvlJc w:val="left"/>
      <w:pPr>
        <w:ind w:left="2160" w:hanging="360"/>
      </w:pPr>
      <w:rPr>
        <w:rFonts w:ascii="Wingdings" w:hAnsi="Wingdings" w:hint="default"/>
      </w:rPr>
    </w:lvl>
    <w:lvl w:ilvl="3" w:tplc="9622194E">
      <w:start w:val="1"/>
      <w:numFmt w:val="bullet"/>
      <w:lvlText w:val=""/>
      <w:lvlJc w:val="left"/>
      <w:pPr>
        <w:ind w:left="2880" w:hanging="360"/>
      </w:pPr>
      <w:rPr>
        <w:rFonts w:ascii="Symbol" w:hAnsi="Symbol" w:hint="default"/>
      </w:rPr>
    </w:lvl>
    <w:lvl w:ilvl="4" w:tplc="0A025828">
      <w:start w:val="1"/>
      <w:numFmt w:val="bullet"/>
      <w:lvlText w:val="o"/>
      <w:lvlJc w:val="left"/>
      <w:pPr>
        <w:ind w:left="3600" w:hanging="360"/>
      </w:pPr>
      <w:rPr>
        <w:rFonts w:ascii="Courier New" w:hAnsi="Courier New" w:hint="default"/>
      </w:rPr>
    </w:lvl>
    <w:lvl w:ilvl="5" w:tplc="812A91E8">
      <w:start w:val="1"/>
      <w:numFmt w:val="bullet"/>
      <w:lvlText w:val=""/>
      <w:lvlJc w:val="left"/>
      <w:pPr>
        <w:ind w:left="4320" w:hanging="360"/>
      </w:pPr>
      <w:rPr>
        <w:rFonts w:ascii="Wingdings" w:hAnsi="Wingdings" w:hint="default"/>
      </w:rPr>
    </w:lvl>
    <w:lvl w:ilvl="6" w:tplc="1EFAAA5A">
      <w:start w:val="1"/>
      <w:numFmt w:val="bullet"/>
      <w:lvlText w:val=""/>
      <w:lvlJc w:val="left"/>
      <w:pPr>
        <w:ind w:left="5040" w:hanging="360"/>
      </w:pPr>
      <w:rPr>
        <w:rFonts w:ascii="Symbol" w:hAnsi="Symbol" w:hint="default"/>
      </w:rPr>
    </w:lvl>
    <w:lvl w:ilvl="7" w:tplc="A8880DE8">
      <w:start w:val="1"/>
      <w:numFmt w:val="bullet"/>
      <w:lvlText w:val="o"/>
      <w:lvlJc w:val="left"/>
      <w:pPr>
        <w:ind w:left="5760" w:hanging="360"/>
      </w:pPr>
      <w:rPr>
        <w:rFonts w:ascii="Courier New" w:hAnsi="Courier New" w:hint="default"/>
      </w:rPr>
    </w:lvl>
    <w:lvl w:ilvl="8" w:tplc="D6ECD9E2">
      <w:start w:val="1"/>
      <w:numFmt w:val="bullet"/>
      <w:lvlText w:val=""/>
      <w:lvlJc w:val="left"/>
      <w:pPr>
        <w:ind w:left="6480" w:hanging="360"/>
      </w:pPr>
      <w:rPr>
        <w:rFonts w:ascii="Wingdings" w:hAnsi="Wingdings" w:hint="default"/>
      </w:rPr>
    </w:lvl>
  </w:abstractNum>
  <w:abstractNum w:abstractNumId="79" w15:restartNumberingAfterBreak="0">
    <w:nsid w:val="440F2D35"/>
    <w:multiLevelType w:val="hybridMultilevel"/>
    <w:tmpl w:val="E6B8E182"/>
    <w:lvl w:ilvl="0" w:tplc="FFFFFFFF">
      <w:start w:val="1"/>
      <w:numFmt w:val="bullet"/>
      <w:lvlText w:val="-"/>
      <w:lvlJc w:val="left"/>
      <w:pPr>
        <w:ind w:left="2138" w:hanging="360"/>
      </w:pPr>
      <w:rPr>
        <w:rFonts w:ascii="Times New Roman" w:hAnsi="Times New Roman"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0" w15:restartNumberingAfterBreak="0">
    <w:nsid w:val="447233BC"/>
    <w:multiLevelType w:val="hybridMultilevel"/>
    <w:tmpl w:val="1D98CFB4"/>
    <w:lvl w:ilvl="0" w:tplc="CDE203F6">
      <w:start w:val="1"/>
      <w:numFmt w:val="decimal"/>
      <w:lvlText w:val="%1."/>
      <w:lvlJc w:val="left"/>
      <w:pPr>
        <w:ind w:left="720" w:hanging="360"/>
      </w:pPr>
    </w:lvl>
    <w:lvl w:ilvl="1" w:tplc="36B8A8B8">
      <w:start w:val="1"/>
      <w:numFmt w:val="lowerLetter"/>
      <w:lvlText w:val="%2."/>
      <w:lvlJc w:val="left"/>
      <w:pPr>
        <w:ind w:left="1440" w:hanging="360"/>
      </w:pPr>
    </w:lvl>
    <w:lvl w:ilvl="2" w:tplc="329265BC">
      <w:start w:val="1"/>
      <w:numFmt w:val="lowerRoman"/>
      <w:lvlText w:val="%3."/>
      <w:lvlJc w:val="right"/>
      <w:pPr>
        <w:ind w:left="2160" w:hanging="180"/>
      </w:pPr>
    </w:lvl>
    <w:lvl w:ilvl="3" w:tplc="438252A0">
      <w:start w:val="1"/>
      <w:numFmt w:val="decimal"/>
      <w:lvlText w:val="%4."/>
      <w:lvlJc w:val="left"/>
      <w:pPr>
        <w:ind w:left="2880" w:hanging="360"/>
      </w:pPr>
    </w:lvl>
    <w:lvl w:ilvl="4" w:tplc="3E4C4EFA">
      <w:start w:val="1"/>
      <w:numFmt w:val="lowerLetter"/>
      <w:lvlText w:val="%5."/>
      <w:lvlJc w:val="left"/>
      <w:pPr>
        <w:ind w:left="3600" w:hanging="360"/>
      </w:pPr>
    </w:lvl>
    <w:lvl w:ilvl="5" w:tplc="1C0AF6EA">
      <w:start w:val="1"/>
      <w:numFmt w:val="lowerRoman"/>
      <w:lvlText w:val="%6."/>
      <w:lvlJc w:val="right"/>
      <w:pPr>
        <w:ind w:left="4320" w:hanging="180"/>
      </w:pPr>
    </w:lvl>
    <w:lvl w:ilvl="6" w:tplc="002032FC">
      <w:start w:val="1"/>
      <w:numFmt w:val="decimal"/>
      <w:lvlText w:val="%7."/>
      <w:lvlJc w:val="left"/>
      <w:pPr>
        <w:ind w:left="5040" w:hanging="360"/>
      </w:pPr>
    </w:lvl>
    <w:lvl w:ilvl="7" w:tplc="4CA27BF2">
      <w:start w:val="1"/>
      <w:numFmt w:val="lowerLetter"/>
      <w:lvlText w:val="%8."/>
      <w:lvlJc w:val="left"/>
      <w:pPr>
        <w:ind w:left="5760" w:hanging="360"/>
      </w:pPr>
    </w:lvl>
    <w:lvl w:ilvl="8" w:tplc="4ED46F5C">
      <w:start w:val="1"/>
      <w:numFmt w:val="lowerRoman"/>
      <w:lvlText w:val="%9."/>
      <w:lvlJc w:val="right"/>
      <w:pPr>
        <w:ind w:left="6480" w:hanging="180"/>
      </w:pPr>
    </w:lvl>
  </w:abstractNum>
  <w:abstractNum w:abstractNumId="81"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2" w15:restartNumberingAfterBreak="0">
    <w:nsid w:val="455631AC"/>
    <w:multiLevelType w:val="hybridMultilevel"/>
    <w:tmpl w:val="84FA0DAE"/>
    <w:lvl w:ilvl="0" w:tplc="218C80C4">
      <w:start w:val="1"/>
      <w:numFmt w:val="bullet"/>
      <w:lvlText w:val="-"/>
      <w:lvlJc w:val="left"/>
      <w:pPr>
        <w:ind w:left="720" w:hanging="360"/>
      </w:pPr>
      <w:rPr>
        <w:rFonts w:ascii="Calibri" w:hAnsi="Calibri" w:hint="default"/>
      </w:rPr>
    </w:lvl>
    <w:lvl w:ilvl="1" w:tplc="43023A84">
      <w:start w:val="1"/>
      <w:numFmt w:val="bullet"/>
      <w:lvlText w:val="o"/>
      <w:lvlJc w:val="left"/>
      <w:pPr>
        <w:ind w:left="1440" w:hanging="360"/>
      </w:pPr>
      <w:rPr>
        <w:rFonts w:ascii="Courier New" w:hAnsi="Courier New" w:hint="default"/>
      </w:rPr>
    </w:lvl>
    <w:lvl w:ilvl="2" w:tplc="35A8F86E">
      <w:start w:val="1"/>
      <w:numFmt w:val="bullet"/>
      <w:lvlText w:val=""/>
      <w:lvlJc w:val="left"/>
      <w:pPr>
        <w:ind w:left="2160" w:hanging="360"/>
      </w:pPr>
      <w:rPr>
        <w:rFonts w:ascii="Wingdings" w:hAnsi="Wingdings" w:hint="default"/>
      </w:rPr>
    </w:lvl>
    <w:lvl w:ilvl="3" w:tplc="33A0F0A8">
      <w:start w:val="1"/>
      <w:numFmt w:val="bullet"/>
      <w:lvlText w:val=""/>
      <w:lvlJc w:val="left"/>
      <w:pPr>
        <w:ind w:left="2880" w:hanging="360"/>
      </w:pPr>
      <w:rPr>
        <w:rFonts w:ascii="Symbol" w:hAnsi="Symbol" w:hint="default"/>
      </w:rPr>
    </w:lvl>
    <w:lvl w:ilvl="4" w:tplc="F6B04706">
      <w:start w:val="1"/>
      <w:numFmt w:val="bullet"/>
      <w:lvlText w:val="o"/>
      <w:lvlJc w:val="left"/>
      <w:pPr>
        <w:ind w:left="3600" w:hanging="360"/>
      </w:pPr>
      <w:rPr>
        <w:rFonts w:ascii="Courier New" w:hAnsi="Courier New" w:hint="default"/>
      </w:rPr>
    </w:lvl>
    <w:lvl w:ilvl="5" w:tplc="0EAAD594">
      <w:start w:val="1"/>
      <w:numFmt w:val="bullet"/>
      <w:lvlText w:val=""/>
      <w:lvlJc w:val="left"/>
      <w:pPr>
        <w:ind w:left="4320" w:hanging="360"/>
      </w:pPr>
      <w:rPr>
        <w:rFonts w:ascii="Wingdings" w:hAnsi="Wingdings" w:hint="default"/>
      </w:rPr>
    </w:lvl>
    <w:lvl w:ilvl="6" w:tplc="12E066FC">
      <w:start w:val="1"/>
      <w:numFmt w:val="bullet"/>
      <w:lvlText w:val=""/>
      <w:lvlJc w:val="left"/>
      <w:pPr>
        <w:ind w:left="5040" w:hanging="360"/>
      </w:pPr>
      <w:rPr>
        <w:rFonts w:ascii="Symbol" w:hAnsi="Symbol" w:hint="default"/>
      </w:rPr>
    </w:lvl>
    <w:lvl w:ilvl="7" w:tplc="6C9CF37E">
      <w:start w:val="1"/>
      <w:numFmt w:val="bullet"/>
      <w:lvlText w:val="o"/>
      <w:lvlJc w:val="left"/>
      <w:pPr>
        <w:ind w:left="5760" w:hanging="360"/>
      </w:pPr>
      <w:rPr>
        <w:rFonts w:ascii="Courier New" w:hAnsi="Courier New" w:hint="default"/>
      </w:rPr>
    </w:lvl>
    <w:lvl w:ilvl="8" w:tplc="BC06DF1C">
      <w:start w:val="1"/>
      <w:numFmt w:val="bullet"/>
      <w:lvlText w:val=""/>
      <w:lvlJc w:val="left"/>
      <w:pPr>
        <w:ind w:left="6480" w:hanging="360"/>
      </w:pPr>
      <w:rPr>
        <w:rFonts w:ascii="Wingdings" w:hAnsi="Wingdings" w:hint="default"/>
      </w:rPr>
    </w:lvl>
  </w:abstractNum>
  <w:abstractNum w:abstractNumId="83" w15:restartNumberingAfterBreak="0">
    <w:nsid w:val="45CA1CA0"/>
    <w:multiLevelType w:val="hybridMultilevel"/>
    <w:tmpl w:val="4B74FB9A"/>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46101FB5"/>
    <w:multiLevelType w:val="hybridMultilevel"/>
    <w:tmpl w:val="199AB2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7542ACE"/>
    <w:multiLevelType w:val="hybridMultilevel"/>
    <w:tmpl w:val="DCE6E23E"/>
    <w:lvl w:ilvl="0" w:tplc="73C0F010">
      <w:start w:val="1"/>
      <w:numFmt w:val="lowerRoman"/>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15:restartNumberingAfterBreak="0">
    <w:nsid w:val="483C6ACF"/>
    <w:multiLevelType w:val="hybridMultilevel"/>
    <w:tmpl w:val="B110549E"/>
    <w:name w:val="Heading22"/>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 w15:restartNumberingAfterBreak="0">
    <w:nsid w:val="48D00E20"/>
    <w:multiLevelType w:val="hybridMultilevel"/>
    <w:tmpl w:val="CCC06296"/>
    <w:lvl w:ilvl="0" w:tplc="EADA3AE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493B5AE0"/>
    <w:multiLevelType w:val="hybridMultilevel"/>
    <w:tmpl w:val="72A80998"/>
    <w:lvl w:ilvl="0" w:tplc="6E6EFFBA">
      <w:start w:val="1"/>
      <w:numFmt w:val="bullet"/>
      <w:lvlText w:val=""/>
      <w:lvlJc w:val="left"/>
      <w:pPr>
        <w:ind w:left="720" w:hanging="360"/>
      </w:pPr>
      <w:rPr>
        <w:rFonts w:ascii="Symbol" w:hAnsi="Symbol" w:hint="default"/>
      </w:rPr>
    </w:lvl>
    <w:lvl w:ilvl="1" w:tplc="1C1CCC76">
      <w:start w:val="1"/>
      <w:numFmt w:val="bullet"/>
      <w:lvlText w:val="o"/>
      <w:lvlJc w:val="left"/>
      <w:pPr>
        <w:ind w:left="1440" w:hanging="360"/>
      </w:pPr>
      <w:rPr>
        <w:rFonts w:ascii="Courier New" w:hAnsi="Courier New" w:hint="default"/>
      </w:rPr>
    </w:lvl>
    <w:lvl w:ilvl="2" w:tplc="61486A5C">
      <w:start w:val="1"/>
      <w:numFmt w:val="bullet"/>
      <w:lvlText w:val=""/>
      <w:lvlJc w:val="left"/>
      <w:pPr>
        <w:ind w:left="2160" w:hanging="360"/>
      </w:pPr>
      <w:rPr>
        <w:rFonts w:ascii="Wingdings" w:hAnsi="Wingdings" w:hint="default"/>
      </w:rPr>
    </w:lvl>
    <w:lvl w:ilvl="3" w:tplc="B39C15D8">
      <w:start w:val="1"/>
      <w:numFmt w:val="bullet"/>
      <w:lvlText w:val=""/>
      <w:lvlJc w:val="left"/>
      <w:pPr>
        <w:ind w:left="2880" w:hanging="360"/>
      </w:pPr>
      <w:rPr>
        <w:rFonts w:ascii="Symbol" w:hAnsi="Symbol" w:hint="default"/>
      </w:rPr>
    </w:lvl>
    <w:lvl w:ilvl="4" w:tplc="569E71DA">
      <w:start w:val="1"/>
      <w:numFmt w:val="bullet"/>
      <w:lvlText w:val="o"/>
      <w:lvlJc w:val="left"/>
      <w:pPr>
        <w:ind w:left="3600" w:hanging="360"/>
      </w:pPr>
      <w:rPr>
        <w:rFonts w:ascii="Courier New" w:hAnsi="Courier New" w:hint="default"/>
      </w:rPr>
    </w:lvl>
    <w:lvl w:ilvl="5" w:tplc="125CBE6E">
      <w:start w:val="1"/>
      <w:numFmt w:val="bullet"/>
      <w:lvlText w:val=""/>
      <w:lvlJc w:val="left"/>
      <w:pPr>
        <w:ind w:left="4320" w:hanging="360"/>
      </w:pPr>
      <w:rPr>
        <w:rFonts w:ascii="Wingdings" w:hAnsi="Wingdings" w:hint="default"/>
      </w:rPr>
    </w:lvl>
    <w:lvl w:ilvl="6" w:tplc="330E1BAC">
      <w:start w:val="1"/>
      <w:numFmt w:val="bullet"/>
      <w:lvlText w:val=""/>
      <w:lvlJc w:val="left"/>
      <w:pPr>
        <w:ind w:left="5040" w:hanging="360"/>
      </w:pPr>
      <w:rPr>
        <w:rFonts w:ascii="Symbol" w:hAnsi="Symbol" w:hint="default"/>
      </w:rPr>
    </w:lvl>
    <w:lvl w:ilvl="7" w:tplc="0B4CB97C">
      <w:start w:val="1"/>
      <w:numFmt w:val="bullet"/>
      <w:lvlText w:val="o"/>
      <w:lvlJc w:val="left"/>
      <w:pPr>
        <w:ind w:left="5760" w:hanging="360"/>
      </w:pPr>
      <w:rPr>
        <w:rFonts w:ascii="Courier New" w:hAnsi="Courier New" w:hint="default"/>
      </w:rPr>
    </w:lvl>
    <w:lvl w:ilvl="8" w:tplc="60B6A082">
      <w:start w:val="1"/>
      <w:numFmt w:val="bullet"/>
      <w:lvlText w:val=""/>
      <w:lvlJc w:val="left"/>
      <w:pPr>
        <w:ind w:left="6480" w:hanging="360"/>
      </w:pPr>
      <w:rPr>
        <w:rFonts w:ascii="Wingdings" w:hAnsi="Wingdings" w:hint="default"/>
      </w:rPr>
    </w:lvl>
  </w:abstractNum>
  <w:abstractNum w:abstractNumId="90" w15:restartNumberingAfterBreak="0">
    <w:nsid w:val="49D773DC"/>
    <w:multiLevelType w:val="hybridMultilevel"/>
    <w:tmpl w:val="E1EE12C2"/>
    <w:lvl w:ilvl="0" w:tplc="873C997E">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1" w15:restartNumberingAfterBreak="0">
    <w:nsid w:val="4A667F9E"/>
    <w:multiLevelType w:val="hybridMultilevel"/>
    <w:tmpl w:val="24D0B19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4C4115D3"/>
    <w:multiLevelType w:val="hybridMultilevel"/>
    <w:tmpl w:val="D4E4A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F7D33CD"/>
    <w:multiLevelType w:val="hybridMultilevel"/>
    <w:tmpl w:val="033A27AA"/>
    <w:lvl w:ilvl="0" w:tplc="FFFFFFFF">
      <w:start w:val="1"/>
      <w:numFmt w:val="bullet"/>
      <w:lvlText w:val="·"/>
      <w:lvlJc w:val="left"/>
      <w:pPr>
        <w:ind w:left="720" w:hanging="360"/>
      </w:pPr>
      <w:rPr>
        <w:rFonts w:ascii="Symbol" w:hAnsi="Symbol" w:hint="default"/>
      </w:rPr>
    </w:lvl>
    <w:lvl w:ilvl="1" w:tplc="B50E7C80">
      <w:start w:val="1"/>
      <w:numFmt w:val="bullet"/>
      <w:lvlText w:val="o"/>
      <w:lvlJc w:val="left"/>
      <w:pPr>
        <w:ind w:left="1440" w:hanging="360"/>
      </w:pPr>
      <w:rPr>
        <w:rFonts w:ascii="Courier New" w:hAnsi="Courier New" w:hint="default"/>
      </w:rPr>
    </w:lvl>
    <w:lvl w:ilvl="2" w:tplc="B582F2EC">
      <w:start w:val="1"/>
      <w:numFmt w:val="bullet"/>
      <w:lvlText w:val=""/>
      <w:lvlJc w:val="left"/>
      <w:pPr>
        <w:ind w:left="2160" w:hanging="360"/>
      </w:pPr>
      <w:rPr>
        <w:rFonts w:ascii="Wingdings" w:hAnsi="Wingdings" w:hint="default"/>
      </w:rPr>
    </w:lvl>
    <w:lvl w:ilvl="3" w:tplc="CFA22DC0">
      <w:start w:val="1"/>
      <w:numFmt w:val="bullet"/>
      <w:lvlText w:val=""/>
      <w:lvlJc w:val="left"/>
      <w:pPr>
        <w:ind w:left="2880" w:hanging="360"/>
      </w:pPr>
      <w:rPr>
        <w:rFonts w:ascii="Symbol" w:hAnsi="Symbol" w:hint="default"/>
      </w:rPr>
    </w:lvl>
    <w:lvl w:ilvl="4" w:tplc="A090585A">
      <w:start w:val="1"/>
      <w:numFmt w:val="bullet"/>
      <w:lvlText w:val="o"/>
      <w:lvlJc w:val="left"/>
      <w:pPr>
        <w:ind w:left="3600" w:hanging="360"/>
      </w:pPr>
      <w:rPr>
        <w:rFonts w:ascii="Courier New" w:hAnsi="Courier New" w:hint="default"/>
      </w:rPr>
    </w:lvl>
    <w:lvl w:ilvl="5" w:tplc="DC34638A">
      <w:start w:val="1"/>
      <w:numFmt w:val="bullet"/>
      <w:lvlText w:val=""/>
      <w:lvlJc w:val="left"/>
      <w:pPr>
        <w:ind w:left="4320" w:hanging="360"/>
      </w:pPr>
      <w:rPr>
        <w:rFonts w:ascii="Wingdings" w:hAnsi="Wingdings" w:hint="default"/>
      </w:rPr>
    </w:lvl>
    <w:lvl w:ilvl="6" w:tplc="0B50478A">
      <w:start w:val="1"/>
      <w:numFmt w:val="bullet"/>
      <w:lvlText w:val=""/>
      <w:lvlJc w:val="left"/>
      <w:pPr>
        <w:ind w:left="5040" w:hanging="360"/>
      </w:pPr>
      <w:rPr>
        <w:rFonts w:ascii="Symbol" w:hAnsi="Symbol" w:hint="default"/>
      </w:rPr>
    </w:lvl>
    <w:lvl w:ilvl="7" w:tplc="F0F48B46">
      <w:start w:val="1"/>
      <w:numFmt w:val="bullet"/>
      <w:lvlText w:val="o"/>
      <w:lvlJc w:val="left"/>
      <w:pPr>
        <w:ind w:left="5760" w:hanging="360"/>
      </w:pPr>
      <w:rPr>
        <w:rFonts w:ascii="Courier New" w:hAnsi="Courier New" w:hint="default"/>
      </w:rPr>
    </w:lvl>
    <w:lvl w:ilvl="8" w:tplc="A1AE2EFE">
      <w:start w:val="1"/>
      <w:numFmt w:val="bullet"/>
      <w:lvlText w:val=""/>
      <w:lvlJc w:val="left"/>
      <w:pPr>
        <w:ind w:left="6480" w:hanging="360"/>
      </w:pPr>
      <w:rPr>
        <w:rFonts w:ascii="Wingdings" w:hAnsi="Wingdings" w:hint="default"/>
      </w:rPr>
    </w:lvl>
  </w:abstractNum>
  <w:abstractNum w:abstractNumId="94" w15:restartNumberingAfterBreak="0">
    <w:nsid w:val="52EC6ECC"/>
    <w:multiLevelType w:val="hybridMultilevel"/>
    <w:tmpl w:val="A506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DA2203"/>
    <w:multiLevelType w:val="hybridMultilevel"/>
    <w:tmpl w:val="0DE8BB92"/>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15:restartNumberingAfterBreak="0">
    <w:nsid w:val="540174FD"/>
    <w:multiLevelType w:val="hybridMultilevel"/>
    <w:tmpl w:val="3836CA74"/>
    <w:lvl w:ilvl="0" w:tplc="43EAD3D8">
      <w:start w:val="1"/>
      <w:numFmt w:val="bullet"/>
      <w:lvlText w:val="-"/>
      <w:lvlJc w:val="left"/>
      <w:pPr>
        <w:ind w:left="720" w:hanging="360"/>
      </w:pPr>
      <w:rPr>
        <w:rFonts w:ascii="Symbol" w:hAnsi="Symbol" w:hint="default"/>
      </w:rPr>
    </w:lvl>
    <w:lvl w:ilvl="1" w:tplc="C33687BC">
      <w:start w:val="1"/>
      <w:numFmt w:val="bullet"/>
      <w:lvlText w:val="o"/>
      <w:lvlJc w:val="left"/>
      <w:pPr>
        <w:ind w:left="1440" w:hanging="360"/>
      </w:pPr>
      <w:rPr>
        <w:rFonts w:ascii="Courier New" w:hAnsi="Courier New" w:hint="default"/>
      </w:rPr>
    </w:lvl>
    <w:lvl w:ilvl="2" w:tplc="B2CCF1B4">
      <w:start w:val="1"/>
      <w:numFmt w:val="bullet"/>
      <w:lvlText w:val=""/>
      <w:lvlJc w:val="left"/>
      <w:pPr>
        <w:ind w:left="2160" w:hanging="360"/>
      </w:pPr>
      <w:rPr>
        <w:rFonts w:ascii="Wingdings" w:hAnsi="Wingdings" w:hint="default"/>
      </w:rPr>
    </w:lvl>
    <w:lvl w:ilvl="3" w:tplc="411657AC">
      <w:start w:val="1"/>
      <w:numFmt w:val="bullet"/>
      <w:lvlText w:val=""/>
      <w:lvlJc w:val="left"/>
      <w:pPr>
        <w:ind w:left="2880" w:hanging="360"/>
      </w:pPr>
      <w:rPr>
        <w:rFonts w:ascii="Symbol" w:hAnsi="Symbol" w:hint="default"/>
      </w:rPr>
    </w:lvl>
    <w:lvl w:ilvl="4" w:tplc="BDC6F242">
      <w:start w:val="1"/>
      <w:numFmt w:val="bullet"/>
      <w:lvlText w:val="o"/>
      <w:lvlJc w:val="left"/>
      <w:pPr>
        <w:ind w:left="3600" w:hanging="360"/>
      </w:pPr>
      <w:rPr>
        <w:rFonts w:ascii="Courier New" w:hAnsi="Courier New" w:hint="default"/>
      </w:rPr>
    </w:lvl>
    <w:lvl w:ilvl="5" w:tplc="77301190">
      <w:start w:val="1"/>
      <w:numFmt w:val="bullet"/>
      <w:lvlText w:val=""/>
      <w:lvlJc w:val="left"/>
      <w:pPr>
        <w:ind w:left="4320" w:hanging="360"/>
      </w:pPr>
      <w:rPr>
        <w:rFonts w:ascii="Wingdings" w:hAnsi="Wingdings" w:hint="default"/>
      </w:rPr>
    </w:lvl>
    <w:lvl w:ilvl="6" w:tplc="3E72EFDA">
      <w:start w:val="1"/>
      <w:numFmt w:val="bullet"/>
      <w:lvlText w:val=""/>
      <w:lvlJc w:val="left"/>
      <w:pPr>
        <w:ind w:left="5040" w:hanging="360"/>
      </w:pPr>
      <w:rPr>
        <w:rFonts w:ascii="Symbol" w:hAnsi="Symbol" w:hint="default"/>
      </w:rPr>
    </w:lvl>
    <w:lvl w:ilvl="7" w:tplc="187CAED0">
      <w:start w:val="1"/>
      <w:numFmt w:val="bullet"/>
      <w:lvlText w:val="o"/>
      <w:lvlJc w:val="left"/>
      <w:pPr>
        <w:ind w:left="5760" w:hanging="360"/>
      </w:pPr>
      <w:rPr>
        <w:rFonts w:ascii="Courier New" w:hAnsi="Courier New" w:hint="default"/>
      </w:rPr>
    </w:lvl>
    <w:lvl w:ilvl="8" w:tplc="FE942D0A">
      <w:start w:val="1"/>
      <w:numFmt w:val="bullet"/>
      <w:lvlText w:val=""/>
      <w:lvlJc w:val="left"/>
      <w:pPr>
        <w:ind w:left="6480" w:hanging="360"/>
      </w:pPr>
      <w:rPr>
        <w:rFonts w:ascii="Wingdings" w:hAnsi="Wingdings" w:hint="default"/>
      </w:rPr>
    </w:lvl>
  </w:abstractNum>
  <w:abstractNum w:abstractNumId="97" w15:restartNumberingAfterBreak="0">
    <w:nsid w:val="542F57C6"/>
    <w:multiLevelType w:val="hybridMultilevel"/>
    <w:tmpl w:val="1100798C"/>
    <w:lvl w:ilvl="0" w:tplc="DE7CF2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99" w15:restartNumberingAfterBreak="0">
    <w:nsid w:val="559B6D28"/>
    <w:multiLevelType w:val="hybridMultilevel"/>
    <w:tmpl w:val="F1F6F1A4"/>
    <w:lvl w:ilvl="0" w:tplc="D8CCA47E">
      <w:start w:val="1"/>
      <w:numFmt w:val="bullet"/>
      <w:lvlText w:val="-"/>
      <w:lvlJc w:val="left"/>
      <w:pPr>
        <w:ind w:left="1429" w:hanging="360"/>
      </w:pPr>
      <w:rPr>
        <w:rFonts w:ascii="&quot;Times New Roman&quot;,serif" w:hAnsi="&quot;Times New Roman&quot;,serif"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55C10E65"/>
    <w:multiLevelType w:val="multilevel"/>
    <w:tmpl w:val="8D7C4D2A"/>
    <w:lvl w:ilvl="0">
      <w:start w:val="1"/>
      <w:numFmt w:val="decimal"/>
      <w:pStyle w:val="LegalNumPar"/>
      <w:lvlText w:val="%1."/>
      <w:lvlJc w:val="left"/>
      <w:pPr>
        <w:ind w:left="476" w:hanging="476"/>
      </w:pPr>
      <w:rPr>
        <w:rFonts w:hint="default"/>
        <w:b/>
        <w:bCs/>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8306812"/>
    <w:multiLevelType w:val="hybridMultilevel"/>
    <w:tmpl w:val="A414406A"/>
    <w:lvl w:ilvl="0" w:tplc="81704D26">
      <w:start w:val="1"/>
      <w:numFmt w:val="decimal"/>
      <w:lvlText w:val="%1."/>
      <w:lvlJc w:val="left"/>
      <w:pPr>
        <w:ind w:left="720" w:hanging="360"/>
      </w:pPr>
    </w:lvl>
    <w:lvl w:ilvl="1" w:tplc="3812771A">
      <w:start w:val="1"/>
      <w:numFmt w:val="lowerLetter"/>
      <w:lvlText w:val="%2."/>
      <w:lvlJc w:val="left"/>
      <w:pPr>
        <w:ind w:left="1440" w:hanging="360"/>
      </w:pPr>
    </w:lvl>
    <w:lvl w:ilvl="2" w:tplc="BCCC7F8E">
      <w:start w:val="1"/>
      <w:numFmt w:val="lowerRoman"/>
      <w:lvlText w:val="%3."/>
      <w:lvlJc w:val="right"/>
      <w:pPr>
        <w:ind w:left="2160" w:hanging="180"/>
      </w:pPr>
    </w:lvl>
    <w:lvl w:ilvl="3" w:tplc="ED1E3E9A">
      <w:start w:val="1"/>
      <w:numFmt w:val="decimal"/>
      <w:lvlText w:val="%4."/>
      <w:lvlJc w:val="left"/>
      <w:pPr>
        <w:ind w:left="2880" w:hanging="360"/>
      </w:pPr>
    </w:lvl>
    <w:lvl w:ilvl="4" w:tplc="200832B0">
      <w:start w:val="1"/>
      <w:numFmt w:val="lowerLetter"/>
      <w:lvlText w:val="%5."/>
      <w:lvlJc w:val="left"/>
      <w:pPr>
        <w:ind w:left="3600" w:hanging="360"/>
      </w:pPr>
    </w:lvl>
    <w:lvl w:ilvl="5" w:tplc="07C8DB6C">
      <w:start w:val="1"/>
      <w:numFmt w:val="lowerRoman"/>
      <w:lvlText w:val="%6."/>
      <w:lvlJc w:val="right"/>
      <w:pPr>
        <w:ind w:left="4320" w:hanging="180"/>
      </w:pPr>
    </w:lvl>
    <w:lvl w:ilvl="6" w:tplc="7DB27892">
      <w:start w:val="1"/>
      <w:numFmt w:val="decimal"/>
      <w:lvlText w:val="%7."/>
      <w:lvlJc w:val="left"/>
      <w:pPr>
        <w:ind w:left="5040" w:hanging="360"/>
      </w:pPr>
    </w:lvl>
    <w:lvl w:ilvl="7" w:tplc="E16EB3FA">
      <w:start w:val="1"/>
      <w:numFmt w:val="lowerLetter"/>
      <w:lvlText w:val="%8."/>
      <w:lvlJc w:val="left"/>
      <w:pPr>
        <w:ind w:left="5760" w:hanging="360"/>
      </w:pPr>
    </w:lvl>
    <w:lvl w:ilvl="8" w:tplc="2398F53E">
      <w:start w:val="1"/>
      <w:numFmt w:val="lowerRoman"/>
      <w:lvlText w:val="%9."/>
      <w:lvlJc w:val="right"/>
      <w:pPr>
        <w:ind w:left="6480" w:hanging="180"/>
      </w:pPr>
    </w:lvl>
  </w:abstractNum>
  <w:abstractNum w:abstractNumId="102" w15:restartNumberingAfterBreak="0">
    <w:nsid w:val="58E05220"/>
    <w:multiLevelType w:val="multilevel"/>
    <w:tmpl w:val="CC903D2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4"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6" w15:restartNumberingAfterBreak="0">
    <w:nsid w:val="5E2E53FD"/>
    <w:multiLevelType w:val="hybridMultilevel"/>
    <w:tmpl w:val="CCCE8B74"/>
    <w:lvl w:ilvl="0" w:tplc="0410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0D4639"/>
    <w:multiLevelType w:val="hybridMultilevel"/>
    <w:tmpl w:val="7A1CF0CE"/>
    <w:lvl w:ilvl="0" w:tplc="8EBEB170">
      <w:start w:val="1"/>
      <w:numFmt w:val="decimal"/>
      <w:lvlText w:val="%1."/>
      <w:lvlJc w:val="left"/>
      <w:pPr>
        <w:ind w:left="288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8" w15:restartNumberingAfterBreak="0">
    <w:nsid w:val="60601DA6"/>
    <w:multiLevelType w:val="hybridMultilevel"/>
    <w:tmpl w:val="50EE3990"/>
    <w:lvl w:ilvl="0" w:tplc="0809000F">
      <w:start w:val="1"/>
      <w:numFmt w:val="decimal"/>
      <w:lvlText w:val="%1."/>
      <w:lvlJc w:val="left"/>
      <w:pPr>
        <w:ind w:left="1490" w:hanging="360"/>
      </w:p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09" w15:restartNumberingAfterBreak="0">
    <w:nsid w:val="624AD152"/>
    <w:multiLevelType w:val="hybridMultilevel"/>
    <w:tmpl w:val="88BC0D52"/>
    <w:lvl w:ilvl="0" w:tplc="57D01C9A">
      <w:start w:val="5"/>
      <w:numFmt w:val="decimal"/>
      <w:lvlText w:val="%1."/>
      <w:lvlJc w:val="left"/>
      <w:pPr>
        <w:ind w:left="720" w:hanging="360"/>
      </w:pPr>
    </w:lvl>
    <w:lvl w:ilvl="1" w:tplc="BB763844">
      <w:start w:val="1"/>
      <w:numFmt w:val="lowerLetter"/>
      <w:lvlText w:val="%2."/>
      <w:lvlJc w:val="left"/>
      <w:pPr>
        <w:ind w:left="1440" w:hanging="360"/>
      </w:pPr>
    </w:lvl>
    <w:lvl w:ilvl="2" w:tplc="16200EBC">
      <w:start w:val="1"/>
      <w:numFmt w:val="lowerRoman"/>
      <w:lvlText w:val="%3."/>
      <w:lvlJc w:val="right"/>
      <w:pPr>
        <w:ind w:left="2160" w:hanging="180"/>
      </w:pPr>
    </w:lvl>
    <w:lvl w:ilvl="3" w:tplc="B7BAEAE6">
      <w:start w:val="1"/>
      <w:numFmt w:val="decimal"/>
      <w:lvlText w:val="%4."/>
      <w:lvlJc w:val="left"/>
      <w:pPr>
        <w:ind w:left="2880" w:hanging="360"/>
      </w:pPr>
    </w:lvl>
    <w:lvl w:ilvl="4" w:tplc="1C36C86A">
      <w:start w:val="1"/>
      <w:numFmt w:val="lowerLetter"/>
      <w:lvlText w:val="%5."/>
      <w:lvlJc w:val="left"/>
      <w:pPr>
        <w:ind w:left="3600" w:hanging="360"/>
      </w:pPr>
    </w:lvl>
    <w:lvl w:ilvl="5" w:tplc="3E42E02A">
      <w:start w:val="1"/>
      <w:numFmt w:val="lowerRoman"/>
      <w:lvlText w:val="%6."/>
      <w:lvlJc w:val="right"/>
      <w:pPr>
        <w:ind w:left="4320" w:hanging="180"/>
      </w:pPr>
    </w:lvl>
    <w:lvl w:ilvl="6" w:tplc="5D22767E">
      <w:start w:val="1"/>
      <w:numFmt w:val="decimal"/>
      <w:lvlText w:val="%7."/>
      <w:lvlJc w:val="left"/>
      <w:pPr>
        <w:ind w:left="5040" w:hanging="360"/>
      </w:pPr>
    </w:lvl>
    <w:lvl w:ilvl="7" w:tplc="3B629350">
      <w:start w:val="1"/>
      <w:numFmt w:val="lowerLetter"/>
      <w:lvlText w:val="%8."/>
      <w:lvlJc w:val="left"/>
      <w:pPr>
        <w:ind w:left="5760" w:hanging="360"/>
      </w:pPr>
    </w:lvl>
    <w:lvl w:ilvl="8" w:tplc="F24E56F6">
      <w:start w:val="1"/>
      <w:numFmt w:val="lowerRoman"/>
      <w:lvlText w:val="%9."/>
      <w:lvlJc w:val="right"/>
      <w:pPr>
        <w:ind w:left="6480" w:hanging="180"/>
      </w:pPr>
    </w:lvl>
  </w:abstractNum>
  <w:abstractNum w:abstractNumId="110" w15:restartNumberingAfterBreak="0">
    <w:nsid w:val="63A15AD3"/>
    <w:multiLevelType w:val="hybridMultilevel"/>
    <w:tmpl w:val="13087CA4"/>
    <w:lvl w:ilvl="0" w:tplc="D4E27C9A">
      <w:start w:val="1"/>
      <w:numFmt w:val="bullet"/>
      <w:pStyle w:val="TOC1"/>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1" w15:restartNumberingAfterBreak="0">
    <w:nsid w:val="64A12FA4"/>
    <w:multiLevelType w:val="multilevel"/>
    <w:tmpl w:val="01AC73DA"/>
    <w:name w:val="Heading"/>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4EC091A"/>
    <w:multiLevelType w:val="hybridMultilevel"/>
    <w:tmpl w:val="A5402258"/>
    <w:lvl w:ilvl="0" w:tplc="6B70334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3" w15:restartNumberingAfterBreak="0">
    <w:nsid w:val="65344C90"/>
    <w:multiLevelType w:val="hybridMultilevel"/>
    <w:tmpl w:val="475E3F6E"/>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4" w15:restartNumberingAfterBreak="0">
    <w:nsid w:val="674B6638"/>
    <w:multiLevelType w:val="hybridMultilevel"/>
    <w:tmpl w:val="82AED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16" w15:restartNumberingAfterBreak="0">
    <w:nsid w:val="68275928"/>
    <w:multiLevelType w:val="hybridMultilevel"/>
    <w:tmpl w:val="EEA83D3E"/>
    <w:lvl w:ilvl="0" w:tplc="0310DEC8">
      <w:start w:val="1"/>
      <w:numFmt w:val="decimal"/>
      <w:lvlText w:val="%1."/>
      <w:lvlJc w:val="left"/>
      <w:pPr>
        <w:ind w:left="720" w:hanging="360"/>
      </w:pPr>
    </w:lvl>
    <w:lvl w:ilvl="1" w:tplc="4296C1E0">
      <w:start w:val="1"/>
      <w:numFmt w:val="lowerLetter"/>
      <w:lvlText w:val="%2."/>
      <w:lvlJc w:val="left"/>
      <w:pPr>
        <w:ind w:left="1440" w:hanging="360"/>
      </w:pPr>
    </w:lvl>
    <w:lvl w:ilvl="2" w:tplc="251874FE">
      <w:start w:val="1"/>
      <w:numFmt w:val="lowerRoman"/>
      <w:lvlText w:val="%3."/>
      <w:lvlJc w:val="right"/>
      <w:pPr>
        <w:ind w:left="2160" w:hanging="180"/>
      </w:pPr>
    </w:lvl>
    <w:lvl w:ilvl="3" w:tplc="D0BE86EC">
      <w:start w:val="1"/>
      <w:numFmt w:val="decimal"/>
      <w:lvlText w:val="%4."/>
      <w:lvlJc w:val="left"/>
      <w:pPr>
        <w:ind w:left="2880" w:hanging="360"/>
      </w:pPr>
    </w:lvl>
    <w:lvl w:ilvl="4" w:tplc="742AF87E">
      <w:start w:val="1"/>
      <w:numFmt w:val="lowerLetter"/>
      <w:lvlText w:val="%5."/>
      <w:lvlJc w:val="left"/>
      <w:pPr>
        <w:ind w:left="3600" w:hanging="360"/>
      </w:pPr>
    </w:lvl>
    <w:lvl w:ilvl="5" w:tplc="7D0A5CF0">
      <w:start w:val="1"/>
      <w:numFmt w:val="lowerRoman"/>
      <w:lvlText w:val="%6."/>
      <w:lvlJc w:val="right"/>
      <w:pPr>
        <w:ind w:left="4320" w:hanging="180"/>
      </w:pPr>
    </w:lvl>
    <w:lvl w:ilvl="6" w:tplc="BA7CCF8E">
      <w:start w:val="1"/>
      <w:numFmt w:val="decimal"/>
      <w:lvlText w:val="%7."/>
      <w:lvlJc w:val="left"/>
      <w:pPr>
        <w:ind w:left="5040" w:hanging="360"/>
      </w:pPr>
    </w:lvl>
    <w:lvl w:ilvl="7" w:tplc="F68027A2">
      <w:start w:val="1"/>
      <w:numFmt w:val="lowerLetter"/>
      <w:lvlText w:val="%8."/>
      <w:lvlJc w:val="left"/>
      <w:pPr>
        <w:ind w:left="5760" w:hanging="360"/>
      </w:pPr>
    </w:lvl>
    <w:lvl w:ilvl="8" w:tplc="B8E6DEAE">
      <w:start w:val="1"/>
      <w:numFmt w:val="lowerRoman"/>
      <w:lvlText w:val="%9."/>
      <w:lvlJc w:val="right"/>
      <w:pPr>
        <w:ind w:left="6480" w:hanging="180"/>
      </w:pPr>
    </w:lvl>
  </w:abstractNum>
  <w:abstractNum w:abstractNumId="117" w15:restartNumberingAfterBreak="0">
    <w:nsid w:val="686C5300"/>
    <w:multiLevelType w:val="hybridMultilevel"/>
    <w:tmpl w:val="CDC23668"/>
    <w:lvl w:ilvl="0" w:tplc="B1C0C5CC">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69936A2E"/>
    <w:multiLevelType w:val="hybridMultilevel"/>
    <w:tmpl w:val="7DFCC346"/>
    <w:lvl w:ilvl="0" w:tplc="5380BE8C">
      <w:start w:val="1"/>
      <w:numFmt w:val="lowerRoman"/>
      <w:lvlText w:val="%1)"/>
      <w:lvlJc w:val="righ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9" w15:restartNumberingAfterBreak="0">
    <w:nsid w:val="6B9B6369"/>
    <w:multiLevelType w:val="hybridMultilevel"/>
    <w:tmpl w:val="15EAFC7E"/>
    <w:lvl w:ilvl="0" w:tplc="2DBE2F9C">
      <w:start w:val="1"/>
      <w:numFmt w:val="decimal"/>
      <w:lvlText w:val="%1."/>
      <w:lvlJc w:val="left"/>
      <w:pPr>
        <w:ind w:left="1080" w:hanging="360"/>
      </w:pPr>
    </w:lvl>
    <w:lvl w:ilvl="1" w:tplc="C3820358">
      <w:start w:val="1"/>
      <w:numFmt w:val="lowerLetter"/>
      <w:lvlText w:val="%2."/>
      <w:lvlJc w:val="left"/>
      <w:pPr>
        <w:ind w:left="1800" w:hanging="360"/>
      </w:pPr>
    </w:lvl>
    <w:lvl w:ilvl="2" w:tplc="B9D2414A">
      <w:start w:val="1"/>
      <w:numFmt w:val="lowerRoman"/>
      <w:lvlText w:val="%3."/>
      <w:lvlJc w:val="right"/>
      <w:pPr>
        <w:ind w:left="2520" w:hanging="180"/>
      </w:pPr>
    </w:lvl>
    <w:lvl w:ilvl="3" w:tplc="FFEA6E2E">
      <w:start w:val="1"/>
      <w:numFmt w:val="decimal"/>
      <w:lvlText w:val="%4."/>
      <w:lvlJc w:val="left"/>
      <w:pPr>
        <w:ind w:left="3240" w:hanging="360"/>
      </w:pPr>
    </w:lvl>
    <w:lvl w:ilvl="4" w:tplc="7278C902">
      <w:start w:val="1"/>
      <w:numFmt w:val="lowerLetter"/>
      <w:lvlText w:val="%5."/>
      <w:lvlJc w:val="left"/>
      <w:pPr>
        <w:ind w:left="3960" w:hanging="360"/>
      </w:pPr>
    </w:lvl>
    <w:lvl w:ilvl="5" w:tplc="06902786">
      <w:start w:val="1"/>
      <w:numFmt w:val="lowerRoman"/>
      <w:lvlText w:val="%6."/>
      <w:lvlJc w:val="right"/>
      <w:pPr>
        <w:ind w:left="4680" w:hanging="180"/>
      </w:pPr>
    </w:lvl>
    <w:lvl w:ilvl="6" w:tplc="85AA4446">
      <w:start w:val="1"/>
      <w:numFmt w:val="decimal"/>
      <w:lvlText w:val="%7."/>
      <w:lvlJc w:val="left"/>
      <w:pPr>
        <w:ind w:left="5400" w:hanging="360"/>
      </w:pPr>
    </w:lvl>
    <w:lvl w:ilvl="7" w:tplc="A01E4640">
      <w:start w:val="1"/>
      <w:numFmt w:val="lowerLetter"/>
      <w:lvlText w:val="%8."/>
      <w:lvlJc w:val="left"/>
      <w:pPr>
        <w:ind w:left="6120" w:hanging="360"/>
      </w:pPr>
    </w:lvl>
    <w:lvl w:ilvl="8" w:tplc="8C5E8914">
      <w:start w:val="1"/>
      <w:numFmt w:val="lowerRoman"/>
      <w:lvlText w:val="%9."/>
      <w:lvlJc w:val="right"/>
      <w:pPr>
        <w:ind w:left="6840" w:hanging="180"/>
      </w:pPr>
    </w:lvl>
  </w:abstractNum>
  <w:abstractNum w:abstractNumId="120" w15:restartNumberingAfterBreak="0">
    <w:nsid w:val="6DA324ED"/>
    <w:multiLevelType w:val="hybridMultilevel"/>
    <w:tmpl w:val="AB046AC0"/>
    <w:lvl w:ilvl="0" w:tplc="C3145206">
      <w:start w:val="4"/>
      <w:numFmt w:val="decimal"/>
      <w:lvlText w:val="%1."/>
      <w:lvlJc w:val="left"/>
      <w:pPr>
        <w:ind w:left="720" w:hanging="360"/>
      </w:pPr>
    </w:lvl>
    <w:lvl w:ilvl="1" w:tplc="16562EF0">
      <w:start w:val="1"/>
      <w:numFmt w:val="lowerLetter"/>
      <w:lvlText w:val="%2."/>
      <w:lvlJc w:val="left"/>
      <w:pPr>
        <w:ind w:left="1440" w:hanging="360"/>
      </w:pPr>
    </w:lvl>
    <w:lvl w:ilvl="2" w:tplc="25409482">
      <w:start w:val="1"/>
      <w:numFmt w:val="lowerRoman"/>
      <w:lvlText w:val="%3."/>
      <w:lvlJc w:val="right"/>
      <w:pPr>
        <w:ind w:left="2160" w:hanging="180"/>
      </w:pPr>
    </w:lvl>
    <w:lvl w:ilvl="3" w:tplc="D3029B4A">
      <w:start w:val="1"/>
      <w:numFmt w:val="decimal"/>
      <w:lvlText w:val="%4."/>
      <w:lvlJc w:val="left"/>
      <w:pPr>
        <w:ind w:left="2880" w:hanging="360"/>
      </w:pPr>
    </w:lvl>
    <w:lvl w:ilvl="4" w:tplc="11066422">
      <w:start w:val="1"/>
      <w:numFmt w:val="lowerLetter"/>
      <w:lvlText w:val="%5."/>
      <w:lvlJc w:val="left"/>
      <w:pPr>
        <w:ind w:left="3600" w:hanging="360"/>
      </w:pPr>
    </w:lvl>
    <w:lvl w:ilvl="5" w:tplc="C8A61EE4">
      <w:start w:val="1"/>
      <w:numFmt w:val="lowerRoman"/>
      <w:lvlText w:val="%6."/>
      <w:lvlJc w:val="right"/>
      <w:pPr>
        <w:ind w:left="4320" w:hanging="180"/>
      </w:pPr>
    </w:lvl>
    <w:lvl w:ilvl="6" w:tplc="67A001A8">
      <w:start w:val="1"/>
      <w:numFmt w:val="decimal"/>
      <w:lvlText w:val="%7."/>
      <w:lvlJc w:val="left"/>
      <w:pPr>
        <w:ind w:left="5040" w:hanging="360"/>
      </w:pPr>
    </w:lvl>
    <w:lvl w:ilvl="7" w:tplc="CB1EC7B4">
      <w:start w:val="1"/>
      <w:numFmt w:val="lowerLetter"/>
      <w:lvlText w:val="%8."/>
      <w:lvlJc w:val="left"/>
      <w:pPr>
        <w:ind w:left="5760" w:hanging="360"/>
      </w:pPr>
    </w:lvl>
    <w:lvl w:ilvl="8" w:tplc="BC1E438C">
      <w:start w:val="1"/>
      <w:numFmt w:val="lowerRoman"/>
      <w:lvlText w:val="%9."/>
      <w:lvlJc w:val="right"/>
      <w:pPr>
        <w:ind w:left="6480" w:hanging="180"/>
      </w:pPr>
    </w:lvl>
  </w:abstractNum>
  <w:abstractNum w:abstractNumId="121" w15:restartNumberingAfterBreak="0">
    <w:nsid w:val="6DEA7483"/>
    <w:multiLevelType w:val="hybridMultilevel"/>
    <w:tmpl w:val="189A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ED619B"/>
    <w:multiLevelType w:val="hybridMultilevel"/>
    <w:tmpl w:val="FD30E5B0"/>
    <w:lvl w:ilvl="0" w:tplc="ADE0F75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3" w15:restartNumberingAfterBreak="0">
    <w:nsid w:val="6ED65A49"/>
    <w:multiLevelType w:val="hybridMultilevel"/>
    <w:tmpl w:val="0182460E"/>
    <w:lvl w:ilvl="0" w:tplc="1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70257864"/>
    <w:multiLevelType w:val="hybridMultilevel"/>
    <w:tmpl w:val="B2D04A18"/>
    <w:lvl w:ilvl="0" w:tplc="7AACA2A8">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027604A"/>
    <w:multiLevelType w:val="hybridMultilevel"/>
    <w:tmpl w:val="6894551A"/>
    <w:lvl w:ilvl="0" w:tplc="60C4BCA6">
      <w:start w:val="1"/>
      <w:numFmt w:val="lowerRoman"/>
      <w:lvlText w:val="%1."/>
      <w:lvlJc w:val="right"/>
      <w:pPr>
        <w:ind w:left="720" w:hanging="360"/>
      </w:pPr>
    </w:lvl>
    <w:lvl w:ilvl="1" w:tplc="D0DE7B0A">
      <w:start w:val="1"/>
      <w:numFmt w:val="lowerLetter"/>
      <w:lvlText w:val="%2."/>
      <w:lvlJc w:val="left"/>
      <w:pPr>
        <w:ind w:left="1440" w:hanging="360"/>
      </w:pPr>
    </w:lvl>
    <w:lvl w:ilvl="2" w:tplc="8A403568">
      <w:start w:val="1"/>
      <w:numFmt w:val="lowerRoman"/>
      <w:lvlText w:val="%3."/>
      <w:lvlJc w:val="right"/>
      <w:pPr>
        <w:ind w:left="2160" w:hanging="180"/>
      </w:pPr>
    </w:lvl>
    <w:lvl w:ilvl="3" w:tplc="4AD2D12C">
      <w:start w:val="1"/>
      <w:numFmt w:val="decimal"/>
      <w:lvlText w:val="%4."/>
      <w:lvlJc w:val="left"/>
      <w:pPr>
        <w:ind w:left="2880" w:hanging="360"/>
      </w:pPr>
    </w:lvl>
    <w:lvl w:ilvl="4" w:tplc="184466CE">
      <w:start w:val="1"/>
      <w:numFmt w:val="lowerLetter"/>
      <w:lvlText w:val="%5."/>
      <w:lvlJc w:val="left"/>
      <w:pPr>
        <w:ind w:left="3600" w:hanging="360"/>
      </w:pPr>
    </w:lvl>
    <w:lvl w:ilvl="5" w:tplc="4CE697FC">
      <w:start w:val="1"/>
      <w:numFmt w:val="lowerRoman"/>
      <w:lvlText w:val="%6."/>
      <w:lvlJc w:val="right"/>
      <w:pPr>
        <w:ind w:left="4320" w:hanging="180"/>
      </w:pPr>
    </w:lvl>
    <w:lvl w:ilvl="6" w:tplc="107CB322">
      <w:start w:val="1"/>
      <w:numFmt w:val="decimal"/>
      <w:lvlText w:val="%7."/>
      <w:lvlJc w:val="left"/>
      <w:pPr>
        <w:ind w:left="5040" w:hanging="360"/>
      </w:pPr>
    </w:lvl>
    <w:lvl w:ilvl="7" w:tplc="D5F49DFE">
      <w:start w:val="1"/>
      <w:numFmt w:val="lowerLetter"/>
      <w:lvlText w:val="%8."/>
      <w:lvlJc w:val="left"/>
      <w:pPr>
        <w:ind w:left="5760" w:hanging="360"/>
      </w:pPr>
    </w:lvl>
    <w:lvl w:ilvl="8" w:tplc="C4E07C50">
      <w:start w:val="1"/>
      <w:numFmt w:val="lowerRoman"/>
      <w:lvlText w:val="%9."/>
      <w:lvlJc w:val="right"/>
      <w:pPr>
        <w:ind w:left="6480" w:hanging="180"/>
      </w:pPr>
    </w:lvl>
  </w:abstractNum>
  <w:abstractNum w:abstractNumId="126" w15:restartNumberingAfterBreak="0">
    <w:nsid w:val="70500DE9"/>
    <w:multiLevelType w:val="hybridMultilevel"/>
    <w:tmpl w:val="C332FCB4"/>
    <w:lvl w:ilvl="0" w:tplc="7AACA2A8">
      <w:start w:val="1"/>
      <w:numFmt w:val="lowerRoman"/>
      <w:lvlText w:val="%1)"/>
      <w:lvlJc w:val="left"/>
      <w:pPr>
        <w:ind w:left="1080" w:hanging="360"/>
      </w:pPr>
      <w:rPr>
        <w:rFonts w:hint="default"/>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Roman"/>
      <w:lvlText w:val="%5."/>
      <w:lvlJc w:val="righ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27" w15:restartNumberingAfterBreak="0">
    <w:nsid w:val="71161A9B"/>
    <w:multiLevelType w:val="hybridMultilevel"/>
    <w:tmpl w:val="B6EE62E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8" w15:restartNumberingAfterBreak="0">
    <w:nsid w:val="71F93315"/>
    <w:multiLevelType w:val="hybridMultilevel"/>
    <w:tmpl w:val="C32CE0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9" w15:restartNumberingAfterBreak="0">
    <w:nsid w:val="726E3DB0"/>
    <w:multiLevelType w:val="hybridMultilevel"/>
    <w:tmpl w:val="A7B0B03C"/>
    <w:lvl w:ilvl="0" w:tplc="28B87E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3761BF6"/>
    <w:multiLevelType w:val="hybridMultilevel"/>
    <w:tmpl w:val="FFFFFFFF"/>
    <w:lvl w:ilvl="0" w:tplc="CEFAE81C">
      <w:start w:val="2"/>
      <w:numFmt w:val="decimal"/>
      <w:lvlText w:val="%1."/>
      <w:lvlJc w:val="left"/>
      <w:pPr>
        <w:ind w:left="720" w:hanging="360"/>
      </w:pPr>
    </w:lvl>
    <w:lvl w:ilvl="1" w:tplc="095A45DC">
      <w:start w:val="1"/>
      <w:numFmt w:val="lowerLetter"/>
      <w:lvlText w:val="%2."/>
      <w:lvlJc w:val="left"/>
      <w:pPr>
        <w:ind w:left="1440" w:hanging="360"/>
      </w:pPr>
    </w:lvl>
    <w:lvl w:ilvl="2" w:tplc="99D4FD6C">
      <w:start w:val="1"/>
      <w:numFmt w:val="lowerRoman"/>
      <w:lvlText w:val="%3."/>
      <w:lvlJc w:val="right"/>
      <w:pPr>
        <w:ind w:left="2160" w:hanging="180"/>
      </w:pPr>
    </w:lvl>
    <w:lvl w:ilvl="3" w:tplc="C41E4DB6">
      <w:start w:val="1"/>
      <w:numFmt w:val="decimal"/>
      <w:lvlText w:val="%4."/>
      <w:lvlJc w:val="left"/>
      <w:pPr>
        <w:ind w:left="2880" w:hanging="360"/>
      </w:pPr>
    </w:lvl>
    <w:lvl w:ilvl="4" w:tplc="A48AD790">
      <w:start w:val="1"/>
      <w:numFmt w:val="lowerLetter"/>
      <w:lvlText w:val="%5."/>
      <w:lvlJc w:val="left"/>
      <w:pPr>
        <w:ind w:left="3600" w:hanging="360"/>
      </w:pPr>
    </w:lvl>
    <w:lvl w:ilvl="5" w:tplc="448408A2">
      <w:start w:val="1"/>
      <w:numFmt w:val="lowerRoman"/>
      <w:lvlText w:val="%6."/>
      <w:lvlJc w:val="right"/>
      <w:pPr>
        <w:ind w:left="4320" w:hanging="180"/>
      </w:pPr>
    </w:lvl>
    <w:lvl w:ilvl="6" w:tplc="B19A031A">
      <w:start w:val="1"/>
      <w:numFmt w:val="decimal"/>
      <w:lvlText w:val="%7."/>
      <w:lvlJc w:val="left"/>
      <w:pPr>
        <w:ind w:left="5040" w:hanging="360"/>
      </w:pPr>
    </w:lvl>
    <w:lvl w:ilvl="7" w:tplc="37B0DE34">
      <w:start w:val="1"/>
      <w:numFmt w:val="lowerLetter"/>
      <w:lvlText w:val="%8."/>
      <w:lvlJc w:val="left"/>
      <w:pPr>
        <w:ind w:left="5760" w:hanging="360"/>
      </w:pPr>
    </w:lvl>
    <w:lvl w:ilvl="8" w:tplc="1DACC56E">
      <w:start w:val="1"/>
      <w:numFmt w:val="lowerRoman"/>
      <w:lvlText w:val="%9."/>
      <w:lvlJc w:val="right"/>
      <w:pPr>
        <w:ind w:left="6480" w:hanging="180"/>
      </w:pPr>
    </w:lvl>
  </w:abstractNum>
  <w:abstractNum w:abstractNumId="131" w15:restartNumberingAfterBreak="0">
    <w:nsid w:val="74466B1D"/>
    <w:multiLevelType w:val="hybridMultilevel"/>
    <w:tmpl w:val="8E980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74A03A6C"/>
    <w:multiLevelType w:val="hybridMultilevel"/>
    <w:tmpl w:val="83689C3A"/>
    <w:lvl w:ilvl="0" w:tplc="07967068">
      <w:start w:val="2"/>
      <w:numFmt w:val="decimal"/>
      <w:lvlText w:val="%1."/>
      <w:lvlJc w:val="left"/>
      <w:pPr>
        <w:ind w:left="720" w:hanging="360"/>
      </w:pPr>
    </w:lvl>
    <w:lvl w:ilvl="1" w:tplc="A1BE8E88">
      <w:start w:val="1"/>
      <w:numFmt w:val="lowerLetter"/>
      <w:lvlText w:val="%2."/>
      <w:lvlJc w:val="left"/>
      <w:pPr>
        <w:ind w:left="1440" w:hanging="360"/>
      </w:pPr>
    </w:lvl>
    <w:lvl w:ilvl="2" w:tplc="81F4F64C">
      <w:start w:val="1"/>
      <w:numFmt w:val="lowerRoman"/>
      <w:lvlText w:val="%3."/>
      <w:lvlJc w:val="right"/>
      <w:pPr>
        <w:ind w:left="2160" w:hanging="180"/>
      </w:pPr>
    </w:lvl>
    <w:lvl w:ilvl="3" w:tplc="4BE4E32C">
      <w:start w:val="1"/>
      <w:numFmt w:val="decimal"/>
      <w:lvlText w:val="%4."/>
      <w:lvlJc w:val="left"/>
      <w:pPr>
        <w:ind w:left="2880" w:hanging="360"/>
      </w:pPr>
    </w:lvl>
    <w:lvl w:ilvl="4" w:tplc="D4F8C2E4">
      <w:start w:val="1"/>
      <w:numFmt w:val="lowerLetter"/>
      <w:lvlText w:val="%5."/>
      <w:lvlJc w:val="left"/>
      <w:pPr>
        <w:ind w:left="3600" w:hanging="360"/>
      </w:pPr>
    </w:lvl>
    <w:lvl w:ilvl="5" w:tplc="240057E6">
      <w:start w:val="1"/>
      <w:numFmt w:val="lowerRoman"/>
      <w:lvlText w:val="%6."/>
      <w:lvlJc w:val="right"/>
      <w:pPr>
        <w:ind w:left="4320" w:hanging="180"/>
      </w:pPr>
    </w:lvl>
    <w:lvl w:ilvl="6" w:tplc="7DD60212">
      <w:start w:val="1"/>
      <w:numFmt w:val="decimal"/>
      <w:lvlText w:val="%7."/>
      <w:lvlJc w:val="left"/>
      <w:pPr>
        <w:ind w:left="5040" w:hanging="360"/>
      </w:pPr>
    </w:lvl>
    <w:lvl w:ilvl="7" w:tplc="BA7495EE">
      <w:start w:val="1"/>
      <w:numFmt w:val="lowerLetter"/>
      <w:lvlText w:val="%8."/>
      <w:lvlJc w:val="left"/>
      <w:pPr>
        <w:ind w:left="5760" w:hanging="360"/>
      </w:pPr>
    </w:lvl>
    <w:lvl w:ilvl="8" w:tplc="7338BFE8">
      <w:start w:val="1"/>
      <w:numFmt w:val="lowerRoman"/>
      <w:lvlText w:val="%9."/>
      <w:lvlJc w:val="right"/>
      <w:pPr>
        <w:ind w:left="6480" w:hanging="180"/>
      </w:pPr>
    </w:lvl>
  </w:abstractNum>
  <w:abstractNum w:abstractNumId="133" w15:restartNumberingAfterBreak="0">
    <w:nsid w:val="74B061B5"/>
    <w:multiLevelType w:val="hybridMultilevel"/>
    <w:tmpl w:val="5E32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4" w15:restartNumberingAfterBreak="0">
    <w:nsid w:val="75E1084C"/>
    <w:multiLevelType w:val="hybridMultilevel"/>
    <w:tmpl w:val="F2B23B7C"/>
    <w:lvl w:ilvl="0" w:tplc="28B87E4A">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15:restartNumberingAfterBreak="0">
    <w:nsid w:val="76E1A839"/>
    <w:multiLevelType w:val="hybridMultilevel"/>
    <w:tmpl w:val="FFFFFFFF"/>
    <w:lvl w:ilvl="0" w:tplc="692AFB0C">
      <w:start w:val="1"/>
      <w:numFmt w:val="bullet"/>
      <w:lvlText w:val="·"/>
      <w:lvlJc w:val="left"/>
      <w:pPr>
        <w:ind w:left="720" w:hanging="360"/>
      </w:pPr>
      <w:rPr>
        <w:rFonts w:ascii="Symbol" w:hAnsi="Symbol" w:hint="default"/>
      </w:rPr>
    </w:lvl>
    <w:lvl w:ilvl="1" w:tplc="9898957C">
      <w:start w:val="1"/>
      <w:numFmt w:val="bullet"/>
      <w:lvlText w:val="o"/>
      <w:lvlJc w:val="left"/>
      <w:pPr>
        <w:ind w:left="1440" w:hanging="360"/>
      </w:pPr>
      <w:rPr>
        <w:rFonts w:ascii="Courier New" w:hAnsi="Courier New" w:hint="default"/>
      </w:rPr>
    </w:lvl>
    <w:lvl w:ilvl="2" w:tplc="35D249DA">
      <w:start w:val="1"/>
      <w:numFmt w:val="bullet"/>
      <w:lvlText w:val=""/>
      <w:lvlJc w:val="left"/>
      <w:pPr>
        <w:ind w:left="2160" w:hanging="360"/>
      </w:pPr>
      <w:rPr>
        <w:rFonts w:ascii="Wingdings" w:hAnsi="Wingdings" w:hint="default"/>
      </w:rPr>
    </w:lvl>
    <w:lvl w:ilvl="3" w:tplc="91CCA20C">
      <w:start w:val="1"/>
      <w:numFmt w:val="bullet"/>
      <w:lvlText w:val=""/>
      <w:lvlJc w:val="left"/>
      <w:pPr>
        <w:ind w:left="2880" w:hanging="360"/>
      </w:pPr>
      <w:rPr>
        <w:rFonts w:ascii="Symbol" w:hAnsi="Symbol" w:hint="default"/>
      </w:rPr>
    </w:lvl>
    <w:lvl w:ilvl="4" w:tplc="33B40FB8">
      <w:start w:val="1"/>
      <w:numFmt w:val="bullet"/>
      <w:lvlText w:val="o"/>
      <w:lvlJc w:val="left"/>
      <w:pPr>
        <w:ind w:left="3600" w:hanging="360"/>
      </w:pPr>
      <w:rPr>
        <w:rFonts w:ascii="Courier New" w:hAnsi="Courier New" w:hint="default"/>
      </w:rPr>
    </w:lvl>
    <w:lvl w:ilvl="5" w:tplc="8BCC91EE">
      <w:start w:val="1"/>
      <w:numFmt w:val="bullet"/>
      <w:lvlText w:val=""/>
      <w:lvlJc w:val="left"/>
      <w:pPr>
        <w:ind w:left="4320" w:hanging="360"/>
      </w:pPr>
      <w:rPr>
        <w:rFonts w:ascii="Wingdings" w:hAnsi="Wingdings" w:hint="default"/>
      </w:rPr>
    </w:lvl>
    <w:lvl w:ilvl="6" w:tplc="D348FD94">
      <w:start w:val="1"/>
      <w:numFmt w:val="bullet"/>
      <w:lvlText w:val=""/>
      <w:lvlJc w:val="left"/>
      <w:pPr>
        <w:ind w:left="5040" w:hanging="360"/>
      </w:pPr>
      <w:rPr>
        <w:rFonts w:ascii="Symbol" w:hAnsi="Symbol" w:hint="default"/>
      </w:rPr>
    </w:lvl>
    <w:lvl w:ilvl="7" w:tplc="9AA2E904">
      <w:start w:val="1"/>
      <w:numFmt w:val="bullet"/>
      <w:lvlText w:val="o"/>
      <w:lvlJc w:val="left"/>
      <w:pPr>
        <w:ind w:left="5760" w:hanging="360"/>
      </w:pPr>
      <w:rPr>
        <w:rFonts w:ascii="Courier New" w:hAnsi="Courier New" w:hint="default"/>
      </w:rPr>
    </w:lvl>
    <w:lvl w:ilvl="8" w:tplc="CF6C1474">
      <w:start w:val="1"/>
      <w:numFmt w:val="bullet"/>
      <w:lvlText w:val=""/>
      <w:lvlJc w:val="left"/>
      <w:pPr>
        <w:ind w:left="6480" w:hanging="360"/>
      </w:pPr>
      <w:rPr>
        <w:rFonts w:ascii="Wingdings" w:hAnsi="Wingdings" w:hint="default"/>
      </w:rPr>
    </w:lvl>
  </w:abstractNum>
  <w:abstractNum w:abstractNumId="136" w15:restartNumberingAfterBreak="0">
    <w:nsid w:val="79045D38"/>
    <w:multiLevelType w:val="hybridMultilevel"/>
    <w:tmpl w:val="12440D7A"/>
    <w:lvl w:ilvl="0" w:tplc="87C63BDA">
      <w:start w:val="1"/>
      <w:numFmt w:val="bullet"/>
      <w:lvlText w:val="-"/>
      <w:lvlJc w:val="left"/>
      <w:pPr>
        <w:ind w:left="720" w:hanging="360"/>
      </w:pPr>
      <w:rPr>
        <w:rFonts w:ascii="Calibri" w:hAnsi="Calibri" w:hint="default"/>
      </w:rPr>
    </w:lvl>
    <w:lvl w:ilvl="1" w:tplc="88220FD4">
      <w:start w:val="1"/>
      <w:numFmt w:val="bullet"/>
      <w:lvlText w:val="o"/>
      <w:lvlJc w:val="left"/>
      <w:pPr>
        <w:ind w:left="1440" w:hanging="360"/>
      </w:pPr>
      <w:rPr>
        <w:rFonts w:ascii="Courier New" w:hAnsi="Courier New" w:hint="default"/>
      </w:rPr>
    </w:lvl>
    <w:lvl w:ilvl="2" w:tplc="8DDC97EA">
      <w:start w:val="1"/>
      <w:numFmt w:val="bullet"/>
      <w:lvlText w:val=""/>
      <w:lvlJc w:val="left"/>
      <w:pPr>
        <w:ind w:left="2160" w:hanging="360"/>
      </w:pPr>
      <w:rPr>
        <w:rFonts w:ascii="Wingdings" w:hAnsi="Wingdings" w:hint="default"/>
      </w:rPr>
    </w:lvl>
    <w:lvl w:ilvl="3" w:tplc="72328A3E">
      <w:start w:val="1"/>
      <w:numFmt w:val="bullet"/>
      <w:lvlText w:val=""/>
      <w:lvlJc w:val="left"/>
      <w:pPr>
        <w:ind w:left="2880" w:hanging="360"/>
      </w:pPr>
      <w:rPr>
        <w:rFonts w:ascii="Symbol" w:hAnsi="Symbol" w:hint="default"/>
      </w:rPr>
    </w:lvl>
    <w:lvl w:ilvl="4" w:tplc="EFC8766E">
      <w:start w:val="1"/>
      <w:numFmt w:val="bullet"/>
      <w:lvlText w:val="o"/>
      <w:lvlJc w:val="left"/>
      <w:pPr>
        <w:ind w:left="3600" w:hanging="360"/>
      </w:pPr>
      <w:rPr>
        <w:rFonts w:ascii="Courier New" w:hAnsi="Courier New" w:hint="default"/>
      </w:rPr>
    </w:lvl>
    <w:lvl w:ilvl="5" w:tplc="CE148478">
      <w:start w:val="1"/>
      <w:numFmt w:val="bullet"/>
      <w:lvlText w:val=""/>
      <w:lvlJc w:val="left"/>
      <w:pPr>
        <w:ind w:left="4320" w:hanging="360"/>
      </w:pPr>
      <w:rPr>
        <w:rFonts w:ascii="Wingdings" w:hAnsi="Wingdings" w:hint="default"/>
      </w:rPr>
    </w:lvl>
    <w:lvl w:ilvl="6" w:tplc="93FEDBA6">
      <w:start w:val="1"/>
      <w:numFmt w:val="bullet"/>
      <w:lvlText w:val=""/>
      <w:lvlJc w:val="left"/>
      <w:pPr>
        <w:ind w:left="5040" w:hanging="360"/>
      </w:pPr>
      <w:rPr>
        <w:rFonts w:ascii="Symbol" w:hAnsi="Symbol" w:hint="default"/>
      </w:rPr>
    </w:lvl>
    <w:lvl w:ilvl="7" w:tplc="0300650C">
      <w:start w:val="1"/>
      <w:numFmt w:val="bullet"/>
      <w:lvlText w:val="o"/>
      <w:lvlJc w:val="left"/>
      <w:pPr>
        <w:ind w:left="5760" w:hanging="360"/>
      </w:pPr>
      <w:rPr>
        <w:rFonts w:ascii="Courier New" w:hAnsi="Courier New" w:hint="default"/>
      </w:rPr>
    </w:lvl>
    <w:lvl w:ilvl="8" w:tplc="E55CBBBA">
      <w:start w:val="1"/>
      <w:numFmt w:val="bullet"/>
      <w:lvlText w:val=""/>
      <w:lvlJc w:val="left"/>
      <w:pPr>
        <w:ind w:left="6480" w:hanging="360"/>
      </w:pPr>
      <w:rPr>
        <w:rFonts w:ascii="Wingdings" w:hAnsi="Wingdings" w:hint="default"/>
      </w:rPr>
    </w:lvl>
  </w:abstractNum>
  <w:abstractNum w:abstractNumId="137" w15:restartNumberingAfterBreak="0">
    <w:nsid w:val="7AABB31F"/>
    <w:multiLevelType w:val="hybridMultilevel"/>
    <w:tmpl w:val="C0B2E1DA"/>
    <w:lvl w:ilvl="0" w:tplc="E35CEB48">
      <w:start w:val="1"/>
      <w:numFmt w:val="bullet"/>
      <w:lvlText w:val=""/>
      <w:lvlJc w:val="left"/>
      <w:pPr>
        <w:ind w:left="720" w:hanging="360"/>
      </w:pPr>
      <w:rPr>
        <w:rFonts w:ascii="Symbol" w:hAnsi="Symbol" w:hint="default"/>
      </w:rPr>
    </w:lvl>
    <w:lvl w:ilvl="1" w:tplc="BA6415FA">
      <w:start w:val="1"/>
      <w:numFmt w:val="bullet"/>
      <w:lvlText w:val="o"/>
      <w:lvlJc w:val="left"/>
      <w:pPr>
        <w:ind w:left="1440" w:hanging="360"/>
      </w:pPr>
      <w:rPr>
        <w:rFonts w:ascii="Courier New" w:hAnsi="Courier New" w:hint="default"/>
      </w:rPr>
    </w:lvl>
    <w:lvl w:ilvl="2" w:tplc="9DF4391A">
      <w:start w:val="1"/>
      <w:numFmt w:val="bullet"/>
      <w:lvlText w:val=""/>
      <w:lvlJc w:val="left"/>
      <w:pPr>
        <w:ind w:left="2160" w:hanging="360"/>
      </w:pPr>
      <w:rPr>
        <w:rFonts w:ascii="Wingdings" w:hAnsi="Wingdings" w:hint="default"/>
      </w:rPr>
    </w:lvl>
    <w:lvl w:ilvl="3" w:tplc="E5629312">
      <w:start w:val="1"/>
      <w:numFmt w:val="bullet"/>
      <w:lvlText w:val=""/>
      <w:lvlJc w:val="left"/>
      <w:pPr>
        <w:ind w:left="2880" w:hanging="360"/>
      </w:pPr>
      <w:rPr>
        <w:rFonts w:ascii="Symbol" w:hAnsi="Symbol" w:hint="default"/>
      </w:rPr>
    </w:lvl>
    <w:lvl w:ilvl="4" w:tplc="BFB043B0">
      <w:start w:val="1"/>
      <w:numFmt w:val="bullet"/>
      <w:lvlText w:val="o"/>
      <w:lvlJc w:val="left"/>
      <w:pPr>
        <w:ind w:left="3600" w:hanging="360"/>
      </w:pPr>
      <w:rPr>
        <w:rFonts w:ascii="Courier New" w:hAnsi="Courier New" w:hint="default"/>
      </w:rPr>
    </w:lvl>
    <w:lvl w:ilvl="5" w:tplc="49C4551E">
      <w:start w:val="1"/>
      <w:numFmt w:val="bullet"/>
      <w:lvlText w:val=""/>
      <w:lvlJc w:val="left"/>
      <w:pPr>
        <w:ind w:left="4320" w:hanging="360"/>
      </w:pPr>
      <w:rPr>
        <w:rFonts w:ascii="Wingdings" w:hAnsi="Wingdings" w:hint="default"/>
      </w:rPr>
    </w:lvl>
    <w:lvl w:ilvl="6" w:tplc="CBCE1F7A">
      <w:start w:val="1"/>
      <w:numFmt w:val="bullet"/>
      <w:lvlText w:val=""/>
      <w:lvlJc w:val="left"/>
      <w:pPr>
        <w:ind w:left="5040" w:hanging="360"/>
      </w:pPr>
      <w:rPr>
        <w:rFonts w:ascii="Symbol" w:hAnsi="Symbol" w:hint="default"/>
      </w:rPr>
    </w:lvl>
    <w:lvl w:ilvl="7" w:tplc="0CE40150">
      <w:start w:val="1"/>
      <w:numFmt w:val="bullet"/>
      <w:lvlText w:val="o"/>
      <w:lvlJc w:val="left"/>
      <w:pPr>
        <w:ind w:left="5760" w:hanging="360"/>
      </w:pPr>
      <w:rPr>
        <w:rFonts w:ascii="Courier New" w:hAnsi="Courier New" w:hint="default"/>
      </w:rPr>
    </w:lvl>
    <w:lvl w:ilvl="8" w:tplc="C69CDB26">
      <w:start w:val="1"/>
      <w:numFmt w:val="bullet"/>
      <w:lvlText w:val=""/>
      <w:lvlJc w:val="left"/>
      <w:pPr>
        <w:ind w:left="6480" w:hanging="360"/>
      </w:pPr>
      <w:rPr>
        <w:rFonts w:ascii="Wingdings" w:hAnsi="Wingdings" w:hint="default"/>
      </w:rPr>
    </w:lvl>
  </w:abstractNum>
  <w:abstractNum w:abstractNumId="138" w15:restartNumberingAfterBreak="0">
    <w:nsid w:val="7B036820"/>
    <w:multiLevelType w:val="hybridMultilevel"/>
    <w:tmpl w:val="A59489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7C1E722D"/>
    <w:multiLevelType w:val="hybridMultilevel"/>
    <w:tmpl w:val="CD90AF7C"/>
    <w:lvl w:ilvl="0" w:tplc="96B06C16">
      <w:start w:val="3"/>
      <w:numFmt w:val="decimal"/>
      <w:lvlText w:val="%1."/>
      <w:lvlJc w:val="left"/>
      <w:pPr>
        <w:ind w:left="720" w:hanging="360"/>
      </w:pPr>
    </w:lvl>
    <w:lvl w:ilvl="1" w:tplc="F604AB2E">
      <w:start w:val="1"/>
      <w:numFmt w:val="lowerLetter"/>
      <w:lvlText w:val="%2."/>
      <w:lvlJc w:val="left"/>
      <w:pPr>
        <w:ind w:left="1440" w:hanging="360"/>
      </w:pPr>
    </w:lvl>
    <w:lvl w:ilvl="2" w:tplc="858E1414">
      <w:start w:val="1"/>
      <w:numFmt w:val="lowerRoman"/>
      <w:lvlText w:val="%3."/>
      <w:lvlJc w:val="right"/>
      <w:pPr>
        <w:ind w:left="2160" w:hanging="180"/>
      </w:pPr>
    </w:lvl>
    <w:lvl w:ilvl="3" w:tplc="C82AA9D6">
      <w:start w:val="1"/>
      <w:numFmt w:val="decimal"/>
      <w:lvlText w:val="%4."/>
      <w:lvlJc w:val="left"/>
      <w:pPr>
        <w:ind w:left="2880" w:hanging="360"/>
      </w:pPr>
    </w:lvl>
    <w:lvl w:ilvl="4" w:tplc="265ABB36">
      <w:start w:val="1"/>
      <w:numFmt w:val="lowerLetter"/>
      <w:lvlText w:val="%5."/>
      <w:lvlJc w:val="left"/>
      <w:pPr>
        <w:ind w:left="3600" w:hanging="360"/>
      </w:pPr>
    </w:lvl>
    <w:lvl w:ilvl="5" w:tplc="8144B16A">
      <w:start w:val="1"/>
      <w:numFmt w:val="lowerRoman"/>
      <w:lvlText w:val="%6."/>
      <w:lvlJc w:val="right"/>
      <w:pPr>
        <w:ind w:left="4320" w:hanging="180"/>
      </w:pPr>
    </w:lvl>
    <w:lvl w:ilvl="6" w:tplc="B36847C0">
      <w:start w:val="1"/>
      <w:numFmt w:val="decimal"/>
      <w:lvlText w:val="%7."/>
      <w:lvlJc w:val="left"/>
      <w:pPr>
        <w:ind w:left="5040" w:hanging="360"/>
      </w:pPr>
    </w:lvl>
    <w:lvl w:ilvl="7" w:tplc="154A2C14">
      <w:start w:val="1"/>
      <w:numFmt w:val="lowerLetter"/>
      <w:lvlText w:val="%8."/>
      <w:lvlJc w:val="left"/>
      <w:pPr>
        <w:ind w:left="5760" w:hanging="360"/>
      </w:pPr>
    </w:lvl>
    <w:lvl w:ilvl="8" w:tplc="55A8677A">
      <w:start w:val="1"/>
      <w:numFmt w:val="lowerRoman"/>
      <w:lvlText w:val="%9."/>
      <w:lvlJc w:val="right"/>
      <w:pPr>
        <w:ind w:left="6480" w:hanging="180"/>
      </w:pPr>
    </w:lvl>
  </w:abstractNum>
  <w:num w:numId="1">
    <w:abstractNumId w:val="105"/>
  </w:num>
  <w:num w:numId="2">
    <w:abstractNumId w:val="74"/>
  </w:num>
  <w:num w:numId="3">
    <w:abstractNumId w:val="115"/>
  </w:num>
  <w:num w:numId="4">
    <w:abstractNumId w:val="47"/>
  </w:num>
  <w:num w:numId="5">
    <w:abstractNumId w:val="77"/>
  </w:num>
  <w:num w:numId="6">
    <w:abstractNumId w:val="34"/>
  </w:num>
  <w:num w:numId="7">
    <w:abstractNumId w:val="111"/>
  </w:num>
  <w:num w:numId="8">
    <w:abstractNumId w:val="30"/>
  </w:num>
  <w:num w:numId="9">
    <w:abstractNumId w:val="81"/>
  </w:num>
  <w:num w:numId="10">
    <w:abstractNumId w:val="103"/>
  </w:num>
  <w:num w:numId="11">
    <w:abstractNumId w:val="104"/>
  </w:num>
  <w:num w:numId="12">
    <w:abstractNumId w:val="98"/>
  </w:num>
  <w:num w:numId="13">
    <w:abstractNumId w:val="36"/>
  </w:num>
  <w:num w:numId="14">
    <w:abstractNumId w:val="4"/>
  </w:num>
  <w:num w:numId="15">
    <w:abstractNumId w:val="110"/>
  </w:num>
  <w:num w:numId="16">
    <w:abstractNumId w:val="53"/>
  </w:num>
  <w:num w:numId="17">
    <w:abstractNumId w:val="0"/>
  </w:num>
  <w:num w:numId="18">
    <w:abstractNumId w:val="3"/>
  </w:num>
  <w:num w:numId="19">
    <w:abstractNumId w:val="2"/>
  </w:num>
  <w:num w:numId="20">
    <w:abstractNumId w:val="1"/>
  </w:num>
  <w:num w:numId="21">
    <w:abstractNumId w:val="44"/>
  </w:num>
  <w:num w:numId="22">
    <w:abstractNumId w:val="72"/>
  </w:num>
  <w:num w:numId="23">
    <w:abstractNumId w:val="56"/>
  </w:num>
  <w:num w:numId="24">
    <w:abstractNumId w:val="61"/>
  </w:num>
  <w:num w:numId="25">
    <w:abstractNumId w:val="100"/>
  </w:num>
  <w:num w:numId="26">
    <w:abstractNumId w:val="131"/>
  </w:num>
  <w:num w:numId="27">
    <w:abstractNumId w:val="75"/>
  </w:num>
  <w:num w:numId="28">
    <w:abstractNumId w:val="64"/>
  </w:num>
  <w:num w:numId="29">
    <w:abstractNumId w:val="13"/>
  </w:num>
  <w:num w:numId="30">
    <w:abstractNumId w:val="17"/>
  </w:num>
  <w:num w:numId="3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num>
  <w:num w:numId="33">
    <w:abstractNumId w:val="107"/>
  </w:num>
  <w:num w:numId="34">
    <w:abstractNumId w:val="118"/>
  </w:num>
  <w:num w:numId="35">
    <w:abstractNumId w:val="97"/>
  </w:num>
  <w:num w:numId="36">
    <w:abstractNumId w:val="122"/>
  </w:num>
  <w:num w:numId="37">
    <w:abstractNumId w:val="57"/>
  </w:num>
  <w:num w:numId="38">
    <w:abstractNumId w:val="90"/>
  </w:num>
  <w:num w:numId="3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2"/>
  </w:num>
  <w:num w:numId="42">
    <w:abstractNumId w:val="83"/>
  </w:num>
  <w:num w:numId="43">
    <w:abstractNumId w:val="119"/>
  </w:num>
  <w:num w:numId="44">
    <w:abstractNumId w:val="35"/>
  </w:num>
  <w:num w:numId="45">
    <w:abstractNumId w:val="127"/>
  </w:num>
  <w:num w:numId="46">
    <w:abstractNumId w:val="20"/>
  </w:num>
  <w:num w:numId="47">
    <w:abstractNumId w:val="108"/>
  </w:num>
  <w:num w:numId="48">
    <w:abstractNumId w:val="46"/>
  </w:num>
  <w:num w:numId="49">
    <w:abstractNumId w:val="33"/>
  </w:num>
  <w:num w:numId="50">
    <w:abstractNumId w:val="78"/>
  </w:num>
  <w:num w:numId="51">
    <w:abstractNumId w:val="27"/>
  </w:num>
  <w:num w:numId="52">
    <w:abstractNumId w:val="15"/>
  </w:num>
  <w:num w:numId="53">
    <w:abstractNumId w:val="38"/>
  </w:num>
  <w:num w:numId="54">
    <w:abstractNumId w:val="84"/>
  </w:num>
  <w:num w:numId="55">
    <w:abstractNumId w:val="88"/>
  </w:num>
  <w:num w:numId="56">
    <w:abstractNumId w:val="65"/>
  </w:num>
  <w:num w:numId="57">
    <w:abstractNumId w:val="41"/>
  </w:num>
  <w:num w:numId="58">
    <w:abstractNumId w:val="26"/>
  </w:num>
  <w:num w:numId="59">
    <w:abstractNumId w:val="55"/>
  </w:num>
  <w:num w:numId="60">
    <w:abstractNumId w:val="58"/>
  </w:num>
  <w:num w:numId="61">
    <w:abstractNumId w:val="136"/>
  </w:num>
  <w:num w:numId="62">
    <w:abstractNumId w:val="134"/>
  </w:num>
  <w:num w:numId="63">
    <w:abstractNumId w:val="95"/>
  </w:num>
  <w:num w:numId="64">
    <w:abstractNumId w:val="79"/>
  </w:num>
  <w:num w:numId="65">
    <w:abstractNumId w:val="23"/>
  </w:num>
  <w:num w:numId="66">
    <w:abstractNumId w:val="70"/>
  </w:num>
  <w:num w:numId="67">
    <w:abstractNumId w:val="99"/>
  </w:num>
  <w:num w:numId="68">
    <w:abstractNumId w:val="6"/>
  </w:num>
  <w:num w:numId="69">
    <w:abstractNumId w:val="29"/>
  </w:num>
  <w:num w:numId="70">
    <w:abstractNumId w:val="94"/>
  </w:num>
  <w:num w:numId="71">
    <w:abstractNumId w:val="14"/>
  </w:num>
  <w:num w:numId="72">
    <w:abstractNumId w:val="101"/>
  </w:num>
  <w:num w:numId="73">
    <w:abstractNumId w:val="67"/>
  </w:num>
  <w:num w:numId="74">
    <w:abstractNumId w:val="125"/>
  </w:num>
  <w:num w:numId="75">
    <w:abstractNumId w:val="31"/>
  </w:num>
  <w:num w:numId="76">
    <w:abstractNumId w:val="82"/>
  </w:num>
  <w:num w:numId="77">
    <w:abstractNumId w:val="93"/>
  </w:num>
  <w:num w:numId="78">
    <w:abstractNumId w:val="48"/>
  </w:num>
  <w:num w:numId="79">
    <w:abstractNumId w:val="106"/>
  </w:num>
  <w:num w:numId="80">
    <w:abstractNumId w:val="51"/>
  </w:num>
  <w:num w:numId="81">
    <w:abstractNumId w:val="50"/>
  </w:num>
  <w:num w:numId="82">
    <w:abstractNumId w:val="86"/>
  </w:num>
  <w:num w:numId="83">
    <w:abstractNumId w:val="45"/>
  </w:num>
  <w:num w:numId="84">
    <w:abstractNumId w:val="121"/>
  </w:num>
  <w:num w:numId="85">
    <w:abstractNumId w:val="129"/>
  </w:num>
  <w:num w:numId="86">
    <w:abstractNumId w:val="19"/>
  </w:num>
  <w:num w:numId="87">
    <w:abstractNumId w:val="73"/>
  </w:num>
  <w:num w:numId="88">
    <w:abstractNumId w:val="12"/>
  </w:num>
  <w:num w:numId="89">
    <w:abstractNumId w:val="7"/>
  </w:num>
  <w:num w:numId="90">
    <w:abstractNumId w:val="18"/>
  </w:num>
  <w:num w:numId="91">
    <w:abstractNumId w:val="138"/>
  </w:num>
  <w:num w:numId="92">
    <w:abstractNumId w:val="92"/>
  </w:num>
  <w:num w:numId="93">
    <w:abstractNumId w:val="96"/>
  </w:num>
  <w:num w:numId="94">
    <w:abstractNumId w:val="5"/>
  </w:num>
  <w:num w:numId="95">
    <w:abstractNumId w:val="11"/>
  </w:num>
  <w:num w:numId="96">
    <w:abstractNumId w:val="114"/>
  </w:num>
  <w:num w:numId="97">
    <w:abstractNumId w:val="40"/>
  </w:num>
  <w:num w:numId="98">
    <w:abstractNumId w:val="21"/>
  </w:num>
  <w:num w:numId="99">
    <w:abstractNumId w:val="91"/>
  </w:num>
  <w:num w:numId="100">
    <w:abstractNumId w:val="39"/>
  </w:num>
  <w:num w:numId="101">
    <w:abstractNumId w:val="117"/>
  </w:num>
  <w:num w:numId="102">
    <w:abstractNumId w:val="62"/>
  </w:num>
  <w:num w:numId="103">
    <w:abstractNumId w:val="25"/>
  </w:num>
  <w:num w:numId="104">
    <w:abstractNumId w:val="8"/>
  </w:num>
  <w:num w:numId="105">
    <w:abstractNumId w:val="133"/>
  </w:num>
  <w:num w:numId="106">
    <w:abstractNumId w:val="130"/>
  </w:num>
  <w:num w:numId="107">
    <w:abstractNumId w:val="28"/>
  </w:num>
  <w:num w:numId="108">
    <w:abstractNumId w:val="37"/>
  </w:num>
  <w:num w:numId="109">
    <w:abstractNumId w:val="113"/>
  </w:num>
  <w:num w:numId="110">
    <w:abstractNumId w:val="59"/>
  </w:num>
  <w:num w:numId="111">
    <w:abstractNumId w:val="9"/>
  </w:num>
  <w:num w:numId="112">
    <w:abstractNumId w:val="69"/>
  </w:num>
  <w:num w:numId="113">
    <w:abstractNumId w:val="10"/>
  </w:num>
  <w:num w:numId="114">
    <w:abstractNumId w:val="68"/>
  </w:num>
  <w:num w:numId="115">
    <w:abstractNumId w:val="137"/>
  </w:num>
  <w:num w:numId="116">
    <w:abstractNumId w:val="89"/>
  </w:num>
  <w:num w:numId="117">
    <w:abstractNumId w:val="109"/>
  </w:num>
  <w:num w:numId="118">
    <w:abstractNumId w:val="120"/>
  </w:num>
  <w:num w:numId="119">
    <w:abstractNumId w:val="16"/>
  </w:num>
  <w:num w:numId="120">
    <w:abstractNumId w:val="71"/>
  </w:num>
  <w:num w:numId="121">
    <w:abstractNumId w:val="80"/>
  </w:num>
  <w:num w:numId="122">
    <w:abstractNumId w:val="54"/>
  </w:num>
  <w:num w:numId="123">
    <w:abstractNumId w:val="132"/>
  </w:num>
  <w:num w:numId="124">
    <w:abstractNumId w:val="116"/>
  </w:num>
  <w:num w:numId="125">
    <w:abstractNumId w:val="139"/>
  </w:num>
  <w:num w:numId="126">
    <w:abstractNumId w:val="42"/>
  </w:num>
  <w:num w:numId="127">
    <w:abstractNumId w:val="49"/>
  </w:num>
  <w:num w:numId="128">
    <w:abstractNumId w:val="102"/>
  </w:num>
  <w:num w:numId="129">
    <w:abstractNumId w:val="112"/>
  </w:num>
  <w:num w:numId="130">
    <w:abstractNumId w:val="60"/>
  </w:num>
  <w:num w:numId="131">
    <w:abstractNumId w:val="126"/>
  </w:num>
  <w:num w:numId="132">
    <w:abstractNumId w:val="24"/>
  </w:num>
  <w:num w:numId="133">
    <w:abstractNumId w:val="43"/>
  </w:num>
  <w:num w:numId="134">
    <w:abstractNumId w:val="52"/>
  </w:num>
  <w:num w:numId="135">
    <w:abstractNumId w:val="66"/>
  </w:num>
  <w:num w:numId="136">
    <w:abstractNumId w:val="135"/>
  </w:num>
  <w:num w:numId="137">
    <w:abstractNumId w:val="128"/>
  </w:num>
  <w:num w:numId="138">
    <w:abstractNumId w:val="124"/>
  </w:num>
  <w:num w:numId="139">
    <w:abstractNumId w:val="63"/>
  </w:num>
  <w:num w:numId="140">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num>
  <w:num w:numId="1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 következ\u337?höz:"/>
    <w:docVar w:name="LW_ANNEX_NBR_FIRST" w:val="1"/>
    <w:docVar w:name="LW_ANNEX_NBR_LAST" w:val="1"/>
    <w:docVar w:name="LW_ANNEX_UNIQUE" w:val="1"/>
    <w:docVar w:name="LW_CORRIGENDUM" w:val="&lt;UNUSED&gt;"/>
    <w:docVar w:name="LW_COVERPAGE_EXISTS" w:val="True"/>
    <w:docVar w:name="LW_COVERPAGE_GUID" w:val="44EB9642-ED2C-485D-9079-8F54ED05BC81"/>
    <w:docVar w:name="LW_COVERPAGE_TYPE" w:val="1"/>
    <w:docVar w:name="LW_CROSSREFERENCE" w:val="{SWD(2024) 121 final}"/>
    <w:docVar w:name="LW_DocType" w:val="NORMAL"/>
    <w:docVar w:name="LW_EMISSION" w:val="2024.4.26."/>
    <w:docVar w:name="LW_EMISSION_ISODATE" w:val="2024-04-26"/>
    <w:docVar w:name="LW_EMISSION_LOCATION" w:val="BRX"/>
    <w:docVar w:name="LW_EMISSION_PREFIX" w:val="Brüsszel, "/>
    <w:docVar w:name="LW_EMISSION_SUFFIX" w:val=" "/>
    <w:docVar w:name="LW_ID_DOCTYPE_NONLW" w:val="CP-036"/>
    <w:docVar w:name="LW_LANGUE" w:val="HU"/>
    <w:docVar w:name="LW_LEVEL_OF_SENSITIVITY" w:val="Standard treatment"/>
    <w:docVar w:name="LW_NOM.INST" w:val="EURÓPAI BIZOTTSÁG"/>
    <w:docVar w:name="LW_NOM.INST_JOINTDOC" w:val="&lt;EMPTY&gt;"/>
    <w:docVar w:name="LW_OBJETACTEPRINCIPAL.CP" w:val="az Olaszország helyreállítási és rezilienciaépítési terve értékelésének jóváhagyásáról szóló, 2021. július 13-i (EU) (ST 10160/21 INIT; ST 10160/21 ADD 1 REV 2) végrehajtási határozat módosításáról_x000d__x000d__x000d__x000b_"/>
    <w:docVar w:name="LW_PART_NBR" w:val="1"/>
    <w:docVar w:name="LW_PART_NBR_TOTAL" w:val="1"/>
    <w:docVar w:name="LW_REF.INST.NEW" w:val="COM"/>
    <w:docVar w:name="LW_REF.INST.NEW_ADOPTED" w:val="final"/>
    <w:docVar w:name="LW_REF.INST.NEW_TEXT" w:val="(2024) 19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MELLÉKLET_x000b_"/>
    <w:docVar w:name="LW_TYPEACTEPRINCIPAL.CP" w:val="Javaslat_x000b_A TANÁCS VÉGREHAJTÁSI HATÁROZATA_x000b_"/>
    <w:docVar w:name="LwApiVersions" w:val="LW4CoDe 1.24.5.0; LW 9.0, Build 20240221"/>
  </w:docVars>
  <w:rsids>
    <w:rsidRoot w:val="0084326C"/>
    <w:rsid w:val="000035B0"/>
    <w:rsid w:val="00003A97"/>
    <w:rsid w:val="00004251"/>
    <w:rsid w:val="00005C11"/>
    <w:rsid w:val="00005F08"/>
    <w:rsid w:val="0001227A"/>
    <w:rsid w:val="0002091F"/>
    <w:rsid w:val="00023920"/>
    <w:rsid w:val="000241BC"/>
    <w:rsid w:val="000246F9"/>
    <w:rsid w:val="00024855"/>
    <w:rsid w:val="00024E11"/>
    <w:rsid w:val="000253CA"/>
    <w:rsid w:val="000253FE"/>
    <w:rsid w:val="00027B78"/>
    <w:rsid w:val="00027BA4"/>
    <w:rsid w:val="000301D8"/>
    <w:rsid w:val="000303BD"/>
    <w:rsid w:val="00030F85"/>
    <w:rsid w:val="000319EB"/>
    <w:rsid w:val="00032E2F"/>
    <w:rsid w:val="00033AC0"/>
    <w:rsid w:val="00033AD3"/>
    <w:rsid w:val="000344F7"/>
    <w:rsid w:val="00034534"/>
    <w:rsid w:val="000357D3"/>
    <w:rsid w:val="00036505"/>
    <w:rsid w:val="0003775D"/>
    <w:rsid w:val="00041D42"/>
    <w:rsid w:val="00041EF4"/>
    <w:rsid w:val="00042FA5"/>
    <w:rsid w:val="000433B1"/>
    <w:rsid w:val="00043A94"/>
    <w:rsid w:val="00045993"/>
    <w:rsid w:val="00046A61"/>
    <w:rsid w:val="00050A12"/>
    <w:rsid w:val="00051227"/>
    <w:rsid w:val="00053363"/>
    <w:rsid w:val="0005496C"/>
    <w:rsid w:val="00056C60"/>
    <w:rsid w:val="000606DF"/>
    <w:rsid w:val="000612DC"/>
    <w:rsid w:val="000640F3"/>
    <w:rsid w:val="0006476C"/>
    <w:rsid w:val="00065677"/>
    <w:rsid w:val="00070A77"/>
    <w:rsid w:val="0007163F"/>
    <w:rsid w:val="00071BB9"/>
    <w:rsid w:val="00073394"/>
    <w:rsid w:val="00073EDE"/>
    <w:rsid w:val="000830CD"/>
    <w:rsid w:val="00083651"/>
    <w:rsid w:val="000847C6"/>
    <w:rsid w:val="000854F7"/>
    <w:rsid w:val="00087F22"/>
    <w:rsid w:val="00091610"/>
    <w:rsid w:val="00094DCE"/>
    <w:rsid w:val="000952B9"/>
    <w:rsid w:val="00095E90"/>
    <w:rsid w:val="000A0731"/>
    <w:rsid w:val="000A32E8"/>
    <w:rsid w:val="000A3A2E"/>
    <w:rsid w:val="000A40C4"/>
    <w:rsid w:val="000A44D1"/>
    <w:rsid w:val="000A60C3"/>
    <w:rsid w:val="000B0F98"/>
    <w:rsid w:val="000B1407"/>
    <w:rsid w:val="000B2D0F"/>
    <w:rsid w:val="000B4858"/>
    <w:rsid w:val="000C2E5F"/>
    <w:rsid w:val="000C3DE4"/>
    <w:rsid w:val="000C49E4"/>
    <w:rsid w:val="000C4A03"/>
    <w:rsid w:val="000C5773"/>
    <w:rsid w:val="000C6E43"/>
    <w:rsid w:val="000C7BD2"/>
    <w:rsid w:val="000D073C"/>
    <w:rsid w:val="000D0EE2"/>
    <w:rsid w:val="000D22BF"/>
    <w:rsid w:val="000D3F13"/>
    <w:rsid w:val="000D4A2D"/>
    <w:rsid w:val="000D6005"/>
    <w:rsid w:val="000E13A5"/>
    <w:rsid w:val="000E1736"/>
    <w:rsid w:val="000E2031"/>
    <w:rsid w:val="000E58E6"/>
    <w:rsid w:val="000E66BC"/>
    <w:rsid w:val="000E7AA4"/>
    <w:rsid w:val="000E7C22"/>
    <w:rsid w:val="000E7E57"/>
    <w:rsid w:val="000F005B"/>
    <w:rsid w:val="000F35B4"/>
    <w:rsid w:val="000F399E"/>
    <w:rsid w:val="000F39BC"/>
    <w:rsid w:val="000F3F94"/>
    <w:rsid w:val="000F5646"/>
    <w:rsid w:val="000F59B7"/>
    <w:rsid w:val="000F756A"/>
    <w:rsid w:val="000F7607"/>
    <w:rsid w:val="00100303"/>
    <w:rsid w:val="00100329"/>
    <w:rsid w:val="00100C5D"/>
    <w:rsid w:val="0010255E"/>
    <w:rsid w:val="00102926"/>
    <w:rsid w:val="00103A9D"/>
    <w:rsid w:val="00103DF5"/>
    <w:rsid w:val="00103F2A"/>
    <w:rsid w:val="00104F86"/>
    <w:rsid w:val="00104FD6"/>
    <w:rsid w:val="001058C8"/>
    <w:rsid w:val="00110185"/>
    <w:rsid w:val="00110D2A"/>
    <w:rsid w:val="00112241"/>
    <w:rsid w:val="00113466"/>
    <w:rsid w:val="00114BC8"/>
    <w:rsid w:val="00114F32"/>
    <w:rsid w:val="00115789"/>
    <w:rsid w:val="00115D40"/>
    <w:rsid w:val="00115F0D"/>
    <w:rsid w:val="00116FC4"/>
    <w:rsid w:val="001231CC"/>
    <w:rsid w:val="00125518"/>
    <w:rsid w:val="001256DC"/>
    <w:rsid w:val="00126C34"/>
    <w:rsid w:val="00127710"/>
    <w:rsid w:val="0012787D"/>
    <w:rsid w:val="00130DCF"/>
    <w:rsid w:val="001315AC"/>
    <w:rsid w:val="0013214A"/>
    <w:rsid w:val="00132D4C"/>
    <w:rsid w:val="00140132"/>
    <w:rsid w:val="00140177"/>
    <w:rsid w:val="001412FA"/>
    <w:rsid w:val="001431DF"/>
    <w:rsid w:val="0014326C"/>
    <w:rsid w:val="00144E86"/>
    <w:rsid w:val="00145431"/>
    <w:rsid w:val="00146061"/>
    <w:rsid w:val="00150B7E"/>
    <w:rsid w:val="001514D8"/>
    <w:rsid w:val="00152152"/>
    <w:rsid w:val="00152815"/>
    <w:rsid w:val="001536A8"/>
    <w:rsid w:val="00153B3E"/>
    <w:rsid w:val="00154E39"/>
    <w:rsid w:val="001562EA"/>
    <w:rsid w:val="001565FD"/>
    <w:rsid w:val="0015790E"/>
    <w:rsid w:val="00160DE4"/>
    <w:rsid w:val="00160E76"/>
    <w:rsid w:val="001612C0"/>
    <w:rsid w:val="00161CE6"/>
    <w:rsid w:val="00161F1A"/>
    <w:rsid w:val="001623FD"/>
    <w:rsid w:val="00162722"/>
    <w:rsid w:val="00163101"/>
    <w:rsid w:val="0016368E"/>
    <w:rsid w:val="00163B65"/>
    <w:rsid w:val="00163E31"/>
    <w:rsid w:val="00164969"/>
    <w:rsid w:val="00165FA7"/>
    <w:rsid w:val="00166592"/>
    <w:rsid w:val="00170CEC"/>
    <w:rsid w:val="001712D4"/>
    <w:rsid w:val="0017271B"/>
    <w:rsid w:val="00175055"/>
    <w:rsid w:val="00175DD1"/>
    <w:rsid w:val="001813FC"/>
    <w:rsid w:val="001822BC"/>
    <w:rsid w:val="00183E98"/>
    <w:rsid w:val="0018732D"/>
    <w:rsid w:val="001912A9"/>
    <w:rsid w:val="0019239D"/>
    <w:rsid w:val="00193489"/>
    <w:rsid w:val="00193D8D"/>
    <w:rsid w:val="00194F98"/>
    <w:rsid w:val="001A016F"/>
    <w:rsid w:val="001A13AF"/>
    <w:rsid w:val="001A1BD3"/>
    <w:rsid w:val="001A59CD"/>
    <w:rsid w:val="001A72DB"/>
    <w:rsid w:val="001A791A"/>
    <w:rsid w:val="001B0552"/>
    <w:rsid w:val="001B0DDE"/>
    <w:rsid w:val="001B129D"/>
    <w:rsid w:val="001B1B55"/>
    <w:rsid w:val="001B241E"/>
    <w:rsid w:val="001B39D9"/>
    <w:rsid w:val="001B3DAB"/>
    <w:rsid w:val="001B3F52"/>
    <w:rsid w:val="001B4018"/>
    <w:rsid w:val="001B6098"/>
    <w:rsid w:val="001B73CF"/>
    <w:rsid w:val="001B79FA"/>
    <w:rsid w:val="001C0DD5"/>
    <w:rsid w:val="001C4587"/>
    <w:rsid w:val="001C4DFE"/>
    <w:rsid w:val="001C543F"/>
    <w:rsid w:val="001C780F"/>
    <w:rsid w:val="001D0265"/>
    <w:rsid w:val="001D1CC0"/>
    <w:rsid w:val="001D3263"/>
    <w:rsid w:val="001D4B1A"/>
    <w:rsid w:val="001D52C7"/>
    <w:rsid w:val="001D6558"/>
    <w:rsid w:val="001D79EB"/>
    <w:rsid w:val="001D7C5E"/>
    <w:rsid w:val="001D7E9E"/>
    <w:rsid w:val="001E1200"/>
    <w:rsid w:val="001E2871"/>
    <w:rsid w:val="001E3404"/>
    <w:rsid w:val="001E52EE"/>
    <w:rsid w:val="001E6458"/>
    <w:rsid w:val="001F0290"/>
    <w:rsid w:val="001F1045"/>
    <w:rsid w:val="001F1452"/>
    <w:rsid w:val="001F2730"/>
    <w:rsid w:val="001F2DDA"/>
    <w:rsid w:val="001F30E4"/>
    <w:rsid w:val="001F5D23"/>
    <w:rsid w:val="001F66F8"/>
    <w:rsid w:val="001F6DCE"/>
    <w:rsid w:val="001F6ECC"/>
    <w:rsid w:val="00201B0E"/>
    <w:rsid w:val="002021AB"/>
    <w:rsid w:val="0020446D"/>
    <w:rsid w:val="0020473F"/>
    <w:rsid w:val="002066A8"/>
    <w:rsid w:val="00207640"/>
    <w:rsid w:val="002078E9"/>
    <w:rsid w:val="00211507"/>
    <w:rsid w:val="0021239F"/>
    <w:rsid w:val="002128E3"/>
    <w:rsid w:val="002128F9"/>
    <w:rsid w:val="00215A1A"/>
    <w:rsid w:val="00220128"/>
    <w:rsid w:val="002209DC"/>
    <w:rsid w:val="002211A8"/>
    <w:rsid w:val="002216E8"/>
    <w:rsid w:val="00225AA6"/>
    <w:rsid w:val="00225D7D"/>
    <w:rsid w:val="00225E42"/>
    <w:rsid w:val="00225FFF"/>
    <w:rsid w:val="00227078"/>
    <w:rsid w:val="002271E3"/>
    <w:rsid w:val="00227942"/>
    <w:rsid w:val="00234B22"/>
    <w:rsid w:val="00236C3F"/>
    <w:rsid w:val="002371AD"/>
    <w:rsid w:val="00237E13"/>
    <w:rsid w:val="00240F92"/>
    <w:rsid w:val="00242C58"/>
    <w:rsid w:val="002433B6"/>
    <w:rsid w:val="00243AA9"/>
    <w:rsid w:val="002447FE"/>
    <w:rsid w:val="002459C9"/>
    <w:rsid w:val="0024693B"/>
    <w:rsid w:val="0024701B"/>
    <w:rsid w:val="00247791"/>
    <w:rsid w:val="0025002D"/>
    <w:rsid w:val="0025072E"/>
    <w:rsid w:val="00251C30"/>
    <w:rsid w:val="00251DBD"/>
    <w:rsid w:val="002537F1"/>
    <w:rsid w:val="002569B3"/>
    <w:rsid w:val="0026009C"/>
    <w:rsid w:val="00261460"/>
    <w:rsid w:val="002619C5"/>
    <w:rsid w:val="002622DA"/>
    <w:rsid w:val="0026677F"/>
    <w:rsid w:val="00270B46"/>
    <w:rsid w:val="00270F97"/>
    <w:rsid w:val="002740CA"/>
    <w:rsid w:val="00274786"/>
    <w:rsid w:val="00280948"/>
    <w:rsid w:val="002811FB"/>
    <w:rsid w:val="0028126F"/>
    <w:rsid w:val="002815CC"/>
    <w:rsid w:val="002818D5"/>
    <w:rsid w:val="002825A2"/>
    <w:rsid w:val="002825DF"/>
    <w:rsid w:val="00283CDE"/>
    <w:rsid w:val="00284B4E"/>
    <w:rsid w:val="00286CAA"/>
    <w:rsid w:val="00286E42"/>
    <w:rsid w:val="00287746"/>
    <w:rsid w:val="00290610"/>
    <w:rsid w:val="002908A1"/>
    <w:rsid w:val="00290985"/>
    <w:rsid w:val="00291FD4"/>
    <w:rsid w:val="002944D4"/>
    <w:rsid w:val="00294C24"/>
    <w:rsid w:val="00296228"/>
    <w:rsid w:val="002973BC"/>
    <w:rsid w:val="00297843"/>
    <w:rsid w:val="002A2F11"/>
    <w:rsid w:val="002A4FCB"/>
    <w:rsid w:val="002A5450"/>
    <w:rsid w:val="002A55C3"/>
    <w:rsid w:val="002A5AFA"/>
    <w:rsid w:val="002A6958"/>
    <w:rsid w:val="002A6C25"/>
    <w:rsid w:val="002B1017"/>
    <w:rsid w:val="002B1541"/>
    <w:rsid w:val="002B1792"/>
    <w:rsid w:val="002B1B5E"/>
    <w:rsid w:val="002B1B8F"/>
    <w:rsid w:val="002B28E5"/>
    <w:rsid w:val="002C083F"/>
    <w:rsid w:val="002C5177"/>
    <w:rsid w:val="002C74E7"/>
    <w:rsid w:val="002D2EC7"/>
    <w:rsid w:val="002D3D8A"/>
    <w:rsid w:val="002D4D77"/>
    <w:rsid w:val="002D5354"/>
    <w:rsid w:val="002D721B"/>
    <w:rsid w:val="002E2850"/>
    <w:rsid w:val="002E2F1C"/>
    <w:rsid w:val="002E307C"/>
    <w:rsid w:val="002E31B0"/>
    <w:rsid w:val="002E450A"/>
    <w:rsid w:val="002F016B"/>
    <w:rsid w:val="002F0217"/>
    <w:rsid w:val="002F0C63"/>
    <w:rsid w:val="002F198A"/>
    <w:rsid w:val="002F2D7C"/>
    <w:rsid w:val="002F321B"/>
    <w:rsid w:val="002F3631"/>
    <w:rsid w:val="002F6CA0"/>
    <w:rsid w:val="002F7651"/>
    <w:rsid w:val="0030002D"/>
    <w:rsid w:val="0030060D"/>
    <w:rsid w:val="003011DC"/>
    <w:rsid w:val="00301ABE"/>
    <w:rsid w:val="00301F88"/>
    <w:rsid w:val="00303965"/>
    <w:rsid w:val="00304491"/>
    <w:rsid w:val="003044E6"/>
    <w:rsid w:val="003066A6"/>
    <w:rsid w:val="003067C4"/>
    <w:rsid w:val="00307357"/>
    <w:rsid w:val="0031065B"/>
    <w:rsid w:val="00311014"/>
    <w:rsid w:val="0031174D"/>
    <w:rsid w:val="00312626"/>
    <w:rsid w:val="00312D52"/>
    <w:rsid w:val="00315C4E"/>
    <w:rsid w:val="003162D4"/>
    <w:rsid w:val="00316D53"/>
    <w:rsid w:val="0031757D"/>
    <w:rsid w:val="00321809"/>
    <w:rsid w:val="00321B12"/>
    <w:rsid w:val="00321E8F"/>
    <w:rsid w:val="00323700"/>
    <w:rsid w:val="00324DE8"/>
    <w:rsid w:val="003252F4"/>
    <w:rsid w:val="003314DE"/>
    <w:rsid w:val="003316B9"/>
    <w:rsid w:val="003318F3"/>
    <w:rsid w:val="0033202F"/>
    <w:rsid w:val="00333580"/>
    <w:rsid w:val="00333DB1"/>
    <w:rsid w:val="00333E7C"/>
    <w:rsid w:val="00334192"/>
    <w:rsid w:val="003344B7"/>
    <w:rsid w:val="003360F0"/>
    <w:rsid w:val="003361BC"/>
    <w:rsid w:val="00337F54"/>
    <w:rsid w:val="00340EB8"/>
    <w:rsid w:val="003417DF"/>
    <w:rsid w:val="00342926"/>
    <w:rsid w:val="00342D31"/>
    <w:rsid w:val="003435D4"/>
    <w:rsid w:val="003442EF"/>
    <w:rsid w:val="00345D43"/>
    <w:rsid w:val="00350154"/>
    <w:rsid w:val="00350F4D"/>
    <w:rsid w:val="00352374"/>
    <w:rsid w:val="0035361C"/>
    <w:rsid w:val="00354764"/>
    <w:rsid w:val="0035481C"/>
    <w:rsid w:val="00354F52"/>
    <w:rsid w:val="0035552F"/>
    <w:rsid w:val="0035790E"/>
    <w:rsid w:val="0036051D"/>
    <w:rsid w:val="00361D75"/>
    <w:rsid w:val="003624EC"/>
    <w:rsid w:val="00364542"/>
    <w:rsid w:val="00364A4A"/>
    <w:rsid w:val="00366014"/>
    <w:rsid w:val="00366F58"/>
    <w:rsid w:val="0036767D"/>
    <w:rsid w:val="00367D68"/>
    <w:rsid w:val="00370768"/>
    <w:rsid w:val="00372662"/>
    <w:rsid w:val="0037506B"/>
    <w:rsid w:val="0037737A"/>
    <w:rsid w:val="0038210C"/>
    <w:rsid w:val="00383E8B"/>
    <w:rsid w:val="00385A40"/>
    <w:rsid w:val="00390829"/>
    <w:rsid w:val="0039243C"/>
    <w:rsid w:val="00392579"/>
    <w:rsid w:val="00392CA3"/>
    <w:rsid w:val="00393650"/>
    <w:rsid w:val="003947C7"/>
    <w:rsid w:val="003957E9"/>
    <w:rsid w:val="00395F60"/>
    <w:rsid w:val="003A1BEE"/>
    <w:rsid w:val="003A2063"/>
    <w:rsid w:val="003A29CE"/>
    <w:rsid w:val="003A4334"/>
    <w:rsid w:val="003A49DA"/>
    <w:rsid w:val="003A6AB0"/>
    <w:rsid w:val="003A6CFB"/>
    <w:rsid w:val="003B13E4"/>
    <w:rsid w:val="003B16ED"/>
    <w:rsid w:val="003B23F0"/>
    <w:rsid w:val="003B2D1E"/>
    <w:rsid w:val="003B2D73"/>
    <w:rsid w:val="003B4A6E"/>
    <w:rsid w:val="003B68A2"/>
    <w:rsid w:val="003C2120"/>
    <w:rsid w:val="003C3960"/>
    <w:rsid w:val="003C3AB3"/>
    <w:rsid w:val="003C431E"/>
    <w:rsid w:val="003C450E"/>
    <w:rsid w:val="003C5422"/>
    <w:rsid w:val="003C5809"/>
    <w:rsid w:val="003C607C"/>
    <w:rsid w:val="003C783C"/>
    <w:rsid w:val="003D07A7"/>
    <w:rsid w:val="003D12FD"/>
    <w:rsid w:val="003D25D9"/>
    <w:rsid w:val="003D31DF"/>
    <w:rsid w:val="003D3DE9"/>
    <w:rsid w:val="003D49F3"/>
    <w:rsid w:val="003D56A2"/>
    <w:rsid w:val="003D56B5"/>
    <w:rsid w:val="003D6686"/>
    <w:rsid w:val="003E2109"/>
    <w:rsid w:val="003E58F4"/>
    <w:rsid w:val="003E6935"/>
    <w:rsid w:val="003E6DA7"/>
    <w:rsid w:val="003E7670"/>
    <w:rsid w:val="003F083F"/>
    <w:rsid w:val="003F34E9"/>
    <w:rsid w:val="003F390C"/>
    <w:rsid w:val="003F5035"/>
    <w:rsid w:val="003F5418"/>
    <w:rsid w:val="003F6560"/>
    <w:rsid w:val="003F658F"/>
    <w:rsid w:val="003F795B"/>
    <w:rsid w:val="00400C44"/>
    <w:rsid w:val="00401757"/>
    <w:rsid w:val="00406544"/>
    <w:rsid w:val="00406570"/>
    <w:rsid w:val="00406847"/>
    <w:rsid w:val="004108C6"/>
    <w:rsid w:val="00411A5B"/>
    <w:rsid w:val="00412FA2"/>
    <w:rsid w:val="00413552"/>
    <w:rsid w:val="004162C1"/>
    <w:rsid w:val="0041636E"/>
    <w:rsid w:val="0041658E"/>
    <w:rsid w:val="004166A8"/>
    <w:rsid w:val="00416DA0"/>
    <w:rsid w:val="0041784F"/>
    <w:rsid w:val="00421B37"/>
    <w:rsid w:val="004228E1"/>
    <w:rsid w:val="00423BEF"/>
    <w:rsid w:val="00423C28"/>
    <w:rsid w:val="0042426E"/>
    <w:rsid w:val="004270B0"/>
    <w:rsid w:val="00427D98"/>
    <w:rsid w:val="00434928"/>
    <w:rsid w:val="0043656F"/>
    <w:rsid w:val="00437BB4"/>
    <w:rsid w:val="00440209"/>
    <w:rsid w:val="00440C52"/>
    <w:rsid w:val="0044178C"/>
    <w:rsid w:val="004420C4"/>
    <w:rsid w:val="00442AAD"/>
    <w:rsid w:val="00445A65"/>
    <w:rsid w:val="00451F44"/>
    <w:rsid w:val="00452E09"/>
    <w:rsid w:val="00453F1A"/>
    <w:rsid w:val="004541E2"/>
    <w:rsid w:val="0046008C"/>
    <w:rsid w:val="00460652"/>
    <w:rsid w:val="0046368E"/>
    <w:rsid w:val="0046401F"/>
    <w:rsid w:val="004655E7"/>
    <w:rsid w:val="004701E1"/>
    <w:rsid w:val="00470494"/>
    <w:rsid w:val="004713F8"/>
    <w:rsid w:val="00471471"/>
    <w:rsid w:val="004738C9"/>
    <w:rsid w:val="00475C80"/>
    <w:rsid w:val="00476365"/>
    <w:rsid w:val="004776ED"/>
    <w:rsid w:val="00480103"/>
    <w:rsid w:val="00480F74"/>
    <w:rsid w:val="00483A6B"/>
    <w:rsid w:val="00484E33"/>
    <w:rsid w:val="00485122"/>
    <w:rsid w:val="004864AF"/>
    <w:rsid w:val="0049002D"/>
    <w:rsid w:val="00490FD9"/>
    <w:rsid w:val="00492941"/>
    <w:rsid w:val="00492C2A"/>
    <w:rsid w:val="00493185"/>
    <w:rsid w:val="00493C49"/>
    <w:rsid w:val="004975B3"/>
    <w:rsid w:val="0049772E"/>
    <w:rsid w:val="004A0225"/>
    <w:rsid w:val="004A06B1"/>
    <w:rsid w:val="004A1E56"/>
    <w:rsid w:val="004A3C4B"/>
    <w:rsid w:val="004A4B43"/>
    <w:rsid w:val="004A6A83"/>
    <w:rsid w:val="004A6BB1"/>
    <w:rsid w:val="004A7BC3"/>
    <w:rsid w:val="004A7E40"/>
    <w:rsid w:val="004B1179"/>
    <w:rsid w:val="004B21C1"/>
    <w:rsid w:val="004B2889"/>
    <w:rsid w:val="004B28CB"/>
    <w:rsid w:val="004B64EC"/>
    <w:rsid w:val="004C1636"/>
    <w:rsid w:val="004C1905"/>
    <w:rsid w:val="004C279B"/>
    <w:rsid w:val="004C3C2F"/>
    <w:rsid w:val="004C4682"/>
    <w:rsid w:val="004C7CF5"/>
    <w:rsid w:val="004D10F1"/>
    <w:rsid w:val="004D3BA4"/>
    <w:rsid w:val="004D425E"/>
    <w:rsid w:val="004D50C2"/>
    <w:rsid w:val="004D5A4B"/>
    <w:rsid w:val="004D7ABD"/>
    <w:rsid w:val="004E01B9"/>
    <w:rsid w:val="004E12F5"/>
    <w:rsid w:val="004E13F1"/>
    <w:rsid w:val="004E368C"/>
    <w:rsid w:val="004E3DB5"/>
    <w:rsid w:val="004E4396"/>
    <w:rsid w:val="004E56B3"/>
    <w:rsid w:val="004E59E0"/>
    <w:rsid w:val="004E651F"/>
    <w:rsid w:val="004E7500"/>
    <w:rsid w:val="004E7958"/>
    <w:rsid w:val="004F0CA9"/>
    <w:rsid w:val="004F16A6"/>
    <w:rsid w:val="004F269B"/>
    <w:rsid w:val="004F271D"/>
    <w:rsid w:val="004F2D01"/>
    <w:rsid w:val="00500333"/>
    <w:rsid w:val="00501109"/>
    <w:rsid w:val="00502BED"/>
    <w:rsid w:val="005036E6"/>
    <w:rsid w:val="00503709"/>
    <w:rsid w:val="00503A16"/>
    <w:rsid w:val="00505495"/>
    <w:rsid w:val="00506C06"/>
    <w:rsid w:val="00510A92"/>
    <w:rsid w:val="00512838"/>
    <w:rsid w:val="00514584"/>
    <w:rsid w:val="0051514C"/>
    <w:rsid w:val="005154EE"/>
    <w:rsid w:val="005172F3"/>
    <w:rsid w:val="00517E7C"/>
    <w:rsid w:val="005212E5"/>
    <w:rsid w:val="0052234A"/>
    <w:rsid w:val="005245DE"/>
    <w:rsid w:val="00524C70"/>
    <w:rsid w:val="005251FB"/>
    <w:rsid w:val="00527322"/>
    <w:rsid w:val="005275B8"/>
    <w:rsid w:val="005277F3"/>
    <w:rsid w:val="00531536"/>
    <w:rsid w:val="00531FA3"/>
    <w:rsid w:val="00532727"/>
    <w:rsid w:val="00533037"/>
    <w:rsid w:val="00533248"/>
    <w:rsid w:val="00535259"/>
    <w:rsid w:val="0053545B"/>
    <w:rsid w:val="005354E5"/>
    <w:rsid w:val="00535772"/>
    <w:rsid w:val="00537BEA"/>
    <w:rsid w:val="00540BE2"/>
    <w:rsid w:val="005425ED"/>
    <w:rsid w:val="00543330"/>
    <w:rsid w:val="00544440"/>
    <w:rsid w:val="00552A34"/>
    <w:rsid w:val="00552BC7"/>
    <w:rsid w:val="00552D49"/>
    <w:rsid w:val="00555920"/>
    <w:rsid w:val="005566BF"/>
    <w:rsid w:val="00556844"/>
    <w:rsid w:val="00556AE1"/>
    <w:rsid w:val="005611F2"/>
    <w:rsid w:val="005636DE"/>
    <w:rsid w:val="00563A7D"/>
    <w:rsid w:val="0056452B"/>
    <w:rsid w:val="00564A1D"/>
    <w:rsid w:val="00566A3E"/>
    <w:rsid w:val="00567647"/>
    <w:rsid w:val="00571811"/>
    <w:rsid w:val="005732A4"/>
    <w:rsid w:val="00573636"/>
    <w:rsid w:val="005740B6"/>
    <w:rsid w:val="005747AB"/>
    <w:rsid w:val="00574FD2"/>
    <w:rsid w:val="00576DA1"/>
    <w:rsid w:val="00576E23"/>
    <w:rsid w:val="00577BF6"/>
    <w:rsid w:val="00580160"/>
    <w:rsid w:val="005806A1"/>
    <w:rsid w:val="005839EA"/>
    <w:rsid w:val="00584405"/>
    <w:rsid w:val="00587061"/>
    <w:rsid w:val="005929FA"/>
    <w:rsid w:val="00593178"/>
    <w:rsid w:val="00596A74"/>
    <w:rsid w:val="0059794E"/>
    <w:rsid w:val="005A2698"/>
    <w:rsid w:val="005A2B7D"/>
    <w:rsid w:val="005A3970"/>
    <w:rsid w:val="005A4B85"/>
    <w:rsid w:val="005B142F"/>
    <w:rsid w:val="005B2988"/>
    <w:rsid w:val="005B2C2C"/>
    <w:rsid w:val="005B2DF0"/>
    <w:rsid w:val="005B3962"/>
    <w:rsid w:val="005B3B4E"/>
    <w:rsid w:val="005B406A"/>
    <w:rsid w:val="005B433B"/>
    <w:rsid w:val="005B7DF6"/>
    <w:rsid w:val="005C048F"/>
    <w:rsid w:val="005C2FF1"/>
    <w:rsid w:val="005C36AC"/>
    <w:rsid w:val="005C3AE7"/>
    <w:rsid w:val="005C3C8A"/>
    <w:rsid w:val="005C5F1A"/>
    <w:rsid w:val="005C5F6B"/>
    <w:rsid w:val="005C6AD2"/>
    <w:rsid w:val="005D02BD"/>
    <w:rsid w:val="005D0D70"/>
    <w:rsid w:val="005D15B7"/>
    <w:rsid w:val="005D2176"/>
    <w:rsid w:val="005D2784"/>
    <w:rsid w:val="005D2A99"/>
    <w:rsid w:val="005D2ED4"/>
    <w:rsid w:val="005D2FEB"/>
    <w:rsid w:val="005D352D"/>
    <w:rsid w:val="005D6891"/>
    <w:rsid w:val="005D68A0"/>
    <w:rsid w:val="005D6E53"/>
    <w:rsid w:val="005E20C0"/>
    <w:rsid w:val="005E265D"/>
    <w:rsid w:val="005E3940"/>
    <w:rsid w:val="005E5798"/>
    <w:rsid w:val="005E5D9D"/>
    <w:rsid w:val="005E6F93"/>
    <w:rsid w:val="005F0490"/>
    <w:rsid w:val="005F07FB"/>
    <w:rsid w:val="005F34F8"/>
    <w:rsid w:val="005F44F4"/>
    <w:rsid w:val="005F5EAB"/>
    <w:rsid w:val="006024E4"/>
    <w:rsid w:val="00603D3B"/>
    <w:rsid w:val="00603EBF"/>
    <w:rsid w:val="006041E2"/>
    <w:rsid w:val="006046A4"/>
    <w:rsid w:val="006051B5"/>
    <w:rsid w:val="00605650"/>
    <w:rsid w:val="006076BD"/>
    <w:rsid w:val="00607F20"/>
    <w:rsid w:val="00610A9A"/>
    <w:rsid w:val="00611DC7"/>
    <w:rsid w:val="00612B8E"/>
    <w:rsid w:val="00612D3F"/>
    <w:rsid w:val="0061399D"/>
    <w:rsid w:val="00614F51"/>
    <w:rsid w:val="00615615"/>
    <w:rsid w:val="00616525"/>
    <w:rsid w:val="00620BBA"/>
    <w:rsid w:val="00620D33"/>
    <w:rsid w:val="00622C80"/>
    <w:rsid w:val="00622DA4"/>
    <w:rsid w:val="00622E81"/>
    <w:rsid w:val="006231F6"/>
    <w:rsid w:val="006239E0"/>
    <w:rsid w:val="006243B4"/>
    <w:rsid w:val="006272C5"/>
    <w:rsid w:val="00627E4F"/>
    <w:rsid w:val="0063181E"/>
    <w:rsid w:val="00632269"/>
    <w:rsid w:val="006372F9"/>
    <w:rsid w:val="006372FD"/>
    <w:rsid w:val="006401DD"/>
    <w:rsid w:val="00640D79"/>
    <w:rsid w:val="00641876"/>
    <w:rsid w:val="00643C02"/>
    <w:rsid w:val="006475C3"/>
    <w:rsid w:val="00650103"/>
    <w:rsid w:val="0065077D"/>
    <w:rsid w:val="00652862"/>
    <w:rsid w:val="00652F5B"/>
    <w:rsid w:val="00653533"/>
    <w:rsid w:val="00653C24"/>
    <w:rsid w:val="0065604B"/>
    <w:rsid w:val="00656FA1"/>
    <w:rsid w:val="006571DE"/>
    <w:rsid w:val="00657E1D"/>
    <w:rsid w:val="00662D8E"/>
    <w:rsid w:val="00663035"/>
    <w:rsid w:val="00666CAC"/>
    <w:rsid w:val="00667E36"/>
    <w:rsid w:val="00670F8A"/>
    <w:rsid w:val="00671B03"/>
    <w:rsid w:val="006739A2"/>
    <w:rsid w:val="006740AF"/>
    <w:rsid w:val="00674EA3"/>
    <w:rsid w:val="006769D3"/>
    <w:rsid w:val="00680C75"/>
    <w:rsid w:val="00683BAD"/>
    <w:rsid w:val="0068409D"/>
    <w:rsid w:val="00685512"/>
    <w:rsid w:val="00685BD9"/>
    <w:rsid w:val="00685E87"/>
    <w:rsid w:val="00687735"/>
    <w:rsid w:val="0069061E"/>
    <w:rsid w:val="00694F3C"/>
    <w:rsid w:val="00695B1E"/>
    <w:rsid w:val="00695EEF"/>
    <w:rsid w:val="006A149F"/>
    <w:rsid w:val="006A1B37"/>
    <w:rsid w:val="006A20D8"/>
    <w:rsid w:val="006A2F3B"/>
    <w:rsid w:val="006A4595"/>
    <w:rsid w:val="006A6259"/>
    <w:rsid w:val="006A7250"/>
    <w:rsid w:val="006B4B1F"/>
    <w:rsid w:val="006C06BF"/>
    <w:rsid w:val="006C0B77"/>
    <w:rsid w:val="006C26FE"/>
    <w:rsid w:val="006C45DD"/>
    <w:rsid w:val="006C4C80"/>
    <w:rsid w:val="006D1157"/>
    <w:rsid w:val="006D19DB"/>
    <w:rsid w:val="006D1F38"/>
    <w:rsid w:val="006D232E"/>
    <w:rsid w:val="006D3158"/>
    <w:rsid w:val="006E2494"/>
    <w:rsid w:val="006E257F"/>
    <w:rsid w:val="006E2EF6"/>
    <w:rsid w:val="006E6319"/>
    <w:rsid w:val="006E6E5D"/>
    <w:rsid w:val="006F1940"/>
    <w:rsid w:val="006F29CB"/>
    <w:rsid w:val="006F4ADB"/>
    <w:rsid w:val="006F52FC"/>
    <w:rsid w:val="006F556E"/>
    <w:rsid w:val="006F5E1F"/>
    <w:rsid w:val="006F65A9"/>
    <w:rsid w:val="006F79F7"/>
    <w:rsid w:val="006F7FE2"/>
    <w:rsid w:val="007014B2"/>
    <w:rsid w:val="0070163C"/>
    <w:rsid w:val="00702402"/>
    <w:rsid w:val="007032FB"/>
    <w:rsid w:val="0070408B"/>
    <w:rsid w:val="0071108F"/>
    <w:rsid w:val="007118CC"/>
    <w:rsid w:val="00711EFF"/>
    <w:rsid w:val="00714D53"/>
    <w:rsid w:val="00715E48"/>
    <w:rsid w:val="00716B36"/>
    <w:rsid w:val="00716DD0"/>
    <w:rsid w:val="0071715B"/>
    <w:rsid w:val="00717CA0"/>
    <w:rsid w:val="00721C66"/>
    <w:rsid w:val="007244B9"/>
    <w:rsid w:val="007252A4"/>
    <w:rsid w:val="00727481"/>
    <w:rsid w:val="007276EF"/>
    <w:rsid w:val="007316B5"/>
    <w:rsid w:val="00731BA4"/>
    <w:rsid w:val="0073249C"/>
    <w:rsid w:val="00732A32"/>
    <w:rsid w:val="00734C4B"/>
    <w:rsid w:val="0073529E"/>
    <w:rsid w:val="00735698"/>
    <w:rsid w:val="007370E0"/>
    <w:rsid w:val="007379C9"/>
    <w:rsid w:val="00740FBB"/>
    <w:rsid w:val="00743D74"/>
    <w:rsid w:val="007458AB"/>
    <w:rsid w:val="00746851"/>
    <w:rsid w:val="00746B80"/>
    <w:rsid w:val="00746D01"/>
    <w:rsid w:val="00747337"/>
    <w:rsid w:val="0075112A"/>
    <w:rsid w:val="007526CD"/>
    <w:rsid w:val="00752AE9"/>
    <w:rsid w:val="00752AEC"/>
    <w:rsid w:val="00753790"/>
    <w:rsid w:val="007537C1"/>
    <w:rsid w:val="00754789"/>
    <w:rsid w:val="00755286"/>
    <w:rsid w:val="007554DF"/>
    <w:rsid w:val="00757880"/>
    <w:rsid w:val="00760238"/>
    <w:rsid w:val="007624D2"/>
    <w:rsid w:val="00762B64"/>
    <w:rsid w:val="007642CB"/>
    <w:rsid w:val="007647D5"/>
    <w:rsid w:val="00767EE7"/>
    <w:rsid w:val="00770D78"/>
    <w:rsid w:val="00771036"/>
    <w:rsid w:val="00772B60"/>
    <w:rsid w:val="00772F34"/>
    <w:rsid w:val="0077446F"/>
    <w:rsid w:val="007766FF"/>
    <w:rsid w:val="007775C2"/>
    <w:rsid w:val="00777B4C"/>
    <w:rsid w:val="00777E14"/>
    <w:rsid w:val="00781A20"/>
    <w:rsid w:val="00785DE0"/>
    <w:rsid w:val="00785FF3"/>
    <w:rsid w:val="007862F9"/>
    <w:rsid w:val="0078639D"/>
    <w:rsid w:val="0078657D"/>
    <w:rsid w:val="00790198"/>
    <w:rsid w:val="00793EC4"/>
    <w:rsid w:val="00795884"/>
    <w:rsid w:val="00795DEC"/>
    <w:rsid w:val="00796BBB"/>
    <w:rsid w:val="007A03BC"/>
    <w:rsid w:val="007A115C"/>
    <w:rsid w:val="007A1890"/>
    <w:rsid w:val="007A2113"/>
    <w:rsid w:val="007A214B"/>
    <w:rsid w:val="007A3213"/>
    <w:rsid w:val="007A3BD7"/>
    <w:rsid w:val="007A6D70"/>
    <w:rsid w:val="007A6DD9"/>
    <w:rsid w:val="007A6E88"/>
    <w:rsid w:val="007B4567"/>
    <w:rsid w:val="007B4CEB"/>
    <w:rsid w:val="007B73C1"/>
    <w:rsid w:val="007C15A6"/>
    <w:rsid w:val="007C3A47"/>
    <w:rsid w:val="007C55D9"/>
    <w:rsid w:val="007C6B14"/>
    <w:rsid w:val="007C7C46"/>
    <w:rsid w:val="007D03C2"/>
    <w:rsid w:val="007D1FE6"/>
    <w:rsid w:val="007D33B5"/>
    <w:rsid w:val="007D44B5"/>
    <w:rsid w:val="007D5079"/>
    <w:rsid w:val="007D65EB"/>
    <w:rsid w:val="007D7854"/>
    <w:rsid w:val="007E38FA"/>
    <w:rsid w:val="007E4167"/>
    <w:rsid w:val="007E41E4"/>
    <w:rsid w:val="007E5FFA"/>
    <w:rsid w:val="007F0519"/>
    <w:rsid w:val="007F0EE0"/>
    <w:rsid w:val="007F1A28"/>
    <w:rsid w:val="007F3BE7"/>
    <w:rsid w:val="007F41B7"/>
    <w:rsid w:val="0080087A"/>
    <w:rsid w:val="00801596"/>
    <w:rsid w:val="00802E46"/>
    <w:rsid w:val="00805132"/>
    <w:rsid w:val="00805DDA"/>
    <w:rsid w:val="008065D3"/>
    <w:rsid w:val="00807EEE"/>
    <w:rsid w:val="00810006"/>
    <w:rsid w:val="00810341"/>
    <w:rsid w:val="008108C1"/>
    <w:rsid w:val="00811617"/>
    <w:rsid w:val="008118FC"/>
    <w:rsid w:val="00812D71"/>
    <w:rsid w:val="008139DD"/>
    <w:rsid w:val="00813F89"/>
    <w:rsid w:val="00814D81"/>
    <w:rsid w:val="0081606A"/>
    <w:rsid w:val="00816EB9"/>
    <w:rsid w:val="00821169"/>
    <w:rsid w:val="00821534"/>
    <w:rsid w:val="0082200A"/>
    <w:rsid w:val="00824475"/>
    <w:rsid w:val="00824786"/>
    <w:rsid w:val="00824C51"/>
    <w:rsid w:val="00825D7A"/>
    <w:rsid w:val="008277F0"/>
    <w:rsid w:val="00831005"/>
    <w:rsid w:val="00831EFC"/>
    <w:rsid w:val="008336BB"/>
    <w:rsid w:val="00833D23"/>
    <w:rsid w:val="00833FFB"/>
    <w:rsid w:val="00836318"/>
    <w:rsid w:val="0083653A"/>
    <w:rsid w:val="00842F58"/>
    <w:rsid w:val="008430B9"/>
    <w:rsid w:val="0084326C"/>
    <w:rsid w:val="00846100"/>
    <w:rsid w:val="00846AE4"/>
    <w:rsid w:val="008473FA"/>
    <w:rsid w:val="00850E3D"/>
    <w:rsid w:val="0085211A"/>
    <w:rsid w:val="008523A0"/>
    <w:rsid w:val="008545E6"/>
    <w:rsid w:val="00857BFB"/>
    <w:rsid w:val="00862782"/>
    <w:rsid w:val="00862BD4"/>
    <w:rsid w:val="00864889"/>
    <w:rsid w:val="00866DD6"/>
    <w:rsid w:val="00867C8F"/>
    <w:rsid w:val="00870C2E"/>
    <w:rsid w:val="00873DB7"/>
    <w:rsid w:val="008746ED"/>
    <w:rsid w:val="00874732"/>
    <w:rsid w:val="00874D19"/>
    <w:rsid w:val="0087558B"/>
    <w:rsid w:val="00875CD1"/>
    <w:rsid w:val="00875F45"/>
    <w:rsid w:val="00877152"/>
    <w:rsid w:val="0087724F"/>
    <w:rsid w:val="008772BE"/>
    <w:rsid w:val="00882A0F"/>
    <w:rsid w:val="00882FE7"/>
    <w:rsid w:val="0088459E"/>
    <w:rsid w:val="00886144"/>
    <w:rsid w:val="00890605"/>
    <w:rsid w:val="00891CA9"/>
    <w:rsid w:val="00893516"/>
    <w:rsid w:val="00895302"/>
    <w:rsid w:val="008A0A1A"/>
    <w:rsid w:val="008A152B"/>
    <w:rsid w:val="008A3E8D"/>
    <w:rsid w:val="008A3F2F"/>
    <w:rsid w:val="008A4134"/>
    <w:rsid w:val="008A52AA"/>
    <w:rsid w:val="008A70CD"/>
    <w:rsid w:val="008A7E8A"/>
    <w:rsid w:val="008B15E7"/>
    <w:rsid w:val="008B1789"/>
    <w:rsid w:val="008B2BA5"/>
    <w:rsid w:val="008B2D1D"/>
    <w:rsid w:val="008B3890"/>
    <w:rsid w:val="008C1333"/>
    <w:rsid w:val="008C1DE0"/>
    <w:rsid w:val="008C4282"/>
    <w:rsid w:val="008C42CC"/>
    <w:rsid w:val="008C6367"/>
    <w:rsid w:val="008D0B36"/>
    <w:rsid w:val="008D2EBE"/>
    <w:rsid w:val="008D3F24"/>
    <w:rsid w:val="008D5C15"/>
    <w:rsid w:val="008D7315"/>
    <w:rsid w:val="008E03F3"/>
    <w:rsid w:val="008E1FDA"/>
    <w:rsid w:val="008E2716"/>
    <w:rsid w:val="008E43B9"/>
    <w:rsid w:val="008E7A71"/>
    <w:rsid w:val="008E7E2F"/>
    <w:rsid w:val="008F123B"/>
    <w:rsid w:val="008F3E36"/>
    <w:rsid w:val="008F611C"/>
    <w:rsid w:val="008F64E3"/>
    <w:rsid w:val="0090123E"/>
    <w:rsid w:val="00901E82"/>
    <w:rsid w:val="00902921"/>
    <w:rsid w:val="00904AFC"/>
    <w:rsid w:val="009068C6"/>
    <w:rsid w:val="00906A03"/>
    <w:rsid w:val="00907628"/>
    <w:rsid w:val="00910612"/>
    <w:rsid w:val="0091137A"/>
    <w:rsid w:val="00913656"/>
    <w:rsid w:val="009137C9"/>
    <w:rsid w:val="00914C07"/>
    <w:rsid w:val="00916A10"/>
    <w:rsid w:val="00917565"/>
    <w:rsid w:val="00917719"/>
    <w:rsid w:val="00922269"/>
    <w:rsid w:val="0092316B"/>
    <w:rsid w:val="00923318"/>
    <w:rsid w:val="00931436"/>
    <w:rsid w:val="00932A0D"/>
    <w:rsid w:val="00932D57"/>
    <w:rsid w:val="00932F6B"/>
    <w:rsid w:val="00934666"/>
    <w:rsid w:val="00941E48"/>
    <w:rsid w:val="00941F2C"/>
    <w:rsid w:val="00942BB8"/>
    <w:rsid w:val="00942F23"/>
    <w:rsid w:val="009449E2"/>
    <w:rsid w:val="00944E3D"/>
    <w:rsid w:val="00945BF1"/>
    <w:rsid w:val="009473AC"/>
    <w:rsid w:val="0095025A"/>
    <w:rsid w:val="00950D16"/>
    <w:rsid w:val="009519D5"/>
    <w:rsid w:val="00953290"/>
    <w:rsid w:val="00953E83"/>
    <w:rsid w:val="009550FF"/>
    <w:rsid w:val="00955A9F"/>
    <w:rsid w:val="0096067D"/>
    <w:rsid w:val="0096080A"/>
    <w:rsid w:val="00960C65"/>
    <w:rsid w:val="00961884"/>
    <w:rsid w:val="00962560"/>
    <w:rsid w:val="009634E5"/>
    <w:rsid w:val="00963917"/>
    <w:rsid w:val="00964CD0"/>
    <w:rsid w:val="009650C6"/>
    <w:rsid w:val="0096726A"/>
    <w:rsid w:val="009676D7"/>
    <w:rsid w:val="00967DC1"/>
    <w:rsid w:val="00967ED9"/>
    <w:rsid w:val="0097015E"/>
    <w:rsid w:val="00973C44"/>
    <w:rsid w:val="0097403E"/>
    <w:rsid w:val="0097434D"/>
    <w:rsid w:val="00974725"/>
    <w:rsid w:val="009755E5"/>
    <w:rsid w:val="00977EF4"/>
    <w:rsid w:val="009802F9"/>
    <w:rsid w:val="0098081A"/>
    <w:rsid w:val="00981A49"/>
    <w:rsid w:val="00981F9D"/>
    <w:rsid w:val="00982765"/>
    <w:rsid w:val="009836B4"/>
    <w:rsid w:val="009864CA"/>
    <w:rsid w:val="00986E6F"/>
    <w:rsid w:val="00986EF9"/>
    <w:rsid w:val="00987201"/>
    <w:rsid w:val="00990295"/>
    <w:rsid w:val="009918B9"/>
    <w:rsid w:val="009922DE"/>
    <w:rsid w:val="009930BC"/>
    <w:rsid w:val="00993303"/>
    <w:rsid w:val="00993447"/>
    <w:rsid w:val="00994021"/>
    <w:rsid w:val="00994F5E"/>
    <w:rsid w:val="009952F4"/>
    <w:rsid w:val="00997339"/>
    <w:rsid w:val="009A0D8A"/>
    <w:rsid w:val="009A13E8"/>
    <w:rsid w:val="009A1496"/>
    <w:rsid w:val="009A1E10"/>
    <w:rsid w:val="009A392B"/>
    <w:rsid w:val="009A3E9C"/>
    <w:rsid w:val="009A4943"/>
    <w:rsid w:val="009A5A28"/>
    <w:rsid w:val="009A65CA"/>
    <w:rsid w:val="009A6BCE"/>
    <w:rsid w:val="009B23D5"/>
    <w:rsid w:val="009B5CBF"/>
    <w:rsid w:val="009C23C4"/>
    <w:rsid w:val="009C59F7"/>
    <w:rsid w:val="009C70C3"/>
    <w:rsid w:val="009C77DE"/>
    <w:rsid w:val="009C7836"/>
    <w:rsid w:val="009D08B9"/>
    <w:rsid w:val="009D0C95"/>
    <w:rsid w:val="009D2078"/>
    <w:rsid w:val="009D4DD4"/>
    <w:rsid w:val="009D6D99"/>
    <w:rsid w:val="009E19E8"/>
    <w:rsid w:val="009E1A1E"/>
    <w:rsid w:val="009E4632"/>
    <w:rsid w:val="009E6FD7"/>
    <w:rsid w:val="009F05CD"/>
    <w:rsid w:val="009F0EBF"/>
    <w:rsid w:val="009F1B65"/>
    <w:rsid w:val="009F1BA8"/>
    <w:rsid w:val="009F2455"/>
    <w:rsid w:val="009F3785"/>
    <w:rsid w:val="009F37AD"/>
    <w:rsid w:val="009F4374"/>
    <w:rsid w:val="009F6BAE"/>
    <w:rsid w:val="009F6D3D"/>
    <w:rsid w:val="00A031C9"/>
    <w:rsid w:val="00A03964"/>
    <w:rsid w:val="00A03BE6"/>
    <w:rsid w:val="00A065F5"/>
    <w:rsid w:val="00A1097C"/>
    <w:rsid w:val="00A10EAE"/>
    <w:rsid w:val="00A11A89"/>
    <w:rsid w:val="00A1329C"/>
    <w:rsid w:val="00A17F58"/>
    <w:rsid w:val="00A20B33"/>
    <w:rsid w:val="00A22181"/>
    <w:rsid w:val="00A230B5"/>
    <w:rsid w:val="00A24762"/>
    <w:rsid w:val="00A25E33"/>
    <w:rsid w:val="00A26092"/>
    <w:rsid w:val="00A26B95"/>
    <w:rsid w:val="00A3057A"/>
    <w:rsid w:val="00A3081F"/>
    <w:rsid w:val="00A30A1D"/>
    <w:rsid w:val="00A36727"/>
    <w:rsid w:val="00A40E01"/>
    <w:rsid w:val="00A41FF9"/>
    <w:rsid w:val="00A4265F"/>
    <w:rsid w:val="00A4277E"/>
    <w:rsid w:val="00A4410B"/>
    <w:rsid w:val="00A441A5"/>
    <w:rsid w:val="00A45E8E"/>
    <w:rsid w:val="00A464FD"/>
    <w:rsid w:val="00A47CC7"/>
    <w:rsid w:val="00A509DA"/>
    <w:rsid w:val="00A52C8A"/>
    <w:rsid w:val="00A52F7C"/>
    <w:rsid w:val="00A533C9"/>
    <w:rsid w:val="00A5464D"/>
    <w:rsid w:val="00A54832"/>
    <w:rsid w:val="00A5564F"/>
    <w:rsid w:val="00A57368"/>
    <w:rsid w:val="00A5782B"/>
    <w:rsid w:val="00A612E2"/>
    <w:rsid w:val="00A6234E"/>
    <w:rsid w:val="00A65B7C"/>
    <w:rsid w:val="00A66C7F"/>
    <w:rsid w:val="00A72AE8"/>
    <w:rsid w:val="00A72D46"/>
    <w:rsid w:val="00A731AF"/>
    <w:rsid w:val="00A74500"/>
    <w:rsid w:val="00A759BB"/>
    <w:rsid w:val="00A76DAC"/>
    <w:rsid w:val="00A771A3"/>
    <w:rsid w:val="00A80885"/>
    <w:rsid w:val="00A813BB"/>
    <w:rsid w:val="00A82D1D"/>
    <w:rsid w:val="00A84AAD"/>
    <w:rsid w:val="00A84DF0"/>
    <w:rsid w:val="00A86CDE"/>
    <w:rsid w:val="00A90EE5"/>
    <w:rsid w:val="00A916DE"/>
    <w:rsid w:val="00A92034"/>
    <w:rsid w:val="00A97D8C"/>
    <w:rsid w:val="00AA1959"/>
    <w:rsid w:val="00AA3C9F"/>
    <w:rsid w:val="00AA3FE3"/>
    <w:rsid w:val="00AA5642"/>
    <w:rsid w:val="00AA5D9A"/>
    <w:rsid w:val="00AA6977"/>
    <w:rsid w:val="00AB0D0A"/>
    <w:rsid w:val="00AB0FAB"/>
    <w:rsid w:val="00AB269C"/>
    <w:rsid w:val="00AB320B"/>
    <w:rsid w:val="00AB3926"/>
    <w:rsid w:val="00AB46A3"/>
    <w:rsid w:val="00AB667A"/>
    <w:rsid w:val="00AC3D1A"/>
    <w:rsid w:val="00AC5BB7"/>
    <w:rsid w:val="00AC630B"/>
    <w:rsid w:val="00AD2306"/>
    <w:rsid w:val="00AD3B8A"/>
    <w:rsid w:val="00AD6273"/>
    <w:rsid w:val="00AE0637"/>
    <w:rsid w:val="00AE1535"/>
    <w:rsid w:val="00AE31B4"/>
    <w:rsid w:val="00AE3322"/>
    <w:rsid w:val="00AE417E"/>
    <w:rsid w:val="00AE6A2A"/>
    <w:rsid w:val="00AE70AC"/>
    <w:rsid w:val="00AF193E"/>
    <w:rsid w:val="00AF4671"/>
    <w:rsid w:val="00AF4CCB"/>
    <w:rsid w:val="00AF607D"/>
    <w:rsid w:val="00B02F73"/>
    <w:rsid w:val="00B033BF"/>
    <w:rsid w:val="00B067F3"/>
    <w:rsid w:val="00B070C9"/>
    <w:rsid w:val="00B075FD"/>
    <w:rsid w:val="00B07E42"/>
    <w:rsid w:val="00B12BD4"/>
    <w:rsid w:val="00B141D7"/>
    <w:rsid w:val="00B14A81"/>
    <w:rsid w:val="00B15CD4"/>
    <w:rsid w:val="00B17524"/>
    <w:rsid w:val="00B1778A"/>
    <w:rsid w:val="00B17854"/>
    <w:rsid w:val="00B24105"/>
    <w:rsid w:val="00B24C54"/>
    <w:rsid w:val="00B26710"/>
    <w:rsid w:val="00B30085"/>
    <w:rsid w:val="00B33479"/>
    <w:rsid w:val="00B36C55"/>
    <w:rsid w:val="00B37272"/>
    <w:rsid w:val="00B37568"/>
    <w:rsid w:val="00B40C67"/>
    <w:rsid w:val="00B40E1A"/>
    <w:rsid w:val="00B418FD"/>
    <w:rsid w:val="00B42CB2"/>
    <w:rsid w:val="00B446F2"/>
    <w:rsid w:val="00B46CAA"/>
    <w:rsid w:val="00B47A03"/>
    <w:rsid w:val="00B50A72"/>
    <w:rsid w:val="00B51A1C"/>
    <w:rsid w:val="00B52054"/>
    <w:rsid w:val="00B53232"/>
    <w:rsid w:val="00B54CA2"/>
    <w:rsid w:val="00B56830"/>
    <w:rsid w:val="00B60B85"/>
    <w:rsid w:val="00B61DAE"/>
    <w:rsid w:val="00B625D8"/>
    <w:rsid w:val="00B6341C"/>
    <w:rsid w:val="00B657DA"/>
    <w:rsid w:val="00B657FA"/>
    <w:rsid w:val="00B66497"/>
    <w:rsid w:val="00B6678C"/>
    <w:rsid w:val="00B66D10"/>
    <w:rsid w:val="00B670AA"/>
    <w:rsid w:val="00B672A7"/>
    <w:rsid w:val="00B70B4F"/>
    <w:rsid w:val="00B70D0C"/>
    <w:rsid w:val="00B71983"/>
    <w:rsid w:val="00B7249B"/>
    <w:rsid w:val="00B741C1"/>
    <w:rsid w:val="00B748D2"/>
    <w:rsid w:val="00B80CF5"/>
    <w:rsid w:val="00B81823"/>
    <w:rsid w:val="00B82730"/>
    <w:rsid w:val="00B82B17"/>
    <w:rsid w:val="00B82ECE"/>
    <w:rsid w:val="00B85B9C"/>
    <w:rsid w:val="00B8647E"/>
    <w:rsid w:val="00B86F5C"/>
    <w:rsid w:val="00B903D8"/>
    <w:rsid w:val="00B91446"/>
    <w:rsid w:val="00B91F38"/>
    <w:rsid w:val="00B92B01"/>
    <w:rsid w:val="00B932C0"/>
    <w:rsid w:val="00B9378E"/>
    <w:rsid w:val="00B94EA8"/>
    <w:rsid w:val="00B96D78"/>
    <w:rsid w:val="00BA0519"/>
    <w:rsid w:val="00BA10AF"/>
    <w:rsid w:val="00BA2714"/>
    <w:rsid w:val="00BA2DBA"/>
    <w:rsid w:val="00BA350E"/>
    <w:rsid w:val="00BA4000"/>
    <w:rsid w:val="00BB1DF3"/>
    <w:rsid w:val="00BB258E"/>
    <w:rsid w:val="00BB2690"/>
    <w:rsid w:val="00BB3EA8"/>
    <w:rsid w:val="00BB49AD"/>
    <w:rsid w:val="00BB54E0"/>
    <w:rsid w:val="00BB6FC9"/>
    <w:rsid w:val="00BB76D8"/>
    <w:rsid w:val="00BC1097"/>
    <w:rsid w:val="00BC297D"/>
    <w:rsid w:val="00BC3E4E"/>
    <w:rsid w:val="00BC4E54"/>
    <w:rsid w:val="00BC5B0E"/>
    <w:rsid w:val="00BC6DB7"/>
    <w:rsid w:val="00BD1A8F"/>
    <w:rsid w:val="00BD3116"/>
    <w:rsid w:val="00BD3FFA"/>
    <w:rsid w:val="00BD4D46"/>
    <w:rsid w:val="00BD531F"/>
    <w:rsid w:val="00BD6213"/>
    <w:rsid w:val="00BD6EE5"/>
    <w:rsid w:val="00BE0F11"/>
    <w:rsid w:val="00BE0F68"/>
    <w:rsid w:val="00BE1377"/>
    <w:rsid w:val="00BE143D"/>
    <w:rsid w:val="00BE2A0E"/>
    <w:rsid w:val="00BE2B6A"/>
    <w:rsid w:val="00BE2C8C"/>
    <w:rsid w:val="00BE6D8E"/>
    <w:rsid w:val="00BF2388"/>
    <w:rsid w:val="00BF37FE"/>
    <w:rsid w:val="00BF3A52"/>
    <w:rsid w:val="00BF58E7"/>
    <w:rsid w:val="00BF7150"/>
    <w:rsid w:val="00C00FBE"/>
    <w:rsid w:val="00C0166B"/>
    <w:rsid w:val="00C03076"/>
    <w:rsid w:val="00C03C39"/>
    <w:rsid w:val="00C057CF"/>
    <w:rsid w:val="00C06088"/>
    <w:rsid w:val="00C07B42"/>
    <w:rsid w:val="00C114E1"/>
    <w:rsid w:val="00C15D5D"/>
    <w:rsid w:val="00C166B6"/>
    <w:rsid w:val="00C17F72"/>
    <w:rsid w:val="00C24421"/>
    <w:rsid w:val="00C24457"/>
    <w:rsid w:val="00C25701"/>
    <w:rsid w:val="00C26E31"/>
    <w:rsid w:val="00C274F2"/>
    <w:rsid w:val="00C27582"/>
    <w:rsid w:val="00C30865"/>
    <w:rsid w:val="00C3216A"/>
    <w:rsid w:val="00C346F6"/>
    <w:rsid w:val="00C36748"/>
    <w:rsid w:val="00C37A34"/>
    <w:rsid w:val="00C40C71"/>
    <w:rsid w:val="00C414C3"/>
    <w:rsid w:val="00C43324"/>
    <w:rsid w:val="00C43996"/>
    <w:rsid w:val="00C441B0"/>
    <w:rsid w:val="00C44755"/>
    <w:rsid w:val="00C50577"/>
    <w:rsid w:val="00C5221E"/>
    <w:rsid w:val="00C53D73"/>
    <w:rsid w:val="00C53F55"/>
    <w:rsid w:val="00C5454C"/>
    <w:rsid w:val="00C5735F"/>
    <w:rsid w:val="00C610CB"/>
    <w:rsid w:val="00C61841"/>
    <w:rsid w:val="00C62309"/>
    <w:rsid w:val="00C64748"/>
    <w:rsid w:val="00C668F4"/>
    <w:rsid w:val="00C671A2"/>
    <w:rsid w:val="00C6721F"/>
    <w:rsid w:val="00C71941"/>
    <w:rsid w:val="00C72816"/>
    <w:rsid w:val="00C72C51"/>
    <w:rsid w:val="00C73C6D"/>
    <w:rsid w:val="00C74AC3"/>
    <w:rsid w:val="00C75AA9"/>
    <w:rsid w:val="00C777DA"/>
    <w:rsid w:val="00C81926"/>
    <w:rsid w:val="00C81D95"/>
    <w:rsid w:val="00C821FB"/>
    <w:rsid w:val="00C83123"/>
    <w:rsid w:val="00C83165"/>
    <w:rsid w:val="00C83C98"/>
    <w:rsid w:val="00C8658C"/>
    <w:rsid w:val="00C87B7F"/>
    <w:rsid w:val="00C87BBC"/>
    <w:rsid w:val="00C91065"/>
    <w:rsid w:val="00C9173E"/>
    <w:rsid w:val="00C9205D"/>
    <w:rsid w:val="00C924C6"/>
    <w:rsid w:val="00C9341B"/>
    <w:rsid w:val="00C93D77"/>
    <w:rsid w:val="00C9431E"/>
    <w:rsid w:val="00C949BE"/>
    <w:rsid w:val="00C95299"/>
    <w:rsid w:val="00C96954"/>
    <w:rsid w:val="00C9716C"/>
    <w:rsid w:val="00CA1496"/>
    <w:rsid w:val="00CA1CD3"/>
    <w:rsid w:val="00CA2DAF"/>
    <w:rsid w:val="00CA396B"/>
    <w:rsid w:val="00CA4764"/>
    <w:rsid w:val="00CB0ACD"/>
    <w:rsid w:val="00CB14C8"/>
    <w:rsid w:val="00CC0808"/>
    <w:rsid w:val="00CC0AAE"/>
    <w:rsid w:val="00CC1A64"/>
    <w:rsid w:val="00CC1DEC"/>
    <w:rsid w:val="00CC54A1"/>
    <w:rsid w:val="00CC58DE"/>
    <w:rsid w:val="00CC648F"/>
    <w:rsid w:val="00CC73AF"/>
    <w:rsid w:val="00CD00AD"/>
    <w:rsid w:val="00CD110F"/>
    <w:rsid w:val="00CD114C"/>
    <w:rsid w:val="00CD11AA"/>
    <w:rsid w:val="00CD20CD"/>
    <w:rsid w:val="00CD31B2"/>
    <w:rsid w:val="00CD32EB"/>
    <w:rsid w:val="00CD4395"/>
    <w:rsid w:val="00CD5533"/>
    <w:rsid w:val="00CD5F8F"/>
    <w:rsid w:val="00CD6BC8"/>
    <w:rsid w:val="00CD738A"/>
    <w:rsid w:val="00CD7477"/>
    <w:rsid w:val="00CD7CAD"/>
    <w:rsid w:val="00CE0029"/>
    <w:rsid w:val="00CE03C2"/>
    <w:rsid w:val="00CE08CF"/>
    <w:rsid w:val="00CE1190"/>
    <w:rsid w:val="00CE15C1"/>
    <w:rsid w:val="00CE187F"/>
    <w:rsid w:val="00CE3835"/>
    <w:rsid w:val="00CE5591"/>
    <w:rsid w:val="00CE5620"/>
    <w:rsid w:val="00CE617A"/>
    <w:rsid w:val="00CE647B"/>
    <w:rsid w:val="00CE6E01"/>
    <w:rsid w:val="00CF3DBF"/>
    <w:rsid w:val="00CF54DB"/>
    <w:rsid w:val="00CF66DA"/>
    <w:rsid w:val="00CF66EB"/>
    <w:rsid w:val="00D02FA2"/>
    <w:rsid w:val="00D02FA6"/>
    <w:rsid w:val="00D03A39"/>
    <w:rsid w:val="00D03F38"/>
    <w:rsid w:val="00D10502"/>
    <w:rsid w:val="00D110A6"/>
    <w:rsid w:val="00D11FD5"/>
    <w:rsid w:val="00D12085"/>
    <w:rsid w:val="00D124AB"/>
    <w:rsid w:val="00D13A50"/>
    <w:rsid w:val="00D14941"/>
    <w:rsid w:val="00D14E4A"/>
    <w:rsid w:val="00D174F0"/>
    <w:rsid w:val="00D1760F"/>
    <w:rsid w:val="00D22AD0"/>
    <w:rsid w:val="00D22DAB"/>
    <w:rsid w:val="00D22DF1"/>
    <w:rsid w:val="00D24A88"/>
    <w:rsid w:val="00D24D00"/>
    <w:rsid w:val="00D2769E"/>
    <w:rsid w:val="00D27D6A"/>
    <w:rsid w:val="00D32057"/>
    <w:rsid w:val="00D322C1"/>
    <w:rsid w:val="00D33A8B"/>
    <w:rsid w:val="00D35864"/>
    <w:rsid w:val="00D36FCB"/>
    <w:rsid w:val="00D41A37"/>
    <w:rsid w:val="00D42759"/>
    <w:rsid w:val="00D42A0B"/>
    <w:rsid w:val="00D430D6"/>
    <w:rsid w:val="00D43E04"/>
    <w:rsid w:val="00D43F2F"/>
    <w:rsid w:val="00D453E4"/>
    <w:rsid w:val="00D4593F"/>
    <w:rsid w:val="00D50220"/>
    <w:rsid w:val="00D5081B"/>
    <w:rsid w:val="00D50B14"/>
    <w:rsid w:val="00D5104F"/>
    <w:rsid w:val="00D52C29"/>
    <w:rsid w:val="00D5628D"/>
    <w:rsid w:val="00D571DA"/>
    <w:rsid w:val="00D57B98"/>
    <w:rsid w:val="00D612A3"/>
    <w:rsid w:val="00D61C33"/>
    <w:rsid w:val="00D62CFB"/>
    <w:rsid w:val="00D63A72"/>
    <w:rsid w:val="00D6493C"/>
    <w:rsid w:val="00D6543C"/>
    <w:rsid w:val="00D65452"/>
    <w:rsid w:val="00D6571A"/>
    <w:rsid w:val="00D701FC"/>
    <w:rsid w:val="00D7170B"/>
    <w:rsid w:val="00D7315D"/>
    <w:rsid w:val="00D80AEE"/>
    <w:rsid w:val="00D816A0"/>
    <w:rsid w:val="00D82D44"/>
    <w:rsid w:val="00D83F17"/>
    <w:rsid w:val="00D8527D"/>
    <w:rsid w:val="00D85A6F"/>
    <w:rsid w:val="00D906AD"/>
    <w:rsid w:val="00D90835"/>
    <w:rsid w:val="00D90BDF"/>
    <w:rsid w:val="00D918E4"/>
    <w:rsid w:val="00D9196D"/>
    <w:rsid w:val="00D94692"/>
    <w:rsid w:val="00D94FD1"/>
    <w:rsid w:val="00D959DD"/>
    <w:rsid w:val="00D964C4"/>
    <w:rsid w:val="00D96CC4"/>
    <w:rsid w:val="00D96F31"/>
    <w:rsid w:val="00DA0DE0"/>
    <w:rsid w:val="00DA1399"/>
    <w:rsid w:val="00DA2896"/>
    <w:rsid w:val="00DA36A7"/>
    <w:rsid w:val="00DA51E0"/>
    <w:rsid w:val="00DA5D53"/>
    <w:rsid w:val="00DA613F"/>
    <w:rsid w:val="00DA73EF"/>
    <w:rsid w:val="00DA7665"/>
    <w:rsid w:val="00DB00D0"/>
    <w:rsid w:val="00DB0B54"/>
    <w:rsid w:val="00DB1837"/>
    <w:rsid w:val="00DB4652"/>
    <w:rsid w:val="00DB497E"/>
    <w:rsid w:val="00DC07D1"/>
    <w:rsid w:val="00DC0933"/>
    <w:rsid w:val="00DC0BA8"/>
    <w:rsid w:val="00DC331B"/>
    <w:rsid w:val="00DC669F"/>
    <w:rsid w:val="00DCB59C"/>
    <w:rsid w:val="00DD5E93"/>
    <w:rsid w:val="00DD7E2D"/>
    <w:rsid w:val="00DE178F"/>
    <w:rsid w:val="00DE36D6"/>
    <w:rsid w:val="00DE7734"/>
    <w:rsid w:val="00DE7B4E"/>
    <w:rsid w:val="00DE7D8D"/>
    <w:rsid w:val="00DF028B"/>
    <w:rsid w:val="00DF1C9E"/>
    <w:rsid w:val="00DF26A7"/>
    <w:rsid w:val="00DF3E83"/>
    <w:rsid w:val="00DF43E5"/>
    <w:rsid w:val="00DF7A3C"/>
    <w:rsid w:val="00E0014D"/>
    <w:rsid w:val="00E0054E"/>
    <w:rsid w:val="00E029A1"/>
    <w:rsid w:val="00E05782"/>
    <w:rsid w:val="00E05F7C"/>
    <w:rsid w:val="00E14918"/>
    <w:rsid w:val="00E14AA7"/>
    <w:rsid w:val="00E15495"/>
    <w:rsid w:val="00E163A5"/>
    <w:rsid w:val="00E171E7"/>
    <w:rsid w:val="00E1769F"/>
    <w:rsid w:val="00E17F23"/>
    <w:rsid w:val="00E2154E"/>
    <w:rsid w:val="00E24D1A"/>
    <w:rsid w:val="00E27765"/>
    <w:rsid w:val="00E30C4C"/>
    <w:rsid w:val="00E32843"/>
    <w:rsid w:val="00E3368F"/>
    <w:rsid w:val="00E340F5"/>
    <w:rsid w:val="00E35972"/>
    <w:rsid w:val="00E35AC4"/>
    <w:rsid w:val="00E35B28"/>
    <w:rsid w:val="00E35CD8"/>
    <w:rsid w:val="00E36BE2"/>
    <w:rsid w:val="00E37BE8"/>
    <w:rsid w:val="00E400D5"/>
    <w:rsid w:val="00E40DF3"/>
    <w:rsid w:val="00E40F2F"/>
    <w:rsid w:val="00E40FAD"/>
    <w:rsid w:val="00E435DF"/>
    <w:rsid w:val="00E44453"/>
    <w:rsid w:val="00E45284"/>
    <w:rsid w:val="00E471A7"/>
    <w:rsid w:val="00E47B94"/>
    <w:rsid w:val="00E51250"/>
    <w:rsid w:val="00E5210C"/>
    <w:rsid w:val="00E5365E"/>
    <w:rsid w:val="00E54323"/>
    <w:rsid w:val="00E54F87"/>
    <w:rsid w:val="00E55F05"/>
    <w:rsid w:val="00E578B0"/>
    <w:rsid w:val="00E610A1"/>
    <w:rsid w:val="00E61639"/>
    <w:rsid w:val="00E63140"/>
    <w:rsid w:val="00E63385"/>
    <w:rsid w:val="00E633F1"/>
    <w:rsid w:val="00E70B96"/>
    <w:rsid w:val="00E7188B"/>
    <w:rsid w:val="00E71D73"/>
    <w:rsid w:val="00E74A8B"/>
    <w:rsid w:val="00E76B52"/>
    <w:rsid w:val="00E778EA"/>
    <w:rsid w:val="00E8063E"/>
    <w:rsid w:val="00E836F6"/>
    <w:rsid w:val="00E838F1"/>
    <w:rsid w:val="00E83E64"/>
    <w:rsid w:val="00E85E98"/>
    <w:rsid w:val="00E87711"/>
    <w:rsid w:val="00E9185E"/>
    <w:rsid w:val="00E93D7D"/>
    <w:rsid w:val="00E94AA2"/>
    <w:rsid w:val="00E94DF2"/>
    <w:rsid w:val="00E963ED"/>
    <w:rsid w:val="00EA12B2"/>
    <w:rsid w:val="00EA1F63"/>
    <w:rsid w:val="00EA6572"/>
    <w:rsid w:val="00EA6E14"/>
    <w:rsid w:val="00EB0619"/>
    <w:rsid w:val="00EB1782"/>
    <w:rsid w:val="00EB28C2"/>
    <w:rsid w:val="00EB3DEC"/>
    <w:rsid w:val="00EB5348"/>
    <w:rsid w:val="00EB5BDA"/>
    <w:rsid w:val="00EC05BA"/>
    <w:rsid w:val="00EC2C07"/>
    <w:rsid w:val="00EC4FB3"/>
    <w:rsid w:val="00EC54DE"/>
    <w:rsid w:val="00ED28ED"/>
    <w:rsid w:val="00ED3368"/>
    <w:rsid w:val="00ED4238"/>
    <w:rsid w:val="00ED4E29"/>
    <w:rsid w:val="00ED7920"/>
    <w:rsid w:val="00EE0A7C"/>
    <w:rsid w:val="00EE0DB5"/>
    <w:rsid w:val="00EE116F"/>
    <w:rsid w:val="00EE1936"/>
    <w:rsid w:val="00EE3872"/>
    <w:rsid w:val="00EE3948"/>
    <w:rsid w:val="00EE46CD"/>
    <w:rsid w:val="00EE6396"/>
    <w:rsid w:val="00EE6748"/>
    <w:rsid w:val="00EE6A3E"/>
    <w:rsid w:val="00EF119B"/>
    <w:rsid w:val="00EF233D"/>
    <w:rsid w:val="00EF3DFD"/>
    <w:rsid w:val="00EF4F4D"/>
    <w:rsid w:val="00EF503C"/>
    <w:rsid w:val="00F015BC"/>
    <w:rsid w:val="00F01D9D"/>
    <w:rsid w:val="00F03257"/>
    <w:rsid w:val="00F03D24"/>
    <w:rsid w:val="00F05B55"/>
    <w:rsid w:val="00F0753D"/>
    <w:rsid w:val="00F10A38"/>
    <w:rsid w:val="00F12297"/>
    <w:rsid w:val="00F137AC"/>
    <w:rsid w:val="00F1464A"/>
    <w:rsid w:val="00F1567F"/>
    <w:rsid w:val="00F157B8"/>
    <w:rsid w:val="00F15871"/>
    <w:rsid w:val="00F15ADF"/>
    <w:rsid w:val="00F15CBD"/>
    <w:rsid w:val="00F16C11"/>
    <w:rsid w:val="00F203A3"/>
    <w:rsid w:val="00F206A8"/>
    <w:rsid w:val="00F21665"/>
    <w:rsid w:val="00F2348D"/>
    <w:rsid w:val="00F23D9C"/>
    <w:rsid w:val="00F30096"/>
    <w:rsid w:val="00F3228C"/>
    <w:rsid w:val="00F34410"/>
    <w:rsid w:val="00F406DC"/>
    <w:rsid w:val="00F4128B"/>
    <w:rsid w:val="00F4224E"/>
    <w:rsid w:val="00F459F1"/>
    <w:rsid w:val="00F467C8"/>
    <w:rsid w:val="00F51189"/>
    <w:rsid w:val="00F51BD6"/>
    <w:rsid w:val="00F5249F"/>
    <w:rsid w:val="00F540F1"/>
    <w:rsid w:val="00F54EF9"/>
    <w:rsid w:val="00F56011"/>
    <w:rsid w:val="00F60952"/>
    <w:rsid w:val="00F634E4"/>
    <w:rsid w:val="00F63702"/>
    <w:rsid w:val="00F640E5"/>
    <w:rsid w:val="00F64C1F"/>
    <w:rsid w:val="00F651A8"/>
    <w:rsid w:val="00F65C60"/>
    <w:rsid w:val="00F672F2"/>
    <w:rsid w:val="00F72DDE"/>
    <w:rsid w:val="00F75B29"/>
    <w:rsid w:val="00F7749B"/>
    <w:rsid w:val="00F777E5"/>
    <w:rsid w:val="00F81BC0"/>
    <w:rsid w:val="00F8255F"/>
    <w:rsid w:val="00F826D7"/>
    <w:rsid w:val="00F83A00"/>
    <w:rsid w:val="00F84324"/>
    <w:rsid w:val="00F84396"/>
    <w:rsid w:val="00F84723"/>
    <w:rsid w:val="00F851C1"/>
    <w:rsid w:val="00F861B5"/>
    <w:rsid w:val="00F8625D"/>
    <w:rsid w:val="00F8709A"/>
    <w:rsid w:val="00F9061E"/>
    <w:rsid w:val="00F9074C"/>
    <w:rsid w:val="00F907FD"/>
    <w:rsid w:val="00F91693"/>
    <w:rsid w:val="00F93492"/>
    <w:rsid w:val="00F94C81"/>
    <w:rsid w:val="00F9540F"/>
    <w:rsid w:val="00F9616C"/>
    <w:rsid w:val="00F969DE"/>
    <w:rsid w:val="00FA03C4"/>
    <w:rsid w:val="00FA3718"/>
    <w:rsid w:val="00FA443E"/>
    <w:rsid w:val="00FA542E"/>
    <w:rsid w:val="00FA55E7"/>
    <w:rsid w:val="00FA6A57"/>
    <w:rsid w:val="00FB013F"/>
    <w:rsid w:val="00FB031B"/>
    <w:rsid w:val="00FB12FD"/>
    <w:rsid w:val="00FB13FF"/>
    <w:rsid w:val="00FB18F6"/>
    <w:rsid w:val="00FB19E2"/>
    <w:rsid w:val="00FB4FB4"/>
    <w:rsid w:val="00FB5050"/>
    <w:rsid w:val="00FB73A3"/>
    <w:rsid w:val="00FC2367"/>
    <w:rsid w:val="00FC28D4"/>
    <w:rsid w:val="00FC2AC3"/>
    <w:rsid w:val="00FC2DA9"/>
    <w:rsid w:val="00FC3415"/>
    <w:rsid w:val="00FC70CB"/>
    <w:rsid w:val="00FC79B1"/>
    <w:rsid w:val="00FD213A"/>
    <w:rsid w:val="00FD2185"/>
    <w:rsid w:val="00FD25AA"/>
    <w:rsid w:val="00FD2EC5"/>
    <w:rsid w:val="00FD4EB8"/>
    <w:rsid w:val="00FD522F"/>
    <w:rsid w:val="00FD5ADA"/>
    <w:rsid w:val="00FD6A69"/>
    <w:rsid w:val="00FD7DC0"/>
    <w:rsid w:val="00FE3AC6"/>
    <w:rsid w:val="00FE3B7B"/>
    <w:rsid w:val="00FE3C11"/>
    <w:rsid w:val="00FE535C"/>
    <w:rsid w:val="00FE5ACD"/>
    <w:rsid w:val="00FE7FA4"/>
    <w:rsid w:val="00FF0709"/>
    <w:rsid w:val="00FF1D6B"/>
    <w:rsid w:val="00FF7152"/>
    <w:rsid w:val="00FF725B"/>
    <w:rsid w:val="0157A036"/>
    <w:rsid w:val="0183CD37"/>
    <w:rsid w:val="03A1B4A1"/>
    <w:rsid w:val="03A7DB7A"/>
    <w:rsid w:val="042590D6"/>
    <w:rsid w:val="05329D5C"/>
    <w:rsid w:val="06FADAFD"/>
    <w:rsid w:val="0708EB4D"/>
    <w:rsid w:val="0719109C"/>
    <w:rsid w:val="071B3491"/>
    <w:rsid w:val="08330EB9"/>
    <w:rsid w:val="088B07AC"/>
    <w:rsid w:val="0909450F"/>
    <w:rsid w:val="090A0F8A"/>
    <w:rsid w:val="093C3C0F"/>
    <w:rsid w:val="0981091F"/>
    <w:rsid w:val="09855E04"/>
    <w:rsid w:val="09EFAB4D"/>
    <w:rsid w:val="0A0B235F"/>
    <w:rsid w:val="0A5F3F3A"/>
    <w:rsid w:val="0AE7DF21"/>
    <w:rsid w:val="0AF502E7"/>
    <w:rsid w:val="0B8FAC31"/>
    <w:rsid w:val="0BAFF8F9"/>
    <w:rsid w:val="0BD29D42"/>
    <w:rsid w:val="0BD37AFF"/>
    <w:rsid w:val="0CAD442C"/>
    <w:rsid w:val="0DFBD66C"/>
    <w:rsid w:val="0E13B6AC"/>
    <w:rsid w:val="0E6F147D"/>
    <w:rsid w:val="0EE04BB2"/>
    <w:rsid w:val="0EE81084"/>
    <w:rsid w:val="0F8D03D0"/>
    <w:rsid w:val="0FA3DD8E"/>
    <w:rsid w:val="0FE9BEFF"/>
    <w:rsid w:val="100EB4EE"/>
    <w:rsid w:val="10F2E689"/>
    <w:rsid w:val="1107B1A2"/>
    <w:rsid w:val="119B9999"/>
    <w:rsid w:val="119DEFFE"/>
    <w:rsid w:val="1317B883"/>
    <w:rsid w:val="132C2821"/>
    <w:rsid w:val="13436158"/>
    <w:rsid w:val="13DF67C2"/>
    <w:rsid w:val="14AB9B5E"/>
    <w:rsid w:val="16274BA2"/>
    <w:rsid w:val="169979FC"/>
    <w:rsid w:val="17B16A70"/>
    <w:rsid w:val="18F50627"/>
    <w:rsid w:val="19CA3790"/>
    <w:rsid w:val="19DA4FB0"/>
    <w:rsid w:val="19E35B1A"/>
    <w:rsid w:val="1A53A591"/>
    <w:rsid w:val="1A5D589A"/>
    <w:rsid w:val="1B870A21"/>
    <w:rsid w:val="1C5AD7D3"/>
    <w:rsid w:val="1C70F8F5"/>
    <w:rsid w:val="1CBCE3E2"/>
    <w:rsid w:val="1D33F62F"/>
    <w:rsid w:val="1EBECAC8"/>
    <w:rsid w:val="1EE1C208"/>
    <w:rsid w:val="1F17B35F"/>
    <w:rsid w:val="1FE31477"/>
    <w:rsid w:val="21910F61"/>
    <w:rsid w:val="21A0A1DC"/>
    <w:rsid w:val="21CB5B86"/>
    <w:rsid w:val="221D8830"/>
    <w:rsid w:val="224C1245"/>
    <w:rsid w:val="2354BCCE"/>
    <w:rsid w:val="239C0FB3"/>
    <w:rsid w:val="23EFF604"/>
    <w:rsid w:val="2407A158"/>
    <w:rsid w:val="24148B90"/>
    <w:rsid w:val="24870595"/>
    <w:rsid w:val="24E6970D"/>
    <w:rsid w:val="255891BF"/>
    <w:rsid w:val="25F620C0"/>
    <w:rsid w:val="263A6024"/>
    <w:rsid w:val="26B0DE5B"/>
    <w:rsid w:val="27AE4A7E"/>
    <w:rsid w:val="285D35D7"/>
    <w:rsid w:val="29769A05"/>
    <w:rsid w:val="2A4AAB10"/>
    <w:rsid w:val="2AE1FB9B"/>
    <w:rsid w:val="2B5DE3CE"/>
    <w:rsid w:val="2C03AEB7"/>
    <w:rsid w:val="2C4002EF"/>
    <w:rsid w:val="2CEACD5F"/>
    <w:rsid w:val="2D070D00"/>
    <w:rsid w:val="2D0FE148"/>
    <w:rsid w:val="2DEAC8D1"/>
    <w:rsid w:val="2E06F317"/>
    <w:rsid w:val="2E2C8E99"/>
    <w:rsid w:val="2EDB5BE4"/>
    <w:rsid w:val="2EEA4C98"/>
    <w:rsid w:val="2F0DAD27"/>
    <w:rsid w:val="2F243A84"/>
    <w:rsid w:val="2FE7CD0A"/>
    <w:rsid w:val="2FF870D1"/>
    <w:rsid w:val="2FF95BC2"/>
    <w:rsid w:val="3049D2A1"/>
    <w:rsid w:val="308D4F33"/>
    <w:rsid w:val="31188FF2"/>
    <w:rsid w:val="3159A1F4"/>
    <w:rsid w:val="319453E6"/>
    <w:rsid w:val="31CA9150"/>
    <w:rsid w:val="31E064EB"/>
    <w:rsid w:val="3229A803"/>
    <w:rsid w:val="3254A88A"/>
    <w:rsid w:val="3256E2BD"/>
    <w:rsid w:val="32EDDB27"/>
    <w:rsid w:val="333AACB6"/>
    <w:rsid w:val="3349518F"/>
    <w:rsid w:val="33DDDEB7"/>
    <w:rsid w:val="33E5630D"/>
    <w:rsid w:val="3458D1A0"/>
    <w:rsid w:val="34922BD1"/>
    <w:rsid w:val="34C292A3"/>
    <w:rsid w:val="34DCC2E0"/>
    <w:rsid w:val="35746BFC"/>
    <w:rsid w:val="35AE41EA"/>
    <w:rsid w:val="36378D01"/>
    <w:rsid w:val="3744BD4E"/>
    <w:rsid w:val="37A75646"/>
    <w:rsid w:val="3809B903"/>
    <w:rsid w:val="3813E5C6"/>
    <w:rsid w:val="38BF4D7C"/>
    <w:rsid w:val="39A30BFF"/>
    <w:rsid w:val="39B29656"/>
    <w:rsid w:val="39C4168D"/>
    <w:rsid w:val="3A6326AD"/>
    <w:rsid w:val="3A70BFC8"/>
    <w:rsid w:val="3A805AD9"/>
    <w:rsid w:val="3AB30383"/>
    <w:rsid w:val="3B3772D8"/>
    <w:rsid w:val="3B4DCFD6"/>
    <w:rsid w:val="3BAD4E3A"/>
    <w:rsid w:val="3C704E27"/>
    <w:rsid w:val="3DC57CF3"/>
    <w:rsid w:val="3E7A28E1"/>
    <w:rsid w:val="3E8D72F6"/>
    <w:rsid w:val="3E9C66FB"/>
    <w:rsid w:val="3F15AD29"/>
    <w:rsid w:val="3F8E34FC"/>
    <w:rsid w:val="407DF695"/>
    <w:rsid w:val="409A5436"/>
    <w:rsid w:val="4109508D"/>
    <w:rsid w:val="410CB128"/>
    <w:rsid w:val="41FFF914"/>
    <w:rsid w:val="420187E1"/>
    <w:rsid w:val="42663C0E"/>
    <w:rsid w:val="4497796B"/>
    <w:rsid w:val="4511F2A8"/>
    <w:rsid w:val="451C0088"/>
    <w:rsid w:val="472C1283"/>
    <w:rsid w:val="47599B39"/>
    <w:rsid w:val="47E00D57"/>
    <w:rsid w:val="48167E04"/>
    <w:rsid w:val="49322CE9"/>
    <w:rsid w:val="4A2B6CDD"/>
    <w:rsid w:val="4A8B7832"/>
    <w:rsid w:val="4B4D530A"/>
    <w:rsid w:val="4B8296EC"/>
    <w:rsid w:val="4C992F50"/>
    <w:rsid w:val="4CC66494"/>
    <w:rsid w:val="4D4FA83A"/>
    <w:rsid w:val="4D56195D"/>
    <w:rsid w:val="4D583001"/>
    <w:rsid w:val="4FB7427A"/>
    <w:rsid w:val="500E6041"/>
    <w:rsid w:val="5016F368"/>
    <w:rsid w:val="508610A3"/>
    <w:rsid w:val="50EF83FA"/>
    <w:rsid w:val="50FA1922"/>
    <w:rsid w:val="52F1556D"/>
    <w:rsid w:val="5306447F"/>
    <w:rsid w:val="537D4B68"/>
    <w:rsid w:val="53DC5198"/>
    <w:rsid w:val="53F493AB"/>
    <w:rsid w:val="54DB4224"/>
    <w:rsid w:val="54F90F40"/>
    <w:rsid w:val="5537777F"/>
    <w:rsid w:val="563103FF"/>
    <w:rsid w:val="56763C3A"/>
    <w:rsid w:val="572A0F7D"/>
    <w:rsid w:val="57358BBC"/>
    <w:rsid w:val="57538B10"/>
    <w:rsid w:val="57A7F3EA"/>
    <w:rsid w:val="57A9736C"/>
    <w:rsid w:val="58F2006F"/>
    <w:rsid w:val="58F276D0"/>
    <w:rsid w:val="5A0ECFE2"/>
    <w:rsid w:val="5A84F1DA"/>
    <w:rsid w:val="5AD1A26A"/>
    <w:rsid w:val="5ADB094C"/>
    <w:rsid w:val="5B602528"/>
    <w:rsid w:val="5B78F044"/>
    <w:rsid w:val="5C36C8E6"/>
    <w:rsid w:val="5C44B94F"/>
    <w:rsid w:val="5C503890"/>
    <w:rsid w:val="5C7E439F"/>
    <w:rsid w:val="5D822CB8"/>
    <w:rsid w:val="5DBF88D9"/>
    <w:rsid w:val="5DF5890E"/>
    <w:rsid w:val="5E24E89F"/>
    <w:rsid w:val="5E8527D9"/>
    <w:rsid w:val="5F3950ED"/>
    <w:rsid w:val="5FF082AD"/>
    <w:rsid w:val="60344AAC"/>
    <w:rsid w:val="604FC604"/>
    <w:rsid w:val="60AA48F6"/>
    <w:rsid w:val="6117227D"/>
    <w:rsid w:val="61198070"/>
    <w:rsid w:val="612158D9"/>
    <w:rsid w:val="6125D904"/>
    <w:rsid w:val="6135046C"/>
    <w:rsid w:val="6142CA14"/>
    <w:rsid w:val="61AD0D48"/>
    <w:rsid w:val="621296D8"/>
    <w:rsid w:val="63C1B246"/>
    <w:rsid w:val="6412BEB9"/>
    <w:rsid w:val="65FD1556"/>
    <w:rsid w:val="660DD638"/>
    <w:rsid w:val="6742F8B2"/>
    <w:rsid w:val="67A96E63"/>
    <w:rsid w:val="67AA077C"/>
    <w:rsid w:val="6999CEBD"/>
    <w:rsid w:val="6A56C205"/>
    <w:rsid w:val="6B378A6A"/>
    <w:rsid w:val="6B515768"/>
    <w:rsid w:val="6B68B8DC"/>
    <w:rsid w:val="6BB2FAED"/>
    <w:rsid w:val="6C7892AD"/>
    <w:rsid w:val="6C975173"/>
    <w:rsid w:val="6CF365F5"/>
    <w:rsid w:val="6D0CE353"/>
    <w:rsid w:val="6D8939DE"/>
    <w:rsid w:val="6E196A6D"/>
    <w:rsid w:val="6E456B10"/>
    <w:rsid w:val="6ED78E1D"/>
    <w:rsid w:val="6FCF026B"/>
    <w:rsid w:val="70849045"/>
    <w:rsid w:val="70ED909B"/>
    <w:rsid w:val="71D6B4AD"/>
    <w:rsid w:val="72128895"/>
    <w:rsid w:val="7298CC24"/>
    <w:rsid w:val="72D320C3"/>
    <w:rsid w:val="736CF7EB"/>
    <w:rsid w:val="739EE801"/>
    <w:rsid w:val="73A332CF"/>
    <w:rsid w:val="73B64672"/>
    <w:rsid w:val="73CAAE1D"/>
    <w:rsid w:val="74317EC9"/>
    <w:rsid w:val="7448BDF3"/>
    <w:rsid w:val="7517425D"/>
    <w:rsid w:val="7591A9DA"/>
    <w:rsid w:val="76030500"/>
    <w:rsid w:val="76763A51"/>
    <w:rsid w:val="781560D7"/>
    <w:rsid w:val="7868B49B"/>
    <w:rsid w:val="78D412BD"/>
    <w:rsid w:val="79CBFC68"/>
    <w:rsid w:val="7AA9DB07"/>
    <w:rsid w:val="7B53F425"/>
    <w:rsid w:val="7B5CACB3"/>
    <w:rsid w:val="7B89B7D3"/>
    <w:rsid w:val="7BB7C88E"/>
    <w:rsid w:val="7C50CE7F"/>
    <w:rsid w:val="7C635FF5"/>
    <w:rsid w:val="7CCAE2BD"/>
    <w:rsid w:val="7CF6E78C"/>
    <w:rsid w:val="7D4B9B79"/>
    <w:rsid w:val="7E158D3C"/>
    <w:rsid w:val="7E336C9D"/>
    <w:rsid w:val="7E6C2DAA"/>
    <w:rsid w:val="7E8906EB"/>
    <w:rsid w:val="7E9EA166"/>
    <w:rsid w:val="7EAE9FC3"/>
    <w:rsid w:val="7EB2085E"/>
    <w:rsid w:val="7EE4BFB0"/>
    <w:rsid w:val="7F02E45A"/>
    <w:rsid w:val="7FABBDB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D6AA82"/>
  <w15:chartTrackingRefBased/>
  <w15:docId w15:val="{2CCC40A5-FAFA-48BC-9BFB-A84F06B01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hu"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26C"/>
    <w:pPr>
      <w:spacing w:after="0" w:line="240" w:lineRule="auto"/>
    </w:pPr>
    <w:rPr>
      <w:rFonts w:ascii="Times New Roman" w:eastAsia="Times New Roman" w:hAnsi="Times New Roman" w:cs="Times New Roman"/>
      <w:sz w:val="24"/>
    </w:rPr>
  </w:style>
  <w:style w:type="paragraph" w:styleId="Heading1">
    <w:name w:val="heading 1"/>
    <w:basedOn w:val="Normal"/>
    <w:next w:val="Text1"/>
    <w:link w:val="Heading1Char"/>
    <w:uiPriority w:val="9"/>
    <w:qFormat/>
    <w:rsid w:val="0084326C"/>
    <w:pPr>
      <w:keepNext/>
      <w:numPr>
        <w:numId w:val="7"/>
      </w:numPr>
      <w:spacing w:before="360" w:after="120"/>
      <w:jc w:val="both"/>
      <w:outlineLvl w:val="0"/>
    </w:pPr>
    <w:rPr>
      <w:rFonts w:eastAsiaTheme="majorEastAsia"/>
      <w:b/>
      <w:smallCaps/>
    </w:rPr>
  </w:style>
  <w:style w:type="paragraph" w:styleId="Heading2">
    <w:name w:val="heading 2"/>
    <w:basedOn w:val="Normal"/>
    <w:next w:val="Text1"/>
    <w:link w:val="Heading2Char"/>
    <w:uiPriority w:val="9"/>
    <w:unhideWhenUsed/>
    <w:qFormat/>
    <w:rsid w:val="0084326C"/>
    <w:pPr>
      <w:keepNext/>
      <w:numPr>
        <w:ilvl w:val="1"/>
        <w:numId w:val="7"/>
      </w:numPr>
      <w:spacing w:before="120" w:after="120"/>
      <w:jc w:val="both"/>
      <w:outlineLvl w:val="1"/>
    </w:pPr>
    <w:rPr>
      <w:rFonts w:eastAsiaTheme="majorEastAsia"/>
      <w:b/>
    </w:rPr>
  </w:style>
  <w:style w:type="paragraph" w:styleId="Heading3">
    <w:name w:val="heading 3"/>
    <w:basedOn w:val="Normal"/>
    <w:next w:val="Text1"/>
    <w:link w:val="Heading3Char"/>
    <w:uiPriority w:val="9"/>
    <w:unhideWhenUsed/>
    <w:qFormat/>
    <w:rsid w:val="0084326C"/>
    <w:pPr>
      <w:keepNext/>
      <w:numPr>
        <w:ilvl w:val="2"/>
        <w:numId w:val="7"/>
      </w:numPr>
      <w:spacing w:before="120" w:after="120"/>
      <w:jc w:val="both"/>
      <w:outlineLvl w:val="2"/>
    </w:pPr>
    <w:rPr>
      <w:rFonts w:eastAsiaTheme="majorEastAsia"/>
      <w:i/>
    </w:rPr>
  </w:style>
  <w:style w:type="paragraph" w:styleId="Heading4">
    <w:name w:val="heading 4"/>
    <w:basedOn w:val="Normal"/>
    <w:next w:val="Text1"/>
    <w:link w:val="Heading4Char"/>
    <w:uiPriority w:val="9"/>
    <w:unhideWhenUsed/>
    <w:qFormat/>
    <w:rsid w:val="0084326C"/>
    <w:pPr>
      <w:keepNext/>
      <w:numPr>
        <w:ilvl w:val="3"/>
        <w:numId w:val="7"/>
      </w:numPr>
      <w:spacing w:before="120" w:after="120"/>
      <w:jc w:val="both"/>
      <w:outlineLvl w:val="3"/>
    </w:pPr>
    <w:rPr>
      <w:rFonts w:eastAsiaTheme="maj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26C"/>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84326C"/>
    <w:rPr>
      <w:rFonts w:ascii="Times New Roman" w:eastAsiaTheme="majorEastAsia" w:hAnsi="Times New Roman" w:cs="Times New Roman"/>
      <w:b/>
      <w:sz w:val="24"/>
    </w:rPr>
  </w:style>
  <w:style w:type="character" w:customStyle="1" w:styleId="Heading3Char">
    <w:name w:val="Heading 3 Char"/>
    <w:basedOn w:val="DefaultParagraphFont"/>
    <w:link w:val="Heading3"/>
    <w:uiPriority w:val="9"/>
    <w:rsid w:val="0084326C"/>
    <w:rPr>
      <w:rFonts w:ascii="Times New Roman" w:eastAsiaTheme="majorEastAsia" w:hAnsi="Times New Roman" w:cs="Times New Roman"/>
      <w:i/>
      <w:sz w:val="24"/>
    </w:rPr>
  </w:style>
  <w:style w:type="character" w:customStyle="1" w:styleId="Heading4Char">
    <w:name w:val="Heading 4 Char"/>
    <w:basedOn w:val="DefaultParagraphFont"/>
    <w:link w:val="Heading4"/>
    <w:uiPriority w:val="9"/>
    <w:rsid w:val="0084326C"/>
    <w:rPr>
      <w:rFonts w:ascii="Times New Roman" w:eastAsiaTheme="majorEastAsia" w:hAnsi="Times New Roman" w:cs="Times New Roman"/>
      <w:sz w:val="24"/>
    </w:rPr>
  </w:style>
  <w:style w:type="numbering" w:customStyle="1" w:styleId="NoList1">
    <w:name w:val="No List1"/>
    <w:next w:val="NoList"/>
    <w:uiPriority w:val="99"/>
    <w:semiHidden/>
    <w:unhideWhenUsed/>
    <w:rsid w:val="0084326C"/>
  </w:style>
  <w:style w:type="paragraph" w:customStyle="1" w:styleId="Text1">
    <w:name w:val="Text 1"/>
    <w:basedOn w:val="Normal"/>
    <w:rsid w:val="0084326C"/>
    <w:pPr>
      <w:spacing w:before="120" w:after="120"/>
      <w:ind w:left="850"/>
      <w:jc w:val="both"/>
    </w:pPr>
  </w:style>
  <w:style w:type="paragraph" w:styleId="Header">
    <w:name w:val="header"/>
    <w:basedOn w:val="Normal"/>
    <w:link w:val="HeaderChar"/>
    <w:uiPriority w:val="99"/>
    <w:unhideWhenUsed/>
    <w:rsid w:val="0084326C"/>
    <w:pPr>
      <w:tabs>
        <w:tab w:val="center" w:pos="4535"/>
        <w:tab w:val="right" w:pos="9071"/>
      </w:tabs>
      <w:spacing w:after="120"/>
      <w:jc w:val="both"/>
    </w:pPr>
  </w:style>
  <w:style w:type="character" w:customStyle="1" w:styleId="HeaderChar">
    <w:name w:val="Header Char"/>
    <w:basedOn w:val="DefaultParagraphFont"/>
    <w:link w:val="Header"/>
    <w:uiPriority w:val="99"/>
    <w:rsid w:val="0084326C"/>
    <w:rPr>
      <w:rFonts w:ascii="Times New Roman" w:eastAsia="Times New Roman" w:hAnsi="Times New Roman" w:cs="Times New Roman"/>
      <w:sz w:val="24"/>
    </w:rPr>
  </w:style>
  <w:style w:type="paragraph" w:styleId="Footer">
    <w:name w:val="footer"/>
    <w:basedOn w:val="Normal"/>
    <w:link w:val="FooterChar"/>
    <w:uiPriority w:val="99"/>
    <w:unhideWhenUsed/>
    <w:rsid w:val="0084326C"/>
    <w:pPr>
      <w:tabs>
        <w:tab w:val="center" w:pos="4535"/>
        <w:tab w:val="right" w:pos="9071"/>
        <w:tab w:val="right" w:pos="9921"/>
      </w:tabs>
      <w:spacing w:before="360"/>
      <w:ind w:left="-850" w:right="-850"/>
    </w:pPr>
  </w:style>
  <w:style w:type="character" w:customStyle="1" w:styleId="FooterChar">
    <w:name w:val="Footer Char"/>
    <w:basedOn w:val="DefaultParagraphFont"/>
    <w:link w:val="Footer"/>
    <w:uiPriority w:val="99"/>
    <w:rsid w:val="0084326C"/>
    <w:rPr>
      <w:rFonts w:ascii="Times New Roman" w:eastAsia="Times New Roman" w:hAnsi="Times New Roman" w:cs="Times New Roman"/>
      <w:sz w:val="24"/>
    </w:rPr>
  </w:style>
  <w:style w:type="paragraph" w:styleId="FootnoteText">
    <w:name w:val="footnote text"/>
    <w:aliases w:val="Schriftart: 9 pt,Schriftart: 10 pt,Schriftart: 8 pt,WB-Fußnotentext,FoodNote,ft,Footnote text,Footnote,Footnote Text Char1,Footnote Text Char Char,Footnote Text Char1 Char Char,Footnote Text Char Char Char Char,fn,f,Char,Voetnoottekst Char"/>
    <w:basedOn w:val="Normal"/>
    <w:link w:val="FootnoteTextChar"/>
    <w:uiPriority w:val="99"/>
    <w:unhideWhenUsed/>
    <w:rsid w:val="0084326C"/>
    <w:pPr>
      <w:ind w:left="720" w:hanging="720"/>
      <w:jc w:val="both"/>
    </w:pPr>
    <w:rPr>
      <w:sz w:val="20"/>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basedOn w:val="DefaultParagraphFont"/>
    <w:link w:val="FootnoteText"/>
    <w:uiPriority w:val="99"/>
    <w:rsid w:val="0084326C"/>
    <w:rPr>
      <w:rFonts w:ascii="Times New Roman" w:eastAsia="Times New Roman" w:hAnsi="Times New Roman" w:cs="Times New Roman"/>
      <w:sz w:val="20"/>
    </w:rPr>
  </w:style>
  <w:style w:type="paragraph" w:styleId="TOCHeading">
    <w:name w:val="TOC Heading"/>
    <w:basedOn w:val="Normal"/>
    <w:next w:val="Normal"/>
    <w:uiPriority w:val="39"/>
    <w:semiHidden/>
    <w:unhideWhenUsed/>
    <w:qFormat/>
    <w:rsid w:val="0084326C"/>
    <w:pPr>
      <w:spacing w:before="120" w:after="240"/>
      <w:jc w:val="center"/>
    </w:pPr>
    <w:rPr>
      <w:b/>
      <w:sz w:val="28"/>
    </w:rPr>
  </w:style>
  <w:style w:type="paragraph" w:styleId="TOC1">
    <w:name w:val="toc 1"/>
    <w:basedOn w:val="Normal"/>
    <w:next w:val="Normal"/>
    <w:uiPriority w:val="39"/>
    <w:semiHidden/>
    <w:unhideWhenUsed/>
    <w:rsid w:val="0084326C"/>
    <w:pPr>
      <w:numPr>
        <w:numId w:val="15"/>
      </w:numPr>
      <w:tabs>
        <w:tab w:val="right" w:leader="dot" w:pos="9071"/>
      </w:tabs>
      <w:spacing w:before="60" w:after="120"/>
      <w:ind w:left="0" w:firstLine="0"/>
    </w:pPr>
  </w:style>
  <w:style w:type="paragraph" w:styleId="TOC2">
    <w:name w:val="toc 2"/>
    <w:basedOn w:val="Normal"/>
    <w:next w:val="Normal"/>
    <w:uiPriority w:val="39"/>
    <w:semiHidden/>
    <w:unhideWhenUsed/>
    <w:rsid w:val="0084326C"/>
    <w:pPr>
      <w:tabs>
        <w:tab w:val="right" w:leader="dot" w:pos="9071"/>
      </w:tabs>
      <w:spacing w:before="60" w:after="120"/>
      <w:ind w:left="850" w:hanging="850"/>
    </w:pPr>
  </w:style>
  <w:style w:type="paragraph" w:styleId="TOC3">
    <w:name w:val="toc 3"/>
    <w:basedOn w:val="Normal"/>
    <w:next w:val="Normal"/>
    <w:uiPriority w:val="39"/>
    <w:semiHidden/>
    <w:unhideWhenUsed/>
    <w:rsid w:val="0084326C"/>
    <w:pPr>
      <w:tabs>
        <w:tab w:val="right" w:leader="dot" w:pos="9071"/>
      </w:tabs>
      <w:spacing w:before="60" w:after="120"/>
      <w:ind w:left="850" w:hanging="850"/>
    </w:pPr>
  </w:style>
  <w:style w:type="paragraph" w:styleId="TOC4">
    <w:name w:val="toc 4"/>
    <w:basedOn w:val="Normal"/>
    <w:next w:val="Normal"/>
    <w:uiPriority w:val="39"/>
    <w:semiHidden/>
    <w:unhideWhenUsed/>
    <w:rsid w:val="0084326C"/>
    <w:pPr>
      <w:tabs>
        <w:tab w:val="right" w:leader="dot" w:pos="9071"/>
      </w:tabs>
      <w:spacing w:before="60" w:after="120"/>
      <w:ind w:left="850" w:hanging="850"/>
    </w:pPr>
  </w:style>
  <w:style w:type="paragraph" w:styleId="TOC5">
    <w:name w:val="toc 5"/>
    <w:basedOn w:val="Normal"/>
    <w:next w:val="Normal"/>
    <w:uiPriority w:val="39"/>
    <w:semiHidden/>
    <w:unhideWhenUsed/>
    <w:rsid w:val="0084326C"/>
    <w:pPr>
      <w:tabs>
        <w:tab w:val="right" w:leader="dot" w:pos="9071"/>
      </w:tabs>
      <w:spacing w:before="300" w:after="120"/>
    </w:pPr>
  </w:style>
  <w:style w:type="paragraph" w:styleId="TOC6">
    <w:name w:val="toc 6"/>
    <w:basedOn w:val="Normal"/>
    <w:next w:val="Normal"/>
    <w:uiPriority w:val="39"/>
    <w:semiHidden/>
    <w:unhideWhenUsed/>
    <w:rsid w:val="0084326C"/>
    <w:pPr>
      <w:tabs>
        <w:tab w:val="right" w:leader="dot" w:pos="9071"/>
      </w:tabs>
      <w:spacing w:before="240" w:after="120"/>
    </w:pPr>
  </w:style>
  <w:style w:type="paragraph" w:styleId="TOC7">
    <w:name w:val="toc 7"/>
    <w:basedOn w:val="Normal"/>
    <w:next w:val="Normal"/>
    <w:uiPriority w:val="39"/>
    <w:semiHidden/>
    <w:unhideWhenUsed/>
    <w:rsid w:val="0084326C"/>
    <w:pPr>
      <w:tabs>
        <w:tab w:val="right" w:leader="dot" w:pos="9071"/>
      </w:tabs>
      <w:spacing w:before="180" w:after="120"/>
    </w:pPr>
  </w:style>
  <w:style w:type="paragraph" w:styleId="TOC8">
    <w:name w:val="toc 8"/>
    <w:basedOn w:val="Normal"/>
    <w:next w:val="Normal"/>
    <w:uiPriority w:val="39"/>
    <w:semiHidden/>
    <w:unhideWhenUsed/>
    <w:rsid w:val="0084326C"/>
    <w:pPr>
      <w:tabs>
        <w:tab w:val="right" w:leader="dot" w:pos="9071"/>
      </w:tabs>
      <w:spacing w:before="120" w:after="120"/>
    </w:pPr>
  </w:style>
  <w:style w:type="paragraph" w:styleId="TOC9">
    <w:name w:val="toc 9"/>
    <w:basedOn w:val="Normal"/>
    <w:next w:val="Normal"/>
    <w:uiPriority w:val="39"/>
    <w:semiHidden/>
    <w:unhideWhenUsed/>
    <w:rsid w:val="0084326C"/>
    <w:pPr>
      <w:tabs>
        <w:tab w:val="right" w:leader="dot" w:pos="9071"/>
      </w:tabs>
      <w:spacing w:before="120" w:after="120"/>
      <w:jc w:val="both"/>
    </w:pPr>
  </w:style>
  <w:style w:type="paragraph" w:customStyle="1" w:styleId="HeaderLandscape">
    <w:name w:val="HeaderLandscape"/>
    <w:basedOn w:val="Normal"/>
    <w:rsid w:val="0084326C"/>
    <w:pPr>
      <w:tabs>
        <w:tab w:val="center" w:pos="7285"/>
        <w:tab w:val="right" w:pos="14003"/>
      </w:tabs>
      <w:spacing w:after="120"/>
      <w:jc w:val="both"/>
    </w:pPr>
  </w:style>
  <w:style w:type="paragraph" w:customStyle="1" w:styleId="FooterLandscape">
    <w:name w:val="FooterLandscape"/>
    <w:basedOn w:val="Normal"/>
    <w:rsid w:val="0084326C"/>
    <w:pPr>
      <w:tabs>
        <w:tab w:val="center" w:pos="7285"/>
        <w:tab w:val="center" w:pos="10913"/>
        <w:tab w:val="right" w:pos="15137"/>
      </w:tabs>
      <w:spacing w:before="360"/>
      <w:ind w:left="-567" w:right="-567"/>
    </w:p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Exposant 3 Point"/>
    <w:basedOn w:val="DefaultParagraphFont"/>
    <w:link w:val="1"/>
    <w:uiPriority w:val="99"/>
    <w:unhideWhenUsed/>
    <w:qFormat/>
    <w:rsid w:val="0084326C"/>
    <w:rPr>
      <w:vertAlign w:val="superscript"/>
    </w:rPr>
  </w:style>
  <w:style w:type="paragraph" w:customStyle="1" w:styleId="1">
    <w:name w:val="1"/>
    <w:basedOn w:val="Normal"/>
    <w:link w:val="FootnoteReference"/>
    <w:uiPriority w:val="99"/>
    <w:rsid w:val="0084326C"/>
    <w:pPr>
      <w:spacing w:after="160" w:line="240" w:lineRule="exact"/>
      <w:jc w:val="both"/>
    </w:pPr>
    <w:rPr>
      <w:rFonts w:asciiTheme="minorHAnsi" w:eastAsiaTheme="minorHAnsi" w:hAnsiTheme="minorHAnsi" w:cstheme="minorBidi"/>
      <w:sz w:val="22"/>
      <w:vertAlign w:val="superscript"/>
    </w:rPr>
  </w:style>
  <w:style w:type="paragraph" w:customStyle="1" w:styleId="HeaderSensitivity">
    <w:name w:val="Header Sensitivity"/>
    <w:basedOn w:val="Normal"/>
    <w:rsid w:val="0084326C"/>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HeaderSensitivityRight">
    <w:name w:val="Header Sensitivity Right"/>
    <w:basedOn w:val="Normal"/>
    <w:rsid w:val="0084326C"/>
    <w:pPr>
      <w:spacing w:after="120"/>
      <w:jc w:val="right"/>
    </w:pPr>
    <w:rPr>
      <w:sz w:val="28"/>
    </w:rPr>
  </w:style>
  <w:style w:type="paragraph" w:customStyle="1" w:styleId="FooterSensitivity">
    <w:name w:val="Footer Sensitivity"/>
    <w:basedOn w:val="Normal"/>
    <w:rsid w:val="0084326C"/>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paragraph" w:customStyle="1" w:styleId="Text2">
    <w:name w:val="Text 2"/>
    <w:basedOn w:val="Normal"/>
    <w:rsid w:val="0084326C"/>
    <w:pPr>
      <w:spacing w:before="120" w:after="120"/>
      <w:ind w:left="1417"/>
      <w:jc w:val="both"/>
    </w:pPr>
  </w:style>
  <w:style w:type="paragraph" w:customStyle="1" w:styleId="Text3">
    <w:name w:val="Text 3"/>
    <w:basedOn w:val="Normal"/>
    <w:rsid w:val="0084326C"/>
    <w:pPr>
      <w:spacing w:before="120" w:after="120"/>
      <w:ind w:left="1984"/>
      <w:jc w:val="both"/>
    </w:pPr>
  </w:style>
  <w:style w:type="paragraph" w:customStyle="1" w:styleId="Text4">
    <w:name w:val="Text 4"/>
    <w:basedOn w:val="Normal"/>
    <w:rsid w:val="0084326C"/>
    <w:pPr>
      <w:spacing w:before="120" w:after="120"/>
      <w:ind w:left="2551"/>
      <w:jc w:val="both"/>
    </w:pPr>
  </w:style>
  <w:style w:type="paragraph" w:customStyle="1" w:styleId="NormalCentered">
    <w:name w:val="Normal Centered"/>
    <w:basedOn w:val="Normal"/>
    <w:rsid w:val="0084326C"/>
    <w:pPr>
      <w:spacing w:before="120" w:after="120"/>
      <w:jc w:val="center"/>
    </w:pPr>
  </w:style>
  <w:style w:type="paragraph" w:customStyle="1" w:styleId="NormalLeft">
    <w:name w:val="Normal Left"/>
    <w:basedOn w:val="Normal"/>
    <w:rsid w:val="0084326C"/>
    <w:pPr>
      <w:spacing w:before="120" w:after="120"/>
    </w:pPr>
  </w:style>
  <w:style w:type="paragraph" w:customStyle="1" w:styleId="NormalRight">
    <w:name w:val="Normal Right"/>
    <w:basedOn w:val="Normal"/>
    <w:rsid w:val="0084326C"/>
    <w:pPr>
      <w:spacing w:before="120" w:after="120"/>
      <w:jc w:val="right"/>
    </w:pPr>
  </w:style>
  <w:style w:type="paragraph" w:customStyle="1" w:styleId="QuotedText">
    <w:name w:val="Quoted Text"/>
    <w:basedOn w:val="Normal"/>
    <w:rsid w:val="0084326C"/>
    <w:pPr>
      <w:spacing w:before="120" w:after="120"/>
      <w:ind w:left="1417"/>
      <w:jc w:val="both"/>
    </w:pPr>
  </w:style>
  <w:style w:type="paragraph" w:customStyle="1" w:styleId="Point0">
    <w:name w:val="Point 0"/>
    <w:basedOn w:val="Normal"/>
    <w:rsid w:val="0084326C"/>
    <w:pPr>
      <w:spacing w:before="120" w:after="120"/>
      <w:ind w:left="850" w:hanging="850"/>
      <w:jc w:val="both"/>
    </w:pPr>
  </w:style>
  <w:style w:type="paragraph" w:customStyle="1" w:styleId="Point1">
    <w:name w:val="Point 1"/>
    <w:basedOn w:val="Normal"/>
    <w:rsid w:val="0084326C"/>
    <w:pPr>
      <w:spacing w:before="120" w:after="120"/>
      <w:ind w:left="1417" w:hanging="567"/>
      <w:jc w:val="both"/>
    </w:pPr>
  </w:style>
  <w:style w:type="paragraph" w:customStyle="1" w:styleId="Point2">
    <w:name w:val="Point 2"/>
    <w:basedOn w:val="Normal"/>
    <w:rsid w:val="0084326C"/>
    <w:pPr>
      <w:spacing w:before="120" w:after="120"/>
      <w:ind w:left="1984" w:hanging="567"/>
      <w:jc w:val="both"/>
    </w:pPr>
  </w:style>
  <w:style w:type="paragraph" w:customStyle="1" w:styleId="Point3">
    <w:name w:val="Point 3"/>
    <w:basedOn w:val="Normal"/>
    <w:rsid w:val="0084326C"/>
    <w:pPr>
      <w:spacing w:before="120" w:after="120"/>
      <w:ind w:left="2551" w:hanging="567"/>
      <w:jc w:val="both"/>
    </w:pPr>
  </w:style>
  <w:style w:type="paragraph" w:customStyle="1" w:styleId="Point4">
    <w:name w:val="Point 4"/>
    <w:basedOn w:val="Normal"/>
    <w:rsid w:val="0084326C"/>
    <w:pPr>
      <w:spacing w:before="120" w:after="120"/>
      <w:ind w:left="3118" w:hanging="567"/>
      <w:jc w:val="both"/>
    </w:pPr>
  </w:style>
  <w:style w:type="paragraph" w:customStyle="1" w:styleId="Tiret0">
    <w:name w:val="Tiret 0"/>
    <w:basedOn w:val="Point0"/>
    <w:rsid w:val="0084326C"/>
    <w:pPr>
      <w:numPr>
        <w:numId w:val="1"/>
      </w:numPr>
    </w:pPr>
  </w:style>
  <w:style w:type="paragraph" w:customStyle="1" w:styleId="Tiret1">
    <w:name w:val="Tiret 1"/>
    <w:basedOn w:val="Point1"/>
    <w:rsid w:val="0084326C"/>
    <w:pPr>
      <w:numPr>
        <w:numId w:val="2"/>
      </w:numPr>
      <w:tabs>
        <w:tab w:val="num" w:pos="3118"/>
      </w:tabs>
      <w:ind w:left="3118"/>
    </w:pPr>
  </w:style>
  <w:style w:type="paragraph" w:customStyle="1" w:styleId="Tiret2">
    <w:name w:val="Tiret 2"/>
    <w:basedOn w:val="Point2"/>
    <w:rsid w:val="0084326C"/>
    <w:pPr>
      <w:numPr>
        <w:numId w:val="3"/>
      </w:numPr>
      <w:tabs>
        <w:tab w:val="num" w:pos="360"/>
      </w:tabs>
      <w:ind w:left="360" w:hanging="360"/>
    </w:pPr>
  </w:style>
  <w:style w:type="paragraph" w:customStyle="1" w:styleId="Tiret3">
    <w:name w:val="Tiret 3"/>
    <w:basedOn w:val="Point3"/>
    <w:rsid w:val="0084326C"/>
    <w:pPr>
      <w:numPr>
        <w:numId w:val="4"/>
      </w:numPr>
      <w:tabs>
        <w:tab w:val="num" w:pos="360"/>
      </w:tabs>
      <w:ind w:left="360" w:hanging="360"/>
    </w:pPr>
  </w:style>
  <w:style w:type="paragraph" w:customStyle="1" w:styleId="Tiret4">
    <w:name w:val="Tiret 4"/>
    <w:basedOn w:val="Point4"/>
    <w:rsid w:val="0084326C"/>
    <w:pPr>
      <w:numPr>
        <w:numId w:val="5"/>
      </w:numPr>
      <w:ind w:left="1440" w:hanging="360"/>
    </w:pPr>
  </w:style>
  <w:style w:type="paragraph" w:customStyle="1" w:styleId="PointDouble0">
    <w:name w:val="PointDouble 0"/>
    <w:basedOn w:val="Normal"/>
    <w:rsid w:val="0084326C"/>
    <w:pPr>
      <w:tabs>
        <w:tab w:val="left" w:pos="850"/>
      </w:tabs>
      <w:spacing w:before="120" w:after="120"/>
      <w:ind w:left="1417" w:hanging="1417"/>
      <w:jc w:val="both"/>
    </w:pPr>
  </w:style>
  <w:style w:type="paragraph" w:customStyle="1" w:styleId="PointDouble1">
    <w:name w:val="PointDouble 1"/>
    <w:basedOn w:val="Normal"/>
    <w:rsid w:val="0084326C"/>
    <w:pPr>
      <w:tabs>
        <w:tab w:val="left" w:pos="1417"/>
      </w:tabs>
      <w:spacing w:before="120" w:after="120"/>
      <w:ind w:left="1984" w:hanging="1134"/>
      <w:jc w:val="both"/>
    </w:pPr>
  </w:style>
  <w:style w:type="paragraph" w:customStyle="1" w:styleId="PointDouble2">
    <w:name w:val="PointDouble 2"/>
    <w:basedOn w:val="Normal"/>
    <w:rsid w:val="0084326C"/>
    <w:pPr>
      <w:tabs>
        <w:tab w:val="left" w:pos="1984"/>
      </w:tabs>
      <w:spacing w:before="120" w:after="120"/>
      <w:ind w:left="2551" w:hanging="1134"/>
      <w:jc w:val="both"/>
    </w:pPr>
  </w:style>
  <w:style w:type="paragraph" w:customStyle="1" w:styleId="PointDouble3">
    <w:name w:val="PointDouble 3"/>
    <w:basedOn w:val="Normal"/>
    <w:rsid w:val="0084326C"/>
    <w:pPr>
      <w:tabs>
        <w:tab w:val="left" w:pos="2551"/>
      </w:tabs>
      <w:spacing w:before="120" w:after="120"/>
      <w:ind w:left="3118" w:hanging="1134"/>
      <w:jc w:val="both"/>
    </w:pPr>
  </w:style>
  <w:style w:type="paragraph" w:customStyle="1" w:styleId="PointDouble4">
    <w:name w:val="PointDouble 4"/>
    <w:basedOn w:val="Normal"/>
    <w:rsid w:val="0084326C"/>
    <w:pPr>
      <w:tabs>
        <w:tab w:val="left" w:pos="3118"/>
      </w:tabs>
      <w:spacing w:before="120" w:after="120"/>
      <w:ind w:left="3685" w:hanging="1134"/>
      <w:jc w:val="both"/>
    </w:pPr>
  </w:style>
  <w:style w:type="paragraph" w:customStyle="1" w:styleId="PointTriple0">
    <w:name w:val="PointTriple 0"/>
    <w:basedOn w:val="Normal"/>
    <w:rsid w:val="0084326C"/>
    <w:pPr>
      <w:tabs>
        <w:tab w:val="left" w:pos="850"/>
        <w:tab w:val="left" w:pos="1417"/>
      </w:tabs>
      <w:spacing w:before="120" w:after="120"/>
      <w:ind w:left="1984" w:hanging="1984"/>
      <w:jc w:val="both"/>
    </w:pPr>
  </w:style>
  <w:style w:type="paragraph" w:customStyle="1" w:styleId="PointTriple1">
    <w:name w:val="PointTriple 1"/>
    <w:basedOn w:val="Normal"/>
    <w:rsid w:val="0084326C"/>
    <w:pPr>
      <w:tabs>
        <w:tab w:val="left" w:pos="1417"/>
        <w:tab w:val="left" w:pos="1984"/>
      </w:tabs>
      <w:spacing w:before="120" w:after="120"/>
      <w:ind w:left="2551" w:hanging="1701"/>
      <w:jc w:val="both"/>
    </w:pPr>
  </w:style>
  <w:style w:type="paragraph" w:customStyle="1" w:styleId="PointTriple2">
    <w:name w:val="PointTriple 2"/>
    <w:basedOn w:val="Normal"/>
    <w:rsid w:val="0084326C"/>
    <w:pPr>
      <w:tabs>
        <w:tab w:val="left" w:pos="1984"/>
        <w:tab w:val="left" w:pos="2551"/>
      </w:tabs>
      <w:spacing w:before="120" w:after="120"/>
      <w:ind w:left="3118" w:hanging="1701"/>
      <w:jc w:val="both"/>
    </w:pPr>
  </w:style>
  <w:style w:type="paragraph" w:customStyle="1" w:styleId="PointTriple3">
    <w:name w:val="PointTriple 3"/>
    <w:basedOn w:val="Normal"/>
    <w:rsid w:val="0084326C"/>
    <w:pPr>
      <w:tabs>
        <w:tab w:val="left" w:pos="2551"/>
        <w:tab w:val="left" w:pos="3118"/>
      </w:tabs>
      <w:spacing w:before="120" w:after="120"/>
      <w:ind w:left="3685" w:hanging="1701"/>
      <w:jc w:val="both"/>
    </w:pPr>
  </w:style>
  <w:style w:type="paragraph" w:customStyle="1" w:styleId="PointTriple4">
    <w:name w:val="PointTriple 4"/>
    <w:basedOn w:val="Normal"/>
    <w:rsid w:val="0084326C"/>
    <w:pPr>
      <w:tabs>
        <w:tab w:val="left" w:pos="3118"/>
        <w:tab w:val="left" w:pos="3685"/>
      </w:tabs>
      <w:spacing w:before="120" w:after="120"/>
      <w:ind w:left="4252" w:hanging="1701"/>
      <w:jc w:val="both"/>
    </w:pPr>
  </w:style>
  <w:style w:type="paragraph" w:customStyle="1" w:styleId="NumPar1">
    <w:name w:val="NumPar 1"/>
    <w:basedOn w:val="Normal"/>
    <w:next w:val="Text1"/>
    <w:rsid w:val="0084326C"/>
    <w:pPr>
      <w:numPr>
        <w:ilvl w:val="1"/>
        <w:numId w:val="6"/>
      </w:numPr>
      <w:spacing w:before="120" w:after="120"/>
      <w:jc w:val="both"/>
    </w:pPr>
  </w:style>
  <w:style w:type="paragraph" w:customStyle="1" w:styleId="NumPar2">
    <w:name w:val="NumPar 2"/>
    <w:basedOn w:val="Normal"/>
    <w:next w:val="Text1"/>
    <w:rsid w:val="0084326C"/>
    <w:pPr>
      <w:numPr>
        <w:ilvl w:val="2"/>
        <w:numId w:val="6"/>
      </w:numPr>
      <w:tabs>
        <w:tab w:val="num" w:pos="1209"/>
      </w:tabs>
      <w:spacing w:before="120" w:after="120"/>
      <w:ind w:left="1209" w:hanging="360"/>
      <w:jc w:val="both"/>
    </w:pPr>
  </w:style>
  <w:style w:type="paragraph" w:customStyle="1" w:styleId="NumPar3">
    <w:name w:val="NumPar 3"/>
    <w:basedOn w:val="Normal"/>
    <w:next w:val="Text1"/>
    <w:rsid w:val="0084326C"/>
    <w:pPr>
      <w:numPr>
        <w:ilvl w:val="3"/>
        <w:numId w:val="6"/>
      </w:numPr>
      <w:tabs>
        <w:tab w:val="num" w:pos="1209"/>
      </w:tabs>
      <w:spacing w:before="120" w:after="120"/>
      <w:ind w:left="1209" w:hanging="360"/>
      <w:jc w:val="both"/>
    </w:pPr>
  </w:style>
  <w:style w:type="paragraph" w:customStyle="1" w:styleId="NumPar4">
    <w:name w:val="NumPar 4"/>
    <w:basedOn w:val="Normal"/>
    <w:next w:val="Text1"/>
    <w:rsid w:val="0084326C"/>
    <w:pPr>
      <w:tabs>
        <w:tab w:val="num" w:pos="850"/>
      </w:tabs>
      <w:spacing w:before="120" w:after="120"/>
      <w:ind w:left="850" w:hanging="850"/>
      <w:jc w:val="both"/>
    </w:pPr>
  </w:style>
  <w:style w:type="paragraph" w:customStyle="1" w:styleId="ManualNumPar1">
    <w:name w:val="Manual NumPar 1"/>
    <w:basedOn w:val="Normal"/>
    <w:next w:val="Text1"/>
    <w:rsid w:val="0084326C"/>
    <w:pPr>
      <w:spacing w:before="120" w:after="120"/>
      <w:ind w:left="850" w:hanging="850"/>
      <w:jc w:val="both"/>
    </w:pPr>
  </w:style>
  <w:style w:type="paragraph" w:customStyle="1" w:styleId="ManualNumPar2">
    <w:name w:val="Manual NumPar 2"/>
    <w:basedOn w:val="Normal"/>
    <w:next w:val="Text1"/>
    <w:rsid w:val="0084326C"/>
    <w:pPr>
      <w:spacing w:before="120" w:after="120"/>
      <w:ind w:left="850" w:hanging="850"/>
      <w:jc w:val="both"/>
    </w:pPr>
  </w:style>
  <w:style w:type="paragraph" w:customStyle="1" w:styleId="ManualNumPar3">
    <w:name w:val="Manual NumPar 3"/>
    <w:basedOn w:val="Normal"/>
    <w:next w:val="Text1"/>
    <w:rsid w:val="0084326C"/>
    <w:pPr>
      <w:spacing w:before="120" w:after="120"/>
      <w:ind w:left="850" w:hanging="850"/>
      <w:jc w:val="both"/>
    </w:pPr>
  </w:style>
  <w:style w:type="paragraph" w:customStyle="1" w:styleId="ManualNumPar4">
    <w:name w:val="Manual NumPar 4"/>
    <w:basedOn w:val="Normal"/>
    <w:next w:val="Text1"/>
    <w:rsid w:val="0084326C"/>
    <w:pPr>
      <w:spacing w:before="120" w:after="120"/>
      <w:ind w:left="850" w:hanging="850"/>
      <w:jc w:val="both"/>
    </w:pPr>
  </w:style>
  <w:style w:type="paragraph" w:customStyle="1" w:styleId="QuotedNumPar">
    <w:name w:val="Quoted NumPar"/>
    <w:basedOn w:val="Normal"/>
    <w:rsid w:val="0084326C"/>
    <w:pPr>
      <w:spacing w:before="120" w:after="120"/>
      <w:ind w:left="1417" w:hanging="567"/>
      <w:jc w:val="both"/>
    </w:pPr>
  </w:style>
  <w:style w:type="paragraph" w:customStyle="1" w:styleId="ManualHeading1">
    <w:name w:val="Manual Heading 1"/>
    <w:basedOn w:val="Normal"/>
    <w:next w:val="Text1"/>
    <w:rsid w:val="0084326C"/>
    <w:pPr>
      <w:keepNext/>
      <w:tabs>
        <w:tab w:val="left" w:pos="850"/>
      </w:tabs>
      <w:spacing w:before="360" w:after="120"/>
      <w:ind w:left="850" w:hanging="850"/>
      <w:jc w:val="both"/>
      <w:outlineLvl w:val="0"/>
    </w:pPr>
    <w:rPr>
      <w:b/>
      <w:smallCaps/>
    </w:rPr>
  </w:style>
  <w:style w:type="paragraph" w:customStyle="1" w:styleId="ManualHeading2">
    <w:name w:val="Manual Heading 2"/>
    <w:basedOn w:val="Normal"/>
    <w:next w:val="Text1"/>
    <w:rsid w:val="0084326C"/>
    <w:pPr>
      <w:keepNext/>
      <w:tabs>
        <w:tab w:val="left" w:pos="850"/>
      </w:tabs>
      <w:spacing w:before="120" w:after="120"/>
      <w:ind w:left="850" w:hanging="850"/>
      <w:jc w:val="both"/>
      <w:outlineLvl w:val="1"/>
    </w:pPr>
    <w:rPr>
      <w:b/>
    </w:rPr>
  </w:style>
  <w:style w:type="paragraph" w:customStyle="1" w:styleId="ManualHeading3">
    <w:name w:val="Manual Heading 3"/>
    <w:basedOn w:val="Normal"/>
    <w:next w:val="Text1"/>
    <w:rsid w:val="0084326C"/>
    <w:pPr>
      <w:keepNext/>
      <w:tabs>
        <w:tab w:val="left" w:pos="850"/>
      </w:tabs>
      <w:spacing w:before="120" w:after="120"/>
      <w:ind w:left="850" w:hanging="850"/>
      <w:jc w:val="both"/>
      <w:outlineLvl w:val="2"/>
    </w:pPr>
    <w:rPr>
      <w:i/>
    </w:rPr>
  </w:style>
  <w:style w:type="paragraph" w:customStyle="1" w:styleId="ManualHeading4">
    <w:name w:val="Manual Heading 4"/>
    <w:basedOn w:val="Normal"/>
    <w:next w:val="Text1"/>
    <w:rsid w:val="0084326C"/>
    <w:pPr>
      <w:keepNext/>
      <w:tabs>
        <w:tab w:val="left" w:pos="850"/>
      </w:tabs>
      <w:spacing w:before="120" w:after="120"/>
      <w:ind w:left="850" w:hanging="850"/>
      <w:jc w:val="both"/>
      <w:outlineLvl w:val="3"/>
    </w:pPr>
  </w:style>
  <w:style w:type="paragraph" w:customStyle="1" w:styleId="ChapterTitle">
    <w:name w:val="ChapterTitle"/>
    <w:basedOn w:val="Normal"/>
    <w:next w:val="Normal"/>
    <w:rsid w:val="0084326C"/>
    <w:pPr>
      <w:keepNext/>
      <w:spacing w:before="120" w:after="360"/>
      <w:jc w:val="center"/>
    </w:pPr>
    <w:rPr>
      <w:b/>
      <w:sz w:val="32"/>
    </w:rPr>
  </w:style>
  <w:style w:type="paragraph" w:customStyle="1" w:styleId="PartTitle">
    <w:name w:val="PartTitle"/>
    <w:basedOn w:val="Normal"/>
    <w:next w:val="ChapterTitle"/>
    <w:rsid w:val="0084326C"/>
    <w:pPr>
      <w:keepNext/>
      <w:pageBreakBefore/>
      <w:spacing w:before="120" w:after="360"/>
      <w:jc w:val="center"/>
    </w:pPr>
    <w:rPr>
      <w:b/>
      <w:sz w:val="36"/>
    </w:rPr>
  </w:style>
  <w:style w:type="paragraph" w:customStyle="1" w:styleId="SectionTitle">
    <w:name w:val="SectionTitle"/>
    <w:basedOn w:val="Normal"/>
    <w:next w:val="Heading1"/>
    <w:rsid w:val="0084326C"/>
    <w:pPr>
      <w:keepNext/>
      <w:spacing w:before="120" w:after="360"/>
      <w:jc w:val="center"/>
    </w:pPr>
    <w:rPr>
      <w:b/>
      <w:smallCaps/>
      <w:sz w:val="28"/>
    </w:rPr>
  </w:style>
  <w:style w:type="paragraph" w:customStyle="1" w:styleId="TableTitle">
    <w:name w:val="Table Title"/>
    <w:basedOn w:val="Normal"/>
    <w:next w:val="Normal"/>
    <w:rsid w:val="0084326C"/>
    <w:pPr>
      <w:spacing w:before="120" w:after="120"/>
      <w:jc w:val="center"/>
    </w:pPr>
    <w:rPr>
      <w:b/>
    </w:rPr>
  </w:style>
  <w:style w:type="character" w:customStyle="1" w:styleId="Marker">
    <w:name w:val="Marker"/>
    <w:basedOn w:val="DefaultParagraphFont"/>
    <w:rsid w:val="0084326C"/>
    <w:rPr>
      <w:color w:val="0000FF"/>
      <w:shd w:val="clear" w:color="auto" w:fill="auto"/>
    </w:rPr>
  </w:style>
  <w:style w:type="character" w:customStyle="1" w:styleId="Marker1">
    <w:name w:val="Marker1"/>
    <w:basedOn w:val="DefaultParagraphFont"/>
    <w:rsid w:val="0084326C"/>
    <w:rPr>
      <w:color w:val="008000"/>
      <w:shd w:val="clear" w:color="auto" w:fill="auto"/>
    </w:rPr>
  </w:style>
  <w:style w:type="character" w:customStyle="1" w:styleId="Marker2">
    <w:name w:val="Marker2"/>
    <w:basedOn w:val="DefaultParagraphFont"/>
    <w:rsid w:val="0084326C"/>
    <w:rPr>
      <w:color w:val="FF0000"/>
      <w:shd w:val="clear" w:color="auto" w:fill="auto"/>
    </w:rPr>
  </w:style>
  <w:style w:type="paragraph" w:customStyle="1" w:styleId="Point0number">
    <w:name w:val="Point 0 (number)"/>
    <w:basedOn w:val="Normal"/>
    <w:rsid w:val="0084326C"/>
    <w:pPr>
      <w:numPr>
        <w:ilvl w:val="2"/>
        <w:numId w:val="8"/>
      </w:numPr>
      <w:tabs>
        <w:tab w:val="clear" w:pos="1417"/>
        <w:tab w:val="num" w:pos="360"/>
      </w:tabs>
      <w:spacing w:before="120" w:after="120"/>
      <w:ind w:left="360" w:hanging="360"/>
      <w:jc w:val="both"/>
    </w:pPr>
  </w:style>
  <w:style w:type="paragraph" w:customStyle="1" w:styleId="Point1number">
    <w:name w:val="Point 1 (number)"/>
    <w:basedOn w:val="Normal"/>
    <w:rsid w:val="0084326C"/>
    <w:pPr>
      <w:numPr>
        <w:ilvl w:val="4"/>
        <w:numId w:val="8"/>
      </w:numPr>
      <w:tabs>
        <w:tab w:val="num" w:pos="360"/>
      </w:tabs>
      <w:spacing w:before="120" w:after="120"/>
      <w:ind w:left="360"/>
      <w:jc w:val="both"/>
    </w:pPr>
  </w:style>
  <w:style w:type="paragraph" w:customStyle="1" w:styleId="Point2number">
    <w:name w:val="Point 2 (number)"/>
    <w:basedOn w:val="Normal"/>
    <w:rsid w:val="0084326C"/>
    <w:pPr>
      <w:numPr>
        <w:ilvl w:val="6"/>
        <w:numId w:val="8"/>
      </w:numPr>
      <w:tabs>
        <w:tab w:val="num" w:pos="360"/>
        <w:tab w:val="num" w:pos="1984"/>
      </w:tabs>
      <w:spacing w:before="120" w:after="120"/>
      <w:ind w:left="1984"/>
      <w:jc w:val="both"/>
    </w:pPr>
  </w:style>
  <w:style w:type="paragraph" w:customStyle="1" w:styleId="Point3number">
    <w:name w:val="Point 3 (number)"/>
    <w:basedOn w:val="Normal"/>
    <w:rsid w:val="0084326C"/>
    <w:pPr>
      <w:numPr>
        <w:ilvl w:val="1"/>
        <w:numId w:val="8"/>
      </w:numPr>
      <w:tabs>
        <w:tab w:val="num" w:pos="360"/>
        <w:tab w:val="num" w:pos="2551"/>
      </w:tabs>
      <w:spacing w:before="120" w:after="120"/>
      <w:ind w:left="2551"/>
      <w:jc w:val="both"/>
    </w:pPr>
  </w:style>
  <w:style w:type="paragraph" w:customStyle="1" w:styleId="Point0letter">
    <w:name w:val="Point 0 (letter)"/>
    <w:basedOn w:val="Normal"/>
    <w:rsid w:val="0084326C"/>
    <w:pPr>
      <w:numPr>
        <w:ilvl w:val="3"/>
        <w:numId w:val="8"/>
      </w:numPr>
      <w:tabs>
        <w:tab w:val="clear" w:pos="1417"/>
        <w:tab w:val="num" w:pos="360"/>
      </w:tabs>
      <w:spacing w:before="120" w:after="120"/>
      <w:ind w:left="360" w:hanging="360"/>
      <w:jc w:val="both"/>
    </w:pPr>
  </w:style>
  <w:style w:type="paragraph" w:customStyle="1" w:styleId="Point1letter">
    <w:name w:val="Point 1 (letter)"/>
    <w:basedOn w:val="Normal"/>
    <w:rsid w:val="0084326C"/>
    <w:pPr>
      <w:numPr>
        <w:ilvl w:val="5"/>
        <w:numId w:val="8"/>
      </w:numPr>
      <w:tabs>
        <w:tab w:val="num" w:pos="360"/>
      </w:tabs>
      <w:spacing w:before="120" w:after="120"/>
      <w:ind w:left="360"/>
      <w:jc w:val="both"/>
    </w:pPr>
  </w:style>
  <w:style w:type="paragraph" w:customStyle="1" w:styleId="Point2letter">
    <w:name w:val="Point 2 (letter)"/>
    <w:basedOn w:val="Normal"/>
    <w:rsid w:val="0084326C"/>
    <w:pPr>
      <w:numPr>
        <w:ilvl w:val="7"/>
        <w:numId w:val="8"/>
      </w:numPr>
      <w:tabs>
        <w:tab w:val="num" w:pos="360"/>
        <w:tab w:val="num" w:pos="1984"/>
      </w:tabs>
      <w:spacing w:before="120" w:after="120"/>
      <w:ind w:left="1984"/>
      <w:jc w:val="both"/>
    </w:pPr>
  </w:style>
  <w:style w:type="paragraph" w:customStyle="1" w:styleId="Point3letter">
    <w:name w:val="Point 3 (letter)"/>
    <w:basedOn w:val="Normal"/>
    <w:rsid w:val="0084326C"/>
    <w:pPr>
      <w:numPr>
        <w:ilvl w:val="8"/>
        <w:numId w:val="8"/>
      </w:numPr>
      <w:tabs>
        <w:tab w:val="num" w:pos="360"/>
        <w:tab w:val="num" w:pos="2551"/>
      </w:tabs>
      <w:spacing w:before="120" w:after="120"/>
      <w:ind w:left="2551"/>
      <w:jc w:val="both"/>
    </w:pPr>
  </w:style>
  <w:style w:type="paragraph" w:customStyle="1" w:styleId="Point4letter">
    <w:name w:val="Point 4 (letter)"/>
    <w:basedOn w:val="Normal"/>
    <w:rsid w:val="0084326C"/>
    <w:pPr>
      <w:tabs>
        <w:tab w:val="num" w:pos="3118"/>
      </w:tabs>
      <w:spacing w:before="120" w:after="120"/>
      <w:ind w:left="3118" w:hanging="567"/>
      <w:jc w:val="both"/>
    </w:pPr>
  </w:style>
  <w:style w:type="paragraph" w:customStyle="1" w:styleId="Bullet0">
    <w:name w:val="Bullet 0"/>
    <w:basedOn w:val="Normal"/>
    <w:rsid w:val="0084326C"/>
    <w:pPr>
      <w:numPr>
        <w:numId w:val="9"/>
      </w:numPr>
      <w:tabs>
        <w:tab w:val="num" w:pos="643"/>
      </w:tabs>
      <w:spacing w:before="120" w:after="120"/>
      <w:ind w:left="643" w:hanging="360"/>
      <w:jc w:val="both"/>
    </w:pPr>
  </w:style>
  <w:style w:type="paragraph" w:customStyle="1" w:styleId="Bullet1">
    <w:name w:val="Bullet 1"/>
    <w:basedOn w:val="Normal"/>
    <w:rsid w:val="0084326C"/>
    <w:pPr>
      <w:numPr>
        <w:numId w:val="10"/>
      </w:numPr>
      <w:tabs>
        <w:tab w:val="num" w:pos="926"/>
      </w:tabs>
      <w:spacing w:before="120" w:after="120"/>
      <w:ind w:left="926" w:hanging="360"/>
      <w:jc w:val="both"/>
    </w:pPr>
  </w:style>
  <w:style w:type="paragraph" w:customStyle="1" w:styleId="Bullet2">
    <w:name w:val="Bullet 2"/>
    <w:basedOn w:val="Normal"/>
    <w:rsid w:val="0084326C"/>
    <w:pPr>
      <w:numPr>
        <w:numId w:val="11"/>
      </w:numPr>
      <w:spacing w:before="120" w:after="120"/>
      <w:jc w:val="both"/>
    </w:pPr>
  </w:style>
  <w:style w:type="paragraph" w:customStyle="1" w:styleId="Bullet3">
    <w:name w:val="Bullet 3"/>
    <w:basedOn w:val="Normal"/>
    <w:rsid w:val="0084326C"/>
    <w:pPr>
      <w:tabs>
        <w:tab w:val="num" w:pos="2551"/>
      </w:tabs>
      <w:spacing w:before="120" w:after="120"/>
      <w:ind w:left="2551" w:hanging="567"/>
      <w:jc w:val="both"/>
    </w:pPr>
  </w:style>
  <w:style w:type="paragraph" w:customStyle="1" w:styleId="Bullet4">
    <w:name w:val="Bullet 4"/>
    <w:basedOn w:val="Normal"/>
    <w:rsid w:val="0084326C"/>
    <w:pPr>
      <w:numPr>
        <w:numId w:val="12"/>
      </w:numPr>
      <w:spacing w:before="120" w:after="120"/>
      <w:jc w:val="both"/>
    </w:pPr>
  </w:style>
  <w:style w:type="paragraph" w:customStyle="1" w:styleId="Langue">
    <w:name w:val="Langue"/>
    <w:basedOn w:val="Normal"/>
    <w:next w:val="Rfrenceinterne"/>
    <w:rsid w:val="0084326C"/>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84326C"/>
    <w:pPr>
      <w:ind w:left="5103"/>
    </w:pPr>
  </w:style>
  <w:style w:type="paragraph" w:customStyle="1" w:styleId="Rfrenceinterinstitutionnelle">
    <w:name w:val="Référence interinstitutionnelle"/>
    <w:basedOn w:val="Normal"/>
    <w:next w:val="Statut"/>
    <w:rsid w:val="0084326C"/>
    <w:pPr>
      <w:ind w:left="5103"/>
    </w:pPr>
  </w:style>
  <w:style w:type="paragraph" w:customStyle="1" w:styleId="Statut">
    <w:name w:val="Statut"/>
    <w:basedOn w:val="Normal"/>
    <w:next w:val="Typedudocument"/>
    <w:rsid w:val="0084326C"/>
    <w:pPr>
      <w:spacing w:before="360"/>
      <w:jc w:val="center"/>
    </w:pPr>
  </w:style>
  <w:style w:type="paragraph" w:customStyle="1" w:styleId="Typedudocument">
    <w:name w:val="Type du document"/>
    <w:basedOn w:val="Normal"/>
    <w:next w:val="Titreobjet"/>
    <w:rsid w:val="0084326C"/>
    <w:pPr>
      <w:spacing w:before="360"/>
      <w:jc w:val="center"/>
    </w:pPr>
    <w:rPr>
      <w:b/>
    </w:rPr>
  </w:style>
  <w:style w:type="paragraph" w:customStyle="1" w:styleId="Titreobjet">
    <w:name w:val="Titre objet"/>
    <w:basedOn w:val="Normal"/>
    <w:next w:val="IntrtEEE"/>
    <w:rsid w:val="0084326C"/>
    <w:pPr>
      <w:spacing w:before="360" w:after="360"/>
      <w:jc w:val="center"/>
    </w:pPr>
    <w:rPr>
      <w:b/>
    </w:rPr>
  </w:style>
  <w:style w:type="paragraph" w:customStyle="1" w:styleId="IntrtEEE">
    <w:name w:val="Intérêt EEE"/>
    <w:basedOn w:val="Languesfaisantfoi"/>
    <w:next w:val="Normal"/>
    <w:rsid w:val="0084326C"/>
    <w:pPr>
      <w:spacing w:after="240"/>
    </w:pPr>
  </w:style>
  <w:style w:type="paragraph" w:customStyle="1" w:styleId="Languesfaisantfoi">
    <w:name w:val="Langues faisant foi"/>
    <w:basedOn w:val="Normal"/>
    <w:next w:val="Normal"/>
    <w:rsid w:val="0084326C"/>
    <w:pPr>
      <w:spacing w:before="360"/>
      <w:jc w:val="center"/>
    </w:pPr>
  </w:style>
  <w:style w:type="paragraph" w:customStyle="1" w:styleId="Nomdelinstitution">
    <w:name w:val="Nom de l'institution"/>
    <w:basedOn w:val="Normal"/>
    <w:next w:val="Emission"/>
    <w:rsid w:val="0084326C"/>
    <w:rPr>
      <w:rFonts w:ascii="Arial" w:hAnsi="Arial" w:cs="Arial"/>
    </w:rPr>
  </w:style>
  <w:style w:type="paragraph" w:customStyle="1" w:styleId="Emission">
    <w:name w:val="Emission"/>
    <w:basedOn w:val="Normal"/>
    <w:next w:val="Rfrenceinstitutionnelle"/>
    <w:rsid w:val="0084326C"/>
    <w:pPr>
      <w:ind w:left="5103"/>
    </w:pPr>
  </w:style>
  <w:style w:type="paragraph" w:customStyle="1" w:styleId="Rfrenceinstitutionnelle">
    <w:name w:val="Référence institutionnelle"/>
    <w:basedOn w:val="Normal"/>
    <w:next w:val="Confidentialit"/>
    <w:rsid w:val="0084326C"/>
    <w:pPr>
      <w:spacing w:after="240"/>
      <w:ind w:left="5103"/>
    </w:pPr>
  </w:style>
  <w:style w:type="paragraph" w:customStyle="1" w:styleId="Confidentialit">
    <w:name w:val="Confidentialité"/>
    <w:basedOn w:val="Normal"/>
    <w:next w:val="TypedudocumentPagedecouverture"/>
    <w:rsid w:val="0084326C"/>
    <w:pPr>
      <w:spacing w:before="240" w:after="240"/>
      <w:ind w:left="5103"/>
    </w:pPr>
    <w:rPr>
      <w:i/>
      <w:sz w:val="32"/>
    </w:rPr>
  </w:style>
  <w:style w:type="paragraph" w:customStyle="1" w:styleId="TypedudocumentPagedecouverture">
    <w:name w:val="Type du document (Page de couverture)"/>
    <w:basedOn w:val="Typedudocument"/>
    <w:next w:val="TitreobjetPagedecouverture"/>
    <w:rsid w:val="0084326C"/>
  </w:style>
  <w:style w:type="paragraph" w:customStyle="1" w:styleId="TitreobjetPagedecouverture">
    <w:name w:val="Titre objet (Page de couverture)"/>
    <w:basedOn w:val="Titreobjet"/>
    <w:next w:val="IntrtEEEPagedecouverture"/>
    <w:rsid w:val="0084326C"/>
  </w:style>
  <w:style w:type="paragraph" w:customStyle="1" w:styleId="IntrtEEEPagedecouverture">
    <w:name w:val="Intérêt EEE (Page de couverture)"/>
    <w:basedOn w:val="IntrtEEE"/>
    <w:next w:val="Rfrencecroise"/>
    <w:rsid w:val="0084326C"/>
  </w:style>
  <w:style w:type="paragraph" w:customStyle="1" w:styleId="Rfrencecroise">
    <w:name w:val="Référence croisée"/>
    <w:basedOn w:val="Normal"/>
    <w:rsid w:val="0084326C"/>
    <w:pPr>
      <w:jc w:val="center"/>
    </w:pPr>
  </w:style>
  <w:style w:type="paragraph" w:customStyle="1" w:styleId="Pagedecouverture">
    <w:name w:val="Page de couverture"/>
    <w:basedOn w:val="Normal"/>
    <w:next w:val="Normal"/>
    <w:rsid w:val="0084326C"/>
    <w:pPr>
      <w:jc w:val="both"/>
    </w:pPr>
  </w:style>
  <w:style w:type="paragraph" w:customStyle="1" w:styleId="Declassification">
    <w:name w:val="Declassification"/>
    <w:basedOn w:val="Normal"/>
    <w:next w:val="Normal"/>
    <w:rsid w:val="0084326C"/>
    <w:pPr>
      <w:jc w:val="both"/>
    </w:pPr>
  </w:style>
  <w:style w:type="paragraph" w:customStyle="1" w:styleId="Disclaimer">
    <w:name w:val="Disclaimer"/>
    <w:basedOn w:val="Normal"/>
    <w:rsid w:val="0084326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style>
  <w:style w:type="paragraph" w:customStyle="1" w:styleId="SecurityMarking">
    <w:name w:val="SecurityMarking"/>
    <w:basedOn w:val="Normal"/>
    <w:rsid w:val="0084326C"/>
    <w:pPr>
      <w:ind w:left="5103"/>
    </w:pPr>
    <w:rPr>
      <w:sz w:val="28"/>
    </w:rPr>
  </w:style>
  <w:style w:type="paragraph" w:customStyle="1" w:styleId="DateMarking">
    <w:name w:val="DateMarking"/>
    <w:basedOn w:val="Normal"/>
    <w:rsid w:val="0084326C"/>
    <w:pPr>
      <w:ind w:left="5103"/>
    </w:pPr>
    <w:rPr>
      <w:i/>
      <w:sz w:val="28"/>
    </w:rPr>
  </w:style>
  <w:style w:type="paragraph" w:customStyle="1" w:styleId="ReleasableTo">
    <w:name w:val="ReleasableTo"/>
    <w:basedOn w:val="Normal"/>
    <w:rsid w:val="0084326C"/>
    <w:pPr>
      <w:ind w:left="5103"/>
    </w:pPr>
    <w:rPr>
      <w:i/>
      <w:sz w:val="28"/>
    </w:rPr>
  </w:style>
  <w:style w:type="paragraph" w:customStyle="1" w:styleId="Annexetitreexpos">
    <w:name w:val="Annexe titre (exposé)"/>
    <w:basedOn w:val="Normal"/>
    <w:next w:val="Normal"/>
    <w:rsid w:val="0084326C"/>
    <w:pPr>
      <w:spacing w:before="120" w:after="120"/>
      <w:jc w:val="center"/>
    </w:pPr>
    <w:rPr>
      <w:b/>
      <w:u w:val="single"/>
    </w:rPr>
  </w:style>
  <w:style w:type="paragraph" w:customStyle="1" w:styleId="Annexetitre">
    <w:name w:val="Annexe titre"/>
    <w:basedOn w:val="Normal"/>
    <w:next w:val="Normal"/>
    <w:rsid w:val="0084326C"/>
    <w:pPr>
      <w:spacing w:before="120" w:after="120"/>
      <w:jc w:val="center"/>
    </w:pPr>
    <w:rPr>
      <w:b/>
      <w:u w:val="single"/>
    </w:rPr>
  </w:style>
  <w:style w:type="paragraph" w:customStyle="1" w:styleId="Annexetitrefichefinancire">
    <w:name w:val="Annexe titre (fiche financière)"/>
    <w:basedOn w:val="Normal"/>
    <w:next w:val="Normal"/>
    <w:rsid w:val="0084326C"/>
    <w:pPr>
      <w:spacing w:before="120" w:after="120"/>
      <w:jc w:val="center"/>
    </w:pPr>
    <w:rPr>
      <w:b/>
      <w:u w:val="single"/>
    </w:rPr>
  </w:style>
  <w:style w:type="paragraph" w:customStyle="1" w:styleId="Applicationdirecte">
    <w:name w:val="Application directe"/>
    <w:basedOn w:val="Normal"/>
    <w:next w:val="Fait"/>
    <w:rsid w:val="0084326C"/>
    <w:pPr>
      <w:spacing w:before="480" w:after="120"/>
      <w:jc w:val="both"/>
    </w:pPr>
  </w:style>
  <w:style w:type="paragraph" w:customStyle="1" w:styleId="Fait">
    <w:name w:val="Fait à"/>
    <w:basedOn w:val="Normal"/>
    <w:next w:val="Institutionquisigne"/>
    <w:rsid w:val="0084326C"/>
    <w:pPr>
      <w:keepNext/>
      <w:spacing w:before="120"/>
      <w:jc w:val="both"/>
    </w:pPr>
  </w:style>
  <w:style w:type="paragraph" w:customStyle="1" w:styleId="Institutionquisigne">
    <w:name w:val="Institution qui signe"/>
    <w:basedOn w:val="Normal"/>
    <w:next w:val="Personnequisigne"/>
    <w:rsid w:val="0084326C"/>
    <w:pPr>
      <w:keepNext/>
      <w:tabs>
        <w:tab w:val="left" w:pos="4252"/>
      </w:tabs>
      <w:spacing w:before="720"/>
      <w:jc w:val="both"/>
    </w:pPr>
    <w:rPr>
      <w:i/>
    </w:rPr>
  </w:style>
  <w:style w:type="paragraph" w:customStyle="1" w:styleId="Personnequisigne">
    <w:name w:val="Personne qui signe"/>
    <w:basedOn w:val="Normal"/>
    <w:next w:val="Institutionquisigne"/>
    <w:rsid w:val="0084326C"/>
    <w:pPr>
      <w:tabs>
        <w:tab w:val="left" w:pos="4252"/>
      </w:tabs>
    </w:pPr>
    <w:rPr>
      <w:i/>
    </w:rPr>
  </w:style>
  <w:style w:type="paragraph" w:customStyle="1" w:styleId="Avertissementtitre">
    <w:name w:val="Avertissement titre"/>
    <w:basedOn w:val="Normal"/>
    <w:next w:val="Normal"/>
    <w:rsid w:val="0084326C"/>
    <w:pPr>
      <w:keepNext/>
      <w:spacing w:before="480" w:after="120"/>
      <w:jc w:val="both"/>
    </w:pPr>
    <w:rPr>
      <w:u w:val="single"/>
    </w:rPr>
  </w:style>
  <w:style w:type="paragraph" w:customStyle="1" w:styleId="Confidence">
    <w:name w:val="Confidence"/>
    <w:basedOn w:val="Normal"/>
    <w:next w:val="Normal"/>
    <w:rsid w:val="0084326C"/>
    <w:pPr>
      <w:spacing w:before="360" w:after="120"/>
      <w:jc w:val="center"/>
    </w:pPr>
  </w:style>
  <w:style w:type="paragraph" w:customStyle="1" w:styleId="Considrant">
    <w:name w:val="Considérant"/>
    <w:basedOn w:val="Normal"/>
    <w:rsid w:val="0084326C"/>
    <w:pPr>
      <w:tabs>
        <w:tab w:val="num" w:pos="709"/>
      </w:tabs>
      <w:spacing w:before="120" w:after="120"/>
      <w:ind w:left="709" w:hanging="709"/>
      <w:jc w:val="both"/>
    </w:pPr>
  </w:style>
  <w:style w:type="paragraph" w:customStyle="1" w:styleId="Corrigendum">
    <w:name w:val="Corrigendum"/>
    <w:basedOn w:val="Normal"/>
    <w:next w:val="Normal"/>
    <w:rsid w:val="0084326C"/>
    <w:pPr>
      <w:spacing w:after="240"/>
    </w:pPr>
  </w:style>
  <w:style w:type="paragraph" w:customStyle="1" w:styleId="Datedadoption">
    <w:name w:val="Date d'adoption"/>
    <w:basedOn w:val="Normal"/>
    <w:next w:val="Titreobjet"/>
    <w:rsid w:val="0084326C"/>
    <w:pPr>
      <w:spacing w:before="360"/>
      <w:jc w:val="center"/>
    </w:pPr>
    <w:rPr>
      <w:b/>
    </w:rPr>
  </w:style>
  <w:style w:type="paragraph" w:customStyle="1" w:styleId="Exposdesmotifstitre">
    <w:name w:val="Exposé des motifs titre"/>
    <w:basedOn w:val="Normal"/>
    <w:next w:val="Normal"/>
    <w:rsid w:val="0084326C"/>
    <w:pPr>
      <w:spacing w:before="120" w:after="120"/>
      <w:jc w:val="center"/>
    </w:pPr>
    <w:rPr>
      <w:b/>
      <w:u w:val="single"/>
    </w:rPr>
  </w:style>
  <w:style w:type="paragraph" w:customStyle="1" w:styleId="Formuledadoption">
    <w:name w:val="Formule d'adoption"/>
    <w:basedOn w:val="Normal"/>
    <w:next w:val="Titrearticle"/>
    <w:rsid w:val="0084326C"/>
    <w:pPr>
      <w:keepNext/>
      <w:spacing w:before="120" w:after="120"/>
      <w:jc w:val="both"/>
    </w:pPr>
  </w:style>
  <w:style w:type="paragraph" w:customStyle="1" w:styleId="Titrearticle">
    <w:name w:val="Titre article"/>
    <w:basedOn w:val="Normal"/>
    <w:next w:val="Normal"/>
    <w:rsid w:val="0084326C"/>
    <w:pPr>
      <w:keepNext/>
      <w:spacing w:before="360" w:after="120"/>
      <w:jc w:val="center"/>
    </w:pPr>
    <w:rPr>
      <w:i/>
    </w:rPr>
  </w:style>
  <w:style w:type="paragraph" w:customStyle="1" w:styleId="Institutionquiagit">
    <w:name w:val="Institution qui agit"/>
    <w:basedOn w:val="Normal"/>
    <w:next w:val="Normal"/>
    <w:rsid w:val="0084326C"/>
    <w:pPr>
      <w:keepNext/>
      <w:spacing w:before="600" w:after="120"/>
      <w:jc w:val="both"/>
    </w:pPr>
  </w:style>
  <w:style w:type="paragraph" w:customStyle="1" w:styleId="ManualConsidrant">
    <w:name w:val="Manual Considérant"/>
    <w:basedOn w:val="Normal"/>
    <w:rsid w:val="0084326C"/>
    <w:pPr>
      <w:spacing w:before="120" w:after="120"/>
      <w:ind w:left="709" w:hanging="709"/>
      <w:jc w:val="both"/>
    </w:pPr>
  </w:style>
  <w:style w:type="character" w:customStyle="1" w:styleId="Added">
    <w:name w:val="Added"/>
    <w:basedOn w:val="DefaultParagraphFont"/>
    <w:rsid w:val="0084326C"/>
    <w:rPr>
      <w:b/>
      <w:u w:val="single"/>
      <w:shd w:val="clear" w:color="auto" w:fill="auto"/>
    </w:rPr>
  </w:style>
  <w:style w:type="character" w:customStyle="1" w:styleId="Deleted">
    <w:name w:val="Deleted"/>
    <w:basedOn w:val="DefaultParagraphFont"/>
    <w:rsid w:val="0084326C"/>
    <w:rPr>
      <w:strike/>
      <w:dstrike w:val="0"/>
      <w:shd w:val="clear" w:color="auto" w:fill="auto"/>
    </w:rPr>
  </w:style>
  <w:style w:type="paragraph" w:customStyle="1" w:styleId="Address">
    <w:name w:val="Address"/>
    <w:basedOn w:val="Normal"/>
    <w:next w:val="Normal"/>
    <w:rsid w:val="0084326C"/>
    <w:pPr>
      <w:keepLines/>
      <w:spacing w:before="120" w:after="120" w:line="360" w:lineRule="auto"/>
      <w:ind w:left="3402"/>
    </w:pPr>
  </w:style>
  <w:style w:type="paragraph" w:customStyle="1" w:styleId="Objetexterne">
    <w:name w:val="Objet externe"/>
    <w:basedOn w:val="Normal"/>
    <w:next w:val="Normal"/>
    <w:rsid w:val="0084326C"/>
    <w:pPr>
      <w:spacing w:before="120" w:after="120"/>
      <w:jc w:val="both"/>
    </w:pPr>
    <w:rPr>
      <w:i/>
      <w:caps/>
    </w:rPr>
  </w:style>
  <w:style w:type="paragraph" w:customStyle="1" w:styleId="Supertitre">
    <w:name w:val="Supertitre"/>
    <w:basedOn w:val="Normal"/>
    <w:next w:val="Normal"/>
    <w:rsid w:val="0084326C"/>
    <w:pPr>
      <w:spacing w:after="600"/>
      <w:jc w:val="center"/>
    </w:pPr>
    <w:rPr>
      <w:b/>
    </w:rPr>
  </w:style>
  <w:style w:type="paragraph" w:customStyle="1" w:styleId="Fichefinanciretitre">
    <w:name w:val="Fiche financière titre"/>
    <w:basedOn w:val="Normal"/>
    <w:next w:val="Normal"/>
    <w:rsid w:val="0084326C"/>
    <w:pPr>
      <w:spacing w:before="120" w:after="120"/>
      <w:jc w:val="center"/>
    </w:pPr>
    <w:rPr>
      <w:b/>
      <w:u w:val="single"/>
    </w:rPr>
  </w:style>
  <w:style w:type="paragraph" w:customStyle="1" w:styleId="DatedadoptionPagedecouverture">
    <w:name w:val="Date d'adoption (Page de couverture)"/>
    <w:basedOn w:val="Datedadoption"/>
    <w:next w:val="TitreobjetPagedecouverture"/>
    <w:rsid w:val="0084326C"/>
  </w:style>
  <w:style w:type="paragraph" w:customStyle="1" w:styleId="RfrenceinterinstitutionnellePagedecouverture">
    <w:name w:val="Référence interinstitutionnelle (Page de couverture)"/>
    <w:basedOn w:val="Rfrenceinterinstitutionnelle"/>
    <w:next w:val="Confidentialit"/>
    <w:rsid w:val="0084326C"/>
  </w:style>
  <w:style w:type="paragraph" w:customStyle="1" w:styleId="StatutPagedecouverture">
    <w:name w:val="Statut (Page de couverture)"/>
    <w:basedOn w:val="Statut"/>
    <w:next w:val="TypedudocumentPagedecouverture"/>
    <w:rsid w:val="0084326C"/>
  </w:style>
  <w:style w:type="paragraph" w:customStyle="1" w:styleId="Volume">
    <w:name w:val="Volume"/>
    <w:basedOn w:val="Normal"/>
    <w:next w:val="Confidentialit"/>
    <w:rsid w:val="0084326C"/>
    <w:pPr>
      <w:spacing w:after="240"/>
      <w:ind w:left="5103"/>
    </w:pPr>
  </w:style>
  <w:style w:type="paragraph" w:customStyle="1" w:styleId="Accompagnant">
    <w:name w:val="Accompagnant"/>
    <w:basedOn w:val="Normal"/>
    <w:next w:val="Typeacteprincipal"/>
    <w:rsid w:val="0084326C"/>
    <w:pPr>
      <w:spacing w:after="240"/>
      <w:jc w:val="center"/>
    </w:pPr>
    <w:rPr>
      <w:b/>
      <w:i/>
    </w:rPr>
  </w:style>
  <w:style w:type="paragraph" w:customStyle="1" w:styleId="Typeacteprincipal">
    <w:name w:val="Type acte principal"/>
    <w:basedOn w:val="Normal"/>
    <w:next w:val="Objetacteprincipal"/>
    <w:rsid w:val="0084326C"/>
    <w:pPr>
      <w:spacing w:after="240"/>
      <w:jc w:val="center"/>
    </w:pPr>
    <w:rPr>
      <w:b/>
    </w:rPr>
  </w:style>
  <w:style w:type="paragraph" w:customStyle="1" w:styleId="Objetacteprincipal">
    <w:name w:val="Objet acte principal"/>
    <w:basedOn w:val="Normal"/>
    <w:next w:val="Titrearticle"/>
    <w:rsid w:val="0084326C"/>
    <w:pPr>
      <w:spacing w:after="360"/>
      <w:jc w:val="center"/>
    </w:pPr>
    <w:rPr>
      <w:b/>
    </w:rPr>
  </w:style>
  <w:style w:type="paragraph" w:customStyle="1" w:styleId="AccompagnantPagedecouverture">
    <w:name w:val="Accompagnant (Page de couverture)"/>
    <w:basedOn w:val="Accompagnant"/>
    <w:next w:val="TypeacteprincipalPagedecouverture"/>
    <w:rsid w:val="0084326C"/>
  </w:style>
  <w:style w:type="paragraph" w:customStyle="1" w:styleId="TypeacteprincipalPagedecouverture">
    <w:name w:val="Type acte principal (Page de couverture)"/>
    <w:basedOn w:val="Typeacteprincipal"/>
    <w:next w:val="ObjetacteprincipalPagedecouverture"/>
    <w:rsid w:val="0084326C"/>
  </w:style>
  <w:style w:type="paragraph" w:customStyle="1" w:styleId="ObjetacteprincipalPagedecouverture">
    <w:name w:val="Objet acte principal (Page de couverture)"/>
    <w:basedOn w:val="Objetacteprincipal"/>
    <w:next w:val="Rfrencecroise"/>
    <w:rsid w:val="0084326C"/>
  </w:style>
  <w:style w:type="paragraph" w:customStyle="1" w:styleId="LanguesfaisantfoiPagedecouverture">
    <w:name w:val="Langues faisant foi (Page de couverture)"/>
    <w:basedOn w:val="Normal"/>
    <w:next w:val="Normal"/>
    <w:rsid w:val="0084326C"/>
    <w:pPr>
      <w:spacing w:before="360"/>
      <w:jc w:val="center"/>
    </w:pPr>
  </w:style>
  <w:style w:type="paragraph" w:styleId="ListBullet">
    <w:name w:val="List Bullet"/>
    <w:basedOn w:val="Normal"/>
    <w:uiPriority w:val="99"/>
    <w:semiHidden/>
    <w:unhideWhenUsed/>
    <w:rsid w:val="0084326C"/>
    <w:pPr>
      <w:numPr>
        <w:numId w:val="14"/>
      </w:numPr>
      <w:tabs>
        <w:tab w:val="num" w:pos="850"/>
      </w:tabs>
      <w:spacing w:before="120" w:after="120"/>
      <w:ind w:left="720"/>
      <w:contextualSpacing/>
      <w:jc w:val="both"/>
    </w:pPr>
  </w:style>
  <w:style w:type="paragraph" w:styleId="ListBullet2">
    <w:name w:val="List Bullet 2"/>
    <w:basedOn w:val="Normal"/>
    <w:uiPriority w:val="99"/>
    <w:semiHidden/>
    <w:unhideWhenUsed/>
    <w:rsid w:val="0084326C"/>
    <w:pPr>
      <w:tabs>
        <w:tab w:val="num" w:pos="643"/>
      </w:tabs>
      <w:spacing w:before="120" w:after="120"/>
      <w:ind w:left="643" w:hanging="360"/>
      <w:contextualSpacing/>
      <w:jc w:val="both"/>
    </w:pPr>
  </w:style>
  <w:style w:type="paragraph" w:styleId="ListBullet3">
    <w:name w:val="List Bullet 3"/>
    <w:basedOn w:val="Normal"/>
    <w:uiPriority w:val="99"/>
    <w:semiHidden/>
    <w:unhideWhenUsed/>
    <w:rsid w:val="0084326C"/>
    <w:pPr>
      <w:tabs>
        <w:tab w:val="num" w:pos="926"/>
      </w:tabs>
      <w:spacing w:before="120" w:after="120"/>
      <w:ind w:left="926" w:hanging="360"/>
      <w:contextualSpacing/>
      <w:jc w:val="both"/>
    </w:pPr>
  </w:style>
  <w:style w:type="paragraph" w:styleId="ListBullet4">
    <w:name w:val="List Bullet 4"/>
    <w:basedOn w:val="Normal"/>
    <w:uiPriority w:val="99"/>
    <w:semiHidden/>
    <w:unhideWhenUsed/>
    <w:rsid w:val="0084326C"/>
    <w:pPr>
      <w:tabs>
        <w:tab w:val="num" w:pos="3118"/>
      </w:tabs>
      <w:spacing w:before="120" w:after="120"/>
      <w:ind w:left="3118" w:hanging="567"/>
      <w:contextualSpacing/>
      <w:jc w:val="both"/>
    </w:pPr>
  </w:style>
  <w:style w:type="character" w:styleId="CommentReference">
    <w:name w:val="annotation reference"/>
    <w:basedOn w:val="DefaultParagraphFont"/>
    <w:uiPriority w:val="99"/>
    <w:unhideWhenUsed/>
    <w:rsid w:val="0084326C"/>
    <w:rPr>
      <w:sz w:val="16"/>
    </w:rPr>
  </w:style>
  <w:style w:type="paragraph" w:styleId="CommentText">
    <w:name w:val="annotation text"/>
    <w:basedOn w:val="Normal"/>
    <w:link w:val="CommentTextChar"/>
    <w:uiPriority w:val="99"/>
    <w:unhideWhenUsed/>
    <w:rsid w:val="0084326C"/>
    <w:pPr>
      <w:spacing w:before="120" w:after="120"/>
      <w:jc w:val="both"/>
    </w:pPr>
    <w:rPr>
      <w:sz w:val="20"/>
    </w:rPr>
  </w:style>
  <w:style w:type="character" w:customStyle="1" w:styleId="CommentTextChar">
    <w:name w:val="Comment Text Char"/>
    <w:basedOn w:val="DefaultParagraphFont"/>
    <w:link w:val="CommentText"/>
    <w:uiPriority w:val="99"/>
    <w:rsid w:val="0084326C"/>
    <w:rPr>
      <w:rFonts w:ascii="Times New Roman" w:eastAsia="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84326C"/>
    <w:rPr>
      <w:b/>
    </w:rPr>
  </w:style>
  <w:style w:type="character" w:customStyle="1" w:styleId="CommentSubjectChar">
    <w:name w:val="Comment Subject Char"/>
    <w:basedOn w:val="CommentTextChar"/>
    <w:link w:val="CommentSubject"/>
    <w:uiPriority w:val="99"/>
    <w:semiHidden/>
    <w:rsid w:val="0084326C"/>
    <w:rPr>
      <w:rFonts w:ascii="Times New Roman" w:eastAsia="Times New Roman" w:hAnsi="Times New Roman" w:cs="Times New Roman"/>
      <w:b/>
      <w:sz w:val="20"/>
    </w:rPr>
  </w:style>
  <w:style w:type="paragraph" w:styleId="BalloonText">
    <w:name w:val="Balloon Text"/>
    <w:basedOn w:val="Normal"/>
    <w:link w:val="BalloonTextChar"/>
    <w:uiPriority w:val="99"/>
    <w:semiHidden/>
    <w:unhideWhenUsed/>
    <w:rsid w:val="0084326C"/>
    <w:pPr>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84326C"/>
    <w:rPr>
      <w:rFonts w:ascii="Segoe UI" w:eastAsia="Times New Roman" w:hAnsi="Segoe UI" w:cs="Segoe UI"/>
      <w:sz w:val="18"/>
    </w:rPr>
  </w:style>
  <w:style w:type="paragraph" w:styleId="Revision">
    <w:name w:val="Revision"/>
    <w:hidden/>
    <w:uiPriority w:val="99"/>
    <w:semiHidden/>
    <w:rsid w:val="0084326C"/>
    <w:pPr>
      <w:spacing w:after="0" w:line="240" w:lineRule="auto"/>
    </w:pPr>
    <w:rPr>
      <w:rFonts w:ascii="Times New Roman" w:hAnsi="Times New Roman" w:cs="Times New Roman"/>
      <w:sz w:val="24"/>
    </w:rPr>
  </w:style>
  <w:style w:type="paragraph" w:styleId="ListParagraph">
    <w:name w:val="List Paragraph"/>
    <w:aliases w:val="numbered list,2,OBC Bullet,Normal 1,Task Body,Viñetas (Inicio Parrafo),3 Txt tabla,Zerrenda-paragrafoa,Fiche List Paragraph,Dot pt,F5 List Paragraph,List Paragraph1,No Spacing1,List Paragraph Char Char Char,Indicator Text,Paragrafo elenco"/>
    <w:basedOn w:val="Normal"/>
    <w:link w:val="ListParagraphChar"/>
    <w:uiPriority w:val="34"/>
    <w:qFormat/>
    <w:rsid w:val="0084326C"/>
    <w:pPr>
      <w:spacing w:before="120" w:after="120"/>
      <w:ind w:left="720"/>
      <w:contextualSpacing/>
      <w:jc w:val="both"/>
    </w:pPr>
  </w:style>
  <w:style w:type="character" w:customStyle="1" w:styleId="ListParagraphChar">
    <w:name w:val="List Paragraph Char"/>
    <w:aliases w:val="numbered list Char,2 Char,OBC Bullet Char,Normal 1 Char,Task Body Char,Viñetas (Inicio Parrafo) Char,3 Txt tabla Char,Zerrenda-paragrafoa Char,Fiche List Paragraph Char,Dot pt Char,F5 List Paragraph Char,List Paragraph1 Char"/>
    <w:basedOn w:val="DefaultParagraphFont"/>
    <w:link w:val="ListParagraph"/>
    <w:uiPriority w:val="34"/>
    <w:qFormat/>
    <w:locked/>
    <w:rsid w:val="0084326C"/>
    <w:rPr>
      <w:rFonts w:ascii="Times New Roman" w:eastAsia="Times New Roman" w:hAnsi="Times New Roman" w:cs="Times New Roman"/>
      <w:sz w:val="24"/>
    </w:rPr>
  </w:style>
  <w:style w:type="character" w:customStyle="1" w:styleId="normaltextrun">
    <w:name w:val="normaltextrun"/>
    <w:basedOn w:val="DefaultParagraphFont"/>
    <w:rsid w:val="0084326C"/>
  </w:style>
  <w:style w:type="character" w:customStyle="1" w:styleId="eop">
    <w:name w:val="eop"/>
    <w:basedOn w:val="DefaultParagraphFont"/>
    <w:rsid w:val="0084326C"/>
  </w:style>
  <w:style w:type="character" w:styleId="Hyperlink">
    <w:name w:val="Hyperlink"/>
    <w:basedOn w:val="DefaultParagraphFont"/>
    <w:uiPriority w:val="99"/>
    <w:unhideWhenUsed/>
    <w:rsid w:val="0084326C"/>
    <w:rPr>
      <w:color w:val="0563C1" w:themeColor="hyperlink"/>
      <w:u w:val="single"/>
    </w:rPr>
  </w:style>
  <w:style w:type="character" w:customStyle="1" w:styleId="y2iqfc">
    <w:name w:val="y2iqfc"/>
    <w:basedOn w:val="DefaultParagraphFont"/>
    <w:rsid w:val="0084326C"/>
  </w:style>
  <w:style w:type="character" w:styleId="IntenseEmphasis">
    <w:name w:val="Intense Emphasis"/>
    <w:basedOn w:val="DefaultParagraphFont"/>
    <w:uiPriority w:val="21"/>
    <w:qFormat/>
    <w:rsid w:val="0084326C"/>
    <w:rPr>
      <w:i/>
      <w:color w:val="4472C4" w:themeColor="accent1"/>
    </w:rPr>
  </w:style>
  <w:style w:type="paragraph" w:customStyle="1" w:styleId="Times12">
    <w:name w:val="Times12"/>
    <w:basedOn w:val="Normal"/>
    <w:rsid w:val="0084326C"/>
    <w:pPr>
      <w:suppressAutoHyphens/>
      <w:spacing w:after="140"/>
      <w:jc w:val="both"/>
    </w:pPr>
    <w:rPr>
      <w:rFonts w:ascii="Times" w:eastAsia="SimSun" w:hAnsi="Times" w:cs="Times"/>
      <w:color w:val="00000A"/>
      <w:kern w:val="1"/>
    </w:rPr>
  </w:style>
  <w:style w:type="paragraph" w:customStyle="1" w:styleId="paragraph">
    <w:name w:val="paragraph"/>
    <w:basedOn w:val="Normal"/>
    <w:rsid w:val="0084326C"/>
    <w:pPr>
      <w:spacing w:before="100" w:beforeAutospacing="1" w:after="100" w:afterAutospacing="1"/>
    </w:pPr>
  </w:style>
  <w:style w:type="paragraph" w:customStyle="1" w:styleId="FooterCoverPage">
    <w:name w:val="Footer Cover Page"/>
    <w:basedOn w:val="Normal"/>
    <w:link w:val="FooterCoverPageChar"/>
    <w:rsid w:val="0084326C"/>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84326C"/>
    <w:rPr>
      <w:rFonts w:ascii="Times New Roman" w:eastAsia="Times New Roman" w:hAnsi="Times New Roman" w:cs="Times New Roman"/>
      <w:sz w:val="24"/>
    </w:rPr>
  </w:style>
  <w:style w:type="paragraph" w:customStyle="1" w:styleId="HeaderCoverPage">
    <w:name w:val="Header Cover Page"/>
    <w:basedOn w:val="Normal"/>
    <w:link w:val="HeaderCoverPageChar"/>
    <w:rsid w:val="0084326C"/>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84326C"/>
    <w:rPr>
      <w:rFonts w:ascii="Times New Roman" w:eastAsia="Times New Roman" w:hAnsi="Times New Roman" w:cs="Times New Roman"/>
      <w:sz w:val="24"/>
    </w:rPr>
  </w:style>
  <w:style w:type="table" w:styleId="TableGrid">
    <w:name w:val="Table Grid"/>
    <w:basedOn w:val="TableNormal"/>
    <w:uiPriority w:val="59"/>
    <w:rsid w:val="008432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Puntielenco0">
    <w:name w:val="Punti elenco.0"/>
    <w:rsid w:val="0084326C"/>
    <w:pPr>
      <w:numPr>
        <w:numId w:val="13"/>
      </w:numPr>
    </w:pPr>
  </w:style>
  <w:style w:type="paragraph" w:styleId="IntenseQuote">
    <w:name w:val="Intense Quote"/>
    <w:basedOn w:val="Normal"/>
    <w:next w:val="Normal"/>
    <w:link w:val="IntenseQuoteChar"/>
    <w:uiPriority w:val="30"/>
    <w:qFormat/>
    <w:rsid w:val="0084326C"/>
    <w:pPr>
      <w:pBdr>
        <w:top w:val="single" w:sz="4" w:space="10" w:color="4472C4" w:themeColor="accent1"/>
        <w:bottom w:val="single" w:sz="4" w:space="10" w:color="4472C4" w:themeColor="accent1"/>
      </w:pBdr>
      <w:spacing w:before="360" w:after="360"/>
      <w:ind w:left="864" w:right="864"/>
      <w:jc w:val="center"/>
    </w:pPr>
    <w:rPr>
      <w:i/>
      <w:color w:val="4472C4" w:themeColor="accent1"/>
    </w:rPr>
  </w:style>
  <w:style w:type="character" w:customStyle="1" w:styleId="IntenseQuoteChar">
    <w:name w:val="Intense Quote Char"/>
    <w:basedOn w:val="DefaultParagraphFont"/>
    <w:link w:val="IntenseQuote"/>
    <w:uiPriority w:val="30"/>
    <w:rsid w:val="0084326C"/>
    <w:rPr>
      <w:rFonts w:ascii="Times New Roman" w:eastAsia="Times New Roman" w:hAnsi="Times New Roman" w:cs="Times New Roman"/>
      <w:i/>
      <w:color w:val="4472C4" w:themeColor="accent1"/>
      <w:sz w:val="24"/>
    </w:rPr>
  </w:style>
  <w:style w:type="character" w:customStyle="1" w:styleId="FootnoteCharacters">
    <w:name w:val="Footnote Characters"/>
    <w:rsid w:val="0084326C"/>
    <w:rPr>
      <w:vertAlign w:val="superscript"/>
    </w:rPr>
  </w:style>
  <w:style w:type="paragraph" w:customStyle="1" w:styleId="Paragrafoelenco1">
    <w:name w:val="Paragrafo elenco1"/>
    <w:basedOn w:val="Normal"/>
    <w:rsid w:val="0084326C"/>
    <w:pPr>
      <w:spacing w:after="160" w:line="254" w:lineRule="auto"/>
      <w:ind w:left="720"/>
      <w:contextualSpacing/>
    </w:pPr>
    <w:rPr>
      <w:color w:val="00000A"/>
      <w:kern w:val="1"/>
      <w:sz w:val="20"/>
    </w:rPr>
  </w:style>
  <w:style w:type="paragraph" w:styleId="NormalWeb">
    <w:name w:val="Normal (Web)"/>
    <w:basedOn w:val="Normal"/>
    <w:uiPriority w:val="99"/>
    <w:unhideWhenUsed/>
    <w:rsid w:val="0084326C"/>
    <w:pPr>
      <w:spacing w:before="100" w:beforeAutospacing="1" w:after="100" w:afterAutospacing="1"/>
    </w:pPr>
  </w:style>
  <w:style w:type="character" w:customStyle="1" w:styleId="normaltextrun1">
    <w:name w:val="normaltextrun1"/>
    <w:basedOn w:val="DefaultParagraphFont"/>
    <w:rsid w:val="0084326C"/>
  </w:style>
  <w:style w:type="numbering" w:customStyle="1" w:styleId="Stileimportato9">
    <w:name w:val="Stile importato 9"/>
    <w:rsid w:val="0084326C"/>
    <w:pPr>
      <w:numPr>
        <w:numId w:val="16"/>
      </w:numPr>
    </w:pPr>
  </w:style>
  <w:style w:type="character" w:customStyle="1" w:styleId="Hyperlink0">
    <w:name w:val="Hyperlink.0"/>
    <w:rsid w:val="0084326C"/>
  </w:style>
  <w:style w:type="paragraph" w:customStyle="1" w:styleId="Descriptiontext">
    <w:name w:val="Description text"/>
    <w:basedOn w:val="Normal"/>
    <w:link w:val="DescriptiontextChar"/>
    <w:qFormat/>
    <w:rsid w:val="0084326C"/>
    <w:pPr>
      <w:spacing w:before="120" w:after="120"/>
      <w:ind w:left="709"/>
      <w:jc w:val="both"/>
    </w:pPr>
  </w:style>
  <w:style w:type="paragraph" w:customStyle="1" w:styleId="Descriptiontitle">
    <w:name w:val="Description title"/>
    <w:basedOn w:val="Descriptiontext"/>
    <w:link w:val="DescriptiontitleChar"/>
    <w:rsid w:val="0084326C"/>
  </w:style>
  <w:style w:type="character" w:customStyle="1" w:styleId="DescriptiontextChar">
    <w:name w:val="Description text Char"/>
    <w:basedOn w:val="DefaultParagraphFont"/>
    <w:link w:val="Descriptiontext"/>
    <w:rsid w:val="0084326C"/>
    <w:rPr>
      <w:rFonts w:ascii="Times New Roman" w:eastAsia="Times New Roman" w:hAnsi="Times New Roman" w:cs="Times New Roman"/>
      <w:sz w:val="24"/>
    </w:rPr>
  </w:style>
  <w:style w:type="character" w:customStyle="1" w:styleId="DescriptiontitleChar">
    <w:name w:val="Description title Char"/>
    <w:basedOn w:val="DescriptiontextChar"/>
    <w:link w:val="Descriptiontitle"/>
    <w:rsid w:val="0084326C"/>
    <w:rPr>
      <w:rFonts w:ascii="Times New Roman" w:eastAsia="Times New Roman" w:hAnsi="Times New Roman" w:cs="Times New Roman"/>
      <w:sz w:val="24"/>
    </w:rPr>
  </w:style>
  <w:style w:type="paragraph" w:customStyle="1" w:styleId="Axistitle">
    <w:name w:val="Axis title"/>
    <w:basedOn w:val="Normal"/>
    <w:link w:val="AxistitleChar"/>
    <w:qFormat/>
    <w:rsid w:val="0084326C"/>
    <w:pPr>
      <w:spacing w:before="320" w:after="240"/>
      <w:ind w:left="709"/>
      <w:jc w:val="both"/>
    </w:pPr>
    <w:rPr>
      <w:i/>
    </w:rPr>
  </w:style>
  <w:style w:type="character" w:customStyle="1" w:styleId="AxistitleChar">
    <w:name w:val="Axis title Char"/>
    <w:basedOn w:val="DefaultParagraphFont"/>
    <w:link w:val="Axistitle"/>
    <w:rsid w:val="0084326C"/>
    <w:rPr>
      <w:rFonts w:ascii="Times New Roman" w:eastAsia="Times New Roman" w:hAnsi="Times New Roman" w:cs="Times New Roman"/>
      <w:i/>
      <w:sz w:val="24"/>
    </w:rPr>
  </w:style>
  <w:style w:type="character" w:customStyle="1" w:styleId="Mention1">
    <w:name w:val="Mention1"/>
    <w:basedOn w:val="DefaultParagraphFont"/>
    <w:uiPriority w:val="99"/>
    <w:unhideWhenUsed/>
    <w:rsid w:val="0084326C"/>
    <w:rPr>
      <w:color w:val="2B579A"/>
      <w:shd w:val="clear" w:color="auto" w:fill="E6E6E6"/>
    </w:rPr>
  </w:style>
  <w:style w:type="character" w:customStyle="1" w:styleId="superscript">
    <w:name w:val="superscript"/>
    <w:basedOn w:val="DefaultParagraphFont"/>
    <w:rsid w:val="0084326C"/>
  </w:style>
  <w:style w:type="paragraph" w:styleId="ListNumber4">
    <w:name w:val="List Number 4"/>
    <w:basedOn w:val="Normal"/>
    <w:uiPriority w:val="99"/>
    <w:semiHidden/>
    <w:unhideWhenUsed/>
    <w:rsid w:val="0084326C"/>
    <w:pPr>
      <w:numPr>
        <w:numId w:val="17"/>
      </w:numPr>
      <w:tabs>
        <w:tab w:val="num" w:pos="360"/>
      </w:tabs>
      <w:spacing w:before="120" w:after="120"/>
      <w:ind w:left="720"/>
      <w:contextualSpacing/>
      <w:jc w:val="both"/>
    </w:pPr>
    <w:rPr>
      <w:rFonts w:eastAsiaTheme="minorHAnsi"/>
    </w:rPr>
  </w:style>
  <w:style w:type="numbering" w:customStyle="1" w:styleId="NoList2">
    <w:name w:val="No List2"/>
    <w:next w:val="NoList"/>
    <w:uiPriority w:val="99"/>
    <w:semiHidden/>
    <w:unhideWhenUsed/>
    <w:rsid w:val="0084326C"/>
  </w:style>
  <w:style w:type="paragraph" w:styleId="Caption">
    <w:name w:val="caption"/>
    <w:basedOn w:val="Normal"/>
    <w:next w:val="Normal"/>
    <w:uiPriority w:val="35"/>
    <w:semiHidden/>
    <w:unhideWhenUsed/>
    <w:qFormat/>
    <w:rsid w:val="0084326C"/>
    <w:pPr>
      <w:spacing w:after="200"/>
      <w:jc w:val="both"/>
    </w:pPr>
    <w:rPr>
      <w:rFonts w:eastAsiaTheme="minorHAnsi"/>
      <w:i/>
      <w:color w:val="44546A" w:themeColor="text2"/>
      <w:sz w:val="18"/>
    </w:rPr>
  </w:style>
  <w:style w:type="paragraph" w:styleId="TableofFigures">
    <w:name w:val="table of figures"/>
    <w:basedOn w:val="Normal"/>
    <w:next w:val="Normal"/>
    <w:uiPriority w:val="99"/>
    <w:semiHidden/>
    <w:unhideWhenUsed/>
    <w:rsid w:val="0084326C"/>
    <w:pPr>
      <w:spacing w:before="120"/>
      <w:jc w:val="both"/>
    </w:pPr>
    <w:rPr>
      <w:rFonts w:eastAsiaTheme="minorHAnsi"/>
    </w:rPr>
  </w:style>
  <w:style w:type="paragraph" w:styleId="ListNumber">
    <w:name w:val="List Number"/>
    <w:basedOn w:val="Normal"/>
    <w:uiPriority w:val="99"/>
    <w:semiHidden/>
    <w:unhideWhenUsed/>
    <w:rsid w:val="0084326C"/>
    <w:pPr>
      <w:numPr>
        <w:numId w:val="18"/>
      </w:numPr>
      <w:spacing w:before="120" w:after="120"/>
      <w:ind w:left="0" w:firstLine="0"/>
      <w:contextualSpacing/>
      <w:jc w:val="both"/>
    </w:pPr>
    <w:rPr>
      <w:rFonts w:eastAsiaTheme="minorHAnsi"/>
    </w:rPr>
  </w:style>
  <w:style w:type="paragraph" w:styleId="ListNumber2">
    <w:name w:val="List Number 2"/>
    <w:basedOn w:val="Normal"/>
    <w:uiPriority w:val="99"/>
    <w:semiHidden/>
    <w:unhideWhenUsed/>
    <w:rsid w:val="0084326C"/>
    <w:pPr>
      <w:numPr>
        <w:numId w:val="19"/>
      </w:numPr>
      <w:tabs>
        <w:tab w:val="num" w:pos="360"/>
      </w:tabs>
      <w:spacing w:before="120" w:after="120"/>
      <w:ind w:left="0" w:firstLine="0"/>
      <w:contextualSpacing/>
      <w:jc w:val="both"/>
    </w:pPr>
    <w:rPr>
      <w:rFonts w:eastAsiaTheme="minorHAnsi"/>
    </w:rPr>
  </w:style>
  <w:style w:type="paragraph" w:styleId="ListNumber3">
    <w:name w:val="List Number 3"/>
    <w:basedOn w:val="Normal"/>
    <w:uiPriority w:val="99"/>
    <w:semiHidden/>
    <w:unhideWhenUsed/>
    <w:rsid w:val="0084326C"/>
    <w:pPr>
      <w:numPr>
        <w:numId w:val="20"/>
      </w:numPr>
      <w:spacing w:before="120" w:after="120"/>
      <w:ind w:left="0" w:firstLine="0"/>
      <w:contextualSpacing/>
      <w:jc w:val="both"/>
    </w:pPr>
    <w:rPr>
      <w:rFonts w:eastAsiaTheme="minorHAnsi"/>
    </w:rPr>
  </w:style>
  <w:style w:type="character" w:customStyle="1" w:styleId="Mention2">
    <w:name w:val="Mention2"/>
    <w:basedOn w:val="DefaultParagraphFont"/>
    <w:uiPriority w:val="99"/>
    <w:unhideWhenUsed/>
    <w:rsid w:val="0084326C"/>
    <w:rPr>
      <w:color w:val="2B579A"/>
      <w:shd w:val="clear" w:color="auto" w:fill="E6E6E6"/>
    </w:rPr>
  </w:style>
  <w:style w:type="paragraph" w:customStyle="1" w:styleId="TechnicalBlock">
    <w:name w:val="Technical Block"/>
    <w:basedOn w:val="Normal"/>
    <w:link w:val="TechnicalBlockChar"/>
    <w:rsid w:val="0084326C"/>
    <w:pPr>
      <w:spacing w:after="240"/>
      <w:jc w:val="center"/>
      <w:textAlignment w:val="baseline"/>
    </w:pPr>
  </w:style>
  <w:style w:type="character" w:customStyle="1" w:styleId="TechnicalBlockChar">
    <w:name w:val="Technical Block Char"/>
    <w:basedOn w:val="DefaultParagraphFont"/>
    <w:link w:val="TechnicalBlock"/>
    <w:rsid w:val="0084326C"/>
    <w:rPr>
      <w:rFonts w:ascii="Times New Roman" w:eastAsia="Times New Roman" w:hAnsi="Times New Roman" w:cs="Times New Roman"/>
      <w:sz w:val="24"/>
    </w:rPr>
  </w:style>
  <w:style w:type="paragraph" w:customStyle="1" w:styleId="EntText">
    <w:name w:val="EntText"/>
    <w:basedOn w:val="Normal"/>
    <w:rsid w:val="0084326C"/>
    <w:pPr>
      <w:spacing w:before="120" w:after="120" w:line="360" w:lineRule="auto"/>
    </w:pPr>
    <w:rPr>
      <w:rFonts w:eastAsiaTheme="minorHAnsi"/>
    </w:rPr>
  </w:style>
  <w:style w:type="paragraph" w:customStyle="1" w:styleId="Lignefinal">
    <w:name w:val="Ligne final"/>
    <w:basedOn w:val="Normal"/>
    <w:next w:val="Normal"/>
    <w:rsid w:val="0084326C"/>
    <w:pPr>
      <w:pBdr>
        <w:bottom w:val="single" w:sz="4" w:space="0" w:color="000000"/>
      </w:pBdr>
      <w:spacing w:before="360" w:after="120" w:line="360" w:lineRule="auto"/>
      <w:ind w:left="3400" w:right="3400"/>
      <w:jc w:val="center"/>
    </w:pPr>
    <w:rPr>
      <w:rFonts w:eastAsiaTheme="minorHAnsi"/>
      <w:b/>
    </w:rPr>
  </w:style>
  <w:style w:type="paragraph" w:customStyle="1" w:styleId="pj">
    <w:name w:val="p.j."/>
    <w:basedOn w:val="Normal"/>
    <w:link w:val="pjChar"/>
    <w:rsid w:val="0084326C"/>
    <w:pPr>
      <w:spacing w:before="1200" w:after="120"/>
      <w:ind w:left="1440" w:hanging="1440"/>
    </w:pPr>
  </w:style>
  <w:style w:type="character" w:customStyle="1" w:styleId="pjChar">
    <w:name w:val="p.j. Char"/>
    <w:basedOn w:val="DefaultParagraphFont"/>
    <w:link w:val="pj"/>
    <w:rsid w:val="0084326C"/>
    <w:rPr>
      <w:rFonts w:ascii="Times New Roman" w:eastAsia="Times New Roman" w:hAnsi="Times New Roman" w:cs="Times New Roman"/>
      <w:sz w:val="24"/>
    </w:rPr>
  </w:style>
  <w:style w:type="paragraph" w:customStyle="1" w:styleId="nbbordered">
    <w:name w:val="nb bordered"/>
    <w:basedOn w:val="Normal"/>
    <w:link w:val="nbborderedChar"/>
    <w:rsid w:val="0084326C"/>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DefaultParagraphFont"/>
    <w:link w:val="nbbordered"/>
    <w:rsid w:val="0084326C"/>
    <w:rPr>
      <w:rFonts w:ascii="Times New Roman" w:eastAsia="Times New Roman" w:hAnsi="Times New Roman" w:cs="Times New Roman"/>
      <w:b/>
      <w:sz w:val="24"/>
    </w:rPr>
  </w:style>
  <w:style w:type="paragraph" w:customStyle="1" w:styleId="HeaderCouncil">
    <w:name w:val="Header Council"/>
    <w:basedOn w:val="Normal"/>
    <w:link w:val="HeaderCouncilChar"/>
    <w:rsid w:val="0084326C"/>
    <w:rPr>
      <w:sz w:val="2"/>
    </w:rPr>
  </w:style>
  <w:style w:type="character" w:customStyle="1" w:styleId="HeaderCouncilChar">
    <w:name w:val="Header Council Char"/>
    <w:basedOn w:val="DefaultParagraphFont"/>
    <w:link w:val="HeaderCouncil"/>
    <w:rsid w:val="0084326C"/>
    <w:rPr>
      <w:rFonts w:ascii="Times New Roman" w:eastAsia="Times New Roman" w:hAnsi="Times New Roman" w:cs="Times New Roman"/>
      <w:sz w:val="2"/>
    </w:rPr>
  </w:style>
  <w:style w:type="paragraph" w:customStyle="1" w:styleId="HeaderCouncilLarge">
    <w:name w:val="Header Council Large"/>
    <w:basedOn w:val="Normal"/>
    <w:link w:val="HeaderCouncilLargeChar"/>
    <w:rsid w:val="0084326C"/>
    <w:pPr>
      <w:spacing w:after="440"/>
    </w:pPr>
    <w:rPr>
      <w:sz w:val="2"/>
    </w:rPr>
  </w:style>
  <w:style w:type="character" w:customStyle="1" w:styleId="HeaderCouncilLargeChar">
    <w:name w:val="Header Council Large Char"/>
    <w:basedOn w:val="DefaultParagraphFont"/>
    <w:link w:val="HeaderCouncilLarge"/>
    <w:rsid w:val="0084326C"/>
    <w:rPr>
      <w:rFonts w:ascii="Times New Roman" w:eastAsia="Times New Roman" w:hAnsi="Times New Roman" w:cs="Times New Roman"/>
      <w:sz w:val="2"/>
    </w:rPr>
  </w:style>
  <w:style w:type="paragraph" w:customStyle="1" w:styleId="FooterCouncil">
    <w:name w:val="Footer Council"/>
    <w:basedOn w:val="Normal"/>
    <w:link w:val="FooterCouncilChar"/>
    <w:rsid w:val="0084326C"/>
    <w:rPr>
      <w:sz w:val="2"/>
    </w:rPr>
  </w:style>
  <w:style w:type="character" w:customStyle="1" w:styleId="FooterCouncilChar">
    <w:name w:val="Footer Council Char"/>
    <w:basedOn w:val="DefaultParagraphFont"/>
    <w:link w:val="FooterCouncil"/>
    <w:rsid w:val="0084326C"/>
    <w:rPr>
      <w:rFonts w:ascii="Times New Roman" w:eastAsia="Times New Roman" w:hAnsi="Times New Roman" w:cs="Times New Roman"/>
      <w:sz w:val="2"/>
    </w:rPr>
  </w:style>
  <w:style w:type="paragraph" w:customStyle="1" w:styleId="FooterText">
    <w:name w:val="Footer Text"/>
    <w:basedOn w:val="Normal"/>
    <w:rsid w:val="0084326C"/>
  </w:style>
  <w:style w:type="character" w:styleId="PlaceholderText">
    <w:name w:val="Placeholder Text"/>
    <w:basedOn w:val="DefaultParagraphFont"/>
    <w:uiPriority w:val="99"/>
    <w:semiHidden/>
    <w:rsid w:val="0084326C"/>
    <w:rPr>
      <w:color w:val="808080"/>
    </w:rPr>
  </w:style>
  <w:style w:type="character" w:customStyle="1" w:styleId="findhit">
    <w:name w:val="findhit"/>
    <w:basedOn w:val="DefaultParagraphFont"/>
    <w:rsid w:val="0084326C"/>
  </w:style>
  <w:style w:type="character" w:customStyle="1" w:styleId="tabchar">
    <w:name w:val="tabchar"/>
    <w:basedOn w:val="DefaultParagraphFont"/>
    <w:rsid w:val="0084326C"/>
  </w:style>
  <w:style w:type="paragraph" w:customStyle="1" w:styleId="pf0">
    <w:name w:val="pf0"/>
    <w:basedOn w:val="Normal"/>
    <w:rsid w:val="0084326C"/>
    <w:pPr>
      <w:spacing w:before="100" w:beforeAutospacing="1" w:after="100" w:afterAutospacing="1"/>
    </w:pPr>
  </w:style>
  <w:style w:type="character" w:customStyle="1" w:styleId="cf01">
    <w:name w:val="cf01"/>
    <w:basedOn w:val="DefaultParagraphFont"/>
    <w:rsid w:val="0084326C"/>
    <w:rPr>
      <w:rFonts w:ascii="Segoe UI" w:hAnsi="Segoe UI" w:cs="Segoe UI" w:hint="default"/>
      <w:b/>
      <w:sz w:val="18"/>
    </w:rPr>
  </w:style>
  <w:style w:type="character" w:customStyle="1" w:styleId="cf11">
    <w:name w:val="cf11"/>
    <w:basedOn w:val="DefaultParagraphFont"/>
    <w:rsid w:val="0084326C"/>
    <w:rPr>
      <w:rFonts w:ascii="Segoe UI" w:hAnsi="Segoe UI" w:cs="Segoe UI" w:hint="default"/>
      <w:sz w:val="18"/>
    </w:rPr>
  </w:style>
  <w:style w:type="paragraph" w:customStyle="1" w:styleId="LegalNumPar">
    <w:name w:val="LegalNumPar"/>
    <w:basedOn w:val="Normal"/>
    <w:rsid w:val="0084326C"/>
    <w:pPr>
      <w:numPr>
        <w:numId w:val="25"/>
      </w:numPr>
      <w:spacing w:after="160" w:line="259" w:lineRule="auto"/>
    </w:pPr>
    <w:rPr>
      <w:rFonts w:asciiTheme="minorHAnsi" w:eastAsiaTheme="minorHAnsi" w:hAnsiTheme="minorHAnsi" w:cstheme="minorBidi"/>
      <w:sz w:val="22"/>
    </w:rPr>
  </w:style>
  <w:style w:type="paragraph" w:customStyle="1" w:styleId="LegalNumPar2">
    <w:name w:val="LegalNumPar2"/>
    <w:basedOn w:val="Normal"/>
    <w:rsid w:val="0084326C"/>
    <w:pPr>
      <w:numPr>
        <w:ilvl w:val="1"/>
        <w:numId w:val="25"/>
      </w:numPr>
      <w:spacing w:after="160" w:line="259" w:lineRule="auto"/>
    </w:pPr>
    <w:rPr>
      <w:rFonts w:asciiTheme="minorHAnsi" w:eastAsiaTheme="minorHAnsi" w:hAnsiTheme="minorHAnsi" w:cstheme="minorBidi"/>
      <w:sz w:val="22"/>
    </w:rPr>
  </w:style>
  <w:style w:type="paragraph" w:customStyle="1" w:styleId="LegalNumPar3">
    <w:name w:val="LegalNumPar3"/>
    <w:basedOn w:val="Normal"/>
    <w:rsid w:val="0084326C"/>
    <w:pPr>
      <w:numPr>
        <w:ilvl w:val="2"/>
        <w:numId w:val="25"/>
      </w:numPr>
      <w:spacing w:after="160" w:line="259" w:lineRule="auto"/>
    </w:pPr>
    <w:rPr>
      <w:rFonts w:asciiTheme="minorHAnsi" w:eastAsiaTheme="minorHAnsi" w:hAnsiTheme="minorHAnsi" w:cstheme="minorBidi"/>
      <w:sz w:val="22"/>
    </w:rPr>
  </w:style>
  <w:style w:type="character" w:styleId="SubtleEmphasis">
    <w:name w:val="Subtle Emphasis"/>
    <w:basedOn w:val="DefaultParagraphFont"/>
    <w:uiPriority w:val="19"/>
    <w:qFormat/>
    <w:rsid w:val="0084326C"/>
    <w:rPr>
      <w:i/>
      <w:color w:val="404040" w:themeColor="text1" w:themeTint="BF"/>
    </w:rPr>
  </w:style>
  <w:style w:type="character" w:customStyle="1" w:styleId="Mention3">
    <w:name w:val="Mention3"/>
    <w:basedOn w:val="DefaultParagraphFont"/>
    <w:uiPriority w:val="99"/>
    <w:unhideWhenUsed/>
    <w:rsid w:val="0084326C"/>
    <w:rPr>
      <w:color w:val="2B579A"/>
      <w:shd w:val="clear" w:color="auto" w:fill="E6E6E6"/>
    </w:rPr>
  </w:style>
  <w:style w:type="character" w:customStyle="1" w:styleId="Mention4">
    <w:name w:val="Mention4"/>
    <w:basedOn w:val="DefaultParagraphFont"/>
    <w:uiPriority w:val="99"/>
    <w:unhideWhenUsed/>
    <w:rsid w:val="0084326C"/>
    <w:rPr>
      <w:color w:val="2B579A"/>
      <w:shd w:val="clear" w:color="auto" w:fill="E6E6E6"/>
    </w:rPr>
  </w:style>
  <w:style w:type="character" w:customStyle="1" w:styleId="ui-provider">
    <w:name w:val="ui-provider"/>
    <w:basedOn w:val="DefaultParagraphFont"/>
    <w:uiPriority w:val="1"/>
    <w:rsid w:val="0084326C"/>
  </w:style>
  <w:style w:type="character" w:customStyle="1" w:styleId="UnresolvedMention1">
    <w:name w:val="Unresolved Mention1"/>
    <w:basedOn w:val="DefaultParagraphFont"/>
    <w:uiPriority w:val="99"/>
    <w:semiHidden/>
    <w:unhideWhenUsed/>
    <w:rsid w:val="0084326C"/>
    <w:rPr>
      <w:color w:val="605E5C"/>
      <w:shd w:val="clear" w:color="auto" w:fill="E1DFDD"/>
    </w:rPr>
  </w:style>
  <w:style w:type="paragraph" w:customStyle="1" w:styleId="P68B1DB1-Normale1">
    <w:name w:val="P68B1DB1-Normale1"/>
    <w:basedOn w:val="Normal"/>
    <w:rsid w:val="0084326C"/>
    <w:pPr>
      <w:spacing w:after="160" w:line="259" w:lineRule="auto"/>
    </w:pPr>
    <w:rPr>
      <w:rFonts w:ascii="Calibri" w:eastAsia="Calibri" w:hAnsi="Calibri" w:cs="Calibri"/>
      <w:b/>
      <w:sz w:val="22"/>
    </w:rPr>
  </w:style>
  <w:style w:type="paragraph" w:customStyle="1" w:styleId="P68B1DB1-Normale6">
    <w:name w:val="P68B1DB1-Normale6"/>
    <w:basedOn w:val="Normal"/>
    <w:rsid w:val="0084326C"/>
    <w:pPr>
      <w:spacing w:after="160" w:line="259" w:lineRule="auto"/>
    </w:pPr>
    <w:rPr>
      <w:rFonts w:eastAsia="Calibri"/>
      <w:sz w:val="20"/>
    </w:rPr>
  </w:style>
  <w:style w:type="character" w:customStyle="1" w:styleId="s10">
    <w:name w:val="s10"/>
    <w:basedOn w:val="DefaultParagraphFont"/>
    <w:rsid w:val="0084326C"/>
  </w:style>
  <w:style w:type="character" w:customStyle="1" w:styleId="Mention5">
    <w:name w:val="Mention5"/>
    <w:basedOn w:val="DefaultParagraphFont"/>
    <w:uiPriority w:val="99"/>
    <w:unhideWhenUsed/>
    <w:rsid w:val="0084326C"/>
    <w:rPr>
      <w:color w:val="2B579A"/>
      <w:shd w:val="clear" w:color="auto" w:fill="E1DFDD"/>
    </w:rPr>
  </w:style>
  <w:style w:type="character" w:customStyle="1" w:styleId="UnresolvedMention2">
    <w:name w:val="Unresolved Mention2"/>
    <w:basedOn w:val="DefaultParagraphFont"/>
    <w:uiPriority w:val="99"/>
    <w:semiHidden/>
    <w:unhideWhenUsed/>
    <w:rsid w:val="0084326C"/>
    <w:rPr>
      <w:color w:val="605E5C"/>
      <w:shd w:val="clear" w:color="auto" w:fill="E1DFDD"/>
    </w:rPr>
  </w:style>
  <w:style w:type="character" w:customStyle="1" w:styleId="font71">
    <w:name w:val="font71"/>
    <w:basedOn w:val="DefaultParagraphFont"/>
    <w:rsid w:val="0084326C"/>
    <w:rPr>
      <w:rFonts w:ascii="Times New Roman" w:hAnsi="Times New Roman" w:cs="Times New Roman" w:hint="default"/>
      <w:b w:val="0"/>
      <w:i w:val="0"/>
      <w:strike w:val="0"/>
      <w:dstrike w:val="0"/>
      <w:color w:val="000000"/>
      <w:sz w:val="20"/>
      <w:u w:val="none"/>
      <w:effect w:val="none"/>
    </w:rPr>
  </w:style>
  <w:style w:type="character" w:customStyle="1" w:styleId="font81">
    <w:name w:val="font81"/>
    <w:basedOn w:val="DefaultParagraphFont"/>
    <w:rsid w:val="0084326C"/>
    <w:rPr>
      <w:rFonts w:ascii="Times New Roman" w:hAnsi="Times New Roman" w:cs="Times New Roman" w:hint="default"/>
      <w:b w:val="0"/>
      <w:i w:val="0"/>
      <w:strike w:val="0"/>
      <w:dstrike w:val="0"/>
      <w:color w:val="006100"/>
      <w:sz w:val="20"/>
      <w:u w:val="none"/>
      <w:effect w:val="none"/>
    </w:rPr>
  </w:style>
  <w:style w:type="character" w:customStyle="1" w:styleId="font111">
    <w:name w:val="font111"/>
    <w:basedOn w:val="DefaultParagraphFont"/>
    <w:rsid w:val="0084326C"/>
    <w:rPr>
      <w:rFonts w:ascii="Times New Roman" w:hAnsi="Times New Roman" w:cs="Times New Roman" w:hint="default"/>
      <w:b w:val="0"/>
      <w:i w:val="0"/>
      <w:strike w:val="0"/>
      <w:dstrike w:val="0"/>
      <w:color w:val="006100"/>
      <w:sz w:val="20"/>
      <w:u w:val="none"/>
      <w:effect w:val="none"/>
    </w:rPr>
  </w:style>
  <w:style w:type="paragraph" w:customStyle="1" w:styleId="Default">
    <w:name w:val="Default"/>
    <w:rsid w:val="0084326C"/>
    <w:pPr>
      <w:autoSpaceDE w:val="0"/>
      <w:autoSpaceDN w:val="0"/>
      <w:adjustRightInd w:val="0"/>
      <w:spacing w:after="0" w:line="240" w:lineRule="auto"/>
    </w:pPr>
    <w:rPr>
      <w:rFonts w:ascii="Times New Roman" w:hAnsi="Times New Roman" w:cs="Times New Roman"/>
      <w:color w:val="000000"/>
      <w:sz w:val="24"/>
    </w:rPr>
  </w:style>
  <w:style w:type="character" w:customStyle="1" w:styleId="Mention6">
    <w:name w:val="Mention6"/>
    <w:basedOn w:val="DefaultParagraphFont"/>
    <w:uiPriority w:val="99"/>
    <w:unhideWhenUsed/>
    <w:rsid w:val="0084326C"/>
    <w:rPr>
      <w:color w:val="2B579A"/>
      <w:shd w:val="clear" w:color="auto" w:fill="E6E6E6"/>
    </w:rPr>
  </w:style>
  <w:style w:type="character" w:styleId="FollowedHyperlink">
    <w:name w:val="FollowedHyperlink"/>
    <w:basedOn w:val="DefaultParagraphFont"/>
    <w:uiPriority w:val="99"/>
    <w:semiHidden/>
    <w:unhideWhenUsed/>
    <w:rsid w:val="0084326C"/>
    <w:rPr>
      <w:color w:val="954F72" w:themeColor="followedHyperlink"/>
      <w:u w:val="single"/>
    </w:rPr>
  </w:style>
  <w:style w:type="character" w:customStyle="1" w:styleId="Mention">
    <w:name w:val="Mention"/>
    <w:basedOn w:val="DefaultParagraphFont"/>
    <w:uiPriority w:val="99"/>
    <w:unhideWhenUsed/>
    <w:rsid w:val="00056C60"/>
    <w:rPr>
      <w:color w:val="2B579A"/>
      <w:shd w:val="clear" w:color="auto" w:fill="E6E6E6"/>
    </w:rPr>
  </w:style>
  <w:style w:type="paragraph" w:customStyle="1" w:styleId="P68B1DB1-Heading11">
    <w:name w:val="P68B1DB1-Heading11"/>
    <w:basedOn w:val="Heading1"/>
    <w:rPr>
      <w:u w:val="single"/>
    </w:rPr>
  </w:style>
  <w:style w:type="paragraph" w:customStyle="1" w:styleId="P68B1DB1-Normal2">
    <w:name w:val="P68B1DB1-Normal2"/>
    <w:basedOn w:val="Normal"/>
    <w:rPr>
      <w:b/>
    </w:rPr>
  </w:style>
  <w:style w:type="paragraph" w:customStyle="1" w:styleId="P68B1DB1-Normal3">
    <w:name w:val="P68B1DB1-Normal3"/>
    <w:basedOn w:val="Normal"/>
    <w:rPr>
      <w:rFonts w:ascii="Arial Narrow" w:hAnsi="Arial Narrow"/>
      <w:b/>
      <w:sz w:val="20"/>
    </w:rPr>
  </w:style>
  <w:style w:type="paragraph" w:customStyle="1" w:styleId="P68B1DB1-Normal4">
    <w:name w:val="P68B1DB1-Normal4"/>
    <w:basedOn w:val="Normal"/>
    <w:rPr>
      <w:rFonts w:ascii="Arial Narrow" w:hAnsi="Arial Narrow"/>
      <w:color w:val="006100"/>
      <w:sz w:val="20"/>
    </w:rPr>
  </w:style>
  <w:style w:type="paragraph" w:customStyle="1" w:styleId="P68B1DB1-ListParagraph5">
    <w:name w:val="P68B1DB1-ListParagraph5"/>
    <w:basedOn w:val="ListParagraph"/>
    <w:rPr>
      <w:rFonts w:ascii="Arial Narrow" w:hAnsi="Arial Narrow"/>
      <w:color w:val="006100"/>
      <w:sz w:val="20"/>
    </w:rPr>
  </w:style>
  <w:style w:type="paragraph" w:customStyle="1" w:styleId="P68B1DB1-Normal6">
    <w:name w:val="P68B1DB1-Normal6"/>
    <w:basedOn w:val="Normal"/>
    <w:rPr>
      <w:rFonts w:ascii="Arial Narrow" w:hAnsi="Arial Narrow"/>
      <w:sz w:val="20"/>
    </w:rPr>
  </w:style>
  <w:style w:type="paragraph" w:customStyle="1" w:styleId="P68B1DB1-Normal7">
    <w:name w:val="P68B1DB1-Normal7"/>
    <w:basedOn w:val="Normal"/>
    <w:rPr>
      <w:rFonts w:ascii="Arial Narrow" w:hAnsi="Arial Narrow" w:cs="Arial"/>
      <w:color w:val="006100"/>
      <w:sz w:val="20"/>
    </w:rPr>
  </w:style>
  <w:style w:type="paragraph" w:customStyle="1" w:styleId="P68B1DB1-Normal8">
    <w:name w:val="P68B1DB1-Normal8"/>
    <w:basedOn w:val="Normal"/>
    <w:rPr>
      <w:rFonts w:ascii="Arial Narrow" w:hAnsi="Arial Narrow"/>
      <w:b/>
      <w:color w:val="006100"/>
      <w:sz w:val="20"/>
    </w:rPr>
  </w:style>
  <w:style w:type="paragraph" w:customStyle="1" w:styleId="P68B1DB1-Normal9">
    <w:name w:val="P68B1DB1-Normal9"/>
    <w:basedOn w:val="Normal"/>
    <w:rPr>
      <w:color w:val="006100"/>
      <w:sz w:val="20"/>
    </w:rPr>
  </w:style>
  <w:style w:type="paragraph" w:customStyle="1" w:styleId="P68B1DB1-Normal10">
    <w:name w:val="P68B1DB1-Normal10"/>
    <w:basedOn w:val="Normal"/>
    <w:rPr>
      <w:b/>
      <w:u w:val="single"/>
    </w:rPr>
  </w:style>
  <w:style w:type="paragraph" w:customStyle="1" w:styleId="P68B1DB1-Normal11">
    <w:name w:val="P68B1DB1-Normal11"/>
    <w:basedOn w:val="Normal"/>
    <w:rPr>
      <w:i/>
    </w:rPr>
  </w:style>
  <w:style w:type="paragraph" w:customStyle="1" w:styleId="P68B1DB1-Normal12">
    <w:name w:val="P68B1DB1-Normal12"/>
    <w:basedOn w:val="Normal"/>
    <w:rPr>
      <w:color w:val="000000" w:themeColor="text1"/>
    </w:rPr>
  </w:style>
  <w:style w:type="paragraph" w:customStyle="1" w:styleId="P68B1DB1-Normal13">
    <w:name w:val="P68B1DB1-Normal13"/>
    <w:basedOn w:val="Normal"/>
    <w:rPr>
      <w:i/>
      <w:u w:val="single"/>
    </w:rPr>
  </w:style>
  <w:style w:type="paragraph" w:customStyle="1" w:styleId="P68B1DB1-Normal14">
    <w:name w:val="P68B1DB1-Normal14"/>
    <w:basedOn w:val="Normal"/>
    <w:rPr>
      <w:sz w:val="12"/>
    </w:rPr>
  </w:style>
  <w:style w:type="paragraph" w:customStyle="1" w:styleId="P68B1DB1-Normal15">
    <w:name w:val="P68B1DB1-Normal15"/>
    <w:basedOn w:val="Normal"/>
    <w:rPr>
      <w:rFonts w:ascii="Arial Narrow" w:hAnsi="Arial Narrow"/>
    </w:rPr>
  </w:style>
  <w:style w:type="paragraph" w:customStyle="1" w:styleId="P68B1DB1-Normal16">
    <w:name w:val="P68B1DB1-Normal16"/>
    <w:basedOn w:val="Normal"/>
    <w:rPr>
      <w:rFonts w:ascii="Arial Narrow" w:hAnsi="Arial Narrow"/>
      <w:color w:val="006100"/>
    </w:rPr>
  </w:style>
  <w:style w:type="paragraph" w:customStyle="1" w:styleId="P68B1DB1-Normal17">
    <w:name w:val="P68B1DB1-Normal17"/>
    <w:basedOn w:val="Normal"/>
    <w:rPr>
      <w:b/>
      <w:color w:val="000000" w:themeColor="text1"/>
    </w:rPr>
  </w:style>
  <w:style w:type="paragraph" w:customStyle="1" w:styleId="P68B1DB1-paragraph18">
    <w:name w:val="P68B1DB1-paragraph18"/>
    <w:basedOn w:val="paragraph"/>
    <w:rPr>
      <w:rFonts w:ascii="Arial Narrow" w:hAnsi="Arial Narrow"/>
      <w:color w:val="006100"/>
      <w:sz w:val="20"/>
    </w:rPr>
  </w:style>
  <w:style w:type="paragraph" w:customStyle="1" w:styleId="P68B1DB1-LegalNumPar19">
    <w:name w:val="P68B1DB1-LegalNumPar19"/>
    <w:basedOn w:val="LegalNumPar"/>
    <w:rPr>
      <w:rFonts w:ascii="Times New Roman" w:hAnsi="Times New Roman"/>
      <w:sz w:val="24"/>
    </w:rPr>
  </w:style>
  <w:style w:type="paragraph" w:customStyle="1" w:styleId="P68B1DB1-LegalNumPar220">
    <w:name w:val="P68B1DB1-LegalNumPar220"/>
    <w:basedOn w:val="LegalNumPar2"/>
    <w:rPr>
      <w:rFonts w:ascii="Times New Roman" w:hAnsi="Times New Roman"/>
      <w:sz w:val="24"/>
    </w:rPr>
  </w:style>
  <w:style w:type="paragraph" w:customStyle="1" w:styleId="P68B1DB1-Normal21">
    <w:name w:val="P68B1DB1-Normal21"/>
    <w:basedOn w:val="Normal"/>
    <w:rPr>
      <w:b/>
      <w:color w:val="000000"/>
      <w:shd w:val="clear" w:color="auto" w:fill="FFFFFF"/>
    </w:rPr>
  </w:style>
  <w:style w:type="paragraph" w:customStyle="1" w:styleId="P68B1DB1-Paragrafoelenco122">
    <w:name w:val="P68B1DB1-Paragrafoelenco122"/>
    <w:basedOn w:val="Paragrafoelenco1"/>
    <w:rPr>
      <w:color w:val="auto"/>
      <w:sz w:val="24"/>
    </w:rPr>
  </w:style>
  <w:style w:type="paragraph" w:customStyle="1" w:styleId="P68B1DB1-ListParagraph23">
    <w:name w:val="P68B1DB1-ListParagraph23"/>
    <w:basedOn w:val="ListParagraph"/>
    <w:rPr>
      <w:rFonts w:ascii="Arial Narrow" w:hAnsi="Arial Narrow"/>
      <w:sz w:val="20"/>
    </w:rPr>
  </w:style>
  <w:style w:type="paragraph" w:customStyle="1" w:styleId="P68B1DB1-Normal24">
    <w:name w:val="P68B1DB1-Normal24"/>
    <w:basedOn w:val="Normal"/>
    <w:rPr>
      <w:color w:val="006100"/>
    </w:rPr>
  </w:style>
  <w:style w:type="paragraph" w:customStyle="1" w:styleId="P68B1DB1-Normal25">
    <w:name w:val="P68B1DB1-Normal25"/>
    <w:basedOn w:val="Normal"/>
    <w:rPr>
      <w:rFonts w:ascii="Arial Narrow" w:hAnsi="Arial Narrow"/>
      <w:b/>
      <w:color w:val="000000"/>
      <w:sz w:val="20"/>
    </w:rPr>
  </w:style>
  <w:style w:type="paragraph" w:customStyle="1" w:styleId="P68B1DB1-Normal26">
    <w:name w:val="P68B1DB1-Normal26"/>
    <w:basedOn w:val="Normal"/>
    <w:rPr>
      <w:i/>
      <w:color w:val="4472C4" w:themeColor="accent1"/>
    </w:rPr>
  </w:style>
  <w:style w:type="paragraph" w:customStyle="1" w:styleId="P68B1DB1-Normal27">
    <w:name w:val="P68B1DB1-Normal27"/>
    <w:basedOn w:val="Normal"/>
    <w:rPr>
      <w:rFonts w:ascii="Arial Narrow" w:hAnsi="Arial Narrow"/>
      <w:color w:val="000000"/>
      <w:sz w:val="20"/>
    </w:rPr>
  </w:style>
  <w:style w:type="paragraph" w:customStyle="1" w:styleId="P68B1DB1-Normal28">
    <w:name w:val="P68B1DB1-Normal28"/>
    <w:basedOn w:val="Normal"/>
    <w:rPr>
      <w:rFonts w:ascii="Arial Narrow" w:hAnsi="Arial Narrow"/>
      <w:color w:val="006600"/>
      <w:sz w:val="20"/>
    </w:rPr>
  </w:style>
  <w:style w:type="paragraph" w:customStyle="1" w:styleId="P68B1DB1-Heading429">
    <w:name w:val="P68B1DB1-Heading429"/>
    <w:basedOn w:val="Heading4"/>
    <w:rPr>
      <w:b/>
    </w:rPr>
  </w:style>
  <w:style w:type="paragraph" w:customStyle="1" w:styleId="P68B1DB1-Normal30">
    <w:name w:val="P68B1DB1-Normal30"/>
    <w:basedOn w:val="Normal"/>
    <w:rPr>
      <w:u w:val="single"/>
    </w:rPr>
  </w:style>
  <w:style w:type="paragraph" w:customStyle="1" w:styleId="P68B1DB1-ListParagraph31">
    <w:name w:val="P68B1DB1-ListParagraph31"/>
    <w:basedOn w:val="ListParagraph"/>
    <w:rPr>
      <w:u w:val="single"/>
    </w:rPr>
  </w:style>
  <w:style w:type="paragraph" w:customStyle="1" w:styleId="P68B1DB1-Normal32">
    <w:name w:val="P68B1DB1-Normal32"/>
    <w:basedOn w:val="Normal"/>
    <w:rPr>
      <w:sz w:val="23"/>
    </w:rPr>
  </w:style>
  <w:style w:type="paragraph" w:customStyle="1" w:styleId="P68B1DB1-Normal33">
    <w:name w:val="P68B1DB1-Normal33"/>
    <w:basedOn w:val="Normal"/>
    <w:rPr>
      <w:rFonts w:eastAsia="Calibri"/>
      <w:b/>
    </w:rPr>
  </w:style>
  <w:style w:type="paragraph" w:customStyle="1" w:styleId="P68B1DB1-NumPar134">
    <w:name w:val="P68B1DB1-NumPar134"/>
    <w:basedOn w:val="NumPar1"/>
    <w:rPr>
      <w:b/>
    </w:rPr>
  </w:style>
  <w:style w:type="paragraph" w:customStyle="1" w:styleId="P68B1DB1-Normal35">
    <w:name w:val="P68B1DB1-Normal35"/>
    <w:basedOn w:val="Normal"/>
    <w:rPr>
      <w:rFonts w:eastAsia="Calibri"/>
    </w:rPr>
  </w:style>
  <w:style w:type="paragraph" w:customStyle="1" w:styleId="P68B1DB1-Normal36">
    <w:name w:val="P68B1DB1-Normal36"/>
    <w:basedOn w:val="Normal"/>
    <w:rPr>
      <w:b/>
      <w:sz w:val="20"/>
    </w:rPr>
  </w:style>
  <w:style w:type="paragraph" w:customStyle="1" w:styleId="P68B1DB1-Normal37">
    <w:name w:val="P68B1DB1-Normal37"/>
    <w:basedOn w:val="Normal"/>
    <w:rPr>
      <w:rFonts w:hAnsi="Arial Narrow"/>
      <w:color w:val="006100"/>
      <w:sz w:val="20"/>
    </w:rPr>
  </w:style>
  <w:style w:type="paragraph" w:customStyle="1" w:styleId="P68B1DB1-Normal38">
    <w:name w:val="P68B1DB1-Normal38"/>
    <w:basedOn w:val="Normal"/>
    <w:rPr>
      <w:color w:val="375623"/>
      <w:sz w:val="20"/>
    </w:rPr>
  </w:style>
  <w:style w:type="paragraph" w:customStyle="1" w:styleId="P68B1DB1-Normal39">
    <w:name w:val="P68B1DB1-Normal39"/>
    <w:basedOn w:val="Normal"/>
    <w:rPr>
      <w:color w:val="006600"/>
      <w:sz w:val="20"/>
    </w:rPr>
  </w:style>
  <w:style w:type="paragraph" w:customStyle="1" w:styleId="P68B1DB1-Normal40">
    <w:name w:val="P68B1DB1-Normal40"/>
    <w:basedOn w:val="Normal"/>
    <w:rPr>
      <w:sz w:val="20"/>
    </w:rPr>
  </w:style>
  <w:style w:type="paragraph" w:customStyle="1" w:styleId="P68B1DB1-NumPar141">
    <w:name w:val="P68B1DB1-NumPar141"/>
    <w:basedOn w:val="NumPar1"/>
    <w:rPr>
      <w:rFonts w:eastAsia="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1460">
      <w:bodyDiv w:val="1"/>
      <w:marLeft w:val="0"/>
      <w:marRight w:val="0"/>
      <w:marTop w:val="0"/>
      <w:marBottom w:val="0"/>
      <w:divBdr>
        <w:top w:val="none" w:sz="0" w:space="0" w:color="auto"/>
        <w:left w:val="none" w:sz="0" w:space="0" w:color="auto"/>
        <w:bottom w:val="none" w:sz="0" w:space="0" w:color="auto"/>
        <w:right w:val="none" w:sz="0" w:space="0" w:color="auto"/>
      </w:divBdr>
    </w:div>
    <w:div w:id="780302214">
      <w:bodyDiv w:val="1"/>
      <w:marLeft w:val="0"/>
      <w:marRight w:val="0"/>
      <w:marTop w:val="0"/>
      <w:marBottom w:val="0"/>
      <w:divBdr>
        <w:top w:val="none" w:sz="0" w:space="0" w:color="auto"/>
        <w:left w:val="none" w:sz="0" w:space="0" w:color="auto"/>
        <w:bottom w:val="none" w:sz="0" w:space="0" w:color="auto"/>
        <w:right w:val="none" w:sz="0" w:space="0" w:color="auto"/>
      </w:divBdr>
    </w:div>
    <w:div w:id="1008366802">
      <w:bodyDiv w:val="1"/>
      <w:marLeft w:val="0"/>
      <w:marRight w:val="0"/>
      <w:marTop w:val="0"/>
      <w:marBottom w:val="0"/>
      <w:divBdr>
        <w:top w:val="none" w:sz="0" w:space="0" w:color="auto"/>
        <w:left w:val="none" w:sz="0" w:space="0" w:color="auto"/>
        <w:bottom w:val="none" w:sz="0" w:space="0" w:color="auto"/>
        <w:right w:val="none" w:sz="0" w:space="0" w:color="auto"/>
      </w:divBdr>
    </w:div>
    <w:div w:id="16231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footer" Target="footer143.xml"/><Relationship Id="rId21" Type="http://schemas.openxmlformats.org/officeDocument/2006/relationships/footer" Target="footer5.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header" Target="header156.xml"/><Relationship Id="rId366" Type="http://schemas.openxmlformats.org/officeDocument/2006/relationships/header" Target="header177.xml"/><Relationship Id="rId170" Type="http://schemas.openxmlformats.org/officeDocument/2006/relationships/header" Target="header79.xml"/><Relationship Id="rId226" Type="http://schemas.openxmlformats.org/officeDocument/2006/relationships/footer" Target="footer106.xml"/><Relationship Id="rId433" Type="http://schemas.openxmlformats.org/officeDocument/2006/relationships/header" Target="header210.xml"/><Relationship Id="rId268" Type="http://schemas.openxmlformats.org/officeDocument/2006/relationships/footer" Target="footer127.xml"/><Relationship Id="rId32" Type="http://schemas.openxmlformats.org/officeDocument/2006/relationships/footer" Target="footer10.xml"/><Relationship Id="rId74" Type="http://schemas.openxmlformats.org/officeDocument/2006/relationships/header" Target="header31.xml"/><Relationship Id="rId128" Type="http://schemas.openxmlformats.org/officeDocument/2006/relationships/header" Target="header58.xml"/><Relationship Id="rId335" Type="http://schemas.openxmlformats.org/officeDocument/2006/relationships/footer" Target="footer161.xml"/><Relationship Id="rId377" Type="http://schemas.openxmlformats.org/officeDocument/2006/relationships/footer" Target="footer182.xml"/><Relationship Id="rId5" Type="http://schemas.openxmlformats.org/officeDocument/2006/relationships/numbering" Target="numbering.xml"/><Relationship Id="rId181" Type="http://schemas.openxmlformats.org/officeDocument/2006/relationships/footer" Target="footer84.xml"/><Relationship Id="rId237" Type="http://schemas.openxmlformats.org/officeDocument/2006/relationships/header" Target="header113.xml"/><Relationship Id="rId402" Type="http://schemas.openxmlformats.org/officeDocument/2006/relationships/header" Target="header195.xml"/><Relationship Id="rId279" Type="http://schemas.openxmlformats.org/officeDocument/2006/relationships/header" Target="header134.xml"/><Relationship Id="rId43" Type="http://schemas.openxmlformats.org/officeDocument/2006/relationships/footer" Target="footer15.xml"/><Relationship Id="rId139" Type="http://schemas.openxmlformats.org/officeDocument/2006/relationships/footer" Target="footer63.xml"/><Relationship Id="rId290" Type="http://schemas.openxmlformats.org/officeDocument/2006/relationships/header" Target="header139.xml"/><Relationship Id="rId304" Type="http://schemas.openxmlformats.org/officeDocument/2006/relationships/footer" Target="footer145.xml"/><Relationship Id="rId346" Type="http://schemas.openxmlformats.org/officeDocument/2006/relationships/footer" Target="footer166.xml"/><Relationship Id="rId388" Type="http://schemas.openxmlformats.org/officeDocument/2006/relationships/footer" Target="footer187.xml"/><Relationship Id="rId85" Type="http://schemas.openxmlformats.org/officeDocument/2006/relationships/footer" Target="footer36.xml"/><Relationship Id="rId150" Type="http://schemas.openxmlformats.org/officeDocument/2006/relationships/header" Target="header69.xml"/><Relationship Id="rId192" Type="http://schemas.openxmlformats.org/officeDocument/2006/relationships/header" Target="header90.xml"/><Relationship Id="rId206" Type="http://schemas.openxmlformats.org/officeDocument/2006/relationships/header" Target="header97.xml"/><Relationship Id="rId413" Type="http://schemas.openxmlformats.org/officeDocument/2006/relationships/footer" Target="footer199.xml"/><Relationship Id="rId248" Type="http://schemas.openxmlformats.org/officeDocument/2006/relationships/header" Target="header118.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header" Target="header59.xml"/><Relationship Id="rId280" Type="http://schemas.openxmlformats.org/officeDocument/2006/relationships/footer" Target="footer133.xml"/><Relationship Id="rId315" Type="http://schemas.openxmlformats.org/officeDocument/2006/relationships/header" Target="header152.xml"/><Relationship Id="rId336" Type="http://schemas.openxmlformats.org/officeDocument/2006/relationships/header" Target="header162.xml"/><Relationship Id="rId357" Type="http://schemas.openxmlformats.org/officeDocument/2006/relationships/header" Target="header173.xml"/><Relationship Id="rId54" Type="http://schemas.openxmlformats.org/officeDocument/2006/relationships/header" Target="header21.xml"/><Relationship Id="rId75" Type="http://schemas.openxmlformats.org/officeDocument/2006/relationships/header" Target="head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4.xml"/><Relationship Id="rId182" Type="http://schemas.openxmlformats.org/officeDocument/2006/relationships/header" Target="header85.xml"/><Relationship Id="rId217" Type="http://schemas.openxmlformats.org/officeDocument/2006/relationships/footer" Target="footer102.xml"/><Relationship Id="rId378" Type="http://schemas.openxmlformats.org/officeDocument/2006/relationships/header" Target="header183.xml"/><Relationship Id="rId399" Type="http://schemas.openxmlformats.org/officeDocument/2006/relationships/header" Target="header194.xml"/><Relationship Id="rId403" Type="http://schemas.openxmlformats.org/officeDocument/2006/relationships/footer" Target="footer195.xml"/><Relationship Id="rId6" Type="http://schemas.openxmlformats.org/officeDocument/2006/relationships/styles" Target="styles.xml"/><Relationship Id="rId238" Type="http://schemas.openxmlformats.org/officeDocument/2006/relationships/footer" Target="footer112.xml"/><Relationship Id="rId259" Type="http://schemas.openxmlformats.org/officeDocument/2006/relationships/footer" Target="footer123.xml"/><Relationship Id="rId424" Type="http://schemas.openxmlformats.org/officeDocument/2006/relationships/header" Target="header206.xml"/><Relationship Id="rId23" Type="http://schemas.openxmlformats.org/officeDocument/2006/relationships/footer" Target="footer6.xml"/><Relationship Id="rId119" Type="http://schemas.openxmlformats.org/officeDocument/2006/relationships/footer" Target="footer53.xml"/><Relationship Id="rId270" Type="http://schemas.openxmlformats.org/officeDocument/2006/relationships/header" Target="header129.xml"/><Relationship Id="rId291" Type="http://schemas.openxmlformats.org/officeDocument/2006/relationships/header" Target="header140.xml"/><Relationship Id="rId305" Type="http://schemas.openxmlformats.org/officeDocument/2006/relationships/footer" Target="footer146.xml"/><Relationship Id="rId326" Type="http://schemas.openxmlformats.org/officeDocument/2006/relationships/header" Target="header157.xml"/><Relationship Id="rId347" Type="http://schemas.openxmlformats.org/officeDocument/2006/relationships/footer" Target="footer167.xml"/><Relationship Id="rId44" Type="http://schemas.openxmlformats.org/officeDocument/2006/relationships/header" Target="header16.xml"/><Relationship Id="rId65" Type="http://schemas.openxmlformats.org/officeDocument/2006/relationships/footer" Target="footer26.xml"/><Relationship Id="rId86" Type="http://schemas.openxmlformats.org/officeDocument/2006/relationships/header" Target="header37.xml"/><Relationship Id="rId130" Type="http://schemas.openxmlformats.org/officeDocument/2006/relationships/footer" Target="footer58.xml"/><Relationship Id="rId151" Type="http://schemas.openxmlformats.org/officeDocument/2006/relationships/footer" Target="footer69.xml"/><Relationship Id="rId368" Type="http://schemas.openxmlformats.org/officeDocument/2006/relationships/header" Target="header178.xml"/><Relationship Id="rId389" Type="http://schemas.openxmlformats.org/officeDocument/2006/relationships/footer" Target="footer188.xml"/><Relationship Id="rId172" Type="http://schemas.openxmlformats.org/officeDocument/2006/relationships/footer" Target="footer79.xml"/><Relationship Id="rId193" Type="http://schemas.openxmlformats.org/officeDocument/2006/relationships/footer" Target="footer90.xml"/><Relationship Id="rId207" Type="http://schemas.openxmlformats.org/officeDocument/2006/relationships/header" Target="header98.xml"/><Relationship Id="rId228" Type="http://schemas.openxmlformats.org/officeDocument/2006/relationships/header" Target="header108.xml"/><Relationship Id="rId249" Type="http://schemas.openxmlformats.org/officeDocument/2006/relationships/header" Target="header119.xml"/><Relationship Id="rId414" Type="http://schemas.openxmlformats.org/officeDocument/2006/relationships/footer" Target="footer200.xml"/><Relationship Id="rId435" Type="http://schemas.openxmlformats.org/officeDocument/2006/relationships/header" Target="header211.xml"/><Relationship Id="rId13" Type="http://schemas.openxmlformats.org/officeDocument/2006/relationships/header" Target="header2.xml"/><Relationship Id="rId109" Type="http://schemas.openxmlformats.org/officeDocument/2006/relationships/footer" Target="footer48.xml"/><Relationship Id="rId260" Type="http://schemas.openxmlformats.org/officeDocument/2006/relationships/header" Target="header124.xml"/><Relationship Id="rId281" Type="http://schemas.openxmlformats.org/officeDocument/2006/relationships/footer" Target="footer134.xml"/><Relationship Id="rId316" Type="http://schemas.openxmlformats.org/officeDocument/2006/relationships/footer" Target="footer151.xml"/><Relationship Id="rId337" Type="http://schemas.openxmlformats.org/officeDocument/2006/relationships/footer" Target="footer162.xml"/><Relationship Id="rId34" Type="http://schemas.openxmlformats.org/officeDocument/2006/relationships/header" Target="header12.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20" Type="http://schemas.openxmlformats.org/officeDocument/2006/relationships/header" Target="header54.xml"/><Relationship Id="rId141" Type="http://schemas.openxmlformats.org/officeDocument/2006/relationships/header" Target="head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5.xml"/><Relationship Id="rId183" Type="http://schemas.openxmlformats.org/officeDocument/2006/relationships/header" Target="header86.xml"/><Relationship Id="rId218" Type="http://schemas.openxmlformats.org/officeDocument/2006/relationships/header" Target="header103.xml"/><Relationship Id="rId239" Type="http://schemas.openxmlformats.org/officeDocument/2006/relationships/footer" Target="footer113.xml"/><Relationship Id="rId390" Type="http://schemas.openxmlformats.org/officeDocument/2006/relationships/header" Target="header189.xml"/><Relationship Id="rId404" Type="http://schemas.openxmlformats.org/officeDocument/2006/relationships/header" Target="header196.xml"/><Relationship Id="rId425" Type="http://schemas.openxmlformats.org/officeDocument/2006/relationships/footer" Target="footer205.xml"/><Relationship Id="rId250" Type="http://schemas.openxmlformats.org/officeDocument/2006/relationships/footer" Target="footer118.xml"/><Relationship Id="rId271" Type="http://schemas.openxmlformats.org/officeDocument/2006/relationships/footer" Target="footer129.xml"/><Relationship Id="rId292" Type="http://schemas.openxmlformats.org/officeDocument/2006/relationships/footer" Target="footer139.xml"/><Relationship Id="rId306" Type="http://schemas.openxmlformats.org/officeDocument/2006/relationships/header" Target="header147.xml"/><Relationship Id="rId24" Type="http://schemas.openxmlformats.org/officeDocument/2006/relationships/header" Target="header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31" Type="http://schemas.openxmlformats.org/officeDocument/2006/relationships/footer" Target="footer59.xml"/><Relationship Id="rId327" Type="http://schemas.openxmlformats.org/officeDocument/2006/relationships/header" Target="header158.xml"/><Relationship Id="rId348" Type="http://schemas.openxmlformats.org/officeDocument/2006/relationships/header" Target="header168.xml"/><Relationship Id="rId369" Type="http://schemas.openxmlformats.org/officeDocument/2006/relationships/header" Target="header179.xml"/><Relationship Id="rId152" Type="http://schemas.openxmlformats.org/officeDocument/2006/relationships/header" Target="header70.xml"/><Relationship Id="rId173" Type="http://schemas.openxmlformats.org/officeDocument/2006/relationships/footer" Target="footer80.xml"/><Relationship Id="rId194" Type="http://schemas.openxmlformats.org/officeDocument/2006/relationships/header" Target="header91.xml"/><Relationship Id="rId208" Type="http://schemas.openxmlformats.org/officeDocument/2006/relationships/footer" Target="footer97.xml"/><Relationship Id="rId229" Type="http://schemas.openxmlformats.org/officeDocument/2006/relationships/footer" Target="footer108.xml"/><Relationship Id="rId380" Type="http://schemas.openxmlformats.org/officeDocument/2006/relationships/header" Target="header184.xml"/><Relationship Id="rId415" Type="http://schemas.openxmlformats.org/officeDocument/2006/relationships/header" Target="header201.xml"/><Relationship Id="rId436" Type="http://schemas.openxmlformats.org/officeDocument/2006/relationships/header" Target="header212.xml"/><Relationship Id="rId240" Type="http://schemas.openxmlformats.org/officeDocument/2006/relationships/header" Target="header114.xml"/><Relationship Id="rId261" Type="http://schemas.openxmlformats.org/officeDocument/2006/relationships/header" Target="head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282" Type="http://schemas.openxmlformats.org/officeDocument/2006/relationships/header" Target="header135.xml"/><Relationship Id="rId317" Type="http://schemas.openxmlformats.org/officeDocument/2006/relationships/footer" Target="footer152.xml"/><Relationship Id="rId338" Type="http://schemas.openxmlformats.org/officeDocument/2006/relationships/header" Target="head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footer" Target="footer85.xml"/><Relationship Id="rId219" Type="http://schemas.openxmlformats.org/officeDocument/2006/relationships/header" Target="header104.xml"/><Relationship Id="rId370" Type="http://schemas.openxmlformats.org/officeDocument/2006/relationships/footer" Target="footer178.xml"/><Relationship Id="rId391" Type="http://schemas.openxmlformats.org/officeDocument/2006/relationships/footer" Target="footer189.xml"/><Relationship Id="rId405" Type="http://schemas.openxmlformats.org/officeDocument/2006/relationships/header" Target="header197.xml"/><Relationship Id="rId426" Type="http://schemas.openxmlformats.org/officeDocument/2006/relationships/footer" Target="footer206.xml"/><Relationship Id="rId230" Type="http://schemas.openxmlformats.org/officeDocument/2006/relationships/header" Target="header109.xml"/><Relationship Id="rId251" Type="http://schemas.openxmlformats.org/officeDocument/2006/relationships/footer" Target="footer119.xml"/><Relationship Id="rId25" Type="http://schemas.openxmlformats.org/officeDocument/2006/relationships/header" Target="header8.xml"/><Relationship Id="rId46" Type="http://schemas.openxmlformats.org/officeDocument/2006/relationships/footer" Target="footer16.xml"/><Relationship Id="rId67" Type="http://schemas.openxmlformats.org/officeDocument/2006/relationships/footer" Target="footer27.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7.xml"/><Relationship Id="rId328" Type="http://schemas.openxmlformats.org/officeDocument/2006/relationships/footer" Target="footer157.xml"/><Relationship Id="rId349" Type="http://schemas.openxmlformats.org/officeDocument/2006/relationships/footer" Target="footer168.xml"/><Relationship Id="rId88" Type="http://schemas.openxmlformats.org/officeDocument/2006/relationships/footer" Target="footer37.xml"/><Relationship Id="rId111" Type="http://schemas.openxmlformats.org/officeDocument/2006/relationships/header" Target="header50.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header" Target="header81.xml"/><Relationship Id="rId195" Type="http://schemas.openxmlformats.org/officeDocument/2006/relationships/header" Target="header92.xml"/><Relationship Id="rId209" Type="http://schemas.openxmlformats.org/officeDocument/2006/relationships/footer" Target="footer98.xml"/><Relationship Id="rId360" Type="http://schemas.openxmlformats.org/officeDocument/2006/relationships/header" Target="header174.xml"/><Relationship Id="rId381" Type="http://schemas.openxmlformats.org/officeDocument/2006/relationships/header" Target="header185.xml"/><Relationship Id="rId416" Type="http://schemas.openxmlformats.org/officeDocument/2006/relationships/footer" Target="footer201.xml"/><Relationship Id="rId220" Type="http://schemas.openxmlformats.org/officeDocument/2006/relationships/footer" Target="footer103.xml"/><Relationship Id="rId241" Type="http://schemas.openxmlformats.org/officeDocument/2006/relationships/footer" Target="footer114.xml"/><Relationship Id="rId437" Type="http://schemas.openxmlformats.org/officeDocument/2006/relationships/footer" Target="footer211.xml"/><Relationship Id="rId15" Type="http://schemas.openxmlformats.org/officeDocument/2006/relationships/footer" Target="footer2.xml"/><Relationship Id="rId36" Type="http://schemas.openxmlformats.org/officeDocument/2006/relationships/hyperlink" Target="http://www.inps.it" TargetMode="External"/><Relationship Id="rId57" Type="http://schemas.openxmlformats.org/officeDocument/2006/relationships/header" Target="header23.xml"/><Relationship Id="rId262" Type="http://schemas.openxmlformats.org/officeDocument/2006/relationships/footer" Target="footer124.xml"/><Relationship Id="rId283" Type="http://schemas.openxmlformats.org/officeDocument/2006/relationships/footer" Target="footer135.xml"/><Relationship Id="rId318" Type="http://schemas.openxmlformats.org/officeDocument/2006/relationships/header" Target="header153.xml"/><Relationship Id="rId339" Type="http://schemas.openxmlformats.org/officeDocument/2006/relationships/header" Target="header164.xml"/><Relationship Id="rId78" Type="http://schemas.openxmlformats.org/officeDocument/2006/relationships/header" Target="header33.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5.xml"/><Relationship Id="rId143" Type="http://schemas.openxmlformats.org/officeDocument/2006/relationships/footer" Target="footer65.xml"/><Relationship Id="rId164" Type="http://schemas.openxmlformats.org/officeDocument/2006/relationships/header" Target="header76.xml"/><Relationship Id="rId185" Type="http://schemas.openxmlformats.org/officeDocument/2006/relationships/footer" Target="footer86.xml"/><Relationship Id="rId350" Type="http://schemas.openxmlformats.org/officeDocument/2006/relationships/header" Target="header169.xml"/><Relationship Id="rId371" Type="http://schemas.openxmlformats.org/officeDocument/2006/relationships/footer" Target="footer179.xml"/><Relationship Id="rId406" Type="http://schemas.openxmlformats.org/officeDocument/2006/relationships/footer" Target="footer196.xml"/><Relationship Id="rId9" Type="http://schemas.openxmlformats.org/officeDocument/2006/relationships/footnotes" Target="footnotes.xml"/><Relationship Id="rId210" Type="http://schemas.openxmlformats.org/officeDocument/2006/relationships/header" Target="header99.xml"/><Relationship Id="rId392" Type="http://schemas.openxmlformats.org/officeDocument/2006/relationships/header" Target="header190.xml"/><Relationship Id="rId427" Type="http://schemas.openxmlformats.org/officeDocument/2006/relationships/header" Target="header207.xml"/><Relationship Id="rId26" Type="http://schemas.openxmlformats.org/officeDocument/2006/relationships/footer" Target="footer7.xml"/><Relationship Id="rId231" Type="http://schemas.openxmlformats.org/officeDocument/2006/relationships/header" Target="header110.xml"/><Relationship Id="rId252" Type="http://schemas.openxmlformats.org/officeDocument/2006/relationships/header" Target="head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footer" Target="footer158.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8.xml"/><Relationship Id="rId112" Type="http://schemas.openxmlformats.org/officeDocument/2006/relationships/footer" Target="footer49.xml"/><Relationship Id="rId133" Type="http://schemas.openxmlformats.org/officeDocument/2006/relationships/footer" Target="footer60.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footer" Target="footer163.xml"/><Relationship Id="rId361" Type="http://schemas.openxmlformats.org/officeDocument/2006/relationships/footer" Target="footer174.xml"/><Relationship Id="rId196" Type="http://schemas.openxmlformats.org/officeDocument/2006/relationships/footer" Target="footer91.xml"/><Relationship Id="rId200" Type="http://schemas.openxmlformats.org/officeDocument/2006/relationships/header" Target="header94.xml"/><Relationship Id="rId382" Type="http://schemas.openxmlformats.org/officeDocument/2006/relationships/footer" Target="footer184.xml"/><Relationship Id="rId417" Type="http://schemas.openxmlformats.org/officeDocument/2006/relationships/header" Target="header202.xml"/><Relationship Id="rId438" Type="http://schemas.openxmlformats.org/officeDocument/2006/relationships/footer" Target="footer212.xml"/><Relationship Id="rId16" Type="http://schemas.openxmlformats.org/officeDocument/2006/relationships/header" Target="header3.xml"/><Relationship Id="rId221" Type="http://schemas.openxmlformats.org/officeDocument/2006/relationships/footer" Target="footer104.xml"/><Relationship Id="rId242" Type="http://schemas.openxmlformats.org/officeDocument/2006/relationships/header" Target="header115.xml"/><Relationship Id="rId263" Type="http://schemas.openxmlformats.org/officeDocument/2006/relationships/footer" Target="footer125.xml"/><Relationship Id="rId284" Type="http://schemas.openxmlformats.org/officeDocument/2006/relationships/header" Target="header136.xml"/><Relationship Id="rId319" Type="http://schemas.openxmlformats.org/officeDocument/2006/relationships/footer" Target="footer153.xml"/><Relationship Id="rId37" Type="http://schemas.openxmlformats.org/officeDocument/2006/relationships/hyperlink" Target="http://www.inps.it" TargetMode="External"/><Relationship Id="rId58" Type="http://schemas.openxmlformats.org/officeDocument/2006/relationships/footer" Target="footer22.xml"/><Relationship Id="rId79" Type="http://schemas.openxmlformats.org/officeDocument/2006/relationships/footer" Target="footer33.xml"/><Relationship Id="rId102" Type="http://schemas.openxmlformats.org/officeDocument/2006/relationships/header" Target="header45.xml"/><Relationship Id="rId123" Type="http://schemas.openxmlformats.org/officeDocument/2006/relationships/header" Target="header56.xml"/><Relationship Id="rId144" Type="http://schemas.openxmlformats.org/officeDocument/2006/relationships/header" Target="header66.xml"/><Relationship Id="rId330" Type="http://schemas.openxmlformats.org/officeDocument/2006/relationships/header" Target="header159.xml"/><Relationship Id="rId90" Type="http://schemas.openxmlformats.org/officeDocument/2006/relationships/header" Target="header39.xml"/><Relationship Id="rId165" Type="http://schemas.openxmlformats.org/officeDocument/2006/relationships/header" Target="header77.xml"/><Relationship Id="rId186" Type="http://schemas.openxmlformats.org/officeDocument/2006/relationships/header" Target="header87.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1.xml"/><Relationship Id="rId407" Type="http://schemas.openxmlformats.org/officeDocument/2006/relationships/footer" Target="footer197.xml"/><Relationship Id="rId428" Type="http://schemas.openxmlformats.org/officeDocument/2006/relationships/footer" Target="footer207.xml"/><Relationship Id="rId211" Type="http://schemas.openxmlformats.org/officeDocument/2006/relationships/footer" Target="footer99.xml"/><Relationship Id="rId232" Type="http://schemas.openxmlformats.org/officeDocument/2006/relationships/footer" Target="footer109.xml"/><Relationship Id="rId253" Type="http://schemas.openxmlformats.org/officeDocument/2006/relationships/footer" Target="footer120.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9.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footer" Target="footer50.xml"/><Relationship Id="rId134" Type="http://schemas.openxmlformats.org/officeDocument/2006/relationships/header" Target="header61.xml"/><Relationship Id="rId320" Type="http://schemas.openxmlformats.org/officeDocument/2006/relationships/header" Target="header154.xml"/><Relationship Id="rId80" Type="http://schemas.openxmlformats.org/officeDocument/2006/relationships/header" Target="header34.xml"/><Relationship Id="rId155" Type="http://schemas.openxmlformats.org/officeDocument/2006/relationships/footer" Target="footer71.xml"/><Relationship Id="rId176" Type="http://schemas.openxmlformats.org/officeDocument/2006/relationships/header" Target="header82.xml"/><Relationship Id="rId197" Type="http://schemas.openxmlformats.org/officeDocument/2006/relationships/footer" Target="footer92.xml"/><Relationship Id="rId341" Type="http://schemas.openxmlformats.org/officeDocument/2006/relationships/footer" Target="footer164.xml"/><Relationship Id="rId362" Type="http://schemas.openxmlformats.org/officeDocument/2006/relationships/header" Target="header175.xml"/><Relationship Id="rId383" Type="http://schemas.openxmlformats.org/officeDocument/2006/relationships/footer" Target="footer185.xml"/><Relationship Id="rId418" Type="http://schemas.openxmlformats.org/officeDocument/2006/relationships/header" Target="header203.xml"/><Relationship Id="rId439" Type="http://schemas.openxmlformats.org/officeDocument/2006/relationships/header" Target="header213.xml"/><Relationship Id="rId201" Type="http://schemas.openxmlformats.org/officeDocument/2006/relationships/header" Target="header95.xml"/><Relationship Id="rId222" Type="http://schemas.openxmlformats.org/officeDocument/2006/relationships/header" Target="header105.xml"/><Relationship Id="rId243" Type="http://schemas.openxmlformats.org/officeDocument/2006/relationships/header" Target="header116.xml"/><Relationship Id="rId264" Type="http://schemas.openxmlformats.org/officeDocument/2006/relationships/header" Target="header126.xml"/><Relationship Id="rId285" Type="http://schemas.openxmlformats.org/officeDocument/2006/relationships/header" Target="head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footer" Target="footer45.xml"/><Relationship Id="rId124" Type="http://schemas.openxmlformats.org/officeDocument/2006/relationships/footer" Target="footer55.xml"/><Relationship Id="rId310" Type="http://schemas.openxmlformats.org/officeDocument/2006/relationships/footer" Target="footer148.xml"/><Relationship Id="rId70" Type="http://schemas.openxmlformats.org/officeDocument/2006/relationships/footer" Target="footer28.xml"/><Relationship Id="rId91" Type="http://schemas.openxmlformats.org/officeDocument/2006/relationships/footer" Target="footer39.xml"/><Relationship Id="rId145" Type="http://schemas.openxmlformats.org/officeDocument/2006/relationships/footer" Target="footer66.xml"/><Relationship Id="rId166" Type="http://schemas.openxmlformats.org/officeDocument/2006/relationships/footer" Target="footer76.xml"/><Relationship Id="rId187" Type="http://schemas.openxmlformats.org/officeDocument/2006/relationships/footer" Target="footer87.xml"/><Relationship Id="rId331" Type="http://schemas.openxmlformats.org/officeDocument/2006/relationships/footer" Target="footer159.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footer" Target="footer190.xml"/><Relationship Id="rId408" Type="http://schemas.openxmlformats.org/officeDocument/2006/relationships/header" Target="header198.xml"/><Relationship Id="rId429" Type="http://schemas.openxmlformats.org/officeDocument/2006/relationships/header" Target="header208.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footer" Target="footer110.xml"/><Relationship Id="rId254" Type="http://schemas.openxmlformats.org/officeDocument/2006/relationships/header" Target="head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51.xml"/><Relationship Id="rId275" Type="http://schemas.openxmlformats.org/officeDocument/2006/relationships/footer" Target="footer131.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321" Type="http://schemas.openxmlformats.org/officeDocument/2006/relationships/header" Target="header155.xml"/><Relationship Id="rId342" Type="http://schemas.openxmlformats.org/officeDocument/2006/relationships/header" Target="header165.xml"/><Relationship Id="rId363" Type="http://schemas.openxmlformats.org/officeDocument/2006/relationships/header" Target="header176.xml"/><Relationship Id="rId384" Type="http://schemas.openxmlformats.org/officeDocument/2006/relationships/header" Target="header186.xml"/><Relationship Id="rId419" Type="http://schemas.openxmlformats.org/officeDocument/2006/relationships/footer" Target="footer202.xml"/><Relationship Id="rId202" Type="http://schemas.openxmlformats.org/officeDocument/2006/relationships/footer" Target="footer94.xml"/><Relationship Id="rId223" Type="http://schemas.openxmlformats.org/officeDocument/2006/relationships/footer" Target="footer105.xml"/><Relationship Id="rId244" Type="http://schemas.openxmlformats.org/officeDocument/2006/relationships/footer" Target="footer115.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header" Target="header14.xml"/><Relationship Id="rId265" Type="http://schemas.openxmlformats.org/officeDocument/2006/relationships/footer" Target="footer126.xml"/><Relationship Id="rId286" Type="http://schemas.openxmlformats.org/officeDocument/2006/relationships/footer" Target="footer136.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6.xml"/><Relationship Id="rId146" Type="http://schemas.openxmlformats.org/officeDocument/2006/relationships/header" Target="header67.xml"/><Relationship Id="rId167" Type="http://schemas.openxmlformats.org/officeDocument/2006/relationships/footer" Target="footer77.xml"/><Relationship Id="rId188" Type="http://schemas.openxmlformats.org/officeDocument/2006/relationships/header" Target="header88.xml"/><Relationship Id="rId311" Type="http://schemas.openxmlformats.org/officeDocument/2006/relationships/footer" Target="footer149.xml"/><Relationship Id="rId332" Type="http://schemas.openxmlformats.org/officeDocument/2006/relationships/header" Target="head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1.xml"/><Relationship Id="rId409" Type="http://schemas.openxmlformats.org/officeDocument/2006/relationships/footer" Target="footer198.xml"/><Relationship Id="rId71" Type="http://schemas.openxmlformats.org/officeDocument/2006/relationships/footer" Target="footer29.xml"/><Relationship Id="rId92" Type="http://schemas.openxmlformats.org/officeDocument/2006/relationships/header" Target="header40.xml"/><Relationship Id="rId213" Type="http://schemas.openxmlformats.org/officeDocument/2006/relationships/header" Target="header101.xml"/><Relationship Id="rId234" Type="http://schemas.openxmlformats.org/officeDocument/2006/relationships/header" Target="header111.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header" Target="header122.xml"/><Relationship Id="rId276" Type="http://schemas.openxmlformats.org/officeDocument/2006/relationships/header" Target="header132.xml"/><Relationship Id="rId297" Type="http://schemas.openxmlformats.org/officeDocument/2006/relationships/header" Target="header143.xml"/><Relationship Id="rId441" Type="http://schemas.openxmlformats.org/officeDocument/2006/relationships/fontTable" Target="fontTable.xml"/><Relationship Id="rId40" Type="http://schemas.openxmlformats.org/officeDocument/2006/relationships/footer" Target="footer13.xml"/><Relationship Id="rId115" Type="http://schemas.openxmlformats.org/officeDocument/2006/relationships/footer" Target="footer51.xml"/><Relationship Id="rId136" Type="http://schemas.openxmlformats.org/officeDocument/2006/relationships/footer" Target="footer61.xml"/><Relationship Id="rId157" Type="http://schemas.openxmlformats.org/officeDocument/2006/relationships/footer" Target="footer72.xml"/><Relationship Id="rId178" Type="http://schemas.openxmlformats.org/officeDocument/2006/relationships/footer" Target="footer82.xml"/><Relationship Id="rId301" Type="http://schemas.openxmlformats.org/officeDocument/2006/relationships/footer" Target="footer144.xml"/><Relationship Id="rId322" Type="http://schemas.openxmlformats.org/officeDocument/2006/relationships/footer" Target="footer154.xml"/><Relationship Id="rId343" Type="http://schemas.openxmlformats.org/officeDocument/2006/relationships/footer" Target="footer165.xml"/><Relationship Id="rId364" Type="http://schemas.openxmlformats.org/officeDocument/2006/relationships/footer" Target="footer175.xml"/><Relationship Id="rId61" Type="http://schemas.openxmlformats.org/officeDocument/2006/relationships/footer" Target="footer24.xml"/><Relationship Id="rId82" Type="http://schemas.openxmlformats.org/officeDocument/2006/relationships/footer" Target="footer34.xml"/><Relationship Id="rId199" Type="http://schemas.openxmlformats.org/officeDocument/2006/relationships/footer" Target="footer93.xml"/><Relationship Id="rId203" Type="http://schemas.openxmlformats.org/officeDocument/2006/relationships/footer" Target="footer95.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header" Target="header106.xml"/><Relationship Id="rId245" Type="http://schemas.openxmlformats.org/officeDocument/2006/relationships/footer" Target="footer116.xml"/><Relationship Id="rId266" Type="http://schemas.openxmlformats.org/officeDocument/2006/relationships/header" Target="header127.xml"/><Relationship Id="rId287" Type="http://schemas.openxmlformats.org/officeDocument/2006/relationships/footer" Target="footer137.xml"/><Relationship Id="rId410" Type="http://schemas.openxmlformats.org/officeDocument/2006/relationships/hyperlink" Target="http://www.syllabus.gov.it" TargetMode="External"/><Relationship Id="rId431" Type="http://schemas.openxmlformats.org/officeDocument/2006/relationships/footer" Target="footer208.xml"/><Relationship Id="rId30" Type="http://schemas.openxmlformats.org/officeDocument/2006/relationships/header" Target="head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header" Target="header68.xml"/><Relationship Id="rId168" Type="http://schemas.openxmlformats.org/officeDocument/2006/relationships/header" Target="header78.xml"/><Relationship Id="rId312" Type="http://schemas.openxmlformats.org/officeDocument/2006/relationships/header" Target="header150.xml"/><Relationship Id="rId333" Type="http://schemas.openxmlformats.org/officeDocument/2006/relationships/header" Target="header161.xml"/><Relationship Id="rId354" Type="http://schemas.openxmlformats.org/officeDocument/2006/relationships/header" Target="header171.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header" Target="header192.xml"/><Relationship Id="rId3" Type="http://schemas.openxmlformats.org/officeDocument/2006/relationships/customXml" Target="../customXml/item3.xml"/><Relationship Id="rId214" Type="http://schemas.openxmlformats.org/officeDocument/2006/relationships/footer" Target="footer100.xml"/><Relationship Id="rId235" Type="http://schemas.openxmlformats.org/officeDocument/2006/relationships/footer" Target="footer111.xml"/><Relationship Id="rId256" Type="http://schemas.openxmlformats.org/officeDocument/2006/relationships/footer" Target="footer121.xml"/><Relationship Id="rId277" Type="http://schemas.openxmlformats.org/officeDocument/2006/relationships/footer" Target="footer132.xml"/><Relationship Id="rId298" Type="http://schemas.openxmlformats.org/officeDocument/2006/relationships/footer" Target="footer142.xml"/><Relationship Id="rId400" Type="http://schemas.openxmlformats.org/officeDocument/2006/relationships/footer" Target="footer193.xml"/><Relationship Id="rId421" Type="http://schemas.openxmlformats.org/officeDocument/2006/relationships/header" Target="header204.xml"/><Relationship Id="rId442" Type="http://schemas.openxmlformats.org/officeDocument/2006/relationships/theme" Target="theme/theme1.xml"/><Relationship Id="rId116" Type="http://schemas.openxmlformats.org/officeDocument/2006/relationships/header" Target="header52.xml"/><Relationship Id="rId137" Type="http://schemas.openxmlformats.org/officeDocument/2006/relationships/footer" Target="footer62.xml"/><Relationship Id="rId158" Type="http://schemas.openxmlformats.org/officeDocument/2006/relationships/header" Target="header73.xml"/><Relationship Id="rId302" Type="http://schemas.openxmlformats.org/officeDocument/2006/relationships/header" Target="header145.xml"/><Relationship Id="rId323" Type="http://schemas.openxmlformats.org/officeDocument/2006/relationships/footer" Target="footer155.xml"/><Relationship Id="rId344" Type="http://schemas.openxmlformats.org/officeDocument/2006/relationships/header" Target="header166.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5.xml"/><Relationship Id="rId179" Type="http://schemas.openxmlformats.org/officeDocument/2006/relationships/footer" Target="footer83.xml"/><Relationship Id="rId365" Type="http://schemas.openxmlformats.org/officeDocument/2006/relationships/footer" Target="footer176.xml"/><Relationship Id="rId386" Type="http://schemas.openxmlformats.org/officeDocument/2006/relationships/header" Target="header187.xml"/><Relationship Id="rId190" Type="http://schemas.openxmlformats.org/officeDocument/2006/relationships/footer" Target="footer88.xml"/><Relationship Id="rId204" Type="http://schemas.openxmlformats.org/officeDocument/2006/relationships/header" Target="header96.xml"/><Relationship Id="rId225" Type="http://schemas.openxmlformats.org/officeDocument/2006/relationships/header" Target="header107.xml"/><Relationship Id="rId246" Type="http://schemas.openxmlformats.org/officeDocument/2006/relationships/header" Target="header117.xml"/><Relationship Id="rId267" Type="http://schemas.openxmlformats.org/officeDocument/2006/relationships/header" Target="header128.xml"/><Relationship Id="rId288" Type="http://schemas.openxmlformats.org/officeDocument/2006/relationships/header" Target="header138.xml"/><Relationship Id="rId411" Type="http://schemas.openxmlformats.org/officeDocument/2006/relationships/header" Target="header199.xml"/><Relationship Id="rId432" Type="http://schemas.openxmlformats.org/officeDocument/2006/relationships/footer" Target="footer209.xml"/><Relationship Id="rId106" Type="http://schemas.openxmlformats.org/officeDocument/2006/relationships/footer" Target="footer46.xml"/><Relationship Id="rId127" Type="http://schemas.openxmlformats.org/officeDocument/2006/relationships/footer" Target="footer57.xml"/><Relationship Id="rId313" Type="http://schemas.openxmlformats.org/officeDocument/2006/relationships/footer" Target="footer150.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footer" Target="footer30.xml"/><Relationship Id="rId94" Type="http://schemas.openxmlformats.org/officeDocument/2006/relationships/footer" Target="footer40.xml"/><Relationship Id="rId148" Type="http://schemas.openxmlformats.org/officeDocument/2006/relationships/footer" Target="footer67.xml"/><Relationship Id="rId169" Type="http://schemas.openxmlformats.org/officeDocument/2006/relationships/footer" Target="footer78.xml"/><Relationship Id="rId334" Type="http://schemas.openxmlformats.org/officeDocument/2006/relationships/footer" Target="footer160.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2.xml"/><Relationship Id="rId4" Type="http://schemas.openxmlformats.org/officeDocument/2006/relationships/customXml" Target="../customXml/item4.xml"/><Relationship Id="rId180" Type="http://schemas.openxmlformats.org/officeDocument/2006/relationships/header" Target="header84.xml"/><Relationship Id="rId215" Type="http://schemas.openxmlformats.org/officeDocument/2006/relationships/footer" Target="footer101.xml"/><Relationship Id="rId236" Type="http://schemas.openxmlformats.org/officeDocument/2006/relationships/header" Target="header112.xml"/><Relationship Id="rId257" Type="http://schemas.openxmlformats.org/officeDocument/2006/relationships/footer" Target="footer122.xml"/><Relationship Id="rId278" Type="http://schemas.openxmlformats.org/officeDocument/2006/relationships/header" Target="header133.xml"/><Relationship Id="rId401" Type="http://schemas.openxmlformats.org/officeDocument/2006/relationships/footer" Target="footer194.xml"/><Relationship Id="rId422" Type="http://schemas.openxmlformats.org/officeDocument/2006/relationships/footer" Target="footer204.xml"/><Relationship Id="rId443" Type="http://schemas.microsoft.com/office/2019/05/relationships/documenttasks" Target="documenttasks/documenttasks1.xml"/><Relationship Id="rId303" Type="http://schemas.openxmlformats.org/officeDocument/2006/relationships/header" Target="header146.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header" Target="header63.xml"/><Relationship Id="rId345" Type="http://schemas.openxmlformats.org/officeDocument/2006/relationships/header" Target="header167.xml"/><Relationship Id="rId387" Type="http://schemas.openxmlformats.org/officeDocument/2006/relationships/header" Target="header188.xml"/><Relationship Id="rId191" Type="http://schemas.openxmlformats.org/officeDocument/2006/relationships/footer" Target="footer89.xml"/><Relationship Id="rId205" Type="http://schemas.openxmlformats.org/officeDocument/2006/relationships/footer" Target="footer96.xml"/><Relationship Id="rId247" Type="http://schemas.openxmlformats.org/officeDocument/2006/relationships/footer" Target="footer117.xml"/><Relationship Id="rId412" Type="http://schemas.openxmlformats.org/officeDocument/2006/relationships/header" Target="header200.xml"/><Relationship Id="rId107" Type="http://schemas.openxmlformats.org/officeDocument/2006/relationships/footer" Target="footer47.xml"/><Relationship Id="rId289" Type="http://schemas.openxmlformats.org/officeDocument/2006/relationships/footer" Target="footer138.xml"/><Relationship Id="rId11" Type="http://schemas.openxmlformats.org/officeDocument/2006/relationships/image" Target="media/image1.emf"/><Relationship Id="rId53" Type="http://schemas.openxmlformats.org/officeDocument/2006/relationships/footer" Target="footer20.xml"/><Relationship Id="rId149" Type="http://schemas.openxmlformats.org/officeDocument/2006/relationships/footer" Target="footer68.xml"/><Relationship Id="rId314" Type="http://schemas.openxmlformats.org/officeDocument/2006/relationships/header" Target="header151.xml"/><Relationship Id="rId356" Type="http://schemas.openxmlformats.org/officeDocument/2006/relationships/header" Target="header172.xml"/><Relationship Id="rId398" Type="http://schemas.openxmlformats.org/officeDocument/2006/relationships/header" Target="header193.xml"/><Relationship Id="rId95" Type="http://schemas.openxmlformats.org/officeDocument/2006/relationships/footer" Target="footer41.xml"/><Relationship Id="rId160" Type="http://schemas.openxmlformats.org/officeDocument/2006/relationships/footer" Target="footer73.xml"/><Relationship Id="rId216" Type="http://schemas.openxmlformats.org/officeDocument/2006/relationships/header" Target="header102.xml"/><Relationship Id="rId423" Type="http://schemas.openxmlformats.org/officeDocument/2006/relationships/header" Target="header205.xml"/><Relationship Id="rId258" Type="http://schemas.openxmlformats.org/officeDocument/2006/relationships/header" Target="header123.xml"/><Relationship Id="rId22" Type="http://schemas.openxmlformats.org/officeDocument/2006/relationships/header" Target="header6.xml"/><Relationship Id="rId64" Type="http://schemas.openxmlformats.org/officeDocument/2006/relationships/footer" Target="footer25.xml"/><Relationship Id="rId118" Type="http://schemas.openxmlformats.org/officeDocument/2006/relationships/footer" Target="footer52.xml"/><Relationship Id="rId325" Type="http://schemas.openxmlformats.org/officeDocument/2006/relationships/footer" Target="footer156.xml"/><Relationship Id="rId367" Type="http://schemas.openxmlformats.org/officeDocument/2006/relationships/footer" Target="footer177.xml"/><Relationship Id="rId171" Type="http://schemas.openxmlformats.org/officeDocument/2006/relationships/header" Target="header80.xml"/><Relationship Id="rId227" Type="http://schemas.openxmlformats.org/officeDocument/2006/relationships/footer" Target="footer107.xml"/><Relationship Id="rId269" Type="http://schemas.openxmlformats.org/officeDocument/2006/relationships/footer" Target="footer128.xml"/><Relationship Id="rId434" Type="http://schemas.openxmlformats.org/officeDocument/2006/relationships/footer" Target="footer210.xml"/></Relationships>
</file>

<file path=word/documenttasks/documenttasks1.xml><?xml version="1.0" encoding="utf-8"?>
<t:Tasks xmlns:t="http://schemas.microsoft.com/office/tasks/2019/documenttasks" xmlns:oel="http://schemas.microsoft.com/office/2019/extlst">
  <t:Task id="{56987377-2F68-4891-81A9-0CACE22E21E5}">
    <t:Anchor>
      <t:Comment id="698538180"/>
    </t:Anchor>
    <t:History>
      <t:Event id="{0AA41A07-C11E-469B-AE0D-D780624E105E}" time="2024-03-18T14:14:12.856Z">
        <t:Attribution userId="S::Claudia.PIFERI@ec.europa.eu::19496a8b-2d91-4010-ae9e-0b90968b4d4f" userProvider="AD" userName="PIFERI Claudia (ECFIN)"/>
        <t:Anchor>
          <t:Comment id="698538180"/>
        </t:Anchor>
        <t:Create/>
      </t:Event>
      <t:Event id="{8779EAFF-CF68-44A4-B1A0-1A8A137B160C}" time="2024-03-18T14:14:12.856Z">
        <t:Attribution userId="S::Claudia.PIFERI@ec.europa.eu::19496a8b-2d91-4010-ae9e-0b90968b4d4f" userProvider="AD" userName="PIFERI Claudia (ECFIN)"/>
        <t:Anchor>
          <t:Comment id="698538180"/>
        </t:Anchor>
        <t:Assign userId="S::Arnaud.MERCIER@ec.europa.eu::ff01f698-eaa4-4816-8c4f-755bc90ada5f" userProvider="AD" userName="MERCIER Arnaud (ECFIN)"/>
      </t:Event>
      <t:Event id="{0A2FD3C3-EB12-49F2-8348-8DEBDC6AAF92}" time="2024-03-18T14:14:12.856Z">
        <t:Attribution userId="S::Claudia.PIFERI@ec.europa.eu::19496a8b-2d91-4010-ae9e-0b90968b4d4f" userProvider="AD" userName="PIFERI Claudia (ECFIN)"/>
        <t:Anchor>
          <t:Comment id="698538180"/>
        </t:Anchor>
        <t:SetTitle title="@MERCIER Arnaud (ECFIN) can you pls check this wording? "/>
      </t:Event>
    </t:History>
  </t:Task>
  <t:Task id="{27AE463C-95FF-4948-A632-3D8057E8455F}">
    <t:Anchor>
      <t:Comment id="698537315"/>
    </t:Anchor>
    <t:History>
      <t:Event id="{DDA39B9B-3FBB-48BF-A967-AF25483B1C8E}" time="2024-03-18T13:59:47.909Z">
        <t:Attribution userId="S::Claudia.PIFERI@ec.europa.eu::19496a8b-2d91-4010-ae9e-0b90968b4d4f" userProvider="AD" userName="PIFERI Claudia (ECFIN)"/>
        <t:Anchor>
          <t:Comment id="698537315"/>
        </t:Anchor>
        <t:Create/>
      </t:Event>
      <t:Event id="{DD0EA60D-290F-4A8E-9179-6C5A452A9FB8}" time="2024-03-18T13:59:47.909Z">
        <t:Attribution userId="S::Claudia.PIFERI@ec.europa.eu::19496a8b-2d91-4010-ae9e-0b90968b4d4f" userProvider="AD" userName="PIFERI Claudia (ECFIN)"/>
        <t:Anchor>
          <t:Comment id="698537315"/>
        </t:Anchor>
        <t:Assign userId="S::Arnaud.MERCIER@ec.europa.eu::ff01f698-eaa4-4816-8c4f-755bc90ada5f" userProvider="AD" userName="MERCIER Arnaud (ECFIN)"/>
      </t:Event>
      <t:Event id="{20157B7D-49F3-48CF-B9AD-EFE0F32D1D9E}" time="2024-03-18T13:59:47.909Z">
        <t:Attribution userId="S::Claudia.PIFERI@ec.europa.eu::19496a8b-2d91-4010-ae9e-0b90968b4d4f" userProvider="AD" userName="PIFERI Claudia (ECFIN)"/>
        <t:Anchor>
          <t:Comment id="698537315"/>
        </t:Anchor>
        <t:SetTitle title="@MERCIER Arnaud (ECFIN) can you check if this reduction is fine for the climate objective "/>
      </t:Event>
    </t:History>
  </t:Task>
  <t:Task id="{56C3D66A-E0E7-46A5-B1FA-F4B8002FFEEB}">
    <t:Anchor>
      <t:Comment id="698538670"/>
    </t:Anchor>
    <t:History>
      <t:Event id="{F56CC523-B189-4D39-A33D-670FD3C02BF2}" time="2024-03-18T14:22:22.378Z">
        <t:Attribution userId="S::Claudia.PIFERI@ec.europa.eu::19496a8b-2d91-4010-ae9e-0b90968b4d4f" userProvider="AD" userName="PIFERI Claudia (ECFIN)"/>
        <t:Anchor>
          <t:Comment id="698538670"/>
        </t:Anchor>
        <t:Create/>
      </t:Event>
      <t:Event id="{CBA86F35-B00B-4174-9E21-01652CCBA396}" time="2024-03-18T14:22:22.378Z">
        <t:Attribution userId="S::Claudia.PIFERI@ec.europa.eu::19496a8b-2d91-4010-ae9e-0b90968b4d4f" userProvider="AD" userName="PIFERI Claudia (ECFIN)"/>
        <t:Anchor>
          <t:Comment id="698538670"/>
        </t:Anchor>
        <t:Assign userId="S::Daniel.BATES@ec.europa.eu::a40ed3c7-8090-4de8-b24c-63d53dfbdae8" userProvider="AD" userName="BATES Daniel (ECFIN)"/>
      </t:Event>
      <t:Event id="{9D34B26F-BBD1-4E08-A115-D52CD3DF02DE}" time="2024-03-18T14:22:22.378Z">
        <t:Attribution userId="S::Claudia.PIFERI@ec.europa.eu::19496a8b-2d91-4010-ae9e-0b90968b4d4f" userProvider="AD" userName="PIFERI Claudia (ECFIN)"/>
        <t:Anchor>
          <t:Comment id="698538670"/>
        </t:Anchor>
        <t:SetTitle title="@BATES Daniel (ECFIN) can you please check if this wording is fine? "/>
      </t:Event>
    </t:History>
  </t:Task>
  <t:Task id="{D716F20A-1591-4A58-AA8F-93C6140B2015}">
    <t:Anchor>
      <t:Comment id="698540576"/>
    </t:Anchor>
    <t:History>
      <t:Event id="{8BE2D531-F5EF-4313-99D5-CB9FCAAFC13F}" time="2024-04-03T07:32:38.95Z">
        <t:Attribution userId="S::Eugenio.DELUCCA-BOVICELLI@ec.europa.eu::0851a5e1-d19b-4e61-bb1e-9b7ee7093f5d" userProvider="AD" userName="DELUCCA BOVICELLI Eugenio (SG-RECOVER)"/>
        <t:Anchor>
          <t:Comment id="699900086"/>
        </t:Anchor>
        <t:Create/>
      </t:Event>
      <t:Event id="{A5053367-E5DA-4235-9FAE-9990649B142D}" time="2024-04-03T07:32:38.95Z">
        <t:Attribution userId="S::Eugenio.DELUCCA-BOVICELLI@ec.europa.eu::0851a5e1-d19b-4e61-bb1e-9b7ee7093f5d" userProvider="AD" userName="DELUCCA BOVICELLI Eugenio (SG-RECOVER)"/>
        <t:Anchor>
          <t:Comment id="699900086"/>
        </t:Anchor>
        <t:Assign userId="S::Barbara.BERNARDI1@ec.europa.eu::170e086e-9a17-4dad-a898-317ae746442f" userProvider="AD" userName="BERNARDI Barbara (ECFIN)"/>
      </t:Event>
      <t:Event id="{C7030224-42B0-4959-B660-E19774CC6A09}" time="2024-04-03T07:32:38.95Z">
        <t:Attribution userId="S::Eugenio.DELUCCA-BOVICELLI@ec.europa.eu::0851a5e1-d19b-4e61-bb1e-9b7ee7093f5d" userProvider="AD" userName="DELUCCA BOVICELLI Eugenio (SG-RECOVER)"/>
        <t:Anchor>
          <t:Comment id="699900086"/>
        </t:Anchor>
        <t:SetTitle title="@BERNARDI Barbara (ECFIN) @ROSSI SALVEMINI Francesco (SG-RECOVER-ROME) "/>
      </t:Event>
    </t:History>
  </t:Task>
  <t:Task id="{DE99DE3B-A25E-4EBE-8B55-6F89991748DA}">
    <t:Anchor>
      <t:Comment id="698539735"/>
    </t:Anchor>
    <t:History>
      <t:Event id="{53A1EB5E-0F9F-4627-B033-B7B9D52D7B91}" time="2024-04-03T07:52:31.325Z">
        <t:Attribution userId="S::Eugenio.DELUCCA-BOVICELLI@ec.europa.eu::0851a5e1-d19b-4e61-bb1e-9b7ee7093f5d" userProvider="AD" userName="DELUCCA BOVICELLI Eugenio (SG-RECOVER)"/>
        <t:Anchor>
          <t:Comment id="699901306"/>
        </t:Anchor>
        <t:Create/>
      </t:Event>
      <t:Event id="{EC6734E6-4D14-4A36-BD5F-C3D7F3D11C82}" time="2024-04-03T07:52:31.325Z">
        <t:Attribution userId="S::Eugenio.DELUCCA-BOVICELLI@ec.europa.eu::0851a5e1-d19b-4e61-bb1e-9b7ee7093f5d" userProvider="AD" userName="DELUCCA BOVICELLI Eugenio (SG-RECOVER)"/>
        <t:Anchor>
          <t:Comment id="699901306"/>
        </t:Anchor>
        <t:Assign userId="S::Gianluca.PAPA@ec.europa.eu::663e9b40-8cdb-4a8f-a390-2ad44aac6f4e" userProvider="AD" userName="PAPA Gianluca (ECFIN)"/>
      </t:Event>
      <t:Event id="{8943B823-66EB-471C-B346-64F6D73C251C}" time="2024-04-03T07:52:31.325Z">
        <t:Attribution userId="S::Eugenio.DELUCCA-BOVICELLI@ec.europa.eu::0851a5e1-d19b-4e61-bb1e-9b7ee7093f5d" userProvider="AD" userName="DELUCCA BOVICELLI Eugenio (SG-RECOVER)"/>
        <t:Anchor>
          <t:Comment id="699901306"/>
        </t:Anchor>
        <t:SetTitle title="@PAPA Gianluca (ECFIN) @MORANDOTTI Francesco (ECFIN) "/>
      </t:Event>
    </t:History>
  </t:Task>
  <t:Task id="{1299FA6C-A7FB-41BD-8BDB-7E254CC07707}">
    <t:Anchor>
      <t:Comment id="698540961"/>
    </t:Anchor>
    <t:History>
      <t:Event id="{B9F434ED-7F3F-47FB-869A-9620D4938C0E}" time="2024-04-03T07:37:22.102Z">
        <t:Attribution userId="S::Eugenio.DELUCCA-BOVICELLI@ec.europa.eu::0851a5e1-d19b-4e61-bb1e-9b7ee7093f5d" userProvider="AD" userName="DELUCCA BOVICELLI Eugenio (SG-RECOVER)"/>
        <t:Anchor>
          <t:Comment id="699900443"/>
        </t:Anchor>
        <t:Create/>
      </t:Event>
      <t:Event id="{80920E7D-80F5-452F-838B-0AC4037CD0DF}" time="2024-04-03T07:37:22.102Z">
        <t:Attribution userId="S::Eugenio.DELUCCA-BOVICELLI@ec.europa.eu::0851a5e1-d19b-4e61-bb1e-9b7ee7093f5d" userProvider="AD" userName="DELUCCA BOVICELLI Eugenio (SG-RECOVER)"/>
        <t:Anchor>
          <t:Comment id="699900443"/>
        </t:Anchor>
        <t:Assign userId="S::Valentina.RUSCONI@ec.europa.eu::3abaf4a9-c3a5-4883-982f-b0b52aca13db" userProvider="AD" userName="RUSCONI Valentina (SG-RECOVER)"/>
      </t:Event>
      <t:Event id="{75F9FC87-45F2-443A-BFE8-A7F0BAD45C62}" time="2024-04-03T07:37:22.102Z">
        <t:Attribution userId="S::Eugenio.DELUCCA-BOVICELLI@ec.europa.eu::0851a5e1-d19b-4e61-bb1e-9b7ee7093f5d" userProvider="AD" userName="DELUCCA BOVICELLI Eugenio (SG-RECOVER)"/>
        <t:Anchor>
          <t:Comment id="699900443"/>
        </t:Anchor>
        <t:SetTitle title="@RUSCONI Valentina (SG-RECOVER) This looks ok, tagging you for info"/>
      </t:Event>
    </t:History>
  </t:Task>
  <t:Task id="{DBABE94B-CC2C-426F-9D33-01B5723CE016}">
    <t:Anchor>
      <t:Comment id="698630896"/>
    </t:Anchor>
    <t:History>
      <t:Event id="{F4C0442E-F52B-4953-82A3-2290C979831F}" time="2024-04-03T08:49:08.262Z">
        <t:Attribution userId="S::Eugenio.DELUCCA-BOVICELLI@ec.europa.eu::0851a5e1-d19b-4e61-bb1e-9b7ee7093f5d" userProvider="AD" userName="DELUCCA BOVICELLI Eugenio (SG-RECOVER)"/>
        <t:Anchor>
          <t:Comment id="699904676"/>
        </t:Anchor>
        <t:Create/>
      </t:Event>
      <t:Event id="{47C92E88-E48D-4B1F-922B-890CD3273890}" time="2024-04-03T08:49:08.262Z">
        <t:Attribution userId="S::Eugenio.DELUCCA-BOVICELLI@ec.europa.eu::0851a5e1-d19b-4e61-bb1e-9b7ee7093f5d" userProvider="AD" userName="DELUCCA BOVICELLI Eugenio (SG-RECOVER)"/>
        <t:Anchor>
          <t:Comment id="699904676"/>
        </t:Anchor>
        <t:Assign userId="S::Olivier.COPPENS@ec.europa.eu::f35d86a1-57c7-49b3-86b4-db9ff4b1202c" userProvider="AD" userName="COPPENS Olivier (SG-RECOVER)"/>
      </t:Event>
      <t:Event id="{1EF7209C-1E5D-4B15-A055-00BB8995F93D}" time="2024-04-03T08:49:08.262Z">
        <t:Attribution userId="S::Eugenio.DELUCCA-BOVICELLI@ec.europa.eu::0851a5e1-d19b-4e61-bb1e-9b7ee7093f5d" userProvider="AD" userName="DELUCCA BOVICELLI Eugenio (SG-RECOVER)"/>
        <t:Anchor>
          <t:Comment id="699904676"/>
        </t:Anchor>
        <t:SetTitle title="@COPPENS Olivier (SG-RECOVER) @MAPELLI Marco (ECFIN) "/>
      </t:Event>
    </t:History>
  </t:Task>
  <t:Task id="{1DF3E9A7-C653-4F03-9EDE-DBAE22047BFC}">
    <t:Anchor>
      <t:Comment id="698633355"/>
    </t:Anchor>
    <t:History>
      <t:Event id="{456303D8-B901-4734-B96E-37728BAB4424}" time="2024-04-03T08:49:24.831Z">
        <t:Attribution userId="S::Eugenio.DELUCCA-BOVICELLI@ec.europa.eu::0851a5e1-d19b-4e61-bb1e-9b7ee7093f5d" userProvider="AD" userName="DELUCCA BOVICELLI Eugenio (SG-RECOVER)"/>
        <t:Anchor>
          <t:Comment id="699904692"/>
        </t:Anchor>
        <t:Create/>
      </t:Event>
      <t:Event id="{9E164575-A559-410C-B9F2-27209FCE1FE9}" time="2024-04-03T08:49:24.831Z">
        <t:Attribution userId="S::Eugenio.DELUCCA-BOVICELLI@ec.europa.eu::0851a5e1-d19b-4e61-bb1e-9b7ee7093f5d" userProvider="AD" userName="DELUCCA BOVICELLI Eugenio (SG-RECOVER)"/>
        <t:Anchor>
          <t:Comment id="699904692"/>
        </t:Anchor>
        <t:Assign userId="S::Olivier.COPPENS@ec.europa.eu::f35d86a1-57c7-49b3-86b4-db9ff4b1202c" userProvider="AD" userName="COPPENS Olivier (SG-RECOVER)"/>
      </t:Event>
      <t:Event id="{A1D0A0E2-3035-4F4F-B75B-132650217BDF}" time="2024-04-03T08:49:24.831Z">
        <t:Attribution userId="S::Eugenio.DELUCCA-BOVICELLI@ec.europa.eu::0851a5e1-d19b-4e61-bb1e-9b7ee7093f5d" userProvider="AD" userName="DELUCCA BOVICELLI Eugenio (SG-RECOVER)"/>
        <t:Anchor>
          <t:Comment id="699904692"/>
        </t:Anchor>
        <t:SetTitle title="@COPPENS Olivier (SG-RECOVER) @MAPELLI Marco (ECFIN) "/>
      </t:Event>
    </t:History>
  </t:Task>
  <t:Task id="{BD4A008E-4474-4FFC-ACED-2A040111E7B3}">
    <t:Anchor>
      <t:Comment id="698612130"/>
    </t:Anchor>
    <t:History>
      <t:Event id="{F554A944-C694-49E3-B69C-577F213569AE}" time="2024-04-03T09:05:49.868Z">
        <t:Attribution userId="S::Eugenio.DELUCCA-BOVICELLI@ec.europa.eu::0851a5e1-d19b-4e61-bb1e-9b7ee7093f5d" userProvider="AD" userName="DELUCCA BOVICELLI Eugenio (SG-RECOVER)"/>
        <t:Anchor>
          <t:Comment id="699905677"/>
        </t:Anchor>
        <t:Create/>
      </t:Event>
      <t:Event id="{A2EE4EFA-49FC-4DA9-9810-373888895FDC}" time="2024-04-03T09:05:49.868Z">
        <t:Attribution userId="S::Eugenio.DELUCCA-BOVICELLI@ec.europa.eu::0851a5e1-d19b-4e61-bb1e-9b7ee7093f5d" userProvider="AD" userName="DELUCCA BOVICELLI Eugenio (SG-RECOVER)"/>
        <t:Anchor>
          <t:Comment id="699905677"/>
        </t:Anchor>
        <t:Assign userId="S::Marco.MAPELLI@ec.europa.eu::9435c14f-c002-4e3e-a3fe-8ddeba22ee8c" userProvider="AD" userName="MAPELLI Marco (ECFIN)"/>
      </t:Event>
      <t:Event id="{410B9BF9-BC90-4B5B-8B79-07367C4F153B}" time="2024-04-03T09:05:49.868Z">
        <t:Attribution userId="S::Eugenio.DELUCCA-BOVICELLI@ec.europa.eu::0851a5e1-d19b-4e61-bb1e-9b7ee7093f5d" userProvider="AD" userName="DELUCCA BOVICELLI Eugenio (SG-RECOVER)"/>
        <t:Anchor>
          <t:Comment id="699905677"/>
        </t:Anchor>
        <t:SetTitle title="@MAPELLI Marco (ECFIN) "/>
      </t:Event>
    </t:History>
  </t:Task>
  <t:Task id="{1328BB3B-5806-4316-9D06-C8676C5B0691}">
    <t:Anchor>
      <t:Comment id="698612105"/>
    </t:Anchor>
    <t:History>
      <t:Event id="{E242B4C3-711E-4C9B-A429-E1E10B60272E}" time="2024-04-03T09:06:05.036Z">
        <t:Attribution userId="S::Eugenio.DELUCCA-BOVICELLI@ec.europa.eu::0851a5e1-d19b-4e61-bb1e-9b7ee7093f5d" userProvider="AD" userName="DELUCCA BOVICELLI Eugenio (SG-RECOVER)"/>
        <t:Anchor>
          <t:Comment id="699905693"/>
        </t:Anchor>
        <t:Create/>
      </t:Event>
      <t:Event id="{B40C6ECC-24E8-4498-B6A3-076682F9AA0E}" time="2024-04-03T09:06:05.036Z">
        <t:Attribution userId="S::Eugenio.DELUCCA-BOVICELLI@ec.europa.eu::0851a5e1-d19b-4e61-bb1e-9b7ee7093f5d" userProvider="AD" userName="DELUCCA BOVICELLI Eugenio (SG-RECOVER)"/>
        <t:Anchor>
          <t:Comment id="699905693"/>
        </t:Anchor>
        <t:Assign userId="S::Marco.MAPELLI@ec.europa.eu::9435c14f-c002-4e3e-a3fe-8ddeba22ee8c" userProvider="AD" userName="MAPELLI Marco (ECFIN)"/>
      </t:Event>
      <t:Event id="{382926AE-5FE6-42CB-ADD1-361CA9975261}" time="2024-04-03T09:06:05.036Z">
        <t:Attribution userId="S::Eugenio.DELUCCA-BOVICELLI@ec.europa.eu::0851a5e1-d19b-4e61-bb1e-9b7ee7093f5d" userProvider="AD" userName="DELUCCA BOVICELLI Eugenio (SG-RECOVER)"/>
        <t:Anchor>
          <t:Comment id="699905693"/>
        </t:Anchor>
        <t:SetTitle title="@MAPELLI Marco (ECFI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29" ma:contentTypeDescription="Create a new document." ma:contentTypeScope="" ma:versionID="cd73b62feeb1b339ab307b7236a6b550">
  <xsd:schema xmlns:xsd="http://www.w3.org/2001/XMLSchema" xmlns:xs="http://www.w3.org/2001/XMLSchema" xmlns:p="http://schemas.microsoft.com/office/2006/metadata/properties" xmlns:ns1="http://schemas.microsoft.com/sharepoint/v3" xmlns:ns2="1700ab43-7395-48ff-866c-657c86ba7f4e" xmlns:ns3="e6c3bc29-9e11-4027-900b-c73633d7928a" targetNamespace="http://schemas.microsoft.com/office/2006/metadata/properties" ma:root="true" ma:fieldsID="21c3afd3f7191363bd61b822ceb8aaac" ns1:_="" ns2:_="" ns3:_="">
    <xsd:import namespace="http://schemas.microsoft.com/sharepoint/v3"/>
    <xsd:import namespace="1700ab43-7395-48ff-866c-657c86ba7f4e"/>
    <xsd:import namespace="e6c3bc29-9e11-4027-900b-c73633d7928a"/>
    <xsd:element name="properties">
      <xsd:complexType>
        <xsd:sequence>
          <xsd:element name="documentManagement">
            <xsd:complexType>
              <xsd:all>
                <xsd:element ref="ns2:Status" minOccurs="0"/>
                <xsd:element ref="ns2:Deadline" minOccurs="0"/>
                <xsd:element ref="ns2:ISCreferencenumber" minOccurs="0"/>
                <xsd:element ref="ns2:Answersent" minOccurs="0"/>
                <xsd:element ref="ns2:Whoneedstoanswer" minOccurs="0"/>
                <xsd:element ref="ns2:Stage" minOccurs="0"/>
                <xsd:element ref="ns2:Level" minOccurs="0"/>
                <xsd:element ref="ns2:Scope" minOccurs="0"/>
                <xsd:element ref="ns2:Aresnumber" minOccurs="0"/>
                <xsd:element ref="ns3:SharedWithUsers" minOccurs="0"/>
                <xsd:element ref="ns3:SharedWithDetails" minOccurs="0"/>
                <xsd:element ref="ns2:MediaServiceMetadata" minOccurs="0"/>
                <xsd:element ref="ns2:MediaServiceFastMetadata" minOccurs="0"/>
                <xsd:element ref="ns2:MediaServiceAutoKeyPoints" minOccurs="0"/>
                <xsd:element ref="ns1:_ip_UnifiedCompliancePolicyProperties" minOccurs="0"/>
                <xsd:element ref="ns1:_ip_UnifiedCompliancePolicyUIAction"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ma:readOnly="false">
      <xsd:simpleType>
        <xsd:restriction base="dms:Note"/>
      </xsd:simpleType>
    </xsd:element>
    <xsd:element name="_ip_UnifiedCompliancePolicyUIAction" ma:index="24"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ma:readOnly="false">
      <xsd:simpleType>
        <xsd:restriction base="dms:Choice">
          <xsd:enumeration value="Ongoing"/>
          <xsd:enumeration value="Closed"/>
        </xsd:restriction>
      </xsd:simpleType>
    </xsd:element>
    <xsd:element name="Deadline" ma:index="3" nillable="true" ma:displayName="Deadline" ma:format="DateOnly" ma:internalName="Deadline" ma:readOnly="false">
      <xsd:simpleType>
        <xsd:restriction base="dms:DateTime"/>
      </xsd:simpleType>
    </xsd:element>
    <xsd:element name="ISCreferencenumber" ma:index="4" nillable="true" ma:displayName="ISC reference number" ma:format="Dropdown" ma:internalName="ISCreferencenumber" ma:readOnly="false">
      <xsd:simpleType>
        <xsd:restriction base="dms:Text">
          <xsd:maxLength value="255"/>
        </xsd:restriction>
      </xsd:simpleType>
    </xsd:element>
    <xsd:element name="Answersent" ma:index="5" nillable="true" ma:displayName="Answer sent" ma:default="0" ma:format="Dropdown" ma:internalName="Answersent" ma:readOnly="false">
      <xsd:simpleType>
        <xsd:restriction base="dms:Boolean"/>
      </xsd:simpleType>
    </xsd:element>
    <xsd:element name="Whoneedstoanswer" ma:index="6" nillable="true" ma:displayName="Who needs to answer" ma:description="please indicate who received the ISC" ma:format="Dropdown" ma:internalName="Whoneedstoanswer" ma:readOnly="false">
      <xsd:simpleType>
        <xsd:restriction base="dms:Choice">
          <xsd:enumeration value="ECFIN"/>
          <xsd:enumeration value="SG RECOVER"/>
          <xsd:enumeration value="Both"/>
        </xsd:restriction>
      </xsd:simpleType>
    </xsd:element>
    <xsd:element name="Stage" ma:index="7" nillable="true" ma:displayName="Phase" ma:format="Dropdown" ma:internalName="Stage" ma:readOnly="false">
      <xsd:complexType>
        <xsd:complexContent>
          <xsd:extension base="dms:MultiChoice">
            <xsd:sequence>
              <xsd:element name="Value" maxOccurs="unbounded" minOccurs="0" nillable="true">
                <xsd:simpleType>
                  <xsd:restriction base="dms:Choice">
                    <xsd:enumeration value="Preparation"/>
                    <xsd:enumeration value="1st payment request"/>
                    <xsd:enumeration value="3rd Payment request"/>
                    <xsd:enumeration value="4th Payment request"/>
                    <xsd:enumeration value="5th Payment request"/>
                    <xsd:enumeration value="6th Payment request"/>
                    <xsd:enumeration value="2nd payment request"/>
                  </xsd:restriction>
                </xsd:simpleType>
              </xsd:element>
            </xsd:sequence>
          </xsd:extension>
        </xsd:complexContent>
      </xsd:complexType>
    </xsd:element>
    <xsd:element name="Level" ma:index="8" nillable="true" ma:displayName="Level" ma:description="depending if E&amp;D attended" ma:format="Dropdown" ma:internalName="Level" ma:readOnly="false">
      <xsd:simpleType>
        <xsd:restriction base="dms:Choice">
          <xsd:enumeration value="Principals"/>
          <xsd:enumeration value="Technical"/>
        </xsd:restriction>
      </xsd:simpleType>
    </xsd:element>
    <xsd:element name="Scope" ma:index="9" nillable="true" ma:displayName="Scope" ma:format="Dropdown" ma:internalName="Scope" ma:readOnly="false">
      <xsd:simpleType>
        <xsd:restriction base="dms:Choice">
          <xsd:enumeration value="General"/>
          <xsd:enumeration value="Thematic"/>
        </xsd:restriction>
      </xsd:simpleType>
    </xsd:element>
    <xsd:element name="Aresnumber" ma:index="10" nillable="true" ma:displayName="Ares number" ma:format="Dropdown" ma:internalName="Aresnumber" ma:readOnly="false">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OCR" ma:index="32" nillable="true" ma:displayName="Extracted Text" ma:hidden="true" ma:internalName="MediaServiceOCR" ma:readOnly="true">
      <xsd:simpleType>
        <xsd:restriction base="dms:Note"/>
      </xsd:simpleType>
    </xsd:element>
    <xsd:element name="MediaServiceLocation" ma:index="33" nillable="true" ma:displayName="Location" ma:hidden="true" ma:indexed="true" ma:internalName="MediaServiceLocatio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bda955a7-c319-4d68-acea-690316db2eb1}" ma:internalName="TaxCatchAll" ma:readOnly="false"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esnumber xmlns="1700ab43-7395-48ff-866c-657c86ba7f4e" xsi:nil="true"/>
    <_ip_UnifiedCompliancePolicyUIAction xmlns="http://schemas.microsoft.com/sharepoint/v3" xsi:nil="true"/>
    <ISCreferencenumber xmlns="1700ab43-7395-48ff-866c-657c86ba7f4e" xsi:nil="true"/>
    <Status xmlns="1700ab43-7395-48ff-866c-657c86ba7f4e" xsi:nil="true"/>
    <Whoneedstoanswer xmlns="1700ab43-7395-48ff-866c-657c86ba7f4e" xsi:nil="true"/>
    <TaxCatchAll xmlns="e6c3bc29-9e11-4027-900b-c73633d7928a" xsi:nil="true"/>
    <Stage xmlns="1700ab43-7395-48ff-866c-657c86ba7f4e"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_ip_UnifiedCompliancePolicyProperties xmlns="http://schemas.microsoft.com/sharepoint/v3" xsi:nil="true"/>
    <Level xmlns="1700ab43-7395-48ff-866c-657c86ba7f4e" xsi:nil="true"/>
    <Deadline xmlns="1700ab43-7395-48ff-866c-657c86ba7f4e" xsi:nil="true"/>
    <Answersent xmlns="1700ab43-7395-48ff-866c-657c86ba7f4e">false</Answersent>
    <Scope xmlns="1700ab43-7395-48ff-866c-657c86ba7f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5C01-B2C6-4A18-A01F-834FE498C2AC}">
  <ds:schemaRefs>
    <ds:schemaRef ds:uri="http://schemas.microsoft.com/sharepoint/v3/contenttype/forms"/>
  </ds:schemaRefs>
</ds:datastoreItem>
</file>

<file path=customXml/itemProps2.xml><?xml version="1.0" encoding="utf-8"?>
<ds:datastoreItem xmlns:ds="http://schemas.openxmlformats.org/officeDocument/2006/customXml" ds:itemID="{FE4D9307-0585-4B8D-A975-EED0319C6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E831A-7C98-40EC-8D29-29ABCB98A064}">
  <ds:schemaRefs>
    <ds:schemaRef ds:uri="http://schemas.microsoft.com/office/2006/metadata/properties"/>
    <ds:schemaRef ds:uri="http://schemas.microsoft.com/office/infopath/2007/PartnerControls"/>
    <ds:schemaRef ds:uri="1700ab43-7395-48ff-866c-657c86ba7f4e"/>
    <ds:schemaRef ds:uri="http://schemas.microsoft.com/sharepoint/v3"/>
    <ds:schemaRef ds:uri="e6c3bc29-9e11-4027-900b-c73633d7928a"/>
  </ds:schemaRefs>
</ds:datastoreItem>
</file>

<file path=customXml/itemProps4.xml><?xml version="1.0" encoding="utf-8"?>
<ds:datastoreItem xmlns:ds="http://schemas.openxmlformats.org/officeDocument/2006/customXml" ds:itemID="{C4C7CBC0-4EB7-416E-91AD-F54820C61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9</Pages>
  <Words>139130</Words>
  <Characters>793046</Characters>
  <Application>Microsoft Office Word</Application>
  <DocSecurity>0</DocSecurity>
  <Lines>6608</Lines>
  <Paragraphs>1860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930316</CharactersWithSpaces>
  <SharedDoc>false</SharedDoc>
  <HLinks>
    <vt:vector size="138" baseType="variant">
      <vt:variant>
        <vt:i4>3866668</vt:i4>
      </vt:variant>
      <vt:variant>
        <vt:i4>6</vt:i4>
      </vt:variant>
      <vt:variant>
        <vt:i4>0</vt:i4>
      </vt:variant>
      <vt:variant>
        <vt:i4>5</vt:i4>
      </vt:variant>
      <vt:variant>
        <vt:lpwstr>http://www.syllabus.gov.it/</vt:lpwstr>
      </vt:variant>
      <vt:variant>
        <vt:lpwstr/>
      </vt:variant>
      <vt:variant>
        <vt:i4>6815780</vt:i4>
      </vt:variant>
      <vt:variant>
        <vt:i4>3</vt:i4>
      </vt:variant>
      <vt:variant>
        <vt:i4>0</vt:i4>
      </vt:variant>
      <vt:variant>
        <vt:i4>5</vt:i4>
      </vt:variant>
      <vt:variant>
        <vt:lpwstr>http://www.inps.it/</vt:lpwstr>
      </vt:variant>
      <vt:variant>
        <vt:lpwstr/>
      </vt:variant>
      <vt:variant>
        <vt:i4>6815780</vt:i4>
      </vt:variant>
      <vt:variant>
        <vt:i4>0</vt:i4>
      </vt:variant>
      <vt:variant>
        <vt:i4>0</vt:i4>
      </vt:variant>
      <vt:variant>
        <vt:i4>5</vt:i4>
      </vt:variant>
      <vt:variant>
        <vt:lpwstr>http://www.inps.it/</vt:lpwstr>
      </vt:variant>
      <vt:variant>
        <vt:lpwstr/>
      </vt:variant>
      <vt:variant>
        <vt:i4>196719</vt:i4>
      </vt:variant>
      <vt:variant>
        <vt:i4>57</vt:i4>
      </vt:variant>
      <vt:variant>
        <vt:i4>0</vt:i4>
      </vt:variant>
      <vt:variant>
        <vt:i4>5</vt:i4>
      </vt:variant>
      <vt:variant>
        <vt:lpwstr>mailto:Barbara.BERNARDI1@ec.europa.eu</vt:lpwstr>
      </vt:variant>
      <vt:variant>
        <vt:lpwstr/>
      </vt:variant>
      <vt:variant>
        <vt:i4>6094897</vt:i4>
      </vt:variant>
      <vt:variant>
        <vt:i4>54</vt:i4>
      </vt:variant>
      <vt:variant>
        <vt:i4>0</vt:i4>
      </vt:variant>
      <vt:variant>
        <vt:i4>5</vt:i4>
      </vt:variant>
      <vt:variant>
        <vt:lpwstr>mailto:Francesco.ROSSI-SALVEMINI@ec.europa.eu</vt:lpwstr>
      </vt:variant>
      <vt:variant>
        <vt:lpwstr/>
      </vt:variant>
      <vt:variant>
        <vt:i4>6684753</vt:i4>
      </vt:variant>
      <vt:variant>
        <vt:i4>51</vt:i4>
      </vt:variant>
      <vt:variant>
        <vt:i4>0</vt:i4>
      </vt:variant>
      <vt:variant>
        <vt:i4>5</vt:i4>
      </vt:variant>
      <vt:variant>
        <vt:lpwstr>mailto:Elena.GIOVINAZZI@ec.europa.eu</vt:lpwstr>
      </vt:variant>
      <vt:variant>
        <vt:lpwstr/>
      </vt:variant>
      <vt:variant>
        <vt:i4>4980774</vt:i4>
      </vt:variant>
      <vt:variant>
        <vt:i4>48</vt:i4>
      </vt:variant>
      <vt:variant>
        <vt:i4>0</vt:i4>
      </vt:variant>
      <vt:variant>
        <vt:i4>5</vt:i4>
      </vt:variant>
      <vt:variant>
        <vt:lpwstr>mailto:Eugenio.DELUCCA-BOVICELLI@ec.europa.eu</vt:lpwstr>
      </vt:variant>
      <vt:variant>
        <vt:lpwstr/>
      </vt:variant>
      <vt:variant>
        <vt:i4>6684753</vt:i4>
      </vt:variant>
      <vt:variant>
        <vt:i4>45</vt:i4>
      </vt:variant>
      <vt:variant>
        <vt:i4>0</vt:i4>
      </vt:variant>
      <vt:variant>
        <vt:i4>5</vt:i4>
      </vt:variant>
      <vt:variant>
        <vt:lpwstr>mailto:Elena.GIOVINAZZI@ec.europa.eu</vt:lpwstr>
      </vt:variant>
      <vt:variant>
        <vt:lpwstr/>
      </vt:variant>
      <vt:variant>
        <vt:i4>4980774</vt:i4>
      </vt:variant>
      <vt:variant>
        <vt:i4>42</vt:i4>
      </vt:variant>
      <vt:variant>
        <vt:i4>0</vt:i4>
      </vt:variant>
      <vt:variant>
        <vt:i4>5</vt:i4>
      </vt:variant>
      <vt:variant>
        <vt:lpwstr>mailto:Eugenio.DELUCCA-BOVICELLI@ec.europa.eu</vt:lpwstr>
      </vt:variant>
      <vt:variant>
        <vt:lpwstr/>
      </vt:variant>
      <vt:variant>
        <vt:i4>6684753</vt:i4>
      </vt:variant>
      <vt:variant>
        <vt:i4>39</vt:i4>
      </vt:variant>
      <vt:variant>
        <vt:i4>0</vt:i4>
      </vt:variant>
      <vt:variant>
        <vt:i4>5</vt:i4>
      </vt:variant>
      <vt:variant>
        <vt:lpwstr>mailto:Elena.GIOVINAZZI@ec.europa.eu</vt:lpwstr>
      </vt:variant>
      <vt:variant>
        <vt:lpwstr/>
      </vt:variant>
      <vt:variant>
        <vt:i4>4980774</vt:i4>
      </vt:variant>
      <vt:variant>
        <vt:i4>36</vt:i4>
      </vt:variant>
      <vt:variant>
        <vt:i4>0</vt:i4>
      </vt:variant>
      <vt:variant>
        <vt:i4>5</vt:i4>
      </vt:variant>
      <vt:variant>
        <vt:lpwstr>mailto:Eugenio.DELUCCA-BOVICELLI@ec.europa.eu</vt:lpwstr>
      </vt:variant>
      <vt:variant>
        <vt:lpwstr/>
      </vt:variant>
      <vt:variant>
        <vt:i4>6684753</vt:i4>
      </vt:variant>
      <vt:variant>
        <vt:i4>33</vt:i4>
      </vt:variant>
      <vt:variant>
        <vt:i4>0</vt:i4>
      </vt:variant>
      <vt:variant>
        <vt:i4>5</vt:i4>
      </vt:variant>
      <vt:variant>
        <vt:lpwstr>mailto:Elena.GIOVINAZZI@ec.europa.eu</vt:lpwstr>
      </vt:variant>
      <vt:variant>
        <vt:lpwstr/>
      </vt:variant>
      <vt:variant>
        <vt:i4>4980774</vt:i4>
      </vt:variant>
      <vt:variant>
        <vt:i4>30</vt:i4>
      </vt:variant>
      <vt:variant>
        <vt:i4>0</vt:i4>
      </vt:variant>
      <vt:variant>
        <vt:i4>5</vt:i4>
      </vt:variant>
      <vt:variant>
        <vt:lpwstr>mailto:Eugenio.DELUCCA-BOVICELLI@ec.europa.eu</vt:lpwstr>
      </vt:variant>
      <vt:variant>
        <vt:lpwstr/>
      </vt:variant>
      <vt:variant>
        <vt:i4>4980774</vt:i4>
      </vt:variant>
      <vt:variant>
        <vt:i4>27</vt:i4>
      </vt:variant>
      <vt:variant>
        <vt:i4>0</vt:i4>
      </vt:variant>
      <vt:variant>
        <vt:i4>5</vt:i4>
      </vt:variant>
      <vt:variant>
        <vt:lpwstr>mailto:Eugenio.DELUCCA-BOVICELLI@ec.europa.eu</vt:lpwstr>
      </vt:variant>
      <vt:variant>
        <vt:lpwstr/>
      </vt:variant>
      <vt:variant>
        <vt:i4>5963810</vt:i4>
      </vt:variant>
      <vt:variant>
        <vt:i4>24</vt:i4>
      </vt:variant>
      <vt:variant>
        <vt:i4>0</vt:i4>
      </vt:variant>
      <vt:variant>
        <vt:i4>5</vt:i4>
      </vt:variant>
      <vt:variant>
        <vt:lpwstr>mailto:Giuseppe.MALGERI1@ec.europa.eu</vt:lpwstr>
      </vt:variant>
      <vt:variant>
        <vt:lpwstr/>
      </vt:variant>
      <vt:variant>
        <vt:i4>5308527</vt:i4>
      </vt:variant>
      <vt:variant>
        <vt:i4>21</vt:i4>
      </vt:variant>
      <vt:variant>
        <vt:i4>0</vt:i4>
      </vt:variant>
      <vt:variant>
        <vt:i4>5</vt:i4>
      </vt:variant>
      <vt:variant>
        <vt:lpwstr>mailto:Andrea.COLOMBO@ec.europa.eu</vt:lpwstr>
      </vt:variant>
      <vt:variant>
        <vt:lpwstr/>
      </vt:variant>
      <vt:variant>
        <vt:i4>4980774</vt:i4>
      </vt:variant>
      <vt:variant>
        <vt:i4>18</vt:i4>
      </vt:variant>
      <vt:variant>
        <vt:i4>0</vt:i4>
      </vt:variant>
      <vt:variant>
        <vt:i4>5</vt:i4>
      </vt:variant>
      <vt:variant>
        <vt:lpwstr>mailto:Eugenio.DELUCCA-BOVICELLI@ec.europa.eu</vt:lpwstr>
      </vt:variant>
      <vt:variant>
        <vt:lpwstr/>
      </vt:variant>
      <vt:variant>
        <vt:i4>6684753</vt:i4>
      </vt:variant>
      <vt:variant>
        <vt:i4>15</vt:i4>
      </vt:variant>
      <vt:variant>
        <vt:i4>0</vt:i4>
      </vt:variant>
      <vt:variant>
        <vt:i4>5</vt:i4>
      </vt:variant>
      <vt:variant>
        <vt:lpwstr>mailto:Elena.GIOVINAZZI@ec.europa.eu</vt:lpwstr>
      </vt:variant>
      <vt:variant>
        <vt:lpwstr/>
      </vt:variant>
      <vt:variant>
        <vt:i4>4980774</vt:i4>
      </vt:variant>
      <vt:variant>
        <vt:i4>12</vt:i4>
      </vt:variant>
      <vt:variant>
        <vt:i4>0</vt:i4>
      </vt:variant>
      <vt:variant>
        <vt:i4>5</vt:i4>
      </vt:variant>
      <vt:variant>
        <vt:lpwstr>mailto:Eugenio.DELUCCA-BOVICELLI@ec.europa.eu</vt:lpwstr>
      </vt:variant>
      <vt:variant>
        <vt:lpwstr/>
      </vt:variant>
      <vt:variant>
        <vt:i4>6684753</vt:i4>
      </vt:variant>
      <vt:variant>
        <vt:i4>9</vt:i4>
      </vt:variant>
      <vt:variant>
        <vt:i4>0</vt:i4>
      </vt:variant>
      <vt:variant>
        <vt:i4>5</vt:i4>
      </vt:variant>
      <vt:variant>
        <vt:lpwstr>mailto:Elena.GIOVINAZZI@ec.europa.eu</vt:lpwstr>
      </vt:variant>
      <vt:variant>
        <vt:lpwstr/>
      </vt:variant>
      <vt:variant>
        <vt:i4>4980774</vt:i4>
      </vt:variant>
      <vt:variant>
        <vt:i4>6</vt:i4>
      </vt:variant>
      <vt:variant>
        <vt:i4>0</vt:i4>
      </vt:variant>
      <vt:variant>
        <vt:i4>5</vt:i4>
      </vt:variant>
      <vt:variant>
        <vt:lpwstr>mailto:Eugenio.DELUCCA-BOVICELLI@ec.europa.eu</vt:lpwstr>
      </vt:variant>
      <vt:variant>
        <vt:lpwstr/>
      </vt:variant>
      <vt:variant>
        <vt:i4>6684753</vt:i4>
      </vt:variant>
      <vt:variant>
        <vt:i4>3</vt:i4>
      </vt:variant>
      <vt:variant>
        <vt:i4>0</vt:i4>
      </vt:variant>
      <vt:variant>
        <vt:i4>5</vt:i4>
      </vt:variant>
      <vt:variant>
        <vt:lpwstr>mailto:Elena.GIOVINAZZI@ec.europa.eu</vt:lpwstr>
      </vt:variant>
      <vt:variant>
        <vt:lpwstr/>
      </vt:variant>
      <vt:variant>
        <vt:i4>4980774</vt:i4>
      </vt:variant>
      <vt:variant>
        <vt:i4>0</vt:i4>
      </vt:variant>
      <vt:variant>
        <vt:i4>0</vt:i4>
      </vt:variant>
      <vt:variant>
        <vt:i4>5</vt:i4>
      </vt:variant>
      <vt:variant>
        <vt:lpwstr>mailto:Eugenio.DELUCCA-BOVICELLI@ec.europa.eu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DELUCCA BOVICELLI Eugenio (SG-RECOVER)</dc:creator>
  <cp:keywords/>
  <dc:description/>
  <cp:lastModifiedBy>EC CoDe</cp:lastModifiedBy>
  <cp:revision>58</cp:revision>
  <dcterms:created xsi:type="dcterms:W3CDTF">2024-04-25T05:41:00Z</dcterms:created>
  <dcterms:modified xsi:type="dcterms:W3CDTF">2024-04-29T10:56:00Z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2024-03-15T15:51:56Z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05e411bb-5c95-4a77-b086-ae53c9cbafaa</vt:lpwstr>
  </property>
  <property fmtid="{D5CDD505-2E9C-101B-9397-08002B2CF9AE}" pid="8" name="MSIP_Label_6bd9ddd1-4d20-43f6-abfa-fc3c07406f94_ContentBits">
    <vt:lpwstr>0</vt:lpwstr>
  </property>
  <property fmtid="{D5CDD505-2E9C-101B-9397-08002B2CF9AE}" pid="9" name="ContentTypeId">
    <vt:lpwstr>0x01010062094E9F29D6C04F85860C631ABC812A</vt:lpwstr>
  </property>
  <property fmtid="{D5CDD505-2E9C-101B-9397-08002B2CF9AE}" pid="10" name="MediaServiceImageTags">
    <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