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99843" w14:textId="43B972D3" w:rsidR="00593F6B" w:rsidRPr="00B846B0" w:rsidRDefault="00E2275E" w:rsidP="00E2275E">
      <w:pPr>
        <w:pStyle w:val="Pagedecouverture"/>
        <w:rPr>
          <w:noProof/>
        </w:rPr>
      </w:pPr>
      <w:bookmarkStart w:id="0" w:name="LW_BM_COVERPAGE"/>
      <w:r>
        <w:rPr>
          <w:noProof/>
        </w:rPr>
        <w:pict w14:anchorId="25349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E19D5B4-D1FB-4B85-B968-E5D23E5A6FDC" style="width:455.25pt;height:310.5pt">
            <v:imagedata r:id="rId8" o:title=""/>
          </v:shape>
        </w:pict>
      </w:r>
    </w:p>
    <w:bookmarkEnd w:id="0"/>
    <w:p w14:paraId="56F2F78A" w14:textId="77777777" w:rsidR="003D5244" w:rsidRPr="00B846B0" w:rsidRDefault="003D5244" w:rsidP="003D5244">
      <w:pPr>
        <w:rPr>
          <w:noProof/>
        </w:rPr>
        <w:sectPr w:rsidR="003D5244" w:rsidRPr="00B846B0" w:rsidSect="00E2275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420F41A0" w14:textId="77777777" w:rsidR="003D5244" w:rsidRPr="00B846B0" w:rsidRDefault="003D5244" w:rsidP="008802F3">
      <w:pPr>
        <w:spacing w:after="120"/>
        <w:rPr>
          <w:b/>
          <w:noProof/>
          <w:u w:val="single"/>
        </w:rPr>
      </w:pPr>
      <w:bookmarkStart w:id="1" w:name="_GoBack"/>
      <w:bookmarkEnd w:id="1"/>
      <w:r>
        <w:rPr>
          <w:b/>
          <w:noProof/>
          <w:u w:val="single"/>
        </w:rPr>
        <w:lastRenderedPageBreak/>
        <w:t xml:space="preserve">1. Ievads </w:t>
      </w:r>
    </w:p>
    <w:p w14:paraId="67A136F0" w14:textId="52FD9B2A" w:rsidR="00607CDD" w:rsidRPr="004968F4" w:rsidRDefault="003D5244" w:rsidP="008802F3">
      <w:pPr>
        <w:tabs>
          <w:tab w:val="left" w:pos="7875"/>
        </w:tabs>
        <w:spacing w:after="120"/>
        <w:jc w:val="both"/>
        <w:rPr>
          <w:noProof/>
        </w:rPr>
      </w:pPr>
      <w:r>
        <w:rPr>
          <w:noProof/>
        </w:rPr>
        <w:t>Šis 2021. gada pārskats par oficiāli atbalstītu eksporta kredītu jomas darbībām ir sagatavots saskaņā ar Eiropas Parlamenta un Padomes 2011. gada 16. novembra Regulu (ES) Nr. 1233/2011 par dažu pamatnostādņu piemērošanu oficiāli atbalstītu eksporta kredītu jomā. Tas attiecas uz oficiāli atbalstītu eksporta kredītu jomas darbībām, ko veic dalībvalstu eksporta kredītu aģentūras (EKA), un tā pamatā ir informācija, kuru dalībvalstis sniegušas gada darbības ziņojumos, ko tās arī saskaņā ar regulu dara pieejamus Komisijai. Ziņojumi atbilst standartizētai veidnei (tā saukta arī par “kontrolsaraksta veidni”), kas laika gaitā ir pārskatīta un papildināta. Jaunākais veidnes atjauninājums, kas piemērojams kopš 2020. pārskata gada, ietver sīkāku informāciju par cilvēktiesībām, klimata pārmaiņām un vides aizsardzību.</w:t>
      </w:r>
    </w:p>
    <w:p w14:paraId="67862E1C" w14:textId="1DEEB003" w:rsidR="003D5244" w:rsidRPr="004968F4" w:rsidRDefault="003D5244" w:rsidP="008802F3">
      <w:pPr>
        <w:spacing w:after="120"/>
        <w:rPr>
          <w:b/>
          <w:noProof/>
          <w:u w:val="single"/>
        </w:rPr>
      </w:pPr>
      <w:r>
        <w:rPr>
          <w:b/>
          <w:noProof/>
          <w:u w:val="single"/>
        </w:rPr>
        <w:t>2. Par 2021. kalendāro gadu saņemtie gada darbības ziņojumi</w:t>
      </w:r>
    </w:p>
    <w:p w14:paraId="0A36BF15" w14:textId="149FA39F" w:rsidR="007B490E" w:rsidRPr="004968F4" w:rsidRDefault="006B6567" w:rsidP="008802F3">
      <w:pPr>
        <w:spacing w:after="120"/>
        <w:jc w:val="both"/>
        <w:rPr>
          <w:noProof/>
        </w:rPr>
      </w:pPr>
      <w:r>
        <w:rPr>
          <w:noProof/>
        </w:rPr>
        <w:t>Oficiāli atbalstītus eksporta kredītus Vienošanās par oficiāli atbalstītiem eksporta kredītiem piemērošanas jomā 2021. gadā sniedza divdesmit turpmāk minētās dalībvalstis, kuras arī iesniedza gada darbības ziņojumu par 2021. gadu: Austrija, Beļģija, Čehija, Dānija, Francija, Horvātija, Igaunija, Itālija, Luksemburga, Nīderlande, Polija, Portugāle, Rumānija, Slovēnija, Slovākija, Somija, Spānija, Ungārija, Vācija un Zviedrija.</w:t>
      </w:r>
    </w:p>
    <w:p w14:paraId="29080AFA" w14:textId="15E301CA" w:rsidR="006B6567" w:rsidRPr="004968F4" w:rsidRDefault="00727F2A" w:rsidP="008802F3">
      <w:pPr>
        <w:spacing w:after="120"/>
        <w:jc w:val="both"/>
        <w:rPr>
          <w:noProof/>
        </w:rPr>
      </w:pPr>
      <w:r>
        <w:rPr>
          <w:noProof/>
        </w:rPr>
        <w:t>Pārējās dalībvalstis – Bulgārija, Kipra, Grieķija, Īrija, Latvija, Lietuva un Malta – apstiprināja, ka pārskata gadā tās nav sniegušas oficiāli atbalstītus eksporta kredītus.</w:t>
      </w:r>
    </w:p>
    <w:p w14:paraId="18DDBA5C" w14:textId="77777777" w:rsidR="003D5244" w:rsidRPr="004968F4" w:rsidRDefault="003D5244" w:rsidP="008802F3">
      <w:pPr>
        <w:spacing w:after="120"/>
        <w:rPr>
          <w:b/>
          <w:noProof/>
          <w:u w:val="single"/>
        </w:rPr>
      </w:pPr>
      <w:r>
        <w:rPr>
          <w:b/>
          <w:noProof/>
          <w:u w:val="single"/>
        </w:rPr>
        <w:t>3. Gada darbības ziņojumu analīze</w:t>
      </w:r>
    </w:p>
    <w:p w14:paraId="4D042133" w14:textId="77777777" w:rsidR="003D5244" w:rsidRPr="004968F4" w:rsidRDefault="003D5244" w:rsidP="008802F3">
      <w:pPr>
        <w:pStyle w:val="ListParagraph"/>
        <w:numPr>
          <w:ilvl w:val="0"/>
          <w:numId w:val="1"/>
        </w:numPr>
        <w:spacing w:after="120"/>
        <w:jc w:val="both"/>
        <w:rPr>
          <w:b/>
          <w:noProof/>
        </w:rPr>
      </w:pPr>
      <w:r>
        <w:rPr>
          <w:b/>
          <w:noProof/>
        </w:rPr>
        <w:t>Vispārīga informācija</w:t>
      </w:r>
    </w:p>
    <w:p w14:paraId="1B17EA16" w14:textId="526CB09D" w:rsidR="00553D1B" w:rsidRPr="00B846B0" w:rsidRDefault="00EF1468" w:rsidP="008802F3">
      <w:pPr>
        <w:spacing w:after="120"/>
        <w:jc w:val="both"/>
        <w:rPr>
          <w:noProof/>
        </w:rPr>
      </w:pPr>
      <w:r>
        <w:rPr>
          <w:noProof/>
        </w:rPr>
        <w:t>Visas divdesmit dalībvalstis, kas 2021. gadā sniedza oficiāli atbalstītus eksporta kredītus, bija tīrā seguma nodrošinātājas, proti, tie bija eksporta kredīti garantiju un/vai apdrošināšanas produktu veidā. Trīspadsmit no šīm dalībvalstīm (Beļģija, Horvātija, Čehija, Dānija, Somija, Francija, Vācija, Ungārija, Itālija, Polija, Slovākija, Spānija un Zviedrija) bija oficiāla finansējuma atbalsta sniedzējas, proti, tā bija tieša finansēšana, eksporta darījumiem paredzētu komerciālu aizdevumu refinansēšana vai procentu likmju atbalsts. Neliels skaits dalībvalstu (Austrija, Ungārija, Portugāle, Polija, Spānija) paziņoja, ka tās ir sniegušas saistīto atbalstu – tas ir eksporta kredītu veids ar koncesijas elementu, ko reglamentē ESAO vienošanās.</w:t>
      </w:r>
    </w:p>
    <w:p w14:paraId="2D31FC57" w14:textId="49CE2928" w:rsidR="00AC5F2C" w:rsidRPr="00727F2A" w:rsidRDefault="00F60499" w:rsidP="008802F3">
      <w:pPr>
        <w:spacing w:after="120"/>
        <w:jc w:val="both"/>
        <w:rPr>
          <w:noProof/>
        </w:rPr>
      </w:pPr>
      <w:r>
        <w:rPr>
          <w:noProof/>
        </w:rPr>
        <w:t>Vienošanās par oficiāli atbalstītiem eksporta kredītiem un ESAO ieteikumi par to, kā novērst riskus, kas saistīti ar oficiāli atbalstītiem eksporta kredītiem, nodrošina prakses saskaņošanu visā ES. Šajā satvarā valdības izstrādā savu politiku. Lielākajai daļai EKA ir noteikumi, kas papildina ESAO pamatnostādņu noteikumus, piemēram, par valsts un vietējo saturu, un stingrāki standarti, lai citstarp atspoguļotu savu valsts politiku un starptautiskās saistības, īpaši klimata aizsardzības jomā. Dažas EKA izvēlas piedāvāt programmas, kas pielāgotas konkrētām nozarēm vai konkrētiem mērķiem. Tādējādi var tikt atspoguļota ESAO vienošanās ietvertu atsevišķu nozaru vienošanos, kopapdrošināšanas struktūru vai stratēģisko ieviržu specifika.</w:t>
      </w:r>
    </w:p>
    <w:p w14:paraId="4EBAA497" w14:textId="56A3DB22" w:rsidR="00AC5F2C" w:rsidRDefault="00EF4337" w:rsidP="008802F3">
      <w:pPr>
        <w:spacing w:after="120"/>
        <w:jc w:val="both"/>
        <w:rPr>
          <w:noProof/>
        </w:rPr>
      </w:pPr>
      <w:r>
        <w:rPr>
          <w:noProof/>
        </w:rPr>
        <w:t xml:space="preserve">Dažādu EKA organizatoriskā struktūra un nodrošinājuma piedāvāšanas pārvaldība ES atšķiras. Oficiāli atbalstītus eksporta kredītus ES pārvalda vairāk nekā divdesmit sešas struktūras – vai nu valsts aģentūras, vai privāti uzņēmumi, kas darbojas saskaņā ar valsts pilnvarām un valdības uzraudzībā. Tās ir uzskaitītas 1. pielikumā. Dalībvalstīs, kas nodrošina gan segumu, gan finanses, parasti ir atsevišķa, īpaši šim mērķim veidota institūcija, kas strādā ar finansēm; dažkārt to sauc par </w:t>
      </w:r>
      <w:r>
        <w:rPr>
          <w:i/>
          <w:noProof/>
        </w:rPr>
        <w:t>EXIM</w:t>
      </w:r>
      <w:r>
        <w:rPr>
          <w:noProof/>
        </w:rPr>
        <w:t xml:space="preserve"> (eksporta–importa) banku.</w:t>
      </w:r>
    </w:p>
    <w:p w14:paraId="2DEED54A" w14:textId="77777777" w:rsidR="003F67FC" w:rsidRPr="00727F2A" w:rsidRDefault="003F67FC" w:rsidP="008802F3">
      <w:pPr>
        <w:spacing w:after="120"/>
        <w:jc w:val="both"/>
        <w:rPr>
          <w:noProof/>
        </w:rPr>
      </w:pPr>
    </w:p>
    <w:p w14:paraId="070F3B4F" w14:textId="77777777" w:rsidR="004A0610" w:rsidRPr="00727F2A" w:rsidRDefault="00443CDB" w:rsidP="008802F3">
      <w:pPr>
        <w:pStyle w:val="ListParagraph"/>
        <w:numPr>
          <w:ilvl w:val="0"/>
          <w:numId w:val="1"/>
        </w:numPr>
        <w:spacing w:after="120"/>
        <w:jc w:val="both"/>
        <w:rPr>
          <w:b/>
          <w:noProof/>
        </w:rPr>
      </w:pPr>
      <w:r>
        <w:rPr>
          <w:b/>
          <w:noProof/>
        </w:rPr>
        <w:t>Oficiālā atbalsta apjoms</w:t>
      </w:r>
    </w:p>
    <w:p w14:paraId="65E4262E" w14:textId="22107A02" w:rsidR="00443CDB" w:rsidRPr="00727F2A" w:rsidRDefault="00443CDB" w:rsidP="008802F3">
      <w:pPr>
        <w:spacing w:after="120"/>
        <w:jc w:val="both"/>
        <w:rPr>
          <w:noProof/>
        </w:rPr>
      </w:pPr>
      <w:r>
        <w:rPr>
          <w:noProof/>
        </w:rPr>
        <w:lastRenderedPageBreak/>
        <w:t>Gada darbības ziņojumos ir sniegta attiecīgā finanšu informācija par EKA sniegto oficiālo atbalstu saskaņā ar dalībvalstu attiecīgajām tiesību normām un organizatorisko struktūru. Komisijai nav nekādu piezīmju par 2021. gada darbības ziņojumu finansiālajiem aspektiem. Tas neskar to dalībvalstu iestāžu prerogatīvas, kuras veic valsts eksporta kredītu programmu uzraudzību.</w:t>
      </w:r>
    </w:p>
    <w:p w14:paraId="2F324F87" w14:textId="6D2572A5" w:rsidR="003D5244" w:rsidRPr="00727F2A" w:rsidRDefault="004B3274" w:rsidP="008802F3">
      <w:pPr>
        <w:spacing w:after="120"/>
        <w:jc w:val="both"/>
        <w:rPr>
          <w:noProof/>
        </w:rPr>
      </w:pPr>
      <w:r>
        <w:rPr>
          <w:noProof/>
        </w:rPr>
        <w:t>Attiecībā uz oficiālu atbalstu tīrā seguma veidā turpmāk sniegtajā tabulā ir uzskaitīta kopējā nominālā riska darījumu vērtība lielākajiem sniedzējiem Eiropas Savienībā 2021. gada 31. decembrī.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510"/>
      </w:tblGrid>
      <w:tr w:rsidR="00930F6D" w:rsidRPr="00727F2A" w14:paraId="634CAFC5" w14:textId="77777777" w:rsidTr="008277BF">
        <w:tc>
          <w:tcPr>
            <w:tcW w:w="9288" w:type="dxa"/>
            <w:gridSpan w:val="2"/>
            <w:shd w:val="clear" w:color="auto" w:fill="44546A"/>
          </w:tcPr>
          <w:p w14:paraId="7F43A5B5" w14:textId="60CA9032" w:rsidR="003D5244" w:rsidRPr="00727F2A" w:rsidRDefault="003D5244" w:rsidP="008802F3">
            <w:pPr>
              <w:spacing w:after="60"/>
              <w:jc w:val="center"/>
              <w:rPr>
                <w:b/>
                <w:noProof/>
                <w:color w:val="FFFFFF" w:themeColor="background1"/>
              </w:rPr>
            </w:pPr>
            <w:r>
              <w:rPr>
                <w:b/>
                <w:noProof/>
                <w:color w:val="FFFFFF" w:themeColor="background1"/>
              </w:rPr>
              <w:t>1. tabula. Oficiāls atbalsts tīrā seguma veidā 2021. gadā (mljrd. EUR)</w:t>
            </w:r>
          </w:p>
          <w:p w14:paraId="6139039E" w14:textId="77777777" w:rsidR="003D5244" w:rsidRPr="00727F2A" w:rsidRDefault="003D5244" w:rsidP="008802F3">
            <w:pPr>
              <w:spacing w:after="60"/>
              <w:jc w:val="center"/>
              <w:rPr>
                <w:b/>
                <w:noProof/>
                <w:color w:val="FF0000"/>
                <w:sz w:val="20"/>
                <w:szCs w:val="20"/>
              </w:rPr>
            </w:pPr>
            <w:r>
              <w:rPr>
                <w:b/>
                <w:noProof/>
                <w:color w:val="FFFFFF" w:themeColor="background1"/>
                <w:sz w:val="20"/>
              </w:rPr>
              <w:t>Nozīmīgākie ES spēlētāji pēc kopējā nominālā riska</w:t>
            </w:r>
          </w:p>
        </w:tc>
      </w:tr>
      <w:tr w:rsidR="004970B9" w:rsidRPr="00727F2A" w14:paraId="6E544A3D" w14:textId="77777777" w:rsidTr="008277BF">
        <w:tc>
          <w:tcPr>
            <w:tcW w:w="5778" w:type="dxa"/>
            <w:shd w:val="clear" w:color="auto" w:fill="BFBFBF" w:themeFill="background1" w:themeFillShade="BF"/>
            <w:vAlign w:val="center"/>
          </w:tcPr>
          <w:p w14:paraId="0FFFFD93" w14:textId="560AB5A4" w:rsidR="004970B9" w:rsidRPr="00727F2A" w:rsidRDefault="004970B9" w:rsidP="008802F3">
            <w:pPr>
              <w:spacing w:after="60"/>
              <w:ind w:left="1440"/>
              <w:rPr>
                <w:i/>
                <w:noProof/>
              </w:rPr>
            </w:pPr>
            <w:r>
              <w:rPr>
                <w:i/>
                <w:noProof/>
                <w:color w:val="000000"/>
              </w:rPr>
              <w:t>Kopējais tīrā seguma darījumu riska apjoms ES</w:t>
            </w:r>
          </w:p>
        </w:tc>
        <w:tc>
          <w:tcPr>
            <w:tcW w:w="3510" w:type="dxa"/>
            <w:shd w:val="clear" w:color="auto" w:fill="BFBFBF" w:themeFill="background1" w:themeFillShade="BF"/>
            <w:vAlign w:val="center"/>
          </w:tcPr>
          <w:p w14:paraId="6AAF9E2E" w14:textId="779BDB8A" w:rsidR="004970B9" w:rsidRPr="00727F2A" w:rsidRDefault="004970B9" w:rsidP="008802F3">
            <w:pPr>
              <w:spacing w:after="60"/>
              <w:jc w:val="center"/>
              <w:rPr>
                <w:i/>
                <w:noProof/>
              </w:rPr>
            </w:pPr>
            <w:r>
              <w:rPr>
                <w:i/>
                <w:noProof/>
                <w:color w:val="000000"/>
              </w:rPr>
              <w:t>340</w:t>
            </w:r>
          </w:p>
        </w:tc>
      </w:tr>
      <w:tr w:rsidR="004970B9" w:rsidRPr="00727F2A" w14:paraId="718B9037" w14:textId="77777777" w:rsidTr="008277BF">
        <w:tc>
          <w:tcPr>
            <w:tcW w:w="5778" w:type="dxa"/>
            <w:shd w:val="clear" w:color="auto" w:fill="auto"/>
          </w:tcPr>
          <w:p w14:paraId="32B0E5D8" w14:textId="77777777" w:rsidR="004970B9" w:rsidRPr="00727F2A" w:rsidRDefault="004970B9" w:rsidP="008802F3">
            <w:pPr>
              <w:spacing w:after="60"/>
              <w:ind w:left="1440"/>
              <w:rPr>
                <w:noProof/>
              </w:rPr>
            </w:pPr>
            <w:r>
              <w:rPr>
                <w:noProof/>
              </w:rPr>
              <w:t>Vācija</w:t>
            </w:r>
          </w:p>
        </w:tc>
        <w:tc>
          <w:tcPr>
            <w:tcW w:w="3510" w:type="dxa"/>
            <w:shd w:val="clear" w:color="auto" w:fill="auto"/>
          </w:tcPr>
          <w:p w14:paraId="476E67A9" w14:textId="314234CB" w:rsidR="004970B9" w:rsidRPr="00727F2A" w:rsidRDefault="005C5E09" w:rsidP="008802F3">
            <w:pPr>
              <w:spacing w:after="60"/>
              <w:jc w:val="center"/>
              <w:rPr>
                <w:noProof/>
              </w:rPr>
            </w:pPr>
            <w:r>
              <w:rPr>
                <w:noProof/>
              </w:rPr>
              <w:t>90</w:t>
            </w:r>
          </w:p>
        </w:tc>
      </w:tr>
      <w:tr w:rsidR="004970B9" w:rsidRPr="00727F2A" w14:paraId="05676EF3" w14:textId="77777777" w:rsidTr="008277BF">
        <w:tc>
          <w:tcPr>
            <w:tcW w:w="5778" w:type="dxa"/>
            <w:shd w:val="clear" w:color="auto" w:fill="auto"/>
          </w:tcPr>
          <w:p w14:paraId="1228754F" w14:textId="53F02CBB" w:rsidR="004970B9" w:rsidRPr="00727F2A" w:rsidRDefault="005C5E09" w:rsidP="008802F3">
            <w:pPr>
              <w:spacing w:after="60"/>
              <w:ind w:left="1440"/>
              <w:rPr>
                <w:noProof/>
              </w:rPr>
            </w:pPr>
            <w:r>
              <w:rPr>
                <w:noProof/>
              </w:rPr>
              <w:t>Itālija</w:t>
            </w:r>
          </w:p>
        </w:tc>
        <w:tc>
          <w:tcPr>
            <w:tcW w:w="3510" w:type="dxa"/>
            <w:shd w:val="clear" w:color="auto" w:fill="auto"/>
          </w:tcPr>
          <w:p w14:paraId="35291DC2" w14:textId="3FF0EBBC" w:rsidR="004970B9" w:rsidRPr="00727F2A" w:rsidRDefault="005C5E09" w:rsidP="008802F3">
            <w:pPr>
              <w:spacing w:after="60"/>
              <w:jc w:val="center"/>
              <w:rPr>
                <w:noProof/>
              </w:rPr>
            </w:pPr>
            <w:r>
              <w:rPr>
                <w:noProof/>
              </w:rPr>
              <w:t>64</w:t>
            </w:r>
          </w:p>
        </w:tc>
      </w:tr>
      <w:tr w:rsidR="004970B9" w:rsidRPr="00727F2A" w14:paraId="2A462CF3" w14:textId="77777777" w:rsidTr="008277BF">
        <w:tc>
          <w:tcPr>
            <w:tcW w:w="5778" w:type="dxa"/>
            <w:shd w:val="clear" w:color="auto" w:fill="auto"/>
          </w:tcPr>
          <w:p w14:paraId="6C182117" w14:textId="1890510F" w:rsidR="004970B9" w:rsidRPr="00727F2A" w:rsidRDefault="005C5E09" w:rsidP="008802F3">
            <w:pPr>
              <w:spacing w:after="60"/>
              <w:ind w:left="1440"/>
              <w:rPr>
                <w:noProof/>
              </w:rPr>
            </w:pPr>
            <w:r>
              <w:rPr>
                <w:noProof/>
              </w:rPr>
              <w:t>Francija</w:t>
            </w:r>
          </w:p>
        </w:tc>
        <w:tc>
          <w:tcPr>
            <w:tcW w:w="3510" w:type="dxa"/>
            <w:shd w:val="clear" w:color="auto" w:fill="auto"/>
          </w:tcPr>
          <w:p w14:paraId="74BA4DC3" w14:textId="6C44F1A7" w:rsidR="004970B9" w:rsidRPr="00727F2A" w:rsidRDefault="005C5E09" w:rsidP="008802F3">
            <w:pPr>
              <w:spacing w:after="60"/>
              <w:jc w:val="center"/>
              <w:rPr>
                <w:noProof/>
              </w:rPr>
            </w:pPr>
            <w:r>
              <w:rPr>
                <w:noProof/>
              </w:rPr>
              <w:t>60</w:t>
            </w:r>
          </w:p>
        </w:tc>
      </w:tr>
      <w:tr w:rsidR="004970B9" w:rsidRPr="00727F2A" w14:paraId="51B6E9EB" w14:textId="77777777" w:rsidTr="008277BF">
        <w:tc>
          <w:tcPr>
            <w:tcW w:w="5778" w:type="dxa"/>
            <w:shd w:val="clear" w:color="auto" w:fill="auto"/>
          </w:tcPr>
          <w:p w14:paraId="61372A89" w14:textId="2BF79705" w:rsidR="004970B9" w:rsidRPr="00727F2A" w:rsidRDefault="005C5E09" w:rsidP="008802F3">
            <w:pPr>
              <w:spacing w:after="60"/>
              <w:ind w:left="1440"/>
              <w:rPr>
                <w:noProof/>
              </w:rPr>
            </w:pPr>
            <w:r>
              <w:rPr>
                <w:noProof/>
              </w:rPr>
              <w:t>Zviedrija</w:t>
            </w:r>
          </w:p>
        </w:tc>
        <w:tc>
          <w:tcPr>
            <w:tcW w:w="3510" w:type="dxa"/>
            <w:shd w:val="clear" w:color="auto" w:fill="auto"/>
          </w:tcPr>
          <w:p w14:paraId="1C67B5D2" w14:textId="54695E53" w:rsidR="004970B9" w:rsidRPr="00727F2A" w:rsidRDefault="005C5E09" w:rsidP="008802F3">
            <w:pPr>
              <w:spacing w:after="60"/>
              <w:jc w:val="center"/>
              <w:rPr>
                <w:noProof/>
              </w:rPr>
            </w:pPr>
            <w:r>
              <w:rPr>
                <w:noProof/>
              </w:rPr>
              <w:t>35</w:t>
            </w:r>
          </w:p>
        </w:tc>
      </w:tr>
      <w:tr w:rsidR="004970B9" w:rsidRPr="00727F2A" w14:paraId="2FF113CD" w14:textId="77777777" w:rsidTr="008277BF">
        <w:tc>
          <w:tcPr>
            <w:tcW w:w="5778" w:type="dxa"/>
            <w:shd w:val="clear" w:color="auto" w:fill="auto"/>
          </w:tcPr>
          <w:p w14:paraId="7138B1C9" w14:textId="6954893D" w:rsidR="004970B9" w:rsidRPr="00727F2A" w:rsidRDefault="005C5E09" w:rsidP="008802F3">
            <w:pPr>
              <w:spacing w:after="60"/>
              <w:ind w:left="1440"/>
              <w:rPr>
                <w:b/>
                <w:noProof/>
              </w:rPr>
            </w:pPr>
            <w:r>
              <w:rPr>
                <w:noProof/>
              </w:rPr>
              <w:t>Nīderlande</w:t>
            </w:r>
          </w:p>
        </w:tc>
        <w:tc>
          <w:tcPr>
            <w:tcW w:w="3510" w:type="dxa"/>
            <w:shd w:val="clear" w:color="auto" w:fill="auto"/>
          </w:tcPr>
          <w:p w14:paraId="27096EEC" w14:textId="6B21E95C" w:rsidR="004970B9" w:rsidRPr="00727F2A" w:rsidRDefault="005C5E09" w:rsidP="008802F3">
            <w:pPr>
              <w:spacing w:after="60"/>
              <w:jc w:val="center"/>
              <w:rPr>
                <w:b/>
                <w:noProof/>
              </w:rPr>
            </w:pPr>
            <w:r>
              <w:rPr>
                <w:noProof/>
              </w:rPr>
              <w:t>30</w:t>
            </w:r>
          </w:p>
        </w:tc>
      </w:tr>
    </w:tbl>
    <w:p w14:paraId="39E591E8" w14:textId="6A21700A" w:rsidR="00443CDB" w:rsidRPr="00727F2A" w:rsidRDefault="004B3274" w:rsidP="008802F3">
      <w:pPr>
        <w:spacing w:before="120" w:after="120"/>
        <w:jc w:val="both"/>
        <w:rPr>
          <w:noProof/>
        </w:rPr>
      </w:pPr>
      <w:r>
        <w:rPr>
          <w:noProof/>
        </w:rPr>
        <w:t>Attiecībā uz oficiālu finansēšanas atbalstu turpmāk sniegtajā tabulā ir norādīta oficiāli atbalstītā kredītportfeļa uzrādītā nominālā vērtība lielākajiem sniedzējiem Savienībā 2021. gada 31. decembrī.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510"/>
      </w:tblGrid>
      <w:tr w:rsidR="00443CDB" w:rsidRPr="00727F2A" w14:paraId="3CE4B678" w14:textId="77777777" w:rsidTr="004970B9">
        <w:tc>
          <w:tcPr>
            <w:tcW w:w="9288" w:type="dxa"/>
            <w:gridSpan w:val="2"/>
            <w:shd w:val="clear" w:color="auto" w:fill="44546A"/>
          </w:tcPr>
          <w:p w14:paraId="294F41C7" w14:textId="33EFEC82" w:rsidR="00443CDB" w:rsidRPr="00727F2A" w:rsidRDefault="00C52FFF" w:rsidP="008802F3">
            <w:pPr>
              <w:spacing w:after="60"/>
              <w:jc w:val="center"/>
              <w:rPr>
                <w:b/>
                <w:noProof/>
                <w:color w:val="FFFFFF" w:themeColor="background1"/>
              </w:rPr>
            </w:pPr>
            <w:r>
              <w:rPr>
                <w:b/>
                <w:noProof/>
                <w:color w:val="FFFFFF" w:themeColor="background1"/>
              </w:rPr>
              <w:t>2. tabula. Oficiāls atbalsts oficiāla finansēšanas atbalsta veidā 2021. gadā (mljrd. EUR)</w:t>
            </w:r>
          </w:p>
          <w:p w14:paraId="609B3247" w14:textId="77777777" w:rsidR="00443CDB" w:rsidRPr="00727F2A" w:rsidRDefault="00443CDB" w:rsidP="008802F3">
            <w:pPr>
              <w:spacing w:after="60"/>
              <w:jc w:val="center"/>
              <w:rPr>
                <w:b/>
                <w:noProof/>
                <w:color w:val="FFFFFF" w:themeColor="background1"/>
                <w:sz w:val="20"/>
                <w:szCs w:val="20"/>
              </w:rPr>
            </w:pPr>
            <w:r>
              <w:rPr>
                <w:b/>
                <w:noProof/>
                <w:color w:val="FFFFFF" w:themeColor="background1"/>
                <w:sz w:val="20"/>
              </w:rPr>
              <w:t xml:space="preserve">Nozīmīgākie ES spēlētāji atbilstoši oficiāli atbalstītā kredītportfeļa nominālajai vērtībai </w:t>
            </w:r>
          </w:p>
        </w:tc>
      </w:tr>
      <w:tr w:rsidR="004970B9" w:rsidRPr="00727F2A" w14:paraId="792719E9" w14:textId="77777777" w:rsidTr="008277BF">
        <w:tc>
          <w:tcPr>
            <w:tcW w:w="5778" w:type="dxa"/>
            <w:shd w:val="clear" w:color="auto" w:fill="BFBFBF" w:themeFill="background1" w:themeFillShade="BF"/>
            <w:vAlign w:val="center"/>
          </w:tcPr>
          <w:p w14:paraId="2D38E9EB" w14:textId="16511112" w:rsidR="004970B9" w:rsidRPr="00727F2A" w:rsidRDefault="004970B9" w:rsidP="008802F3">
            <w:pPr>
              <w:spacing w:after="60"/>
              <w:ind w:left="1440"/>
              <w:rPr>
                <w:noProof/>
              </w:rPr>
            </w:pPr>
            <w:r>
              <w:rPr>
                <w:i/>
                <w:noProof/>
                <w:color w:val="000000"/>
              </w:rPr>
              <w:t>Kopējais aizdevumu portfelis ES</w:t>
            </w:r>
          </w:p>
        </w:tc>
        <w:tc>
          <w:tcPr>
            <w:tcW w:w="3510" w:type="dxa"/>
            <w:shd w:val="clear" w:color="auto" w:fill="BFBFBF" w:themeFill="background1" w:themeFillShade="BF"/>
            <w:vAlign w:val="center"/>
          </w:tcPr>
          <w:p w14:paraId="7B72AB6B" w14:textId="3F088AD9" w:rsidR="004970B9" w:rsidRPr="00727F2A" w:rsidRDefault="004970B9" w:rsidP="008802F3">
            <w:pPr>
              <w:spacing w:after="60"/>
              <w:jc w:val="center"/>
              <w:rPr>
                <w:noProof/>
              </w:rPr>
            </w:pPr>
            <w:r>
              <w:rPr>
                <w:i/>
                <w:noProof/>
                <w:color w:val="000000"/>
              </w:rPr>
              <w:t xml:space="preserve">  92</w:t>
            </w:r>
          </w:p>
        </w:tc>
      </w:tr>
      <w:tr w:rsidR="004970B9" w:rsidRPr="00727F2A" w14:paraId="24215961" w14:textId="77777777" w:rsidTr="004970B9">
        <w:tc>
          <w:tcPr>
            <w:tcW w:w="5778" w:type="dxa"/>
            <w:shd w:val="clear" w:color="auto" w:fill="auto"/>
          </w:tcPr>
          <w:p w14:paraId="6C19EB2A" w14:textId="77777777" w:rsidR="004970B9" w:rsidRPr="00727F2A" w:rsidRDefault="004970B9" w:rsidP="008802F3">
            <w:pPr>
              <w:spacing w:after="60"/>
              <w:ind w:left="1440"/>
              <w:rPr>
                <w:noProof/>
              </w:rPr>
            </w:pPr>
            <w:r>
              <w:rPr>
                <w:noProof/>
              </w:rPr>
              <w:t>Itālija</w:t>
            </w:r>
          </w:p>
        </w:tc>
        <w:tc>
          <w:tcPr>
            <w:tcW w:w="3510" w:type="dxa"/>
            <w:shd w:val="clear" w:color="auto" w:fill="auto"/>
          </w:tcPr>
          <w:p w14:paraId="395F9D46" w14:textId="45C38039" w:rsidR="004970B9" w:rsidRPr="00727F2A" w:rsidRDefault="004970B9" w:rsidP="008802F3">
            <w:pPr>
              <w:spacing w:after="60"/>
              <w:jc w:val="center"/>
              <w:rPr>
                <w:noProof/>
              </w:rPr>
            </w:pPr>
            <w:r>
              <w:rPr>
                <w:noProof/>
              </w:rPr>
              <w:t xml:space="preserve">  39</w:t>
            </w:r>
          </w:p>
        </w:tc>
      </w:tr>
      <w:tr w:rsidR="004970B9" w:rsidRPr="00727F2A" w14:paraId="037C324C" w14:textId="77777777" w:rsidTr="004970B9">
        <w:tc>
          <w:tcPr>
            <w:tcW w:w="5778" w:type="dxa"/>
            <w:shd w:val="clear" w:color="auto" w:fill="auto"/>
          </w:tcPr>
          <w:p w14:paraId="2E6E94A3" w14:textId="77777777" w:rsidR="004970B9" w:rsidRPr="00727F2A" w:rsidRDefault="004970B9" w:rsidP="008802F3">
            <w:pPr>
              <w:spacing w:after="60"/>
              <w:ind w:left="1440"/>
              <w:rPr>
                <w:noProof/>
              </w:rPr>
            </w:pPr>
            <w:r>
              <w:rPr>
                <w:noProof/>
              </w:rPr>
              <w:t>Vācija</w:t>
            </w:r>
          </w:p>
        </w:tc>
        <w:tc>
          <w:tcPr>
            <w:tcW w:w="3510" w:type="dxa"/>
            <w:shd w:val="clear" w:color="auto" w:fill="auto"/>
          </w:tcPr>
          <w:p w14:paraId="6349061B" w14:textId="781AD8EE" w:rsidR="004970B9" w:rsidRPr="00727F2A" w:rsidRDefault="004970B9" w:rsidP="008802F3">
            <w:pPr>
              <w:spacing w:after="60"/>
              <w:jc w:val="center"/>
              <w:rPr>
                <w:noProof/>
              </w:rPr>
            </w:pPr>
            <w:r>
              <w:rPr>
                <w:noProof/>
              </w:rPr>
              <w:t xml:space="preserve">  18</w:t>
            </w:r>
          </w:p>
        </w:tc>
      </w:tr>
      <w:tr w:rsidR="004970B9" w:rsidRPr="00727F2A" w14:paraId="15B170C7" w14:textId="77777777" w:rsidTr="004970B9">
        <w:tc>
          <w:tcPr>
            <w:tcW w:w="5778" w:type="dxa"/>
            <w:shd w:val="clear" w:color="auto" w:fill="auto"/>
          </w:tcPr>
          <w:p w14:paraId="4EA24415" w14:textId="77777777" w:rsidR="004970B9" w:rsidRPr="00727F2A" w:rsidRDefault="004970B9" w:rsidP="008802F3">
            <w:pPr>
              <w:spacing w:after="60"/>
              <w:ind w:left="1440"/>
              <w:rPr>
                <w:noProof/>
              </w:rPr>
            </w:pPr>
            <w:r>
              <w:rPr>
                <w:noProof/>
              </w:rPr>
              <w:t>Francija</w:t>
            </w:r>
          </w:p>
        </w:tc>
        <w:tc>
          <w:tcPr>
            <w:tcW w:w="3510" w:type="dxa"/>
            <w:shd w:val="clear" w:color="auto" w:fill="auto"/>
          </w:tcPr>
          <w:p w14:paraId="421AB57E" w14:textId="39011494" w:rsidR="004970B9" w:rsidRPr="00727F2A" w:rsidRDefault="004970B9" w:rsidP="008802F3">
            <w:pPr>
              <w:spacing w:after="60"/>
              <w:jc w:val="center"/>
              <w:rPr>
                <w:noProof/>
              </w:rPr>
            </w:pPr>
            <w:r>
              <w:rPr>
                <w:noProof/>
              </w:rPr>
              <w:t xml:space="preserve">  14</w:t>
            </w:r>
          </w:p>
        </w:tc>
      </w:tr>
      <w:tr w:rsidR="004970B9" w:rsidRPr="00727F2A" w14:paraId="744CD2A0" w14:textId="77777777" w:rsidTr="004970B9">
        <w:tc>
          <w:tcPr>
            <w:tcW w:w="5778" w:type="dxa"/>
            <w:shd w:val="clear" w:color="auto" w:fill="auto"/>
          </w:tcPr>
          <w:p w14:paraId="53403924" w14:textId="77777777" w:rsidR="004970B9" w:rsidRPr="00727F2A" w:rsidRDefault="004970B9" w:rsidP="008802F3">
            <w:pPr>
              <w:spacing w:after="60"/>
              <w:ind w:left="1440"/>
              <w:rPr>
                <w:noProof/>
              </w:rPr>
            </w:pPr>
            <w:r>
              <w:rPr>
                <w:noProof/>
              </w:rPr>
              <w:t>Somija</w:t>
            </w:r>
          </w:p>
        </w:tc>
        <w:tc>
          <w:tcPr>
            <w:tcW w:w="3510" w:type="dxa"/>
            <w:shd w:val="clear" w:color="auto" w:fill="auto"/>
          </w:tcPr>
          <w:p w14:paraId="61DCF26B" w14:textId="797F3DD1" w:rsidR="004970B9" w:rsidRPr="00727F2A" w:rsidRDefault="004970B9" w:rsidP="008802F3">
            <w:pPr>
              <w:spacing w:after="60"/>
              <w:jc w:val="center"/>
              <w:rPr>
                <w:noProof/>
              </w:rPr>
            </w:pPr>
            <w:r>
              <w:rPr>
                <w:noProof/>
              </w:rPr>
              <w:t xml:space="preserve">    8</w:t>
            </w:r>
          </w:p>
        </w:tc>
      </w:tr>
      <w:tr w:rsidR="004970B9" w:rsidRPr="00727F2A" w14:paraId="622D0B0B" w14:textId="77777777" w:rsidTr="004970B9">
        <w:tc>
          <w:tcPr>
            <w:tcW w:w="5778" w:type="dxa"/>
            <w:shd w:val="clear" w:color="auto" w:fill="auto"/>
          </w:tcPr>
          <w:p w14:paraId="42394993" w14:textId="77777777" w:rsidR="004970B9" w:rsidRPr="00727F2A" w:rsidRDefault="004970B9" w:rsidP="008802F3">
            <w:pPr>
              <w:spacing w:after="60"/>
              <w:ind w:left="1440"/>
              <w:rPr>
                <w:b/>
                <w:i/>
                <w:noProof/>
              </w:rPr>
            </w:pPr>
            <w:r>
              <w:rPr>
                <w:noProof/>
              </w:rPr>
              <w:t>Zviedrija</w:t>
            </w:r>
          </w:p>
        </w:tc>
        <w:tc>
          <w:tcPr>
            <w:tcW w:w="3510" w:type="dxa"/>
            <w:shd w:val="clear" w:color="auto" w:fill="auto"/>
          </w:tcPr>
          <w:p w14:paraId="2AC85336" w14:textId="217362C7" w:rsidR="004970B9" w:rsidRPr="00727F2A" w:rsidRDefault="004970B9" w:rsidP="008802F3">
            <w:pPr>
              <w:spacing w:after="60"/>
              <w:jc w:val="center"/>
              <w:rPr>
                <w:b/>
                <w:i/>
                <w:noProof/>
              </w:rPr>
            </w:pPr>
            <w:r>
              <w:rPr>
                <w:noProof/>
              </w:rPr>
              <w:t xml:space="preserve">    7</w:t>
            </w:r>
          </w:p>
        </w:tc>
      </w:tr>
    </w:tbl>
    <w:p w14:paraId="235A174F" w14:textId="42B61781" w:rsidR="003D5244" w:rsidRPr="003E004D" w:rsidRDefault="003F67FC" w:rsidP="008802F3">
      <w:pPr>
        <w:spacing w:before="120" w:after="120"/>
        <w:jc w:val="both"/>
        <w:rPr>
          <w:noProof/>
        </w:rPr>
      </w:pPr>
      <w:r>
        <w:rPr>
          <w:noProof/>
        </w:rPr>
        <w:t xml:space="preserve">Piezīme: skaitļus 1. un 2. tabulā nedrīkst summēt. Atšķiras ne tikai instrumenta būtība, bet viena un tā pati dalībvalsts var atbalstīt vienu un to pašu eksporta darījumu gan ar tiešo finansējumu, gan ar tīro segumu. </w:t>
      </w:r>
    </w:p>
    <w:p w14:paraId="523D09BD" w14:textId="77777777" w:rsidR="00817DCA" w:rsidRPr="00727F2A" w:rsidRDefault="00FB68EF" w:rsidP="008802F3">
      <w:pPr>
        <w:pStyle w:val="ListParagraph"/>
        <w:numPr>
          <w:ilvl w:val="0"/>
          <w:numId w:val="1"/>
        </w:numPr>
        <w:spacing w:after="120"/>
        <w:jc w:val="both"/>
        <w:rPr>
          <w:b/>
          <w:noProof/>
          <w:u w:val="single"/>
        </w:rPr>
      </w:pPr>
      <w:r>
        <w:rPr>
          <w:b/>
          <w:noProof/>
        </w:rPr>
        <w:t>Vides risku apstrāde</w:t>
      </w:r>
    </w:p>
    <w:p w14:paraId="341FF611" w14:textId="2316A6A1" w:rsidR="005C5E09" w:rsidRPr="00727F2A" w:rsidRDefault="00CC3EDE" w:rsidP="008802F3">
      <w:pPr>
        <w:spacing w:after="120"/>
        <w:jc w:val="both"/>
        <w:rPr>
          <w:noProof/>
        </w:rPr>
      </w:pPr>
      <w:r>
        <w:rPr>
          <w:noProof/>
        </w:rPr>
        <w:t xml:space="preserve">ESAO Ieteikumā par kopēju pieeju oficiāli atbalstītiem eksporta kredītiem un vides un sociālo jautājumu pienācīgu izpēti ir noteikti kopīgi principi pienācīgas rūpības īstenošanai vides un sociālajā jomā. Visas ES dalībvalstis ievēro šo ieteikumu un saskaņā ar to identificē un novērš iespējamo ietekmi un riskus saistībā ar oficiāla atbalsta pieteikumiem. Ieteikuma pamatā ir vispāratzīti standarti, piemēram, Starptautiskās Finanšu korporācijas vides un sociālās darbības standarti, Pasaules Bankas grupas vides, veselības un drošības pamatnostādnes, Pasaules Bankas drošības politika un Pasaules Bankas vides un sociālie standarti. Ieteikums aptver galvenos vides jautājumus, piemēram, emisijas gaisā, tostarp siltumnīcefekta gāzu emisijas, resursefektivitāti, atkritumu apsaimniekošanu, troksni un vibrācijas, bīstamo materiālu apsaimniekošanu, ietekmi uz ekosistēmām, bioloģiskās daudzveidības aizsardzību un dabas resursu būtisku izmantošanu. Tas ietver arī prasības attiecībā uz gatavību ārkārtas </w:t>
      </w:r>
      <w:r>
        <w:rPr>
          <w:noProof/>
        </w:rPr>
        <w:lastRenderedPageBreak/>
        <w:t xml:space="preserve">situācijām un reaģēšanu uz tām, lai projektu īpašnieki uz negadījumiem un ārkārtas situācijām varētu reaģēt tādā veidā, kas ir piemērots, lai novērstu un mazinātu šādu situāciju ietekmi uz vidi. </w:t>
      </w:r>
    </w:p>
    <w:p w14:paraId="187252D9" w14:textId="483D4CDA" w:rsidR="003C7EFF" w:rsidRPr="00727F2A" w:rsidRDefault="00A203E2" w:rsidP="008802F3">
      <w:pPr>
        <w:spacing w:after="120"/>
        <w:jc w:val="both"/>
        <w:rPr>
          <w:noProof/>
        </w:rPr>
      </w:pPr>
      <w:r>
        <w:rPr>
          <w:noProof/>
        </w:rPr>
        <w:t xml:space="preserve">ES EKA pienācīgas rūpības politika un riska novērtēšanas procedūras lielā mērā balstās uz minēto ESAO ieteikumu, pat ja tam ir neekskluzīva nozīme un politiku ietekmē citi standarti un ES tiesību aktu kopums. Visas dalībvalstis, kas sniedza oficiāli atbalstītus eksporta kredītus, ziņoja par atbilstību ESAO ieteikuma vides dimensijai, un tā ir to pienācīgas rūpības un riska pārvaldības sistēmu, kā arī lēmumu pieņemšanas procesa neatņemama sastāvdaļa. </w:t>
      </w:r>
      <w:r>
        <w:rPr>
          <w:i/>
          <w:iCs/>
          <w:noProof/>
        </w:rPr>
        <w:t>Ex ante</w:t>
      </w:r>
      <w:r>
        <w:rPr>
          <w:noProof/>
        </w:rPr>
        <w:t xml:space="preserve"> novērtējuma procedūras ir atkarīgas no oficiāli atbalstītā eksporta kredīta pieteikuma veida, lieluma un kategorijas. Riski tiek konstatēti, klasificēti un novērtēti, un tie var ietekmēt tiesības uz atbalsta saņemšanu. Visas ES EKA apstiprināja, ka tās ir pārbaudījušas visus oficiāli atbalstītu eksporta kredītu pieteikumus, lai noteiktu, vai būtu jāveic vides pārskats. </w:t>
      </w:r>
    </w:p>
    <w:p w14:paraId="2D418F1E" w14:textId="6B38B4EE" w:rsidR="0017541E" w:rsidRDefault="00792879" w:rsidP="008802F3">
      <w:pPr>
        <w:spacing w:after="120"/>
        <w:jc w:val="both"/>
        <w:rPr>
          <w:noProof/>
        </w:rPr>
      </w:pPr>
      <w:r>
        <w:rPr>
          <w:noProof/>
        </w:rPr>
        <w:t>Saskaņā ar ieteikumu EKA atkarībā no iespējamās negatīvās ietekmes uz vidi šos pieteikumus klasificē trīs riska kategorijās: augsts risks (A kategorija), vidējs risks (B kategorija) vai zems risks (C kategorija). Daudzas dalībvalstis ziņo, ka tās ieteikumu piemēro plašāk, nevis tikai tā piemērošanas jomā. Tas ietver visu darījumu klasificēšanu, tostarp darījumus, kuros tās atbalsta daļa ir mazāka par 10 milj. SDR un kurus pārbaudes posmā principā nav jāizskata. Dalībvalstis ziņo, ka saskaņā ar ieteikuma 18. pantu ir veikts ietekmes uz vidi un sociālās ietekmes novērtējums (</w:t>
      </w:r>
      <w:r>
        <w:rPr>
          <w:i/>
          <w:noProof/>
        </w:rPr>
        <w:t>ESIA</w:t>
      </w:r>
      <w:r>
        <w:rPr>
          <w:noProof/>
        </w:rPr>
        <w:t xml:space="preserve">) visiem A kategorijas pieteikumiem, attiecībā uz kuriem EKA ir uzņēmušās galīgās saistības. Attiecībā uz B kategorijas pieteikumiem dalībvalstis ziņo, ka pieteikumu iesniedzēji vienmēr ir snieguši pietiekamu informāciju par projekta attiecīgo ietekmi uz vidi saskaņā ar ieteikuma 19. pantu. EKA ziņo, ka pirms lēmuma pieņemšanas par atbalsta sniegšanu A vai B kategorijas projektiem, tās vienmēr ir izvērtējušas informāciju, kas iegūta, veicot darījumu pārbaudi un pārskatīšanu. Būtiska informācija tika saņemta, izmantojot </w:t>
      </w:r>
      <w:r>
        <w:rPr>
          <w:i/>
          <w:noProof/>
        </w:rPr>
        <w:t>ESIA</w:t>
      </w:r>
      <w:r>
        <w:rPr>
          <w:noProof/>
        </w:rPr>
        <w:t xml:space="preserve"> ziņojumus, kā arī apkopota, pateicoties EKA pieteikuma veidlapām un anketām, dokumentu pārbaudei, objektu apmeklējumiem, ārējo konsultantu veiktai izpētei un tiešiem kontaktiem ar pieteikumu iesniedzējiem.</w:t>
      </w:r>
    </w:p>
    <w:p w14:paraId="317B3C41" w14:textId="37032AA8" w:rsidR="005700A5" w:rsidRPr="00727F2A" w:rsidRDefault="00286164" w:rsidP="008802F3">
      <w:pPr>
        <w:spacing w:after="120"/>
        <w:jc w:val="both"/>
        <w:rPr>
          <w:noProof/>
        </w:rPr>
      </w:pPr>
      <w:r>
        <w:rPr>
          <w:noProof/>
        </w:rPr>
        <w:t>Dalībvalstis neziņoja par pastāvīgas neatbilstības situācijām, lai gan ir bijušas nelielas neatbilstības, piemēram, nokavēti informācijas vai ziņojumu iesniegšanas termiņi. Neatbilstības tiek atrisinātas sadarbībā ar projekta sponsoriem, izstrādājot korektīvus pasākumus un ietekmes mazināšanas pasākumus, kas laika gaitā tiek uzraudzīti, vai atsaucot atbalstu vai atsakot atlīdzināšanu.</w:t>
      </w:r>
    </w:p>
    <w:p w14:paraId="64F51540" w14:textId="77777777" w:rsidR="00FB68EF" w:rsidRPr="00727F2A" w:rsidRDefault="00FB68EF" w:rsidP="008802F3">
      <w:pPr>
        <w:pStyle w:val="ListParagraph"/>
        <w:numPr>
          <w:ilvl w:val="0"/>
          <w:numId w:val="1"/>
        </w:numPr>
        <w:spacing w:after="120"/>
        <w:jc w:val="both"/>
        <w:rPr>
          <w:b/>
          <w:noProof/>
          <w:u w:val="single"/>
        </w:rPr>
      </w:pPr>
      <w:r>
        <w:rPr>
          <w:b/>
          <w:noProof/>
        </w:rPr>
        <w:t>Klimata pārmaiņu mērķu apsvēršana</w:t>
      </w:r>
    </w:p>
    <w:p w14:paraId="7297B5C8" w14:textId="0A588B15" w:rsidR="00290CA1" w:rsidRPr="00727F2A" w:rsidRDefault="00290CA1" w:rsidP="008802F3">
      <w:pPr>
        <w:spacing w:after="120"/>
        <w:jc w:val="both"/>
        <w:rPr>
          <w:noProof/>
        </w:rPr>
      </w:pPr>
      <w:r>
        <w:rPr>
          <w:noProof/>
        </w:rPr>
        <w:t xml:space="preserve">Komisija atzinīgi vērtē to, ka ESAO pamatnostādnēs un politikā, kas reglamentē EKA darbību, arvien vairāk tiek iekļauti mērķi klimata pārmaiņu jomā. </w:t>
      </w:r>
    </w:p>
    <w:p w14:paraId="1261A99E" w14:textId="01DC62C0" w:rsidR="006B0965" w:rsidRPr="00727F2A" w:rsidRDefault="003C7EFF" w:rsidP="008802F3">
      <w:pPr>
        <w:spacing w:after="120"/>
        <w:jc w:val="both"/>
        <w:rPr>
          <w:noProof/>
        </w:rPr>
      </w:pPr>
      <w:r>
        <w:rPr>
          <w:noProof/>
        </w:rPr>
        <w:t>Kopš 2016. gadā tika pieņemta ogļu elektroenerģijas nozares vienošanās, neviena ES dalībvalsts nav sniegusi oficiālu atbalstu ogļu elektrostacijām. Nozares vienošanās tika atcelta 2021. gadā, kad dalībnieki panāca vienošanos aizliegt atbalstu ogļu elektrostacijām bez emisiju samazināšanas tehnoloģijām. Kopš tā laika Komisija ir ierosinājusi papildu grozījumus ESAO vienošanās saskaņā ar ES saistībām, kas izriet no Parīzes nolīguma un zaļā kursa, pamatojoties uz Komisijas 2021. gada februāra tirdzniecības politikas pārskatīšanu (“Atvērta, ilgtspējīga un pārliecinoša tirdzniecības politika”) un Eiropadomes 2022. gada 15. marta secinājumiem par eksporta kredītiem (“ES klimata pakts saistībā ar eksporta finansējumu”).</w:t>
      </w:r>
    </w:p>
    <w:p w14:paraId="7C0D2C16" w14:textId="3A0A5D2F" w:rsidR="00E74E3C" w:rsidRPr="00727F2A" w:rsidRDefault="003C7EFF" w:rsidP="008802F3">
      <w:pPr>
        <w:spacing w:after="120"/>
        <w:jc w:val="both"/>
        <w:rPr>
          <w:noProof/>
        </w:rPr>
      </w:pPr>
      <w:r>
        <w:rPr>
          <w:noProof/>
        </w:rPr>
        <w:t xml:space="preserve">Papildus tam, ka tiek piemēroti ESAO vienošanās nozaru noteikumi saistībā ar klimatu, sešpadsmit dalībvalstīs ir ieviesta īpaša klimata pārmaiņu politika. Divas dalībvalstis norāda, ka tās par kritēriju atbalsta pieteikumu novērtēšanai izmanto ES ilgtspējīgu darbību </w:t>
      </w:r>
      <w:r>
        <w:rPr>
          <w:noProof/>
        </w:rPr>
        <w:lastRenderedPageBreak/>
        <w:t>taksonomiju. Pastāvīgi norisinās eksporta darījumu pakāpeniskas izbeigšanas politikas formalizēšana fosilā kurināmā enerģijas nozarē; Komisija atzinīgi vērtē Padomes 2022. gada 15. marta secinājumos par eksporta kredītiem pausto nodomu, ka dalībvalstis šim nolūkam līdz 2023. gada beigām noteiks zinātniski pamatotus termiņus.</w:t>
      </w:r>
    </w:p>
    <w:p w14:paraId="087690BE" w14:textId="77777777" w:rsidR="00FB68EF" w:rsidRPr="00727F2A" w:rsidRDefault="00FB68EF" w:rsidP="008802F3">
      <w:pPr>
        <w:pStyle w:val="ListParagraph"/>
        <w:numPr>
          <w:ilvl w:val="0"/>
          <w:numId w:val="1"/>
        </w:numPr>
        <w:spacing w:after="120"/>
        <w:jc w:val="both"/>
        <w:rPr>
          <w:b/>
          <w:noProof/>
          <w:u w:val="single"/>
        </w:rPr>
      </w:pPr>
      <w:r>
        <w:rPr>
          <w:b/>
          <w:noProof/>
        </w:rPr>
        <w:t>Pienācīga rūpība sociālajos un cilvēktiesību jautājumos</w:t>
      </w:r>
    </w:p>
    <w:p w14:paraId="4B1EECB9" w14:textId="18700F3E" w:rsidR="00FC7798" w:rsidRPr="00727F2A" w:rsidRDefault="00EF4410" w:rsidP="008802F3">
      <w:pPr>
        <w:spacing w:after="120"/>
        <w:jc w:val="both"/>
        <w:rPr>
          <w:noProof/>
        </w:rPr>
      </w:pPr>
      <w:r>
        <w:rPr>
          <w:noProof/>
        </w:rPr>
        <w:t>Papildus vides dimensijai ESAO 2012. gada Ieteikumā par kopēju pieeju ir noteikti principi pienācīgas rūpības īstenošanai sociālajā jomā. Ieteikums attiecas uz būtisku ar projektiem saistītu iespējamu sociālo ietekmi, tostarp uz darbu un darba apstākļiem (piemēram, taisnīgu attieksmi, diskrimināciju, biedrošanās brīvību, darba koplīguma slēgšanas sarunām, darba ņēmēju izmitināšanu), kopienas veselību, drošumu un drošību (piemēram, kopienas pakļautību slimībām, drošības personāla izmantošanu), zemes iegūšanu un iedzīvotāju piespiedu pārvietošanu (piemēram, fizisku pārvietošanu, ekonomisku pārvietošanu), pienācīgu sadarbību ar skartajām kopienām (piemēram, informētu konsultāciju un līdzdalības procesu, sūdzību izskatīšanas mehānismu), pamatiedzīvotājiem (piemēram, brīvu, iepriekšēju un informētu piekrišanas procesu), kultūras mantojumu. Tas attiecas arī uz būtisku ar projektiem saistītu ietekmi uz cilvēktiesībām, tostarp piespiedu darbu, bērnu darbu, dzimumu jautājumiem un dzīvību apdraudošu arodveselības un drošības situāciju. Īpaša uzmanība tiek pievērsta neaizsargātām grupām.</w:t>
      </w:r>
    </w:p>
    <w:p w14:paraId="0F422D20" w14:textId="729AEC43" w:rsidR="008D2693" w:rsidRPr="00727F2A" w:rsidRDefault="004F7450" w:rsidP="008802F3">
      <w:pPr>
        <w:spacing w:after="120"/>
        <w:jc w:val="both"/>
        <w:rPr>
          <w:noProof/>
        </w:rPr>
      </w:pPr>
      <w:r>
        <w:rPr>
          <w:noProof/>
        </w:rPr>
        <w:t xml:space="preserve">ES EKA paziņotā pienācīgas rūpības prakse ir līdzīga tai, kas attiecas uz vides riskiem. Visas divdesmit dalībvalstis, kas sniedza oficiālu atbalstu, norādīja uz atbilstību ESAO Ieteikumā par kopēju pieeju ietvertajai sociālajai un cilvēktiesību dimensijai, un uz to, ka tā ir neatņemama šo dalībvalstu lēmumu pieņemšanas, pienācīgas rūpības un riska pārvaldības sistēmu sastāvdaļa.  Visas dalībvalstis apstiprināja, ka ir pārbaudījušas visus pieteikumus, lai noteiktu, vai būtu jāveic sociālo tiesību un cilvēktiesību pārskats. Tās ziņoja, ka visiem A kategorijas pieteikumiem ir veikts </w:t>
      </w:r>
      <w:r>
        <w:rPr>
          <w:i/>
          <w:noProof/>
        </w:rPr>
        <w:t>ESIA</w:t>
      </w:r>
      <w:r>
        <w:rPr>
          <w:noProof/>
        </w:rPr>
        <w:t>. Attiecībā uz B kategorijas pieteikumiem tās ziņoja, ka pieteikumu iesniedzēji vienmēr ir snieguši pietiekamu informāciju par projekta attiecīgo ietekmi. Pirms lēmuma pieņemšanas par oficiāla atbalsta sniegšanu A vai B kategorijas projektiem, kam var būt negatīva ietekme uz sociālajiem un cilvēktiesību jautājumiem, dalībvalstis līdzīgi kā par vides riskiem ziņoja, ka to EKA vienmēr ir izvērtējušas informāciju, kura iegūta, veicot darījumu pārbaudi un pārskatīšanu.</w:t>
      </w:r>
    </w:p>
    <w:p w14:paraId="2B253504" w14:textId="401E9EF3" w:rsidR="00E00418" w:rsidRPr="00727F2A" w:rsidRDefault="00B846B0" w:rsidP="008802F3">
      <w:pPr>
        <w:spacing w:after="120"/>
        <w:jc w:val="both"/>
        <w:rPr>
          <w:noProof/>
        </w:rPr>
      </w:pPr>
      <w:r>
        <w:rPr>
          <w:noProof/>
        </w:rPr>
        <w:t xml:space="preserve">Dalībvalstis neziņoja par pastāvīgu neatbilstību savos pienācīgas rūpības procesos sociālajā un cilvēktiesību jomā. Lai gan viena ES EKA 2021. gadā savā tīmekļa vietnē izveidoja sūdzību mehānismu, ne visas EKA 2021. gadā piedāvāja līdzdalību nodrošinošu apspriešanās procesu un sūdzību mehānismu skartajām kopienām. Tas nenozīmē, ka apspriešanās nenotiek, jo projektu sponsoriem var lūgt ieviest mehānismus neatkarīgi no EKA iesaistes, taču šajā jomā vajadzīgi uzlabojumi. </w:t>
      </w:r>
    </w:p>
    <w:p w14:paraId="0976C525" w14:textId="49C34114" w:rsidR="00EA6072" w:rsidRPr="008802F3" w:rsidRDefault="00FB68EF" w:rsidP="008802F3">
      <w:pPr>
        <w:pStyle w:val="ListParagraph"/>
        <w:numPr>
          <w:ilvl w:val="0"/>
          <w:numId w:val="1"/>
        </w:numPr>
        <w:spacing w:after="120"/>
        <w:jc w:val="both"/>
        <w:rPr>
          <w:b/>
          <w:noProof/>
        </w:rPr>
      </w:pPr>
      <w:r>
        <w:rPr>
          <w:b/>
          <w:noProof/>
        </w:rPr>
        <w:t>Kukuļošanas apkarošanas pasākumi</w:t>
      </w:r>
    </w:p>
    <w:p w14:paraId="2785CDC9" w14:textId="2F45C337" w:rsidR="008D2693" w:rsidRPr="00727F2A" w:rsidRDefault="00C87C9A" w:rsidP="008802F3">
      <w:pPr>
        <w:spacing w:after="120"/>
        <w:jc w:val="both"/>
        <w:rPr>
          <w:noProof/>
        </w:rPr>
      </w:pPr>
      <w:r>
        <w:rPr>
          <w:noProof/>
        </w:rPr>
        <w:t>Visas dalībvalstis, kas sniedza oficiāli atbalstītus eksporta kredītus, ziņoja par atbilstību ESAO Ieteikumam par kukuļošanu un oficiāli atbalstītiem eksporta kredītiem. Minētajā ieteikumā ir ietverti pasākumi pārbaudei, pienācīgai rūpībai, novērtēšanai un par atbalsta attiecināmību izdarāmu lēmumu pieņemšanai, lai novērstu kukuļošanu saistībā ar oficiāli atbalstītiem eksporta kredītiem. Tas jo īpaši nozīmē pārbaudīt, vai darījumos iesaistītās personas nav iekļautas daudzpusējo finanšu iestāžu izslēgšanas sarakstos.</w:t>
      </w:r>
    </w:p>
    <w:p w14:paraId="04318D3A" w14:textId="77777777" w:rsidR="008D2693" w:rsidRPr="00727F2A" w:rsidRDefault="008D2693" w:rsidP="008802F3">
      <w:pPr>
        <w:pStyle w:val="ListParagraph"/>
        <w:numPr>
          <w:ilvl w:val="0"/>
          <w:numId w:val="1"/>
        </w:numPr>
        <w:spacing w:after="120"/>
        <w:jc w:val="both"/>
        <w:rPr>
          <w:b/>
          <w:noProof/>
        </w:rPr>
      </w:pPr>
      <w:r>
        <w:rPr>
          <w:b/>
          <w:noProof/>
        </w:rPr>
        <w:t>Ilgtspējīga aizdevumu prakse</w:t>
      </w:r>
    </w:p>
    <w:p w14:paraId="12AF5BAB" w14:textId="1473AA69" w:rsidR="00032D11" w:rsidRPr="00727F2A" w:rsidRDefault="008D2693" w:rsidP="008802F3">
      <w:pPr>
        <w:spacing w:after="120"/>
        <w:jc w:val="both"/>
        <w:rPr>
          <w:noProof/>
        </w:rPr>
      </w:pPr>
      <w:r>
        <w:rPr>
          <w:noProof/>
        </w:rPr>
        <w:t xml:space="preserve">Visas dalībvalstis, kas sniedza oficiāli atbalstītus eksporta kredītus, ziņoja par atbilstību ESAO Ieteikumam par ilgtspējīgu aizdevumu praksi un oficiāli atbalstītiem eksporta kredītiem. Minētā ieteikuma mērķis ir nodrošināt, ka valstīm ar zemiem ienākumiem tiek </w:t>
      </w:r>
      <w:r>
        <w:rPr>
          <w:noProof/>
        </w:rPr>
        <w:lastRenderedPageBreak/>
        <w:t>mobilizēta attīstības vajadzību finansēšana, neradot tām pārmērīgu parādu nākotnē. Ieteikuma ievērošana iet roku rokā ar Pasaules Bankas un Starptautiskā Valūtas fonda (SVF) politikas, kura nosaka parāda ierobežojumu nosacījumus attiecībā uz bezkoncesijas aizņēmumiem, ciešu ievērošanu un ilgtspējīgu aizdevumu praksi. Saskaņā ar ieteikumu puses ir piekritušas arī svarīgiem pārredzamības pasākumiem, kas ietver informācijas sniegšanu Pasaules Bankai un SVF. Vairumā gadījumu parāda atmaksājamības novērtējumi ir daļa no valsts vispārējā riska novērtējuma, kas ietekmē EKA valstu seguma politiku.</w:t>
      </w:r>
    </w:p>
    <w:p w14:paraId="6D819865" w14:textId="77777777" w:rsidR="003D5244" w:rsidRPr="00727F2A" w:rsidRDefault="003D5244" w:rsidP="008802F3">
      <w:pPr>
        <w:pStyle w:val="ListParagraph"/>
        <w:numPr>
          <w:ilvl w:val="0"/>
          <w:numId w:val="1"/>
        </w:numPr>
        <w:spacing w:after="120"/>
        <w:jc w:val="both"/>
        <w:rPr>
          <w:b/>
          <w:noProof/>
        </w:rPr>
      </w:pPr>
      <w:r>
        <w:rPr>
          <w:b/>
          <w:noProof/>
        </w:rPr>
        <w:t>Cita informācija, kas iekļauta gada darbības ziņojumos</w:t>
      </w:r>
    </w:p>
    <w:p w14:paraId="29073FBA" w14:textId="671A8A68" w:rsidR="003C7EFF" w:rsidRPr="00727F2A" w:rsidRDefault="003C7EFF" w:rsidP="008802F3">
      <w:pPr>
        <w:spacing w:after="120"/>
        <w:jc w:val="both"/>
        <w:rPr>
          <w:noProof/>
        </w:rPr>
      </w:pPr>
      <w:r>
        <w:rPr>
          <w:noProof/>
        </w:rPr>
        <w:t xml:space="preserve">Dalībvalstis ziņo, ka tās rūpējas par to, lai EKA darbotos pēc iespējas pārredzami, vienlaikus ievērojot konfidencialitāti attiecībā uz komerciāli sensitīvu informāciju. Saskaņā ar ESAO Ieteikumu par kopēju pieeju visā Savienībā saskaņotā procedūra ir detalizētas informācijas publiskošana par projektiem, kuriem ir iespējama negatīva ietekme uz vidi vai sociālo jomu. EKA vienmēr ir atklājušas visu prasīto informāciju saskaņā ar ieteikuma 39. un 41. pantu, t. i., attiecīgu </w:t>
      </w:r>
      <w:r>
        <w:rPr>
          <w:i/>
          <w:iCs/>
          <w:noProof/>
        </w:rPr>
        <w:t>ex ante</w:t>
      </w:r>
      <w:r>
        <w:rPr>
          <w:noProof/>
        </w:rPr>
        <w:t xml:space="preserve"> informāciju par A kategorijas projektiem, tostarp </w:t>
      </w:r>
      <w:r>
        <w:rPr>
          <w:i/>
          <w:iCs/>
          <w:noProof/>
        </w:rPr>
        <w:t>ESIA</w:t>
      </w:r>
      <w:r>
        <w:rPr>
          <w:noProof/>
        </w:rPr>
        <w:t xml:space="preserve">, un </w:t>
      </w:r>
      <w:r>
        <w:rPr>
          <w:i/>
          <w:iCs/>
          <w:noProof/>
        </w:rPr>
        <w:t>ex post</w:t>
      </w:r>
      <w:r>
        <w:rPr>
          <w:noProof/>
        </w:rPr>
        <w:t xml:space="preserve"> informāciju par visiem atbalstītajiem A un B kategorijas projektiem, izmantojot īpašas lapas savās tīmekļa vietnēs, kas minētas 2. pielikumā. </w:t>
      </w:r>
    </w:p>
    <w:p w14:paraId="313AF736" w14:textId="071E403D" w:rsidR="003A3A75" w:rsidRPr="00727F2A" w:rsidRDefault="00183F0E" w:rsidP="008802F3">
      <w:pPr>
        <w:spacing w:after="120"/>
        <w:jc w:val="both"/>
        <w:rPr>
          <w:noProof/>
        </w:rPr>
      </w:pPr>
      <w:r>
        <w:rPr>
          <w:noProof/>
        </w:rPr>
        <w:t>Daudzām ES EKA ir korporatīvās sociālās atbildības politika, kas parasti ietver ne tikai iekšējos centienus, bet arī ciešu dialogu ar EKA klientiem. Šajā kontekstā EKA arvien vairāk pārvērtē savu praksi un izstrādā plānus, kā samazināt savu ietekmi uz vidi, tostarp oglekļa pēdas aplēses.</w:t>
      </w:r>
    </w:p>
    <w:p w14:paraId="4DFAF9C9" w14:textId="77777777" w:rsidR="003D5244" w:rsidRPr="00727F2A" w:rsidRDefault="00FB68EF" w:rsidP="008802F3">
      <w:pPr>
        <w:spacing w:after="120"/>
        <w:rPr>
          <w:rFonts w:eastAsia="Calibri"/>
          <w:b/>
          <w:noProof/>
          <w:szCs w:val="22"/>
          <w:u w:val="single"/>
        </w:rPr>
      </w:pPr>
      <w:r>
        <w:rPr>
          <w:b/>
          <w:noProof/>
          <w:u w:val="single"/>
        </w:rPr>
        <w:t>4. EKA atbilstība Savienības mērķiem un saistībām</w:t>
      </w:r>
    </w:p>
    <w:p w14:paraId="7F463DB9" w14:textId="649738D9" w:rsidR="003D5244" w:rsidRPr="00727F2A" w:rsidRDefault="001F2382" w:rsidP="008802F3">
      <w:pPr>
        <w:spacing w:after="120"/>
        <w:jc w:val="both"/>
        <w:rPr>
          <w:rFonts w:eastAsia="Calibri"/>
          <w:noProof/>
          <w:szCs w:val="22"/>
        </w:rPr>
      </w:pPr>
      <w:r>
        <w:rPr>
          <w:noProof/>
        </w:rPr>
        <w:t xml:space="preserve">Līguma par Eiropas Savienību (LES) 3. pantā minēti Eiropas Savienības vispārīgie mērķi un 21. pantā – Savienības ārējās darbības principi un mērķi. Saskaņā ar LES 3. panta 5. punktu attiecībās ar citām pasaules daļām Eiropas Savienība “veicina [..] ilgtspējīgu Zemes attīstību, solidaritāti un savstarpēju cieņu starp tautām, brīvu un godīgu tirdzniecību, nabadzības izskaušanu un cilvēktiesību un jo īpaši bērnu tiesību aizsardzību, kā arī starptautisko tiesību normu stingru ievērošanu un attīstību, tostarp respektējot Apvienoto Nāciju Organizācijas Statūtu principus”. Attiecībā uz ES kopējo tirdzniecības politiku atsauce uz Savienības ārējās darbības principiem un mērķiem ir iekļauta Līguma par Eiropas Savienības darbību 206. pantā un 207. panta 1. punktā. </w:t>
      </w:r>
    </w:p>
    <w:p w14:paraId="0467873D" w14:textId="30F0D947" w:rsidR="00EA6072" w:rsidRPr="00727F2A" w:rsidRDefault="00EA6072" w:rsidP="008802F3">
      <w:pPr>
        <w:spacing w:after="120"/>
        <w:jc w:val="both"/>
        <w:rPr>
          <w:noProof/>
        </w:rPr>
      </w:pPr>
      <w:r>
        <w:rPr>
          <w:noProof/>
        </w:rPr>
        <w:t>Komisija uzskata, ka pieejamā informācija sniedz pierādījumus tam, ka oficiāli atbalstītās eksporta kredītu jomas darbības atbilst LES 3. un 21. pantam. ESAO ieteikumi nodrošina satvaru dalībvalstu eksporta kredītu programmu pārvaldībai. Dalībvalstis arī izstrādā savu politiku, pamatojoties uz šiem ieteikumiem un saskaņā ar ES mērķiem. Attiecībā uz atbilstību starptautiskajām saistībām un pienākumiem atbilstīgi ES konkurences tiesībām Pasaules Tirdzniecības organizācijā nav bijuši strīdi par ES dalībvalstu eksporta kredītu darbībām 2021. gadā, un Komisija nav saņēmusi nekādas sūdzības par iespējamiem ES noteikumu pārkāpumiem saistībā ar ES EKA.</w:t>
      </w:r>
    </w:p>
    <w:p w14:paraId="3593065B" w14:textId="1DDE6F3C" w:rsidR="003D5244" w:rsidRDefault="003D5244" w:rsidP="008802F3">
      <w:pPr>
        <w:spacing w:after="120"/>
        <w:jc w:val="both"/>
        <w:rPr>
          <w:noProof/>
        </w:rPr>
      </w:pPr>
      <w:r>
        <w:rPr>
          <w:noProof/>
        </w:rPr>
        <w:t xml:space="preserve">Eiropas Parlaments ir aicinājis Komisiju sniegt paziņojumu par to, vai dalībvalstis, sniedzot oficiāli atbalstītus eksporta kredītus, ir panākušas atbilstību ES mērķiem un saistībām. Komisija ir veikusi gada pārskatu saskaņā ar Regulu (ES) Nr. 1233/2011. Komisijas pārskata pamatā ir dalībvalstu iesniegtie gada darbības ziņojumi, un to nevar uzskatīt par pilnīgi visaptverošu. </w:t>
      </w:r>
    </w:p>
    <w:sectPr w:rsidR="003D5244" w:rsidSect="003D524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E2EF5" w14:textId="77777777" w:rsidR="005D66C3" w:rsidRDefault="005D66C3" w:rsidP="003D5244">
      <w:r>
        <w:separator/>
      </w:r>
    </w:p>
  </w:endnote>
  <w:endnote w:type="continuationSeparator" w:id="0">
    <w:p w14:paraId="2656EAC3" w14:textId="77777777" w:rsidR="005D66C3" w:rsidRDefault="005D66C3" w:rsidP="003D5244">
      <w:r>
        <w:continuationSeparator/>
      </w:r>
    </w:p>
  </w:endnote>
  <w:endnote w:type="continuationNotice" w:id="1">
    <w:p w14:paraId="0DA347DE" w14:textId="77777777" w:rsidR="005D66C3" w:rsidRDefault="005D6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791E6" w14:textId="1934BD41" w:rsidR="00E2275E" w:rsidRPr="00E2275E" w:rsidRDefault="00E2275E" w:rsidP="00E2275E">
    <w:pPr>
      <w:pStyle w:val="FooterCoverPage"/>
      <w:rPr>
        <w:rFonts w:ascii="Arial" w:hAnsi="Arial" w:cs="Arial"/>
        <w:b/>
        <w:sz w:val="48"/>
      </w:rPr>
    </w:pPr>
    <w:r w:rsidRPr="00E2275E">
      <w:rPr>
        <w:rFonts w:ascii="Arial" w:hAnsi="Arial" w:cs="Arial"/>
        <w:b/>
        <w:sz w:val="48"/>
      </w:rPr>
      <w:t>LV</w:t>
    </w:r>
    <w:r w:rsidRPr="00E2275E">
      <w:rPr>
        <w:rFonts w:ascii="Arial" w:hAnsi="Arial" w:cs="Arial"/>
        <w:b/>
        <w:sz w:val="48"/>
      </w:rPr>
      <w:tab/>
    </w:r>
    <w:r w:rsidRPr="00E2275E">
      <w:rPr>
        <w:rFonts w:ascii="Arial" w:hAnsi="Arial" w:cs="Arial"/>
        <w:b/>
        <w:sz w:val="48"/>
      </w:rPr>
      <w:tab/>
    </w:r>
    <w:r w:rsidRPr="00E2275E">
      <w:tab/>
    </w:r>
    <w:r w:rsidRPr="00E2275E">
      <w:rPr>
        <w:rFonts w:ascii="Arial" w:hAnsi="Arial" w:cs="Arial"/>
        <w:b/>
        <w:sz w:val="48"/>
      </w:rPr>
      <w:t>LV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D6939" w14:textId="03DF5CA0" w:rsidR="00E2275E" w:rsidRPr="00E2275E" w:rsidRDefault="00E2275E" w:rsidP="00E2275E">
    <w:pPr>
      <w:pStyle w:val="FooterCoverPage"/>
      <w:rPr>
        <w:rFonts w:ascii="Arial" w:hAnsi="Arial" w:cs="Arial"/>
        <w:b/>
        <w:sz w:val="48"/>
      </w:rPr>
    </w:pPr>
    <w:r w:rsidRPr="00E2275E">
      <w:rPr>
        <w:rFonts w:ascii="Arial" w:hAnsi="Arial" w:cs="Arial"/>
        <w:b/>
        <w:sz w:val="48"/>
      </w:rPr>
      <w:t>LV</w:t>
    </w:r>
    <w:r w:rsidRPr="00E2275E">
      <w:rPr>
        <w:rFonts w:ascii="Arial" w:hAnsi="Arial" w:cs="Arial"/>
        <w:b/>
        <w:sz w:val="48"/>
      </w:rPr>
      <w:tab/>
    </w:r>
    <w:r w:rsidRPr="00E2275E">
      <w:rPr>
        <w:rFonts w:ascii="Arial" w:hAnsi="Arial" w:cs="Arial"/>
        <w:b/>
        <w:sz w:val="48"/>
      </w:rPr>
      <w:tab/>
    </w:r>
    <w:r w:rsidRPr="00E2275E">
      <w:tab/>
    </w:r>
    <w:r w:rsidRPr="00E2275E">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9D1E" w14:textId="77777777" w:rsidR="00E2275E" w:rsidRPr="00E2275E" w:rsidRDefault="00E2275E" w:rsidP="00E2275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BF5CC" w14:textId="77777777" w:rsidR="001A38B2" w:rsidRDefault="001A38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921243"/>
      <w:docPartObj>
        <w:docPartGallery w:val="Page Numbers (Bottom of Page)"/>
        <w:docPartUnique/>
      </w:docPartObj>
    </w:sdtPr>
    <w:sdtEndPr>
      <w:rPr>
        <w:noProof/>
      </w:rPr>
    </w:sdtEndPr>
    <w:sdtContent>
      <w:p w14:paraId="70C95F01" w14:textId="20532AB5" w:rsidR="001A38B2" w:rsidRDefault="001A38B2">
        <w:pPr>
          <w:pStyle w:val="Footer"/>
          <w:jc w:val="center"/>
        </w:pPr>
        <w:r>
          <w:fldChar w:fldCharType="begin"/>
        </w:r>
        <w:r>
          <w:instrText xml:space="preserve"> PAGE   \* MERGEFORMAT </w:instrText>
        </w:r>
        <w:r>
          <w:fldChar w:fldCharType="separate"/>
        </w:r>
        <w:r w:rsidR="00E2275E">
          <w:rPr>
            <w:noProof/>
          </w:rPr>
          <w:t>1</w:t>
        </w:r>
        <w:r>
          <w:fldChar w:fldCharType="end"/>
        </w:r>
      </w:p>
    </w:sdtContent>
  </w:sdt>
  <w:p w14:paraId="784E93AF" w14:textId="77777777" w:rsidR="001A38B2" w:rsidRDefault="001A38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075E" w14:textId="77777777" w:rsidR="001A38B2" w:rsidRDefault="001A3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FEC25" w14:textId="77777777" w:rsidR="005D66C3" w:rsidRDefault="005D66C3" w:rsidP="003D5244">
      <w:r>
        <w:separator/>
      </w:r>
    </w:p>
  </w:footnote>
  <w:footnote w:type="continuationSeparator" w:id="0">
    <w:p w14:paraId="110DC543" w14:textId="77777777" w:rsidR="005D66C3" w:rsidRDefault="005D66C3" w:rsidP="003D5244">
      <w:r>
        <w:continuationSeparator/>
      </w:r>
    </w:p>
  </w:footnote>
  <w:footnote w:type="continuationNotice" w:id="1">
    <w:p w14:paraId="5E77FA2B" w14:textId="77777777" w:rsidR="005D66C3" w:rsidRDefault="005D66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74287" w14:textId="77777777" w:rsidR="00E2275E" w:rsidRPr="00E2275E" w:rsidRDefault="00E2275E" w:rsidP="00E2275E">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0702" w14:textId="77777777" w:rsidR="00E2275E" w:rsidRPr="00E2275E" w:rsidRDefault="00E2275E" w:rsidP="00E2275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F44CE" w14:textId="77777777" w:rsidR="00E2275E" w:rsidRPr="00E2275E" w:rsidRDefault="00E2275E" w:rsidP="00E2275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A2BC" w14:textId="77777777" w:rsidR="001A38B2" w:rsidRDefault="001A38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7ECA8" w14:textId="77777777" w:rsidR="001A38B2" w:rsidRDefault="001A38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8D497" w14:textId="77777777" w:rsidR="001A38B2" w:rsidRDefault="001A3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C1975"/>
    <w:multiLevelType w:val="hybridMultilevel"/>
    <w:tmpl w:val="1A20823A"/>
    <w:lvl w:ilvl="0" w:tplc="7DA0094A">
      <w:start w:val="1"/>
      <w:numFmt w:val="decimal"/>
      <w:pStyle w:val="NumberedList"/>
      <w:lvlText w:val="%1."/>
      <w:lvlJc w:val="left"/>
      <w:pPr>
        <w:ind w:left="1192" w:hanging="340"/>
      </w:pPr>
      <w:rPr>
        <w:rFonts w:hint="default"/>
        <w:i w:val="0"/>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15:restartNumberingAfterBreak="0">
    <w:nsid w:val="35385C79"/>
    <w:multiLevelType w:val="hybridMultilevel"/>
    <w:tmpl w:val="8A2C313E"/>
    <w:lvl w:ilvl="0" w:tplc="D178926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38DE60B3"/>
    <w:multiLevelType w:val="hybridMultilevel"/>
    <w:tmpl w:val="FD460874"/>
    <w:lvl w:ilvl="0" w:tplc="BE3C9FB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A142FCE"/>
    <w:multiLevelType w:val="hybridMultilevel"/>
    <w:tmpl w:val="AA806C96"/>
    <w:lvl w:ilvl="0" w:tplc="BE3C9FB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37C0B74"/>
    <w:multiLevelType w:val="hybridMultilevel"/>
    <w:tmpl w:val="F7DEA22E"/>
    <w:lvl w:ilvl="0" w:tplc="BE3C9FB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B717C44"/>
    <w:multiLevelType w:val="hybridMultilevel"/>
    <w:tmpl w:val="C48224A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E19D5B4-D1FB-4B85-B968-E5D23E5A6FDC"/>
    <w:docVar w:name="LW_COVERPAGE_TYPE" w:val="1"/>
    <w:docVar w:name="LW_CROSSREFERENCE" w:val="&lt;UNUSED&gt;"/>
    <w:docVar w:name="LW_DocType" w:val="NORMAL"/>
    <w:docVar w:name="LW_EMISSION" w:val="3.5.2024"/>
    <w:docVar w:name="LW_EMISSION_ISODATE" w:val="2024-05-03"/>
    <w:docVar w:name="LW_EMISSION_LOCATION" w:val="BRX"/>
    <w:docVar w:name="LW_EMISSION_PREFIX" w:val="Brisel\u275?, "/>
    <w:docVar w:name="LW_EMISSION_SUFFIX" w:val="."/>
    <w:docVar w:name="LW_ID_DOCTYPE_NONLW" w:val="CP-035"/>
    <w:docVar w:name="LW_LANGUE" w:val="LV"/>
    <w:docVar w:name="LW_LEVEL_OF_SENSITIVITY" w:val="Standard treatment"/>
    <w:docVar w:name="LW_NOM.INST" w:val="EIROPAS KOMISIJA"/>
    <w:docVar w:name="LW_NOM.INST_JOINTDOC" w:val="&lt;EMPTY&gt;"/>
    <w:docVar w:name="LW_PART_NBR" w:val="1"/>
    <w:docVar w:name="LW_PART_NBR_TOTAL" w:val="1"/>
    <w:docVar w:name="LW_REF.II.NEW.CP" w:val="&lt;UNUSED&gt;"/>
    <w:docVar w:name="LW_REF.II.NEW.CP_NUMBER" w:val="&lt;UNUSED&gt;"/>
    <w:docVar w:name="LW_REF.II.NEW.CP_YEAR" w:val="2024"/>
    <w:docVar w:name="LW_REF.INST.NEW" w:val="COM"/>
    <w:docVar w:name="LW_REF.INST.NEW_ADOPTED" w:val="final"/>
    <w:docVar w:name="LW_REF.INST.NEW_TEXT" w:val="(2024) 18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ar dal\u299?bvalstu gada darb\u299?bas zi\u326?ojumiem eksporta kred\u299?tu jom\u257? Regulas (ES) Nr. 1233/2011 izpratn\u275?"/>
    <w:docVar w:name="LW_TYPE.DOC.CP" w:val="KOMISIJAS GADA P\u256?RSKATS"/>
    <w:docVar w:name="LwApiVersions" w:val="LW4CoDe 1.24.5.0; LW 9.0, Build 20240221"/>
  </w:docVars>
  <w:rsids>
    <w:rsidRoot w:val="003D5244"/>
    <w:rsid w:val="00000409"/>
    <w:rsid w:val="00001426"/>
    <w:rsid w:val="0000201D"/>
    <w:rsid w:val="000034FA"/>
    <w:rsid w:val="00004457"/>
    <w:rsid w:val="00005F6B"/>
    <w:rsid w:val="00006472"/>
    <w:rsid w:val="000071E0"/>
    <w:rsid w:val="00007241"/>
    <w:rsid w:val="000076EC"/>
    <w:rsid w:val="00007861"/>
    <w:rsid w:val="00010CA8"/>
    <w:rsid w:val="00010D89"/>
    <w:rsid w:val="000110DC"/>
    <w:rsid w:val="00011C4B"/>
    <w:rsid w:val="00011D3D"/>
    <w:rsid w:val="000121E4"/>
    <w:rsid w:val="00012299"/>
    <w:rsid w:val="00012F0F"/>
    <w:rsid w:val="00013121"/>
    <w:rsid w:val="00013313"/>
    <w:rsid w:val="00013BDE"/>
    <w:rsid w:val="00014664"/>
    <w:rsid w:val="000156A3"/>
    <w:rsid w:val="00015884"/>
    <w:rsid w:val="000167C6"/>
    <w:rsid w:val="0001708D"/>
    <w:rsid w:val="000176B5"/>
    <w:rsid w:val="000178EB"/>
    <w:rsid w:val="00017CBC"/>
    <w:rsid w:val="00017D01"/>
    <w:rsid w:val="00022DA0"/>
    <w:rsid w:val="00022F0B"/>
    <w:rsid w:val="00023304"/>
    <w:rsid w:val="0002384C"/>
    <w:rsid w:val="00026108"/>
    <w:rsid w:val="00027B94"/>
    <w:rsid w:val="00030733"/>
    <w:rsid w:val="00030750"/>
    <w:rsid w:val="0003080F"/>
    <w:rsid w:val="000314C5"/>
    <w:rsid w:val="00032D11"/>
    <w:rsid w:val="0003349F"/>
    <w:rsid w:val="0003382D"/>
    <w:rsid w:val="00033EB3"/>
    <w:rsid w:val="000346C4"/>
    <w:rsid w:val="00034951"/>
    <w:rsid w:val="0003547C"/>
    <w:rsid w:val="00035E2B"/>
    <w:rsid w:val="00035EDD"/>
    <w:rsid w:val="00037F94"/>
    <w:rsid w:val="00040526"/>
    <w:rsid w:val="000407F7"/>
    <w:rsid w:val="000415B7"/>
    <w:rsid w:val="00042D5B"/>
    <w:rsid w:val="00043C54"/>
    <w:rsid w:val="00047334"/>
    <w:rsid w:val="00047D49"/>
    <w:rsid w:val="00050F09"/>
    <w:rsid w:val="000513F2"/>
    <w:rsid w:val="00051C52"/>
    <w:rsid w:val="00052A74"/>
    <w:rsid w:val="000530A4"/>
    <w:rsid w:val="00054288"/>
    <w:rsid w:val="00054321"/>
    <w:rsid w:val="000544D4"/>
    <w:rsid w:val="000547AF"/>
    <w:rsid w:val="00054AD2"/>
    <w:rsid w:val="00054F12"/>
    <w:rsid w:val="000550A2"/>
    <w:rsid w:val="0005532D"/>
    <w:rsid w:val="00060DF7"/>
    <w:rsid w:val="00062E6C"/>
    <w:rsid w:val="00063E48"/>
    <w:rsid w:val="00064AF4"/>
    <w:rsid w:val="00065581"/>
    <w:rsid w:val="0006615F"/>
    <w:rsid w:val="00067952"/>
    <w:rsid w:val="000718E3"/>
    <w:rsid w:val="00073A06"/>
    <w:rsid w:val="00074391"/>
    <w:rsid w:val="00076330"/>
    <w:rsid w:val="0007661B"/>
    <w:rsid w:val="00076F8C"/>
    <w:rsid w:val="0007787D"/>
    <w:rsid w:val="0008014D"/>
    <w:rsid w:val="0008080B"/>
    <w:rsid w:val="00080DF6"/>
    <w:rsid w:val="00080E84"/>
    <w:rsid w:val="00081041"/>
    <w:rsid w:val="0008167E"/>
    <w:rsid w:val="00083492"/>
    <w:rsid w:val="00083694"/>
    <w:rsid w:val="00083743"/>
    <w:rsid w:val="00083D4B"/>
    <w:rsid w:val="00083EB9"/>
    <w:rsid w:val="00086411"/>
    <w:rsid w:val="00087025"/>
    <w:rsid w:val="0008757B"/>
    <w:rsid w:val="0009048E"/>
    <w:rsid w:val="00091234"/>
    <w:rsid w:val="00091458"/>
    <w:rsid w:val="000929DB"/>
    <w:rsid w:val="00093430"/>
    <w:rsid w:val="0009443E"/>
    <w:rsid w:val="00094DDE"/>
    <w:rsid w:val="00094FEF"/>
    <w:rsid w:val="0009560B"/>
    <w:rsid w:val="00095853"/>
    <w:rsid w:val="00095A62"/>
    <w:rsid w:val="00095D06"/>
    <w:rsid w:val="0009631C"/>
    <w:rsid w:val="00096EE9"/>
    <w:rsid w:val="00096FE0"/>
    <w:rsid w:val="00097967"/>
    <w:rsid w:val="00097D47"/>
    <w:rsid w:val="00097E67"/>
    <w:rsid w:val="00097F64"/>
    <w:rsid w:val="000A0B8C"/>
    <w:rsid w:val="000A0C50"/>
    <w:rsid w:val="000A18C0"/>
    <w:rsid w:val="000A2811"/>
    <w:rsid w:val="000A3719"/>
    <w:rsid w:val="000A3ACE"/>
    <w:rsid w:val="000A5022"/>
    <w:rsid w:val="000A50FE"/>
    <w:rsid w:val="000A55A5"/>
    <w:rsid w:val="000A6B90"/>
    <w:rsid w:val="000A793A"/>
    <w:rsid w:val="000A7C12"/>
    <w:rsid w:val="000B04B2"/>
    <w:rsid w:val="000B069F"/>
    <w:rsid w:val="000B0953"/>
    <w:rsid w:val="000B0A06"/>
    <w:rsid w:val="000B0EFB"/>
    <w:rsid w:val="000B1502"/>
    <w:rsid w:val="000B1568"/>
    <w:rsid w:val="000B2195"/>
    <w:rsid w:val="000B27C7"/>
    <w:rsid w:val="000B2FF2"/>
    <w:rsid w:val="000B3895"/>
    <w:rsid w:val="000B3D8B"/>
    <w:rsid w:val="000B4C05"/>
    <w:rsid w:val="000B51D5"/>
    <w:rsid w:val="000B6116"/>
    <w:rsid w:val="000B76AC"/>
    <w:rsid w:val="000B7BC7"/>
    <w:rsid w:val="000C04F3"/>
    <w:rsid w:val="000C0796"/>
    <w:rsid w:val="000C147E"/>
    <w:rsid w:val="000C263D"/>
    <w:rsid w:val="000C3481"/>
    <w:rsid w:val="000C400B"/>
    <w:rsid w:val="000C54B6"/>
    <w:rsid w:val="000C6D97"/>
    <w:rsid w:val="000C7038"/>
    <w:rsid w:val="000C710B"/>
    <w:rsid w:val="000C734C"/>
    <w:rsid w:val="000C75D8"/>
    <w:rsid w:val="000D02BB"/>
    <w:rsid w:val="000D0C8B"/>
    <w:rsid w:val="000D0D04"/>
    <w:rsid w:val="000D1495"/>
    <w:rsid w:val="000D232B"/>
    <w:rsid w:val="000D279C"/>
    <w:rsid w:val="000D2852"/>
    <w:rsid w:val="000D2B1C"/>
    <w:rsid w:val="000D3FF7"/>
    <w:rsid w:val="000D4593"/>
    <w:rsid w:val="000D489D"/>
    <w:rsid w:val="000D4A4F"/>
    <w:rsid w:val="000D4B29"/>
    <w:rsid w:val="000D52BC"/>
    <w:rsid w:val="000D5350"/>
    <w:rsid w:val="000D5AF9"/>
    <w:rsid w:val="000D6A32"/>
    <w:rsid w:val="000D707F"/>
    <w:rsid w:val="000D77E3"/>
    <w:rsid w:val="000D7BCA"/>
    <w:rsid w:val="000E03EC"/>
    <w:rsid w:val="000E1C8D"/>
    <w:rsid w:val="000E29A7"/>
    <w:rsid w:val="000E3007"/>
    <w:rsid w:val="000E3270"/>
    <w:rsid w:val="000E3288"/>
    <w:rsid w:val="000E37FC"/>
    <w:rsid w:val="000E3B93"/>
    <w:rsid w:val="000E3EB1"/>
    <w:rsid w:val="000E56DD"/>
    <w:rsid w:val="000E58EB"/>
    <w:rsid w:val="000E6330"/>
    <w:rsid w:val="000E7200"/>
    <w:rsid w:val="000E76E5"/>
    <w:rsid w:val="000F0211"/>
    <w:rsid w:val="000F2637"/>
    <w:rsid w:val="000F492F"/>
    <w:rsid w:val="000F6B7A"/>
    <w:rsid w:val="000F6E3F"/>
    <w:rsid w:val="000F7039"/>
    <w:rsid w:val="000F772A"/>
    <w:rsid w:val="00100A21"/>
    <w:rsid w:val="00101530"/>
    <w:rsid w:val="001026B1"/>
    <w:rsid w:val="001033A4"/>
    <w:rsid w:val="00103991"/>
    <w:rsid w:val="00103AFF"/>
    <w:rsid w:val="001048B8"/>
    <w:rsid w:val="001051B9"/>
    <w:rsid w:val="001058B1"/>
    <w:rsid w:val="00106ABA"/>
    <w:rsid w:val="00107059"/>
    <w:rsid w:val="00107237"/>
    <w:rsid w:val="00107481"/>
    <w:rsid w:val="00107865"/>
    <w:rsid w:val="001117F9"/>
    <w:rsid w:val="00111BB3"/>
    <w:rsid w:val="00112073"/>
    <w:rsid w:val="00112A5B"/>
    <w:rsid w:val="00112EF0"/>
    <w:rsid w:val="00113143"/>
    <w:rsid w:val="00113855"/>
    <w:rsid w:val="0011475D"/>
    <w:rsid w:val="00115F25"/>
    <w:rsid w:val="0011694C"/>
    <w:rsid w:val="00116EA1"/>
    <w:rsid w:val="00117B58"/>
    <w:rsid w:val="00120AD0"/>
    <w:rsid w:val="001212A0"/>
    <w:rsid w:val="001217C4"/>
    <w:rsid w:val="00122114"/>
    <w:rsid w:val="00122271"/>
    <w:rsid w:val="0012309F"/>
    <w:rsid w:val="0012414D"/>
    <w:rsid w:val="00124CCA"/>
    <w:rsid w:val="00125F96"/>
    <w:rsid w:val="00127795"/>
    <w:rsid w:val="00127D4A"/>
    <w:rsid w:val="00127D75"/>
    <w:rsid w:val="0013140C"/>
    <w:rsid w:val="00131A48"/>
    <w:rsid w:val="00131AAB"/>
    <w:rsid w:val="00131F95"/>
    <w:rsid w:val="00132E0D"/>
    <w:rsid w:val="001339D4"/>
    <w:rsid w:val="0013537D"/>
    <w:rsid w:val="0013543E"/>
    <w:rsid w:val="001359F8"/>
    <w:rsid w:val="00136479"/>
    <w:rsid w:val="001372A7"/>
    <w:rsid w:val="00137814"/>
    <w:rsid w:val="00137CE3"/>
    <w:rsid w:val="00140982"/>
    <w:rsid w:val="00140A51"/>
    <w:rsid w:val="00140DFC"/>
    <w:rsid w:val="001415F3"/>
    <w:rsid w:val="001419AE"/>
    <w:rsid w:val="00141AAF"/>
    <w:rsid w:val="00141B65"/>
    <w:rsid w:val="00142F06"/>
    <w:rsid w:val="0014319A"/>
    <w:rsid w:val="00143435"/>
    <w:rsid w:val="0014379D"/>
    <w:rsid w:val="001444FB"/>
    <w:rsid w:val="00144FB7"/>
    <w:rsid w:val="001453E7"/>
    <w:rsid w:val="0014584E"/>
    <w:rsid w:val="00145C69"/>
    <w:rsid w:val="00146949"/>
    <w:rsid w:val="0014741F"/>
    <w:rsid w:val="00147C7F"/>
    <w:rsid w:val="0015019A"/>
    <w:rsid w:val="00150BC1"/>
    <w:rsid w:val="00152469"/>
    <w:rsid w:val="00152B30"/>
    <w:rsid w:val="001545E6"/>
    <w:rsid w:val="00154E13"/>
    <w:rsid w:val="001550C7"/>
    <w:rsid w:val="001552ED"/>
    <w:rsid w:val="001554F6"/>
    <w:rsid w:val="00155A4A"/>
    <w:rsid w:val="00155CC4"/>
    <w:rsid w:val="00156187"/>
    <w:rsid w:val="0015663F"/>
    <w:rsid w:val="00157B7C"/>
    <w:rsid w:val="001606B0"/>
    <w:rsid w:val="00160E21"/>
    <w:rsid w:val="00164B21"/>
    <w:rsid w:val="00166684"/>
    <w:rsid w:val="00167413"/>
    <w:rsid w:val="00167AB9"/>
    <w:rsid w:val="0017006B"/>
    <w:rsid w:val="00170308"/>
    <w:rsid w:val="00170671"/>
    <w:rsid w:val="00171266"/>
    <w:rsid w:val="00173126"/>
    <w:rsid w:val="001731FB"/>
    <w:rsid w:val="00173578"/>
    <w:rsid w:val="00174055"/>
    <w:rsid w:val="00174218"/>
    <w:rsid w:val="0017474D"/>
    <w:rsid w:val="0017541E"/>
    <w:rsid w:val="00175F93"/>
    <w:rsid w:val="001762AB"/>
    <w:rsid w:val="00176477"/>
    <w:rsid w:val="00177003"/>
    <w:rsid w:val="001774C3"/>
    <w:rsid w:val="00177857"/>
    <w:rsid w:val="00177D30"/>
    <w:rsid w:val="001800A3"/>
    <w:rsid w:val="0018017C"/>
    <w:rsid w:val="001817D4"/>
    <w:rsid w:val="00181B99"/>
    <w:rsid w:val="00182872"/>
    <w:rsid w:val="001829DA"/>
    <w:rsid w:val="00182A49"/>
    <w:rsid w:val="00183266"/>
    <w:rsid w:val="0018336B"/>
    <w:rsid w:val="00183F0E"/>
    <w:rsid w:val="0018436D"/>
    <w:rsid w:val="0018453B"/>
    <w:rsid w:val="001860B5"/>
    <w:rsid w:val="00186635"/>
    <w:rsid w:val="00186FAE"/>
    <w:rsid w:val="0019025D"/>
    <w:rsid w:val="0019049D"/>
    <w:rsid w:val="001904D4"/>
    <w:rsid w:val="00190C6F"/>
    <w:rsid w:val="00191C6C"/>
    <w:rsid w:val="00191ED0"/>
    <w:rsid w:val="001923C1"/>
    <w:rsid w:val="00193BF5"/>
    <w:rsid w:val="00195829"/>
    <w:rsid w:val="001959CD"/>
    <w:rsid w:val="00196490"/>
    <w:rsid w:val="00196F27"/>
    <w:rsid w:val="001972E4"/>
    <w:rsid w:val="001975ED"/>
    <w:rsid w:val="00197B41"/>
    <w:rsid w:val="001A1083"/>
    <w:rsid w:val="001A1366"/>
    <w:rsid w:val="001A161F"/>
    <w:rsid w:val="001A180C"/>
    <w:rsid w:val="001A38B2"/>
    <w:rsid w:val="001A3ED0"/>
    <w:rsid w:val="001A480A"/>
    <w:rsid w:val="001A4E8D"/>
    <w:rsid w:val="001A4FC3"/>
    <w:rsid w:val="001A5631"/>
    <w:rsid w:val="001A5B2F"/>
    <w:rsid w:val="001A6A88"/>
    <w:rsid w:val="001A6B2B"/>
    <w:rsid w:val="001A6EE6"/>
    <w:rsid w:val="001B17A6"/>
    <w:rsid w:val="001B210C"/>
    <w:rsid w:val="001B301A"/>
    <w:rsid w:val="001B4909"/>
    <w:rsid w:val="001B6A48"/>
    <w:rsid w:val="001B6E18"/>
    <w:rsid w:val="001C06E1"/>
    <w:rsid w:val="001C0982"/>
    <w:rsid w:val="001C0D1A"/>
    <w:rsid w:val="001C0ED6"/>
    <w:rsid w:val="001C1EB7"/>
    <w:rsid w:val="001C2371"/>
    <w:rsid w:val="001C2E89"/>
    <w:rsid w:val="001C5FC1"/>
    <w:rsid w:val="001C6EDA"/>
    <w:rsid w:val="001C7627"/>
    <w:rsid w:val="001C7966"/>
    <w:rsid w:val="001C7EC7"/>
    <w:rsid w:val="001D0C62"/>
    <w:rsid w:val="001D0F73"/>
    <w:rsid w:val="001D1741"/>
    <w:rsid w:val="001D1803"/>
    <w:rsid w:val="001D2259"/>
    <w:rsid w:val="001D236A"/>
    <w:rsid w:val="001D36C3"/>
    <w:rsid w:val="001D434A"/>
    <w:rsid w:val="001D572A"/>
    <w:rsid w:val="001D60DB"/>
    <w:rsid w:val="001D6A13"/>
    <w:rsid w:val="001D6C4E"/>
    <w:rsid w:val="001D6D14"/>
    <w:rsid w:val="001D7322"/>
    <w:rsid w:val="001E0148"/>
    <w:rsid w:val="001E0B06"/>
    <w:rsid w:val="001E11A7"/>
    <w:rsid w:val="001E1F44"/>
    <w:rsid w:val="001E230D"/>
    <w:rsid w:val="001E2B2D"/>
    <w:rsid w:val="001E490C"/>
    <w:rsid w:val="001E4EF3"/>
    <w:rsid w:val="001E4F89"/>
    <w:rsid w:val="001E6478"/>
    <w:rsid w:val="001E68DB"/>
    <w:rsid w:val="001E7E52"/>
    <w:rsid w:val="001F169C"/>
    <w:rsid w:val="001F1F0C"/>
    <w:rsid w:val="001F1F17"/>
    <w:rsid w:val="001F2382"/>
    <w:rsid w:val="001F2CD7"/>
    <w:rsid w:val="001F3373"/>
    <w:rsid w:val="001F33E3"/>
    <w:rsid w:val="001F362A"/>
    <w:rsid w:val="001F4483"/>
    <w:rsid w:val="001F48F2"/>
    <w:rsid w:val="001F5B2B"/>
    <w:rsid w:val="001F60B4"/>
    <w:rsid w:val="001F6214"/>
    <w:rsid w:val="001F6C99"/>
    <w:rsid w:val="001F7303"/>
    <w:rsid w:val="00200507"/>
    <w:rsid w:val="0020055A"/>
    <w:rsid w:val="00200A52"/>
    <w:rsid w:val="0020139A"/>
    <w:rsid w:val="00203600"/>
    <w:rsid w:val="002042E4"/>
    <w:rsid w:val="00204755"/>
    <w:rsid w:val="002053A7"/>
    <w:rsid w:val="00205675"/>
    <w:rsid w:val="00205E48"/>
    <w:rsid w:val="002060D5"/>
    <w:rsid w:val="00206BD8"/>
    <w:rsid w:val="00212A2D"/>
    <w:rsid w:val="002133B8"/>
    <w:rsid w:val="0021395F"/>
    <w:rsid w:val="00213EE7"/>
    <w:rsid w:val="00214406"/>
    <w:rsid w:val="00214D80"/>
    <w:rsid w:val="00215684"/>
    <w:rsid w:val="00215E28"/>
    <w:rsid w:val="00220345"/>
    <w:rsid w:val="002208F3"/>
    <w:rsid w:val="002214E6"/>
    <w:rsid w:val="00221BEE"/>
    <w:rsid w:val="002221F6"/>
    <w:rsid w:val="002229C3"/>
    <w:rsid w:val="00222D5F"/>
    <w:rsid w:val="00224540"/>
    <w:rsid w:val="002248D4"/>
    <w:rsid w:val="00225257"/>
    <w:rsid w:val="00225873"/>
    <w:rsid w:val="00225A71"/>
    <w:rsid w:val="002266DF"/>
    <w:rsid w:val="00226CAB"/>
    <w:rsid w:val="002274A1"/>
    <w:rsid w:val="002276B1"/>
    <w:rsid w:val="002279C3"/>
    <w:rsid w:val="00230C53"/>
    <w:rsid w:val="00231A1E"/>
    <w:rsid w:val="00231CD9"/>
    <w:rsid w:val="00231F8D"/>
    <w:rsid w:val="002323E5"/>
    <w:rsid w:val="00232D36"/>
    <w:rsid w:val="00234AE6"/>
    <w:rsid w:val="002361AB"/>
    <w:rsid w:val="002363C9"/>
    <w:rsid w:val="00236787"/>
    <w:rsid w:val="00237049"/>
    <w:rsid w:val="002373A0"/>
    <w:rsid w:val="002379FC"/>
    <w:rsid w:val="0024081F"/>
    <w:rsid w:val="002408A4"/>
    <w:rsid w:val="00240B01"/>
    <w:rsid w:val="002422D8"/>
    <w:rsid w:val="0024272C"/>
    <w:rsid w:val="0024291D"/>
    <w:rsid w:val="00242C3E"/>
    <w:rsid w:val="00243E82"/>
    <w:rsid w:val="002445E4"/>
    <w:rsid w:val="00244C26"/>
    <w:rsid w:val="002451BC"/>
    <w:rsid w:val="00246A4D"/>
    <w:rsid w:val="002504B6"/>
    <w:rsid w:val="00250EFE"/>
    <w:rsid w:val="00251068"/>
    <w:rsid w:val="00251D16"/>
    <w:rsid w:val="00252160"/>
    <w:rsid w:val="0025223C"/>
    <w:rsid w:val="002541AC"/>
    <w:rsid w:val="0025465A"/>
    <w:rsid w:val="00254CD2"/>
    <w:rsid w:val="0025503C"/>
    <w:rsid w:val="002569B4"/>
    <w:rsid w:val="002569EF"/>
    <w:rsid w:val="00260497"/>
    <w:rsid w:val="00260A62"/>
    <w:rsid w:val="002617B2"/>
    <w:rsid w:val="00261B3D"/>
    <w:rsid w:val="00261D67"/>
    <w:rsid w:val="00262744"/>
    <w:rsid w:val="00263A11"/>
    <w:rsid w:val="00263C9B"/>
    <w:rsid w:val="00263E9A"/>
    <w:rsid w:val="00264107"/>
    <w:rsid w:val="00264613"/>
    <w:rsid w:val="00264A38"/>
    <w:rsid w:val="00264D1E"/>
    <w:rsid w:val="00265548"/>
    <w:rsid w:val="00265AAC"/>
    <w:rsid w:val="00265C96"/>
    <w:rsid w:val="00265ECA"/>
    <w:rsid w:val="002666FC"/>
    <w:rsid w:val="00266F2B"/>
    <w:rsid w:val="002671EF"/>
    <w:rsid w:val="00270706"/>
    <w:rsid w:val="00271200"/>
    <w:rsid w:val="0027166B"/>
    <w:rsid w:val="002719B8"/>
    <w:rsid w:val="00271E06"/>
    <w:rsid w:val="00272415"/>
    <w:rsid w:val="002727D3"/>
    <w:rsid w:val="00272AC1"/>
    <w:rsid w:val="00273296"/>
    <w:rsid w:val="00273835"/>
    <w:rsid w:val="0027453B"/>
    <w:rsid w:val="00274C9A"/>
    <w:rsid w:val="00276E96"/>
    <w:rsid w:val="00277234"/>
    <w:rsid w:val="0027729A"/>
    <w:rsid w:val="00277637"/>
    <w:rsid w:val="00280955"/>
    <w:rsid w:val="002810BB"/>
    <w:rsid w:val="0028113B"/>
    <w:rsid w:val="00282567"/>
    <w:rsid w:val="00283548"/>
    <w:rsid w:val="00284547"/>
    <w:rsid w:val="00284D25"/>
    <w:rsid w:val="00284D35"/>
    <w:rsid w:val="00285D5E"/>
    <w:rsid w:val="00286164"/>
    <w:rsid w:val="00286217"/>
    <w:rsid w:val="00286757"/>
    <w:rsid w:val="00287405"/>
    <w:rsid w:val="00287572"/>
    <w:rsid w:val="00287C18"/>
    <w:rsid w:val="0029060B"/>
    <w:rsid w:val="00290850"/>
    <w:rsid w:val="00290957"/>
    <w:rsid w:val="002909C9"/>
    <w:rsid w:val="00290CA1"/>
    <w:rsid w:val="00291076"/>
    <w:rsid w:val="002915E4"/>
    <w:rsid w:val="0029195F"/>
    <w:rsid w:val="00292C54"/>
    <w:rsid w:val="00293277"/>
    <w:rsid w:val="00293385"/>
    <w:rsid w:val="002935AB"/>
    <w:rsid w:val="0029395C"/>
    <w:rsid w:val="00293B19"/>
    <w:rsid w:val="002940B7"/>
    <w:rsid w:val="0029480B"/>
    <w:rsid w:val="00294D3E"/>
    <w:rsid w:val="00295EAD"/>
    <w:rsid w:val="002962F2"/>
    <w:rsid w:val="002965B9"/>
    <w:rsid w:val="00296C46"/>
    <w:rsid w:val="00297054"/>
    <w:rsid w:val="00297D57"/>
    <w:rsid w:val="002A014D"/>
    <w:rsid w:val="002A06B7"/>
    <w:rsid w:val="002A269D"/>
    <w:rsid w:val="002A2D8F"/>
    <w:rsid w:val="002A3114"/>
    <w:rsid w:val="002A3810"/>
    <w:rsid w:val="002A3D6B"/>
    <w:rsid w:val="002A476A"/>
    <w:rsid w:val="002A4E9E"/>
    <w:rsid w:val="002A4EB8"/>
    <w:rsid w:val="002A517C"/>
    <w:rsid w:val="002A55FC"/>
    <w:rsid w:val="002A65A5"/>
    <w:rsid w:val="002A68F8"/>
    <w:rsid w:val="002A74FA"/>
    <w:rsid w:val="002A75CB"/>
    <w:rsid w:val="002A7DA3"/>
    <w:rsid w:val="002A7F00"/>
    <w:rsid w:val="002B00D3"/>
    <w:rsid w:val="002B0FF0"/>
    <w:rsid w:val="002B17E4"/>
    <w:rsid w:val="002B2B95"/>
    <w:rsid w:val="002B2D67"/>
    <w:rsid w:val="002B3BEC"/>
    <w:rsid w:val="002B7550"/>
    <w:rsid w:val="002B77DE"/>
    <w:rsid w:val="002B78AB"/>
    <w:rsid w:val="002C0F63"/>
    <w:rsid w:val="002C1EE2"/>
    <w:rsid w:val="002C26BF"/>
    <w:rsid w:val="002C41B9"/>
    <w:rsid w:val="002C51D0"/>
    <w:rsid w:val="002C6022"/>
    <w:rsid w:val="002C7B3A"/>
    <w:rsid w:val="002D01E5"/>
    <w:rsid w:val="002D0A45"/>
    <w:rsid w:val="002D1038"/>
    <w:rsid w:val="002D1395"/>
    <w:rsid w:val="002D17F0"/>
    <w:rsid w:val="002D30D1"/>
    <w:rsid w:val="002D3775"/>
    <w:rsid w:val="002D413F"/>
    <w:rsid w:val="002D4C7B"/>
    <w:rsid w:val="002D51AB"/>
    <w:rsid w:val="002D5A0E"/>
    <w:rsid w:val="002D5BCC"/>
    <w:rsid w:val="002D6A2C"/>
    <w:rsid w:val="002D7485"/>
    <w:rsid w:val="002D7AC4"/>
    <w:rsid w:val="002D7B5F"/>
    <w:rsid w:val="002E0141"/>
    <w:rsid w:val="002E0648"/>
    <w:rsid w:val="002E0803"/>
    <w:rsid w:val="002E2673"/>
    <w:rsid w:val="002E3CE4"/>
    <w:rsid w:val="002E4C52"/>
    <w:rsid w:val="002E6AAD"/>
    <w:rsid w:val="002E752F"/>
    <w:rsid w:val="002F001E"/>
    <w:rsid w:val="002F01D8"/>
    <w:rsid w:val="002F15BF"/>
    <w:rsid w:val="002F2B11"/>
    <w:rsid w:val="002F3E7F"/>
    <w:rsid w:val="002F3F32"/>
    <w:rsid w:val="002F4AC0"/>
    <w:rsid w:val="002F4F7D"/>
    <w:rsid w:val="002F5E15"/>
    <w:rsid w:val="002F6EE5"/>
    <w:rsid w:val="002F6F78"/>
    <w:rsid w:val="002F7DE6"/>
    <w:rsid w:val="002F7FBF"/>
    <w:rsid w:val="003003A5"/>
    <w:rsid w:val="003026BE"/>
    <w:rsid w:val="00303368"/>
    <w:rsid w:val="0030355D"/>
    <w:rsid w:val="0030375D"/>
    <w:rsid w:val="003044FB"/>
    <w:rsid w:val="003049ED"/>
    <w:rsid w:val="00306372"/>
    <w:rsid w:val="00306FA6"/>
    <w:rsid w:val="003075C2"/>
    <w:rsid w:val="00307CAE"/>
    <w:rsid w:val="00310E0B"/>
    <w:rsid w:val="00311DA1"/>
    <w:rsid w:val="003120DB"/>
    <w:rsid w:val="003125B2"/>
    <w:rsid w:val="003126E4"/>
    <w:rsid w:val="00312BEE"/>
    <w:rsid w:val="00313B11"/>
    <w:rsid w:val="00313B3E"/>
    <w:rsid w:val="00314EC5"/>
    <w:rsid w:val="00316D9E"/>
    <w:rsid w:val="003174B6"/>
    <w:rsid w:val="00317A24"/>
    <w:rsid w:val="00317E8B"/>
    <w:rsid w:val="003204CD"/>
    <w:rsid w:val="0032223A"/>
    <w:rsid w:val="00322283"/>
    <w:rsid w:val="0032237D"/>
    <w:rsid w:val="00322672"/>
    <w:rsid w:val="00322781"/>
    <w:rsid w:val="003234AD"/>
    <w:rsid w:val="003235C7"/>
    <w:rsid w:val="003245B9"/>
    <w:rsid w:val="00324CCB"/>
    <w:rsid w:val="00324EFF"/>
    <w:rsid w:val="00325645"/>
    <w:rsid w:val="00326483"/>
    <w:rsid w:val="0032698B"/>
    <w:rsid w:val="00326E86"/>
    <w:rsid w:val="00326FEA"/>
    <w:rsid w:val="00327A23"/>
    <w:rsid w:val="00327B37"/>
    <w:rsid w:val="003309DA"/>
    <w:rsid w:val="00331BC3"/>
    <w:rsid w:val="00332484"/>
    <w:rsid w:val="00334471"/>
    <w:rsid w:val="00335043"/>
    <w:rsid w:val="003352D5"/>
    <w:rsid w:val="003375B6"/>
    <w:rsid w:val="00337BAB"/>
    <w:rsid w:val="00340523"/>
    <w:rsid w:val="00341FEE"/>
    <w:rsid w:val="003425A8"/>
    <w:rsid w:val="00343891"/>
    <w:rsid w:val="003444B0"/>
    <w:rsid w:val="00344D85"/>
    <w:rsid w:val="0034525E"/>
    <w:rsid w:val="00345495"/>
    <w:rsid w:val="00345C7E"/>
    <w:rsid w:val="00345D29"/>
    <w:rsid w:val="003467C4"/>
    <w:rsid w:val="00346F3C"/>
    <w:rsid w:val="003472B6"/>
    <w:rsid w:val="003478B9"/>
    <w:rsid w:val="00350C83"/>
    <w:rsid w:val="003517C9"/>
    <w:rsid w:val="00351C17"/>
    <w:rsid w:val="003534B0"/>
    <w:rsid w:val="003538C4"/>
    <w:rsid w:val="0035624E"/>
    <w:rsid w:val="00357002"/>
    <w:rsid w:val="0035709B"/>
    <w:rsid w:val="0035772F"/>
    <w:rsid w:val="00360232"/>
    <w:rsid w:val="00360901"/>
    <w:rsid w:val="003613D1"/>
    <w:rsid w:val="003615F5"/>
    <w:rsid w:val="0036160B"/>
    <w:rsid w:val="003627FB"/>
    <w:rsid w:val="00362C65"/>
    <w:rsid w:val="0036359B"/>
    <w:rsid w:val="00364905"/>
    <w:rsid w:val="00364F78"/>
    <w:rsid w:val="003652D7"/>
    <w:rsid w:val="00365C14"/>
    <w:rsid w:val="00367033"/>
    <w:rsid w:val="003673E7"/>
    <w:rsid w:val="003678CD"/>
    <w:rsid w:val="00370052"/>
    <w:rsid w:val="00371E26"/>
    <w:rsid w:val="00372116"/>
    <w:rsid w:val="0037408E"/>
    <w:rsid w:val="003755C8"/>
    <w:rsid w:val="00375A40"/>
    <w:rsid w:val="00375EAF"/>
    <w:rsid w:val="00380594"/>
    <w:rsid w:val="00380EE7"/>
    <w:rsid w:val="003814F7"/>
    <w:rsid w:val="00381F22"/>
    <w:rsid w:val="00382027"/>
    <w:rsid w:val="003825DA"/>
    <w:rsid w:val="00382665"/>
    <w:rsid w:val="00382A91"/>
    <w:rsid w:val="00382DB3"/>
    <w:rsid w:val="00382E78"/>
    <w:rsid w:val="00383C21"/>
    <w:rsid w:val="00384976"/>
    <w:rsid w:val="00385156"/>
    <w:rsid w:val="0038578F"/>
    <w:rsid w:val="0038590C"/>
    <w:rsid w:val="00385E4D"/>
    <w:rsid w:val="00386074"/>
    <w:rsid w:val="00386FA1"/>
    <w:rsid w:val="00387756"/>
    <w:rsid w:val="003900C8"/>
    <w:rsid w:val="00390411"/>
    <w:rsid w:val="00390426"/>
    <w:rsid w:val="0039049F"/>
    <w:rsid w:val="00390AD5"/>
    <w:rsid w:val="0039115C"/>
    <w:rsid w:val="0039193A"/>
    <w:rsid w:val="00392B75"/>
    <w:rsid w:val="00393B4A"/>
    <w:rsid w:val="00393B51"/>
    <w:rsid w:val="00394867"/>
    <w:rsid w:val="00394FAF"/>
    <w:rsid w:val="0039645B"/>
    <w:rsid w:val="00396C90"/>
    <w:rsid w:val="003A0061"/>
    <w:rsid w:val="003A01F7"/>
    <w:rsid w:val="003A09BC"/>
    <w:rsid w:val="003A1A3A"/>
    <w:rsid w:val="003A2EAE"/>
    <w:rsid w:val="003A3A75"/>
    <w:rsid w:val="003A465A"/>
    <w:rsid w:val="003A4994"/>
    <w:rsid w:val="003A4E40"/>
    <w:rsid w:val="003A575B"/>
    <w:rsid w:val="003A5D81"/>
    <w:rsid w:val="003A624C"/>
    <w:rsid w:val="003A6997"/>
    <w:rsid w:val="003A6B01"/>
    <w:rsid w:val="003A6BB5"/>
    <w:rsid w:val="003A6F36"/>
    <w:rsid w:val="003A70D8"/>
    <w:rsid w:val="003A7262"/>
    <w:rsid w:val="003B01C0"/>
    <w:rsid w:val="003B04EE"/>
    <w:rsid w:val="003B0D4A"/>
    <w:rsid w:val="003B1019"/>
    <w:rsid w:val="003B18C5"/>
    <w:rsid w:val="003B20BC"/>
    <w:rsid w:val="003B470A"/>
    <w:rsid w:val="003B4D77"/>
    <w:rsid w:val="003B5178"/>
    <w:rsid w:val="003B5749"/>
    <w:rsid w:val="003B6F78"/>
    <w:rsid w:val="003B7421"/>
    <w:rsid w:val="003B78F9"/>
    <w:rsid w:val="003C0857"/>
    <w:rsid w:val="003C1178"/>
    <w:rsid w:val="003C1AEB"/>
    <w:rsid w:val="003C37FA"/>
    <w:rsid w:val="003C3C12"/>
    <w:rsid w:val="003C4999"/>
    <w:rsid w:val="003C4E0F"/>
    <w:rsid w:val="003C5F08"/>
    <w:rsid w:val="003C64BA"/>
    <w:rsid w:val="003C6707"/>
    <w:rsid w:val="003C7EFF"/>
    <w:rsid w:val="003C7F15"/>
    <w:rsid w:val="003D02B7"/>
    <w:rsid w:val="003D06ED"/>
    <w:rsid w:val="003D1E33"/>
    <w:rsid w:val="003D297F"/>
    <w:rsid w:val="003D2DF2"/>
    <w:rsid w:val="003D4202"/>
    <w:rsid w:val="003D42E9"/>
    <w:rsid w:val="003D4ED5"/>
    <w:rsid w:val="003D5244"/>
    <w:rsid w:val="003D5C42"/>
    <w:rsid w:val="003D5E08"/>
    <w:rsid w:val="003D70A7"/>
    <w:rsid w:val="003D74B1"/>
    <w:rsid w:val="003D779A"/>
    <w:rsid w:val="003E004D"/>
    <w:rsid w:val="003E09E0"/>
    <w:rsid w:val="003E0C13"/>
    <w:rsid w:val="003E1808"/>
    <w:rsid w:val="003E1B61"/>
    <w:rsid w:val="003E23F8"/>
    <w:rsid w:val="003E26E2"/>
    <w:rsid w:val="003E3046"/>
    <w:rsid w:val="003E4353"/>
    <w:rsid w:val="003E54D4"/>
    <w:rsid w:val="003E5AAA"/>
    <w:rsid w:val="003E5D34"/>
    <w:rsid w:val="003E5E50"/>
    <w:rsid w:val="003E6FF0"/>
    <w:rsid w:val="003E78A7"/>
    <w:rsid w:val="003F078F"/>
    <w:rsid w:val="003F0809"/>
    <w:rsid w:val="003F0AEA"/>
    <w:rsid w:val="003F0E22"/>
    <w:rsid w:val="003F1737"/>
    <w:rsid w:val="003F21F7"/>
    <w:rsid w:val="003F2B51"/>
    <w:rsid w:val="003F3BCF"/>
    <w:rsid w:val="003F4973"/>
    <w:rsid w:val="003F566B"/>
    <w:rsid w:val="003F5A6B"/>
    <w:rsid w:val="003F5B2C"/>
    <w:rsid w:val="003F634B"/>
    <w:rsid w:val="003F6674"/>
    <w:rsid w:val="003F67FC"/>
    <w:rsid w:val="003F7578"/>
    <w:rsid w:val="003F7804"/>
    <w:rsid w:val="003F78DE"/>
    <w:rsid w:val="004006C6"/>
    <w:rsid w:val="00400E4B"/>
    <w:rsid w:val="00403A4A"/>
    <w:rsid w:val="00405B66"/>
    <w:rsid w:val="00406FDC"/>
    <w:rsid w:val="004071E9"/>
    <w:rsid w:val="004072D3"/>
    <w:rsid w:val="0041057C"/>
    <w:rsid w:val="00410C73"/>
    <w:rsid w:val="00411187"/>
    <w:rsid w:val="004114A0"/>
    <w:rsid w:val="00411A0B"/>
    <w:rsid w:val="00411D5C"/>
    <w:rsid w:val="00412179"/>
    <w:rsid w:val="00413FC4"/>
    <w:rsid w:val="004141C2"/>
    <w:rsid w:val="004154F3"/>
    <w:rsid w:val="004156B9"/>
    <w:rsid w:val="00415775"/>
    <w:rsid w:val="0041621F"/>
    <w:rsid w:val="004170FB"/>
    <w:rsid w:val="004171E4"/>
    <w:rsid w:val="004216C2"/>
    <w:rsid w:val="00422605"/>
    <w:rsid w:val="00422F67"/>
    <w:rsid w:val="00422FE1"/>
    <w:rsid w:val="0042313F"/>
    <w:rsid w:val="00424575"/>
    <w:rsid w:val="004249C6"/>
    <w:rsid w:val="0042592A"/>
    <w:rsid w:val="00426E75"/>
    <w:rsid w:val="0042709F"/>
    <w:rsid w:val="004279FD"/>
    <w:rsid w:val="00430041"/>
    <w:rsid w:val="00430274"/>
    <w:rsid w:val="004302D8"/>
    <w:rsid w:val="004307D6"/>
    <w:rsid w:val="00430BC7"/>
    <w:rsid w:val="00430E31"/>
    <w:rsid w:val="0043148C"/>
    <w:rsid w:val="00432263"/>
    <w:rsid w:val="004322D1"/>
    <w:rsid w:val="00433877"/>
    <w:rsid w:val="00435253"/>
    <w:rsid w:val="00435B93"/>
    <w:rsid w:val="00436E1B"/>
    <w:rsid w:val="00436F11"/>
    <w:rsid w:val="00437AE4"/>
    <w:rsid w:val="00437BD3"/>
    <w:rsid w:val="00440F08"/>
    <w:rsid w:val="00441273"/>
    <w:rsid w:val="00441589"/>
    <w:rsid w:val="00441C35"/>
    <w:rsid w:val="00442634"/>
    <w:rsid w:val="004427EC"/>
    <w:rsid w:val="00442C32"/>
    <w:rsid w:val="00442E0D"/>
    <w:rsid w:val="004432C9"/>
    <w:rsid w:val="00443ACA"/>
    <w:rsid w:val="00443CDB"/>
    <w:rsid w:val="00444839"/>
    <w:rsid w:val="00444C4F"/>
    <w:rsid w:val="00444D3A"/>
    <w:rsid w:val="00444E05"/>
    <w:rsid w:val="00446201"/>
    <w:rsid w:val="00446B19"/>
    <w:rsid w:val="00447313"/>
    <w:rsid w:val="00450C7A"/>
    <w:rsid w:val="004512DA"/>
    <w:rsid w:val="004529D8"/>
    <w:rsid w:val="00452ADB"/>
    <w:rsid w:val="00453174"/>
    <w:rsid w:val="00453B03"/>
    <w:rsid w:val="00453C10"/>
    <w:rsid w:val="00454518"/>
    <w:rsid w:val="0045488A"/>
    <w:rsid w:val="004558EE"/>
    <w:rsid w:val="004559FB"/>
    <w:rsid w:val="0045648E"/>
    <w:rsid w:val="004574BC"/>
    <w:rsid w:val="00457637"/>
    <w:rsid w:val="004579CD"/>
    <w:rsid w:val="004605E1"/>
    <w:rsid w:val="0046106D"/>
    <w:rsid w:val="004610FD"/>
    <w:rsid w:val="004612D6"/>
    <w:rsid w:val="00461DEE"/>
    <w:rsid w:val="00461EF8"/>
    <w:rsid w:val="00462556"/>
    <w:rsid w:val="004655F4"/>
    <w:rsid w:val="00465B21"/>
    <w:rsid w:val="004661B1"/>
    <w:rsid w:val="00466C04"/>
    <w:rsid w:val="00467389"/>
    <w:rsid w:val="004701D0"/>
    <w:rsid w:val="004712BE"/>
    <w:rsid w:val="00471E32"/>
    <w:rsid w:val="00471F54"/>
    <w:rsid w:val="004729AD"/>
    <w:rsid w:val="00472D5E"/>
    <w:rsid w:val="0047346D"/>
    <w:rsid w:val="00474229"/>
    <w:rsid w:val="00474670"/>
    <w:rsid w:val="0047521F"/>
    <w:rsid w:val="00476185"/>
    <w:rsid w:val="00476217"/>
    <w:rsid w:val="00476B88"/>
    <w:rsid w:val="00477550"/>
    <w:rsid w:val="004776E1"/>
    <w:rsid w:val="00477789"/>
    <w:rsid w:val="00477B8C"/>
    <w:rsid w:val="0048094F"/>
    <w:rsid w:val="004810C4"/>
    <w:rsid w:val="00481CC9"/>
    <w:rsid w:val="00481E3C"/>
    <w:rsid w:val="00481ECE"/>
    <w:rsid w:val="004834D6"/>
    <w:rsid w:val="00483D44"/>
    <w:rsid w:val="00483DD5"/>
    <w:rsid w:val="00483DFD"/>
    <w:rsid w:val="00483EFD"/>
    <w:rsid w:val="00484DF6"/>
    <w:rsid w:val="00484F5D"/>
    <w:rsid w:val="004859B5"/>
    <w:rsid w:val="00485A8C"/>
    <w:rsid w:val="004860D0"/>
    <w:rsid w:val="00486588"/>
    <w:rsid w:val="00486709"/>
    <w:rsid w:val="0048692A"/>
    <w:rsid w:val="00486CC2"/>
    <w:rsid w:val="00490175"/>
    <w:rsid w:val="0049099E"/>
    <w:rsid w:val="00490E4B"/>
    <w:rsid w:val="0049111C"/>
    <w:rsid w:val="004911BD"/>
    <w:rsid w:val="00491C94"/>
    <w:rsid w:val="00491E84"/>
    <w:rsid w:val="00491EE1"/>
    <w:rsid w:val="00492D32"/>
    <w:rsid w:val="004935B6"/>
    <w:rsid w:val="0049403D"/>
    <w:rsid w:val="00494FC0"/>
    <w:rsid w:val="004950D7"/>
    <w:rsid w:val="0049558B"/>
    <w:rsid w:val="004964EF"/>
    <w:rsid w:val="004968F4"/>
    <w:rsid w:val="004970B9"/>
    <w:rsid w:val="004A0355"/>
    <w:rsid w:val="004A058B"/>
    <w:rsid w:val="004A0610"/>
    <w:rsid w:val="004A06CE"/>
    <w:rsid w:val="004A11B7"/>
    <w:rsid w:val="004A1C42"/>
    <w:rsid w:val="004A227D"/>
    <w:rsid w:val="004A2355"/>
    <w:rsid w:val="004A25A1"/>
    <w:rsid w:val="004A387C"/>
    <w:rsid w:val="004A3C22"/>
    <w:rsid w:val="004A44A0"/>
    <w:rsid w:val="004A5EB8"/>
    <w:rsid w:val="004A6513"/>
    <w:rsid w:val="004A7548"/>
    <w:rsid w:val="004A7C74"/>
    <w:rsid w:val="004B050E"/>
    <w:rsid w:val="004B07BB"/>
    <w:rsid w:val="004B3274"/>
    <w:rsid w:val="004B37C2"/>
    <w:rsid w:val="004B40B1"/>
    <w:rsid w:val="004B43E2"/>
    <w:rsid w:val="004B54C8"/>
    <w:rsid w:val="004B5A90"/>
    <w:rsid w:val="004B5CAE"/>
    <w:rsid w:val="004B5F85"/>
    <w:rsid w:val="004B653D"/>
    <w:rsid w:val="004B6D28"/>
    <w:rsid w:val="004B6F52"/>
    <w:rsid w:val="004B70CA"/>
    <w:rsid w:val="004B739F"/>
    <w:rsid w:val="004B7E35"/>
    <w:rsid w:val="004C08CF"/>
    <w:rsid w:val="004C0F67"/>
    <w:rsid w:val="004C1641"/>
    <w:rsid w:val="004C1A34"/>
    <w:rsid w:val="004C3479"/>
    <w:rsid w:val="004C4A4C"/>
    <w:rsid w:val="004C4EFC"/>
    <w:rsid w:val="004C582C"/>
    <w:rsid w:val="004C6550"/>
    <w:rsid w:val="004C78B0"/>
    <w:rsid w:val="004D06D2"/>
    <w:rsid w:val="004D0BAB"/>
    <w:rsid w:val="004D2A1E"/>
    <w:rsid w:val="004D2C47"/>
    <w:rsid w:val="004D2DF0"/>
    <w:rsid w:val="004D2EDE"/>
    <w:rsid w:val="004D3114"/>
    <w:rsid w:val="004D3281"/>
    <w:rsid w:val="004D3362"/>
    <w:rsid w:val="004D3A52"/>
    <w:rsid w:val="004D3EF6"/>
    <w:rsid w:val="004D57F8"/>
    <w:rsid w:val="004D644D"/>
    <w:rsid w:val="004D6948"/>
    <w:rsid w:val="004D69FC"/>
    <w:rsid w:val="004D780C"/>
    <w:rsid w:val="004E0982"/>
    <w:rsid w:val="004E1D23"/>
    <w:rsid w:val="004E28A5"/>
    <w:rsid w:val="004E28F4"/>
    <w:rsid w:val="004E2E4C"/>
    <w:rsid w:val="004E363E"/>
    <w:rsid w:val="004E4560"/>
    <w:rsid w:val="004E6151"/>
    <w:rsid w:val="004E668A"/>
    <w:rsid w:val="004E7651"/>
    <w:rsid w:val="004F0104"/>
    <w:rsid w:val="004F06F8"/>
    <w:rsid w:val="004F1400"/>
    <w:rsid w:val="004F1B68"/>
    <w:rsid w:val="004F1FAF"/>
    <w:rsid w:val="004F2150"/>
    <w:rsid w:val="004F254D"/>
    <w:rsid w:val="004F2BE3"/>
    <w:rsid w:val="004F32CA"/>
    <w:rsid w:val="004F337F"/>
    <w:rsid w:val="004F3530"/>
    <w:rsid w:val="004F408C"/>
    <w:rsid w:val="004F418F"/>
    <w:rsid w:val="004F44A8"/>
    <w:rsid w:val="004F5766"/>
    <w:rsid w:val="004F578A"/>
    <w:rsid w:val="004F5863"/>
    <w:rsid w:val="004F5C51"/>
    <w:rsid w:val="004F5ECA"/>
    <w:rsid w:val="004F6510"/>
    <w:rsid w:val="004F6ABE"/>
    <w:rsid w:val="004F7450"/>
    <w:rsid w:val="00501425"/>
    <w:rsid w:val="00501B01"/>
    <w:rsid w:val="0050274F"/>
    <w:rsid w:val="00502C92"/>
    <w:rsid w:val="00502E00"/>
    <w:rsid w:val="00502F18"/>
    <w:rsid w:val="00503007"/>
    <w:rsid w:val="005033AE"/>
    <w:rsid w:val="00503E69"/>
    <w:rsid w:val="00503F7B"/>
    <w:rsid w:val="00504001"/>
    <w:rsid w:val="005055C8"/>
    <w:rsid w:val="005056B6"/>
    <w:rsid w:val="00505A89"/>
    <w:rsid w:val="00505DA1"/>
    <w:rsid w:val="00506215"/>
    <w:rsid w:val="005062A6"/>
    <w:rsid w:val="00506A41"/>
    <w:rsid w:val="00506D4C"/>
    <w:rsid w:val="00507C70"/>
    <w:rsid w:val="00507DFC"/>
    <w:rsid w:val="00510455"/>
    <w:rsid w:val="0051099F"/>
    <w:rsid w:val="00510EB2"/>
    <w:rsid w:val="005114B7"/>
    <w:rsid w:val="00511559"/>
    <w:rsid w:val="005142A3"/>
    <w:rsid w:val="00515413"/>
    <w:rsid w:val="00515D6B"/>
    <w:rsid w:val="00515F0E"/>
    <w:rsid w:val="00516549"/>
    <w:rsid w:val="0051672A"/>
    <w:rsid w:val="00517B96"/>
    <w:rsid w:val="00517BBB"/>
    <w:rsid w:val="005207C0"/>
    <w:rsid w:val="005222D0"/>
    <w:rsid w:val="0052327E"/>
    <w:rsid w:val="00523551"/>
    <w:rsid w:val="00524F75"/>
    <w:rsid w:val="005250E2"/>
    <w:rsid w:val="00525D2D"/>
    <w:rsid w:val="00525D56"/>
    <w:rsid w:val="00525F6C"/>
    <w:rsid w:val="0052614C"/>
    <w:rsid w:val="0052689C"/>
    <w:rsid w:val="00527205"/>
    <w:rsid w:val="00527ED0"/>
    <w:rsid w:val="00531007"/>
    <w:rsid w:val="00531BDD"/>
    <w:rsid w:val="00531FC6"/>
    <w:rsid w:val="00532AED"/>
    <w:rsid w:val="00534307"/>
    <w:rsid w:val="00534671"/>
    <w:rsid w:val="00534E5F"/>
    <w:rsid w:val="0053527B"/>
    <w:rsid w:val="00535D76"/>
    <w:rsid w:val="0053605D"/>
    <w:rsid w:val="005361CD"/>
    <w:rsid w:val="00537065"/>
    <w:rsid w:val="005370B3"/>
    <w:rsid w:val="005373D2"/>
    <w:rsid w:val="005377D1"/>
    <w:rsid w:val="00537AC0"/>
    <w:rsid w:val="00540B72"/>
    <w:rsid w:val="00540E03"/>
    <w:rsid w:val="0054106F"/>
    <w:rsid w:val="005411DC"/>
    <w:rsid w:val="00543100"/>
    <w:rsid w:val="00543FDF"/>
    <w:rsid w:val="00545554"/>
    <w:rsid w:val="005457EE"/>
    <w:rsid w:val="00546D81"/>
    <w:rsid w:val="00546F98"/>
    <w:rsid w:val="005472D7"/>
    <w:rsid w:val="00547BA0"/>
    <w:rsid w:val="00552FF7"/>
    <w:rsid w:val="00553D1B"/>
    <w:rsid w:val="00553DAD"/>
    <w:rsid w:val="005549CE"/>
    <w:rsid w:val="00555219"/>
    <w:rsid w:val="00557045"/>
    <w:rsid w:val="005574A0"/>
    <w:rsid w:val="005574FD"/>
    <w:rsid w:val="00557F15"/>
    <w:rsid w:val="00560EB2"/>
    <w:rsid w:val="0056189B"/>
    <w:rsid w:val="00561919"/>
    <w:rsid w:val="00561952"/>
    <w:rsid w:val="005634C2"/>
    <w:rsid w:val="00564560"/>
    <w:rsid w:val="00564A86"/>
    <w:rsid w:val="00565609"/>
    <w:rsid w:val="005661E7"/>
    <w:rsid w:val="005700A5"/>
    <w:rsid w:val="00570643"/>
    <w:rsid w:val="00570D39"/>
    <w:rsid w:val="005718E4"/>
    <w:rsid w:val="00571906"/>
    <w:rsid w:val="00571F66"/>
    <w:rsid w:val="005728C5"/>
    <w:rsid w:val="0057300D"/>
    <w:rsid w:val="00573392"/>
    <w:rsid w:val="0057339A"/>
    <w:rsid w:val="00573695"/>
    <w:rsid w:val="0057509A"/>
    <w:rsid w:val="00575262"/>
    <w:rsid w:val="005752E0"/>
    <w:rsid w:val="00575C38"/>
    <w:rsid w:val="005761A7"/>
    <w:rsid w:val="005762EF"/>
    <w:rsid w:val="00577A90"/>
    <w:rsid w:val="005802A9"/>
    <w:rsid w:val="00580305"/>
    <w:rsid w:val="00580DF1"/>
    <w:rsid w:val="0058124C"/>
    <w:rsid w:val="00581830"/>
    <w:rsid w:val="00581859"/>
    <w:rsid w:val="00581B57"/>
    <w:rsid w:val="00582472"/>
    <w:rsid w:val="00582B7C"/>
    <w:rsid w:val="005835FF"/>
    <w:rsid w:val="00585E71"/>
    <w:rsid w:val="00586424"/>
    <w:rsid w:val="00586AE2"/>
    <w:rsid w:val="00586FD4"/>
    <w:rsid w:val="005871DA"/>
    <w:rsid w:val="005877C5"/>
    <w:rsid w:val="00587A6B"/>
    <w:rsid w:val="00587C99"/>
    <w:rsid w:val="00590719"/>
    <w:rsid w:val="00590EF5"/>
    <w:rsid w:val="00590FD4"/>
    <w:rsid w:val="00591C9A"/>
    <w:rsid w:val="0059294A"/>
    <w:rsid w:val="00593851"/>
    <w:rsid w:val="00593B24"/>
    <w:rsid w:val="00593F6B"/>
    <w:rsid w:val="0059435A"/>
    <w:rsid w:val="0059479F"/>
    <w:rsid w:val="00594B70"/>
    <w:rsid w:val="00594E86"/>
    <w:rsid w:val="00595CEB"/>
    <w:rsid w:val="00596F17"/>
    <w:rsid w:val="005970EA"/>
    <w:rsid w:val="005A0BC4"/>
    <w:rsid w:val="005A0D66"/>
    <w:rsid w:val="005A10F8"/>
    <w:rsid w:val="005A11DE"/>
    <w:rsid w:val="005A2311"/>
    <w:rsid w:val="005A2E0D"/>
    <w:rsid w:val="005A30E1"/>
    <w:rsid w:val="005A3721"/>
    <w:rsid w:val="005A5FE1"/>
    <w:rsid w:val="005A64EA"/>
    <w:rsid w:val="005A676A"/>
    <w:rsid w:val="005A6CA1"/>
    <w:rsid w:val="005B10AE"/>
    <w:rsid w:val="005B11DA"/>
    <w:rsid w:val="005B1637"/>
    <w:rsid w:val="005B2C19"/>
    <w:rsid w:val="005B338C"/>
    <w:rsid w:val="005B42A6"/>
    <w:rsid w:val="005B4C2F"/>
    <w:rsid w:val="005B5234"/>
    <w:rsid w:val="005B5500"/>
    <w:rsid w:val="005B58E7"/>
    <w:rsid w:val="005B6431"/>
    <w:rsid w:val="005B6593"/>
    <w:rsid w:val="005B69BB"/>
    <w:rsid w:val="005B6EE0"/>
    <w:rsid w:val="005B7404"/>
    <w:rsid w:val="005B7A11"/>
    <w:rsid w:val="005C0E4F"/>
    <w:rsid w:val="005C1938"/>
    <w:rsid w:val="005C1943"/>
    <w:rsid w:val="005C1B42"/>
    <w:rsid w:val="005C24CF"/>
    <w:rsid w:val="005C38AF"/>
    <w:rsid w:val="005C582C"/>
    <w:rsid w:val="005C5A19"/>
    <w:rsid w:val="005C5BAE"/>
    <w:rsid w:val="005C5E09"/>
    <w:rsid w:val="005C641A"/>
    <w:rsid w:val="005D0103"/>
    <w:rsid w:val="005D2C36"/>
    <w:rsid w:val="005D2C9C"/>
    <w:rsid w:val="005D317D"/>
    <w:rsid w:val="005D3A4E"/>
    <w:rsid w:val="005D4B3E"/>
    <w:rsid w:val="005D50E2"/>
    <w:rsid w:val="005D5372"/>
    <w:rsid w:val="005D5758"/>
    <w:rsid w:val="005D5AC3"/>
    <w:rsid w:val="005D66C3"/>
    <w:rsid w:val="005D684C"/>
    <w:rsid w:val="005D6F57"/>
    <w:rsid w:val="005D707B"/>
    <w:rsid w:val="005D72B1"/>
    <w:rsid w:val="005E0018"/>
    <w:rsid w:val="005E0364"/>
    <w:rsid w:val="005E0845"/>
    <w:rsid w:val="005E0A68"/>
    <w:rsid w:val="005E174E"/>
    <w:rsid w:val="005E23C7"/>
    <w:rsid w:val="005E28F4"/>
    <w:rsid w:val="005E2B84"/>
    <w:rsid w:val="005E2CE9"/>
    <w:rsid w:val="005E3CFE"/>
    <w:rsid w:val="005E4078"/>
    <w:rsid w:val="005E4A8C"/>
    <w:rsid w:val="005E4DFC"/>
    <w:rsid w:val="005E5136"/>
    <w:rsid w:val="005E668A"/>
    <w:rsid w:val="005E733D"/>
    <w:rsid w:val="005E74D8"/>
    <w:rsid w:val="005E7C62"/>
    <w:rsid w:val="005E7DA2"/>
    <w:rsid w:val="005F029F"/>
    <w:rsid w:val="005F139D"/>
    <w:rsid w:val="005F1712"/>
    <w:rsid w:val="005F24C3"/>
    <w:rsid w:val="005F2B13"/>
    <w:rsid w:val="005F2E77"/>
    <w:rsid w:val="005F310F"/>
    <w:rsid w:val="005F34E5"/>
    <w:rsid w:val="005F3536"/>
    <w:rsid w:val="005F43D6"/>
    <w:rsid w:val="005F51B4"/>
    <w:rsid w:val="005F560A"/>
    <w:rsid w:val="005F5932"/>
    <w:rsid w:val="005F5E35"/>
    <w:rsid w:val="005F655E"/>
    <w:rsid w:val="005F6BD2"/>
    <w:rsid w:val="005F6D9A"/>
    <w:rsid w:val="005F725F"/>
    <w:rsid w:val="00600A38"/>
    <w:rsid w:val="00601DB7"/>
    <w:rsid w:val="00602C95"/>
    <w:rsid w:val="00603138"/>
    <w:rsid w:val="006031DD"/>
    <w:rsid w:val="00604064"/>
    <w:rsid w:val="00605118"/>
    <w:rsid w:val="00605341"/>
    <w:rsid w:val="00606C56"/>
    <w:rsid w:val="00606EF4"/>
    <w:rsid w:val="00607CDD"/>
    <w:rsid w:val="00607EE8"/>
    <w:rsid w:val="00607FA7"/>
    <w:rsid w:val="0061125B"/>
    <w:rsid w:val="006132CC"/>
    <w:rsid w:val="00613D2D"/>
    <w:rsid w:val="0061427F"/>
    <w:rsid w:val="00617345"/>
    <w:rsid w:val="006175B3"/>
    <w:rsid w:val="00617F3C"/>
    <w:rsid w:val="006204D6"/>
    <w:rsid w:val="00620AC3"/>
    <w:rsid w:val="00620BA8"/>
    <w:rsid w:val="006214AB"/>
    <w:rsid w:val="00621B5D"/>
    <w:rsid w:val="00621EC2"/>
    <w:rsid w:val="0062204C"/>
    <w:rsid w:val="006223E2"/>
    <w:rsid w:val="006230E4"/>
    <w:rsid w:val="006237EA"/>
    <w:rsid w:val="0062430F"/>
    <w:rsid w:val="006244F5"/>
    <w:rsid w:val="00624BCB"/>
    <w:rsid w:val="006272E0"/>
    <w:rsid w:val="00627386"/>
    <w:rsid w:val="00627FA1"/>
    <w:rsid w:val="00630082"/>
    <w:rsid w:val="0063008E"/>
    <w:rsid w:val="006301FC"/>
    <w:rsid w:val="00630267"/>
    <w:rsid w:val="0063063D"/>
    <w:rsid w:val="00631893"/>
    <w:rsid w:val="00631D2A"/>
    <w:rsid w:val="00632305"/>
    <w:rsid w:val="006323DC"/>
    <w:rsid w:val="00632A60"/>
    <w:rsid w:val="00633FDF"/>
    <w:rsid w:val="0063501E"/>
    <w:rsid w:val="00636F91"/>
    <w:rsid w:val="0063770B"/>
    <w:rsid w:val="00637812"/>
    <w:rsid w:val="00637B20"/>
    <w:rsid w:val="006409D3"/>
    <w:rsid w:val="006410A3"/>
    <w:rsid w:val="00641D30"/>
    <w:rsid w:val="006421CD"/>
    <w:rsid w:val="00642A7F"/>
    <w:rsid w:val="00642DFD"/>
    <w:rsid w:val="00645577"/>
    <w:rsid w:val="0064577B"/>
    <w:rsid w:val="00646966"/>
    <w:rsid w:val="00646F64"/>
    <w:rsid w:val="00647277"/>
    <w:rsid w:val="00647562"/>
    <w:rsid w:val="00647A33"/>
    <w:rsid w:val="006513CA"/>
    <w:rsid w:val="0065240E"/>
    <w:rsid w:val="00652426"/>
    <w:rsid w:val="00653408"/>
    <w:rsid w:val="006547C0"/>
    <w:rsid w:val="00654C21"/>
    <w:rsid w:val="006552C5"/>
    <w:rsid w:val="00657A08"/>
    <w:rsid w:val="00660475"/>
    <w:rsid w:val="006605E2"/>
    <w:rsid w:val="00660761"/>
    <w:rsid w:val="00660C26"/>
    <w:rsid w:val="006610C2"/>
    <w:rsid w:val="00661492"/>
    <w:rsid w:val="006618B9"/>
    <w:rsid w:val="00662527"/>
    <w:rsid w:val="006628C3"/>
    <w:rsid w:val="006638ED"/>
    <w:rsid w:val="00663E08"/>
    <w:rsid w:val="0066404E"/>
    <w:rsid w:val="00664A52"/>
    <w:rsid w:val="00664A6A"/>
    <w:rsid w:val="00664F1F"/>
    <w:rsid w:val="00666AAD"/>
    <w:rsid w:val="00670206"/>
    <w:rsid w:val="0067043A"/>
    <w:rsid w:val="006705D1"/>
    <w:rsid w:val="00671E4E"/>
    <w:rsid w:val="00671E9F"/>
    <w:rsid w:val="006725E8"/>
    <w:rsid w:val="006734F9"/>
    <w:rsid w:val="00674768"/>
    <w:rsid w:val="00674B08"/>
    <w:rsid w:val="006756CF"/>
    <w:rsid w:val="006758A3"/>
    <w:rsid w:val="0067647A"/>
    <w:rsid w:val="00680756"/>
    <w:rsid w:val="0068118D"/>
    <w:rsid w:val="00681CA3"/>
    <w:rsid w:val="0068208F"/>
    <w:rsid w:val="00682C9E"/>
    <w:rsid w:val="006853C6"/>
    <w:rsid w:val="0068548C"/>
    <w:rsid w:val="00687631"/>
    <w:rsid w:val="00692217"/>
    <w:rsid w:val="00692426"/>
    <w:rsid w:val="0069406F"/>
    <w:rsid w:val="00694C5D"/>
    <w:rsid w:val="00695414"/>
    <w:rsid w:val="00695E91"/>
    <w:rsid w:val="00695F1F"/>
    <w:rsid w:val="00696235"/>
    <w:rsid w:val="00696BAF"/>
    <w:rsid w:val="00696CD9"/>
    <w:rsid w:val="00696D2B"/>
    <w:rsid w:val="006A1B19"/>
    <w:rsid w:val="006A1F38"/>
    <w:rsid w:val="006A32BD"/>
    <w:rsid w:val="006A3B6C"/>
    <w:rsid w:val="006A509C"/>
    <w:rsid w:val="006A51E9"/>
    <w:rsid w:val="006A66A3"/>
    <w:rsid w:val="006A69D3"/>
    <w:rsid w:val="006A6B95"/>
    <w:rsid w:val="006B053A"/>
    <w:rsid w:val="006B0965"/>
    <w:rsid w:val="006B168E"/>
    <w:rsid w:val="006B1746"/>
    <w:rsid w:val="006B396E"/>
    <w:rsid w:val="006B435C"/>
    <w:rsid w:val="006B537F"/>
    <w:rsid w:val="006B5687"/>
    <w:rsid w:val="006B56CB"/>
    <w:rsid w:val="006B6375"/>
    <w:rsid w:val="006B6567"/>
    <w:rsid w:val="006B6785"/>
    <w:rsid w:val="006B6B3F"/>
    <w:rsid w:val="006B7330"/>
    <w:rsid w:val="006B7754"/>
    <w:rsid w:val="006B7CB8"/>
    <w:rsid w:val="006C08D9"/>
    <w:rsid w:val="006C1AFA"/>
    <w:rsid w:val="006C2528"/>
    <w:rsid w:val="006C2D33"/>
    <w:rsid w:val="006C3201"/>
    <w:rsid w:val="006C33D0"/>
    <w:rsid w:val="006C360C"/>
    <w:rsid w:val="006C3B2C"/>
    <w:rsid w:val="006C431F"/>
    <w:rsid w:val="006C4C3A"/>
    <w:rsid w:val="006C4DEA"/>
    <w:rsid w:val="006D2068"/>
    <w:rsid w:val="006D28B3"/>
    <w:rsid w:val="006D2AC7"/>
    <w:rsid w:val="006D2E20"/>
    <w:rsid w:val="006D4553"/>
    <w:rsid w:val="006D4E31"/>
    <w:rsid w:val="006D4E3F"/>
    <w:rsid w:val="006D4EB3"/>
    <w:rsid w:val="006D668E"/>
    <w:rsid w:val="006E1C54"/>
    <w:rsid w:val="006E2E24"/>
    <w:rsid w:val="006E35C5"/>
    <w:rsid w:val="006E572C"/>
    <w:rsid w:val="006E5DFF"/>
    <w:rsid w:val="006E69C8"/>
    <w:rsid w:val="006E7310"/>
    <w:rsid w:val="006E7514"/>
    <w:rsid w:val="006F2003"/>
    <w:rsid w:val="006F2F28"/>
    <w:rsid w:val="006F3058"/>
    <w:rsid w:val="006F49E5"/>
    <w:rsid w:val="006F551B"/>
    <w:rsid w:val="006F673A"/>
    <w:rsid w:val="006F70DB"/>
    <w:rsid w:val="006F74C2"/>
    <w:rsid w:val="0070097B"/>
    <w:rsid w:val="00700B3E"/>
    <w:rsid w:val="00702284"/>
    <w:rsid w:val="00702919"/>
    <w:rsid w:val="00702E56"/>
    <w:rsid w:val="007041A8"/>
    <w:rsid w:val="0070461F"/>
    <w:rsid w:val="00707453"/>
    <w:rsid w:val="007077A6"/>
    <w:rsid w:val="00707A4D"/>
    <w:rsid w:val="00707B84"/>
    <w:rsid w:val="00710272"/>
    <w:rsid w:val="007103C4"/>
    <w:rsid w:val="00710F95"/>
    <w:rsid w:val="0071157E"/>
    <w:rsid w:val="00711CCB"/>
    <w:rsid w:val="00712D8B"/>
    <w:rsid w:val="00713D60"/>
    <w:rsid w:val="0071433B"/>
    <w:rsid w:val="00714CD3"/>
    <w:rsid w:val="007152BC"/>
    <w:rsid w:val="00715609"/>
    <w:rsid w:val="00715627"/>
    <w:rsid w:val="00716C00"/>
    <w:rsid w:val="007203B6"/>
    <w:rsid w:val="00720569"/>
    <w:rsid w:val="0072101F"/>
    <w:rsid w:val="007227CD"/>
    <w:rsid w:val="00723C49"/>
    <w:rsid w:val="00723C7D"/>
    <w:rsid w:val="00723D66"/>
    <w:rsid w:val="0072622D"/>
    <w:rsid w:val="007262EE"/>
    <w:rsid w:val="007265B4"/>
    <w:rsid w:val="007266FB"/>
    <w:rsid w:val="0072680D"/>
    <w:rsid w:val="00727A03"/>
    <w:rsid w:val="00727BA1"/>
    <w:rsid w:val="00727F2A"/>
    <w:rsid w:val="00730D62"/>
    <w:rsid w:val="00731FA4"/>
    <w:rsid w:val="00732640"/>
    <w:rsid w:val="00732B20"/>
    <w:rsid w:val="007330B0"/>
    <w:rsid w:val="0073314A"/>
    <w:rsid w:val="00733558"/>
    <w:rsid w:val="00733C71"/>
    <w:rsid w:val="00734025"/>
    <w:rsid w:val="00734648"/>
    <w:rsid w:val="007359C7"/>
    <w:rsid w:val="00735BA9"/>
    <w:rsid w:val="007365EC"/>
    <w:rsid w:val="00737409"/>
    <w:rsid w:val="0074022E"/>
    <w:rsid w:val="00740D20"/>
    <w:rsid w:val="0074151D"/>
    <w:rsid w:val="00741F61"/>
    <w:rsid w:val="00741F8E"/>
    <w:rsid w:val="00742362"/>
    <w:rsid w:val="00744361"/>
    <w:rsid w:val="007443F0"/>
    <w:rsid w:val="007446FD"/>
    <w:rsid w:val="007447CF"/>
    <w:rsid w:val="00744F22"/>
    <w:rsid w:val="0074520B"/>
    <w:rsid w:val="0074562E"/>
    <w:rsid w:val="007456D8"/>
    <w:rsid w:val="007457A3"/>
    <w:rsid w:val="00745CC5"/>
    <w:rsid w:val="0074617C"/>
    <w:rsid w:val="00746FA5"/>
    <w:rsid w:val="007477F1"/>
    <w:rsid w:val="00747831"/>
    <w:rsid w:val="00750145"/>
    <w:rsid w:val="0075054C"/>
    <w:rsid w:val="007506C7"/>
    <w:rsid w:val="00750F9A"/>
    <w:rsid w:val="00750FD8"/>
    <w:rsid w:val="00751D2D"/>
    <w:rsid w:val="007530F1"/>
    <w:rsid w:val="00753744"/>
    <w:rsid w:val="00754612"/>
    <w:rsid w:val="007556BD"/>
    <w:rsid w:val="00755CE0"/>
    <w:rsid w:val="00755CF3"/>
    <w:rsid w:val="007568FD"/>
    <w:rsid w:val="00756D4F"/>
    <w:rsid w:val="0075760C"/>
    <w:rsid w:val="0076142B"/>
    <w:rsid w:val="00761531"/>
    <w:rsid w:val="007619AC"/>
    <w:rsid w:val="00762036"/>
    <w:rsid w:val="00762F95"/>
    <w:rsid w:val="007642FE"/>
    <w:rsid w:val="00764FA0"/>
    <w:rsid w:val="00764FEE"/>
    <w:rsid w:val="00765E60"/>
    <w:rsid w:val="00767505"/>
    <w:rsid w:val="00767E39"/>
    <w:rsid w:val="007716D4"/>
    <w:rsid w:val="007718E2"/>
    <w:rsid w:val="00771D99"/>
    <w:rsid w:val="0077200C"/>
    <w:rsid w:val="0077285B"/>
    <w:rsid w:val="007739CA"/>
    <w:rsid w:val="00773B86"/>
    <w:rsid w:val="00773D79"/>
    <w:rsid w:val="00774171"/>
    <w:rsid w:val="0077428F"/>
    <w:rsid w:val="0077689F"/>
    <w:rsid w:val="00777323"/>
    <w:rsid w:val="007775AA"/>
    <w:rsid w:val="00780919"/>
    <w:rsid w:val="00780C76"/>
    <w:rsid w:val="00781FA2"/>
    <w:rsid w:val="007826A0"/>
    <w:rsid w:val="0078338E"/>
    <w:rsid w:val="007837F8"/>
    <w:rsid w:val="00783D3D"/>
    <w:rsid w:val="007845B2"/>
    <w:rsid w:val="00784734"/>
    <w:rsid w:val="00784AA5"/>
    <w:rsid w:val="00784D8C"/>
    <w:rsid w:val="00784F0B"/>
    <w:rsid w:val="007865BF"/>
    <w:rsid w:val="007869A4"/>
    <w:rsid w:val="0078738D"/>
    <w:rsid w:val="007903E4"/>
    <w:rsid w:val="0079054C"/>
    <w:rsid w:val="00790589"/>
    <w:rsid w:val="007908CB"/>
    <w:rsid w:val="007912A1"/>
    <w:rsid w:val="00791ADE"/>
    <w:rsid w:val="00791FD7"/>
    <w:rsid w:val="00792497"/>
    <w:rsid w:val="0079250A"/>
    <w:rsid w:val="00792879"/>
    <w:rsid w:val="0079335A"/>
    <w:rsid w:val="00793C4F"/>
    <w:rsid w:val="007947C5"/>
    <w:rsid w:val="00794F7F"/>
    <w:rsid w:val="00795245"/>
    <w:rsid w:val="00795432"/>
    <w:rsid w:val="007955D6"/>
    <w:rsid w:val="00795830"/>
    <w:rsid w:val="00795CCD"/>
    <w:rsid w:val="007960EF"/>
    <w:rsid w:val="0079695A"/>
    <w:rsid w:val="00796A9F"/>
    <w:rsid w:val="00797849"/>
    <w:rsid w:val="007A0770"/>
    <w:rsid w:val="007A0AB6"/>
    <w:rsid w:val="007A0B5E"/>
    <w:rsid w:val="007A0D1E"/>
    <w:rsid w:val="007A0DA4"/>
    <w:rsid w:val="007A0F78"/>
    <w:rsid w:val="007A1B14"/>
    <w:rsid w:val="007A1FD9"/>
    <w:rsid w:val="007A20CB"/>
    <w:rsid w:val="007A238D"/>
    <w:rsid w:val="007A2806"/>
    <w:rsid w:val="007A2CEF"/>
    <w:rsid w:val="007A39B2"/>
    <w:rsid w:val="007A3DA8"/>
    <w:rsid w:val="007A4D8C"/>
    <w:rsid w:val="007A5521"/>
    <w:rsid w:val="007A5719"/>
    <w:rsid w:val="007A5E2B"/>
    <w:rsid w:val="007A5E7E"/>
    <w:rsid w:val="007A7631"/>
    <w:rsid w:val="007A7893"/>
    <w:rsid w:val="007A79B5"/>
    <w:rsid w:val="007A7DCE"/>
    <w:rsid w:val="007B058B"/>
    <w:rsid w:val="007B2379"/>
    <w:rsid w:val="007B27E1"/>
    <w:rsid w:val="007B3BE1"/>
    <w:rsid w:val="007B46F2"/>
    <w:rsid w:val="007B490E"/>
    <w:rsid w:val="007B4F0A"/>
    <w:rsid w:val="007B56BE"/>
    <w:rsid w:val="007B618C"/>
    <w:rsid w:val="007B6371"/>
    <w:rsid w:val="007B65BF"/>
    <w:rsid w:val="007B6ABB"/>
    <w:rsid w:val="007B7CBA"/>
    <w:rsid w:val="007C0E56"/>
    <w:rsid w:val="007C1154"/>
    <w:rsid w:val="007C118D"/>
    <w:rsid w:val="007C13A4"/>
    <w:rsid w:val="007C2184"/>
    <w:rsid w:val="007C311A"/>
    <w:rsid w:val="007C39B6"/>
    <w:rsid w:val="007C4098"/>
    <w:rsid w:val="007C43B1"/>
    <w:rsid w:val="007C44D0"/>
    <w:rsid w:val="007C56E3"/>
    <w:rsid w:val="007C5EDB"/>
    <w:rsid w:val="007C6AFC"/>
    <w:rsid w:val="007C756D"/>
    <w:rsid w:val="007C76C8"/>
    <w:rsid w:val="007C796E"/>
    <w:rsid w:val="007C7C6C"/>
    <w:rsid w:val="007D064C"/>
    <w:rsid w:val="007D094B"/>
    <w:rsid w:val="007D0C8A"/>
    <w:rsid w:val="007D1D7D"/>
    <w:rsid w:val="007D221A"/>
    <w:rsid w:val="007D4E67"/>
    <w:rsid w:val="007D5866"/>
    <w:rsid w:val="007D63A4"/>
    <w:rsid w:val="007D757F"/>
    <w:rsid w:val="007D77AB"/>
    <w:rsid w:val="007D791B"/>
    <w:rsid w:val="007E070B"/>
    <w:rsid w:val="007E128E"/>
    <w:rsid w:val="007E2D17"/>
    <w:rsid w:val="007E3385"/>
    <w:rsid w:val="007E60AD"/>
    <w:rsid w:val="007E733C"/>
    <w:rsid w:val="007E74AE"/>
    <w:rsid w:val="007F003E"/>
    <w:rsid w:val="007F07C4"/>
    <w:rsid w:val="007F1B77"/>
    <w:rsid w:val="007F298F"/>
    <w:rsid w:val="007F54B9"/>
    <w:rsid w:val="007F6A67"/>
    <w:rsid w:val="0080089F"/>
    <w:rsid w:val="0080176B"/>
    <w:rsid w:val="00801B5D"/>
    <w:rsid w:val="00803648"/>
    <w:rsid w:val="0080414A"/>
    <w:rsid w:val="00806F88"/>
    <w:rsid w:val="008077DC"/>
    <w:rsid w:val="00810723"/>
    <w:rsid w:val="0081093C"/>
    <w:rsid w:val="00812242"/>
    <w:rsid w:val="00813206"/>
    <w:rsid w:val="00813369"/>
    <w:rsid w:val="00813E07"/>
    <w:rsid w:val="008147F9"/>
    <w:rsid w:val="0081501B"/>
    <w:rsid w:val="0081533B"/>
    <w:rsid w:val="0081691B"/>
    <w:rsid w:val="0081720E"/>
    <w:rsid w:val="00817DCA"/>
    <w:rsid w:val="00820145"/>
    <w:rsid w:val="00820736"/>
    <w:rsid w:val="00820C8D"/>
    <w:rsid w:val="00820E78"/>
    <w:rsid w:val="008210AF"/>
    <w:rsid w:val="008217AC"/>
    <w:rsid w:val="008220F3"/>
    <w:rsid w:val="00822398"/>
    <w:rsid w:val="00824061"/>
    <w:rsid w:val="00824826"/>
    <w:rsid w:val="00825A15"/>
    <w:rsid w:val="008277BF"/>
    <w:rsid w:val="008309A9"/>
    <w:rsid w:val="00830A58"/>
    <w:rsid w:val="008311FF"/>
    <w:rsid w:val="008316FE"/>
    <w:rsid w:val="00833C77"/>
    <w:rsid w:val="00833D95"/>
    <w:rsid w:val="00833FF4"/>
    <w:rsid w:val="00834064"/>
    <w:rsid w:val="0083543D"/>
    <w:rsid w:val="008356A9"/>
    <w:rsid w:val="00835D7D"/>
    <w:rsid w:val="0083699E"/>
    <w:rsid w:val="00840341"/>
    <w:rsid w:val="00841323"/>
    <w:rsid w:val="00841FCF"/>
    <w:rsid w:val="00842BD6"/>
    <w:rsid w:val="00842DDB"/>
    <w:rsid w:val="008432F1"/>
    <w:rsid w:val="00843AF9"/>
    <w:rsid w:val="00843B4A"/>
    <w:rsid w:val="008444D4"/>
    <w:rsid w:val="0084573A"/>
    <w:rsid w:val="00845CBA"/>
    <w:rsid w:val="00845E3C"/>
    <w:rsid w:val="00845FAA"/>
    <w:rsid w:val="008460D6"/>
    <w:rsid w:val="00846D5A"/>
    <w:rsid w:val="00847458"/>
    <w:rsid w:val="0084752E"/>
    <w:rsid w:val="00847539"/>
    <w:rsid w:val="00850878"/>
    <w:rsid w:val="008510BF"/>
    <w:rsid w:val="008512D3"/>
    <w:rsid w:val="00851E24"/>
    <w:rsid w:val="008528D7"/>
    <w:rsid w:val="00852CAB"/>
    <w:rsid w:val="00855AC8"/>
    <w:rsid w:val="00856B55"/>
    <w:rsid w:val="00860519"/>
    <w:rsid w:val="00860A4A"/>
    <w:rsid w:val="00861149"/>
    <w:rsid w:val="00861407"/>
    <w:rsid w:val="00861600"/>
    <w:rsid w:val="008617EE"/>
    <w:rsid w:val="00861D64"/>
    <w:rsid w:val="00862070"/>
    <w:rsid w:val="008621A8"/>
    <w:rsid w:val="00862635"/>
    <w:rsid w:val="00862784"/>
    <w:rsid w:val="00862AF5"/>
    <w:rsid w:val="00862FFE"/>
    <w:rsid w:val="00863383"/>
    <w:rsid w:val="008633DD"/>
    <w:rsid w:val="00863E58"/>
    <w:rsid w:val="0086668C"/>
    <w:rsid w:val="00866BAE"/>
    <w:rsid w:val="00866F19"/>
    <w:rsid w:val="008673E6"/>
    <w:rsid w:val="00867AC6"/>
    <w:rsid w:val="008702A7"/>
    <w:rsid w:val="008705CA"/>
    <w:rsid w:val="008707B4"/>
    <w:rsid w:val="00870E9C"/>
    <w:rsid w:val="0087143E"/>
    <w:rsid w:val="00871775"/>
    <w:rsid w:val="0087246F"/>
    <w:rsid w:val="0087270C"/>
    <w:rsid w:val="00873BD2"/>
    <w:rsid w:val="008743F5"/>
    <w:rsid w:val="008758B1"/>
    <w:rsid w:val="00875DEA"/>
    <w:rsid w:val="00875E0A"/>
    <w:rsid w:val="008760BE"/>
    <w:rsid w:val="008766DC"/>
    <w:rsid w:val="0087799C"/>
    <w:rsid w:val="00880064"/>
    <w:rsid w:val="008802F3"/>
    <w:rsid w:val="008805F4"/>
    <w:rsid w:val="008808A4"/>
    <w:rsid w:val="0088153C"/>
    <w:rsid w:val="0088199A"/>
    <w:rsid w:val="00882035"/>
    <w:rsid w:val="00883538"/>
    <w:rsid w:val="0088406E"/>
    <w:rsid w:val="00885B50"/>
    <w:rsid w:val="008871C4"/>
    <w:rsid w:val="008878BE"/>
    <w:rsid w:val="00887E25"/>
    <w:rsid w:val="00887EAA"/>
    <w:rsid w:val="0089010A"/>
    <w:rsid w:val="00890471"/>
    <w:rsid w:val="00890B64"/>
    <w:rsid w:val="00891D75"/>
    <w:rsid w:val="00891FC3"/>
    <w:rsid w:val="00892D0E"/>
    <w:rsid w:val="0089316C"/>
    <w:rsid w:val="008931B9"/>
    <w:rsid w:val="008936A7"/>
    <w:rsid w:val="0089382F"/>
    <w:rsid w:val="008945BF"/>
    <w:rsid w:val="008954DC"/>
    <w:rsid w:val="008957DB"/>
    <w:rsid w:val="00895FC1"/>
    <w:rsid w:val="00896179"/>
    <w:rsid w:val="008964E7"/>
    <w:rsid w:val="008A0094"/>
    <w:rsid w:val="008A0848"/>
    <w:rsid w:val="008A19A5"/>
    <w:rsid w:val="008A1FAE"/>
    <w:rsid w:val="008A3182"/>
    <w:rsid w:val="008A32CE"/>
    <w:rsid w:val="008A49FB"/>
    <w:rsid w:val="008A4FA3"/>
    <w:rsid w:val="008A50C2"/>
    <w:rsid w:val="008A54C9"/>
    <w:rsid w:val="008A56D7"/>
    <w:rsid w:val="008A5718"/>
    <w:rsid w:val="008A576C"/>
    <w:rsid w:val="008A6010"/>
    <w:rsid w:val="008A61FA"/>
    <w:rsid w:val="008A661D"/>
    <w:rsid w:val="008A6C48"/>
    <w:rsid w:val="008A74FB"/>
    <w:rsid w:val="008A7678"/>
    <w:rsid w:val="008A7ADA"/>
    <w:rsid w:val="008B2E91"/>
    <w:rsid w:val="008B3434"/>
    <w:rsid w:val="008B3940"/>
    <w:rsid w:val="008B39F1"/>
    <w:rsid w:val="008B5694"/>
    <w:rsid w:val="008B5C01"/>
    <w:rsid w:val="008B6184"/>
    <w:rsid w:val="008B6AD3"/>
    <w:rsid w:val="008B6B74"/>
    <w:rsid w:val="008B6DFA"/>
    <w:rsid w:val="008B7750"/>
    <w:rsid w:val="008B79A4"/>
    <w:rsid w:val="008C0C2D"/>
    <w:rsid w:val="008C23C3"/>
    <w:rsid w:val="008C2C29"/>
    <w:rsid w:val="008C3156"/>
    <w:rsid w:val="008C3C98"/>
    <w:rsid w:val="008C544A"/>
    <w:rsid w:val="008C620E"/>
    <w:rsid w:val="008C697D"/>
    <w:rsid w:val="008C6E34"/>
    <w:rsid w:val="008C7018"/>
    <w:rsid w:val="008C7189"/>
    <w:rsid w:val="008C7A6F"/>
    <w:rsid w:val="008D0247"/>
    <w:rsid w:val="008D2693"/>
    <w:rsid w:val="008D2995"/>
    <w:rsid w:val="008D2A34"/>
    <w:rsid w:val="008D3318"/>
    <w:rsid w:val="008D3F2B"/>
    <w:rsid w:val="008D4718"/>
    <w:rsid w:val="008D5228"/>
    <w:rsid w:val="008D54D0"/>
    <w:rsid w:val="008D5DF2"/>
    <w:rsid w:val="008D7C04"/>
    <w:rsid w:val="008E127B"/>
    <w:rsid w:val="008E1E1D"/>
    <w:rsid w:val="008E2871"/>
    <w:rsid w:val="008E30B0"/>
    <w:rsid w:val="008E3750"/>
    <w:rsid w:val="008E3F7D"/>
    <w:rsid w:val="008E3FCE"/>
    <w:rsid w:val="008E4202"/>
    <w:rsid w:val="008E47DF"/>
    <w:rsid w:val="008E4AA6"/>
    <w:rsid w:val="008E51B1"/>
    <w:rsid w:val="008E61AA"/>
    <w:rsid w:val="008E622E"/>
    <w:rsid w:val="008E76BF"/>
    <w:rsid w:val="008E7836"/>
    <w:rsid w:val="008E7A79"/>
    <w:rsid w:val="008E7EC0"/>
    <w:rsid w:val="008F0320"/>
    <w:rsid w:val="008F074A"/>
    <w:rsid w:val="008F1D5A"/>
    <w:rsid w:val="008F28E3"/>
    <w:rsid w:val="008F2977"/>
    <w:rsid w:val="008F2CAD"/>
    <w:rsid w:val="008F3950"/>
    <w:rsid w:val="008F3D92"/>
    <w:rsid w:val="008F4070"/>
    <w:rsid w:val="008F5036"/>
    <w:rsid w:val="008F522F"/>
    <w:rsid w:val="008F54E2"/>
    <w:rsid w:val="008F5923"/>
    <w:rsid w:val="008F712C"/>
    <w:rsid w:val="008F7E59"/>
    <w:rsid w:val="00900A95"/>
    <w:rsid w:val="00900C9B"/>
    <w:rsid w:val="0090203A"/>
    <w:rsid w:val="009020AC"/>
    <w:rsid w:val="0090275C"/>
    <w:rsid w:val="0090324C"/>
    <w:rsid w:val="00903541"/>
    <w:rsid w:val="00903F92"/>
    <w:rsid w:val="009047B2"/>
    <w:rsid w:val="00905116"/>
    <w:rsid w:val="0090795B"/>
    <w:rsid w:val="00907F56"/>
    <w:rsid w:val="00911231"/>
    <w:rsid w:val="00913E8D"/>
    <w:rsid w:val="009143B1"/>
    <w:rsid w:val="009164D3"/>
    <w:rsid w:val="00916B8A"/>
    <w:rsid w:val="009173DB"/>
    <w:rsid w:val="00920B72"/>
    <w:rsid w:val="009238BD"/>
    <w:rsid w:val="009247F0"/>
    <w:rsid w:val="00924A54"/>
    <w:rsid w:val="00926760"/>
    <w:rsid w:val="00926BF1"/>
    <w:rsid w:val="009275EC"/>
    <w:rsid w:val="009278D6"/>
    <w:rsid w:val="00927F23"/>
    <w:rsid w:val="00927F50"/>
    <w:rsid w:val="00930380"/>
    <w:rsid w:val="009303A3"/>
    <w:rsid w:val="00930A3D"/>
    <w:rsid w:val="00930BE0"/>
    <w:rsid w:val="00930F6D"/>
    <w:rsid w:val="009325A8"/>
    <w:rsid w:val="009332DE"/>
    <w:rsid w:val="009355AF"/>
    <w:rsid w:val="009363AD"/>
    <w:rsid w:val="00936BE7"/>
    <w:rsid w:val="00937700"/>
    <w:rsid w:val="00937AD0"/>
    <w:rsid w:val="00937DDC"/>
    <w:rsid w:val="00941290"/>
    <w:rsid w:val="0094176F"/>
    <w:rsid w:val="00941975"/>
    <w:rsid w:val="00941A63"/>
    <w:rsid w:val="009429C6"/>
    <w:rsid w:val="00943A5A"/>
    <w:rsid w:val="00943D2B"/>
    <w:rsid w:val="009444E6"/>
    <w:rsid w:val="009449F7"/>
    <w:rsid w:val="0094592B"/>
    <w:rsid w:val="00945F75"/>
    <w:rsid w:val="009469E3"/>
    <w:rsid w:val="009500BB"/>
    <w:rsid w:val="0095047D"/>
    <w:rsid w:val="00950738"/>
    <w:rsid w:val="0095080D"/>
    <w:rsid w:val="00950B6C"/>
    <w:rsid w:val="00950BA8"/>
    <w:rsid w:val="0095101A"/>
    <w:rsid w:val="00951362"/>
    <w:rsid w:val="009515E5"/>
    <w:rsid w:val="00951EC9"/>
    <w:rsid w:val="00953698"/>
    <w:rsid w:val="00953F52"/>
    <w:rsid w:val="00953FA4"/>
    <w:rsid w:val="00954E12"/>
    <w:rsid w:val="009555D0"/>
    <w:rsid w:val="009555E0"/>
    <w:rsid w:val="009569DB"/>
    <w:rsid w:val="00960238"/>
    <w:rsid w:val="0096040F"/>
    <w:rsid w:val="00960537"/>
    <w:rsid w:val="0096053E"/>
    <w:rsid w:val="0096075A"/>
    <w:rsid w:val="00960867"/>
    <w:rsid w:val="00961FB3"/>
    <w:rsid w:val="0096219A"/>
    <w:rsid w:val="0096247C"/>
    <w:rsid w:val="009631CC"/>
    <w:rsid w:val="0096455C"/>
    <w:rsid w:val="00964A35"/>
    <w:rsid w:val="00964AF4"/>
    <w:rsid w:val="0096610B"/>
    <w:rsid w:val="0096638A"/>
    <w:rsid w:val="00966437"/>
    <w:rsid w:val="00966D40"/>
    <w:rsid w:val="009678EF"/>
    <w:rsid w:val="009709A0"/>
    <w:rsid w:val="00970DB3"/>
    <w:rsid w:val="00971675"/>
    <w:rsid w:val="00971F41"/>
    <w:rsid w:val="0097357D"/>
    <w:rsid w:val="00973B57"/>
    <w:rsid w:val="00973DCB"/>
    <w:rsid w:val="00974F42"/>
    <w:rsid w:val="009758B6"/>
    <w:rsid w:val="00975FCA"/>
    <w:rsid w:val="00976250"/>
    <w:rsid w:val="0097640C"/>
    <w:rsid w:val="00976E5D"/>
    <w:rsid w:val="00977356"/>
    <w:rsid w:val="009774B8"/>
    <w:rsid w:val="00980908"/>
    <w:rsid w:val="009809B2"/>
    <w:rsid w:val="0098140B"/>
    <w:rsid w:val="009822B8"/>
    <w:rsid w:val="00982B43"/>
    <w:rsid w:val="00982E42"/>
    <w:rsid w:val="00983BBC"/>
    <w:rsid w:val="00985ED0"/>
    <w:rsid w:val="00985F8A"/>
    <w:rsid w:val="009862CB"/>
    <w:rsid w:val="00986DE7"/>
    <w:rsid w:val="0098734B"/>
    <w:rsid w:val="00991A09"/>
    <w:rsid w:val="00991B62"/>
    <w:rsid w:val="00991D08"/>
    <w:rsid w:val="0099208C"/>
    <w:rsid w:val="009932C5"/>
    <w:rsid w:val="009935F2"/>
    <w:rsid w:val="00994FBC"/>
    <w:rsid w:val="009958AC"/>
    <w:rsid w:val="0099622E"/>
    <w:rsid w:val="00996550"/>
    <w:rsid w:val="0099676F"/>
    <w:rsid w:val="00996D70"/>
    <w:rsid w:val="00997078"/>
    <w:rsid w:val="00997483"/>
    <w:rsid w:val="0099750A"/>
    <w:rsid w:val="009A0558"/>
    <w:rsid w:val="009A174B"/>
    <w:rsid w:val="009A20F7"/>
    <w:rsid w:val="009A2C74"/>
    <w:rsid w:val="009A30DE"/>
    <w:rsid w:val="009A31B2"/>
    <w:rsid w:val="009A325F"/>
    <w:rsid w:val="009A3341"/>
    <w:rsid w:val="009A3B61"/>
    <w:rsid w:val="009A45D2"/>
    <w:rsid w:val="009A4638"/>
    <w:rsid w:val="009A46F1"/>
    <w:rsid w:val="009A5191"/>
    <w:rsid w:val="009A540D"/>
    <w:rsid w:val="009A5786"/>
    <w:rsid w:val="009A5AF4"/>
    <w:rsid w:val="009A5C77"/>
    <w:rsid w:val="009A6212"/>
    <w:rsid w:val="009B17AF"/>
    <w:rsid w:val="009B1B57"/>
    <w:rsid w:val="009B1FCF"/>
    <w:rsid w:val="009B2586"/>
    <w:rsid w:val="009B2818"/>
    <w:rsid w:val="009B2AB4"/>
    <w:rsid w:val="009B35AA"/>
    <w:rsid w:val="009B3CDA"/>
    <w:rsid w:val="009B3E05"/>
    <w:rsid w:val="009B4700"/>
    <w:rsid w:val="009B4B9E"/>
    <w:rsid w:val="009B6F49"/>
    <w:rsid w:val="009B7939"/>
    <w:rsid w:val="009C0C62"/>
    <w:rsid w:val="009C0FA8"/>
    <w:rsid w:val="009C164C"/>
    <w:rsid w:val="009C18A9"/>
    <w:rsid w:val="009C2387"/>
    <w:rsid w:val="009C2F3D"/>
    <w:rsid w:val="009C3753"/>
    <w:rsid w:val="009C387E"/>
    <w:rsid w:val="009C3AC0"/>
    <w:rsid w:val="009C4C97"/>
    <w:rsid w:val="009C4E25"/>
    <w:rsid w:val="009C7084"/>
    <w:rsid w:val="009C757B"/>
    <w:rsid w:val="009C769C"/>
    <w:rsid w:val="009D00BB"/>
    <w:rsid w:val="009D0770"/>
    <w:rsid w:val="009D1A57"/>
    <w:rsid w:val="009D3565"/>
    <w:rsid w:val="009D37A1"/>
    <w:rsid w:val="009D392B"/>
    <w:rsid w:val="009D456A"/>
    <w:rsid w:val="009D4571"/>
    <w:rsid w:val="009D4952"/>
    <w:rsid w:val="009D5EEC"/>
    <w:rsid w:val="009D612C"/>
    <w:rsid w:val="009D6372"/>
    <w:rsid w:val="009D784F"/>
    <w:rsid w:val="009E0AF5"/>
    <w:rsid w:val="009E0AF9"/>
    <w:rsid w:val="009E13CD"/>
    <w:rsid w:val="009E1447"/>
    <w:rsid w:val="009E1870"/>
    <w:rsid w:val="009E2EEF"/>
    <w:rsid w:val="009E3307"/>
    <w:rsid w:val="009E3AC4"/>
    <w:rsid w:val="009E60BE"/>
    <w:rsid w:val="009E7731"/>
    <w:rsid w:val="009F04C2"/>
    <w:rsid w:val="009F0543"/>
    <w:rsid w:val="009F38F2"/>
    <w:rsid w:val="009F3F57"/>
    <w:rsid w:val="009F4824"/>
    <w:rsid w:val="009F4B61"/>
    <w:rsid w:val="009F5DC4"/>
    <w:rsid w:val="009F5F0C"/>
    <w:rsid w:val="009F6DC9"/>
    <w:rsid w:val="009F7DB1"/>
    <w:rsid w:val="00A00960"/>
    <w:rsid w:val="00A011D8"/>
    <w:rsid w:val="00A01FC8"/>
    <w:rsid w:val="00A02C1E"/>
    <w:rsid w:val="00A02DC5"/>
    <w:rsid w:val="00A03A03"/>
    <w:rsid w:val="00A0487E"/>
    <w:rsid w:val="00A05CF6"/>
    <w:rsid w:val="00A10C29"/>
    <w:rsid w:val="00A11675"/>
    <w:rsid w:val="00A11CA3"/>
    <w:rsid w:val="00A12997"/>
    <w:rsid w:val="00A12C85"/>
    <w:rsid w:val="00A13438"/>
    <w:rsid w:val="00A13849"/>
    <w:rsid w:val="00A13CC3"/>
    <w:rsid w:val="00A143D0"/>
    <w:rsid w:val="00A14466"/>
    <w:rsid w:val="00A1552F"/>
    <w:rsid w:val="00A16410"/>
    <w:rsid w:val="00A169A5"/>
    <w:rsid w:val="00A17D26"/>
    <w:rsid w:val="00A203E2"/>
    <w:rsid w:val="00A20B34"/>
    <w:rsid w:val="00A215CC"/>
    <w:rsid w:val="00A2384C"/>
    <w:rsid w:val="00A2466B"/>
    <w:rsid w:val="00A24D9A"/>
    <w:rsid w:val="00A25705"/>
    <w:rsid w:val="00A26741"/>
    <w:rsid w:val="00A26D79"/>
    <w:rsid w:val="00A27EBF"/>
    <w:rsid w:val="00A300C2"/>
    <w:rsid w:val="00A30ABB"/>
    <w:rsid w:val="00A3114C"/>
    <w:rsid w:val="00A313CB"/>
    <w:rsid w:val="00A31E08"/>
    <w:rsid w:val="00A332BC"/>
    <w:rsid w:val="00A33330"/>
    <w:rsid w:val="00A33A6C"/>
    <w:rsid w:val="00A33B37"/>
    <w:rsid w:val="00A34840"/>
    <w:rsid w:val="00A35D6D"/>
    <w:rsid w:val="00A35FBA"/>
    <w:rsid w:val="00A36883"/>
    <w:rsid w:val="00A36AC5"/>
    <w:rsid w:val="00A3775B"/>
    <w:rsid w:val="00A37DB8"/>
    <w:rsid w:val="00A40126"/>
    <w:rsid w:val="00A40A0F"/>
    <w:rsid w:val="00A41405"/>
    <w:rsid w:val="00A415F3"/>
    <w:rsid w:val="00A41A62"/>
    <w:rsid w:val="00A41B94"/>
    <w:rsid w:val="00A41E3C"/>
    <w:rsid w:val="00A42464"/>
    <w:rsid w:val="00A42B62"/>
    <w:rsid w:val="00A44281"/>
    <w:rsid w:val="00A45487"/>
    <w:rsid w:val="00A45785"/>
    <w:rsid w:val="00A45E11"/>
    <w:rsid w:val="00A46625"/>
    <w:rsid w:val="00A4670B"/>
    <w:rsid w:val="00A46CD9"/>
    <w:rsid w:val="00A47018"/>
    <w:rsid w:val="00A47585"/>
    <w:rsid w:val="00A506C4"/>
    <w:rsid w:val="00A50BC5"/>
    <w:rsid w:val="00A51AC9"/>
    <w:rsid w:val="00A521DE"/>
    <w:rsid w:val="00A52F8F"/>
    <w:rsid w:val="00A553B6"/>
    <w:rsid w:val="00A56C2B"/>
    <w:rsid w:val="00A57153"/>
    <w:rsid w:val="00A57308"/>
    <w:rsid w:val="00A57713"/>
    <w:rsid w:val="00A57762"/>
    <w:rsid w:val="00A60BD8"/>
    <w:rsid w:val="00A60E5C"/>
    <w:rsid w:val="00A612C6"/>
    <w:rsid w:val="00A61C14"/>
    <w:rsid w:val="00A6318C"/>
    <w:rsid w:val="00A63D5B"/>
    <w:rsid w:val="00A646CD"/>
    <w:rsid w:val="00A64726"/>
    <w:rsid w:val="00A64820"/>
    <w:rsid w:val="00A65303"/>
    <w:rsid w:val="00A66A62"/>
    <w:rsid w:val="00A66C5C"/>
    <w:rsid w:val="00A701B8"/>
    <w:rsid w:val="00A704F2"/>
    <w:rsid w:val="00A70A05"/>
    <w:rsid w:val="00A7115F"/>
    <w:rsid w:val="00A73A08"/>
    <w:rsid w:val="00A7565A"/>
    <w:rsid w:val="00A758F1"/>
    <w:rsid w:val="00A75EC7"/>
    <w:rsid w:val="00A76783"/>
    <w:rsid w:val="00A76C58"/>
    <w:rsid w:val="00A77259"/>
    <w:rsid w:val="00A77BC1"/>
    <w:rsid w:val="00A77EF0"/>
    <w:rsid w:val="00A802C3"/>
    <w:rsid w:val="00A8052A"/>
    <w:rsid w:val="00A80DA8"/>
    <w:rsid w:val="00A80DAA"/>
    <w:rsid w:val="00A82E9F"/>
    <w:rsid w:val="00A8314E"/>
    <w:rsid w:val="00A837C7"/>
    <w:rsid w:val="00A83853"/>
    <w:rsid w:val="00A83A12"/>
    <w:rsid w:val="00A850B6"/>
    <w:rsid w:val="00A85809"/>
    <w:rsid w:val="00A86399"/>
    <w:rsid w:val="00A879CE"/>
    <w:rsid w:val="00A87A50"/>
    <w:rsid w:val="00A90A2B"/>
    <w:rsid w:val="00A9181E"/>
    <w:rsid w:val="00A92F95"/>
    <w:rsid w:val="00A930B2"/>
    <w:rsid w:val="00A962F7"/>
    <w:rsid w:val="00AA0D6C"/>
    <w:rsid w:val="00AA1234"/>
    <w:rsid w:val="00AA3E48"/>
    <w:rsid w:val="00AA44EE"/>
    <w:rsid w:val="00AA66BB"/>
    <w:rsid w:val="00AA6A50"/>
    <w:rsid w:val="00AB12DF"/>
    <w:rsid w:val="00AB15A9"/>
    <w:rsid w:val="00AB2070"/>
    <w:rsid w:val="00AB2398"/>
    <w:rsid w:val="00AB32E7"/>
    <w:rsid w:val="00AB3E9C"/>
    <w:rsid w:val="00AB463B"/>
    <w:rsid w:val="00AB5007"/>
    <w:rsid w:val="00AB653B"/>
    <w:rsid w:val="00AB6F13"/>
    <w:rsid w:val="00AB7456"/>
    <w:rsid w:val="00AB784D"/>
    <w:rsid w:val="00AB7916"/>
    <w:rsid w:val="00AC1776"/>
    <w:rsid w:val="00AC1E0B"/>
    <w:rsid w:val="00AC4B33"/>
    <w:rsid w:val="00AC50D3"/>
    <w:rsid w:val="00AC5341"/>
    <w:rsid w:val="00AC5F2C"/>
    <w:rsid w:val="00AC63C1"/>
    <w:rsid w:val="00AC656E"/>
    <w:rsid w:val="00AD0063"/>
    <w:rsid w:val="00AD01AF"/>
    <w:rsid w:val="00AD09CE"/>
    <w:rsid w:val="00AD1067"/>
    <w:rsid w:val="00AD17D8"/>
    <w:rsid w:val="00AD1B98"/>
    <w:rsid w:val="00AD2785"/>
    <w:rsid w:val="00AD5510"/>
    <w:rsid w:val="00AD5740"/>
    <w:rsid w:val="00AD67E2"/>
    <w:rsid w:val="00AD698F"/>
    <w:rsid w:val="00AD69ED"/>
    <w:rsid w:val="00AD6AC2"/>
    <w:rsid w:val="00AD7129"/>
    <w:rsid w:val="00AD7B4C"/>
    <w:rsid w:val="00AE1320"/>
    <w:rsid w:val="00AE1E12"/>
    <w:rsid w:val="00AE3996"/>
    <w:rsid w:val="00AE42D1"/>
    <w:rsid w:val="00AE46E8"/>
    <w:rsid w:val="00AE593E"/>
    <w:rsid w:val="00AE5A47"/>
    <w:rsid w:val="00AE5B65"/>
    <w:rsid w:val="00AE6B98"/>
    <w:rsid w:val="00AE74D3"/>
    <w:rsid w:val="00AE7B7E"/>
    <w:rsid w:val="00AF0496"/>
    <w:rsid w:val="00AF0F58"/>
    <w:rsid w:val="00AF1BDB"/>
    <w:rsid w:val="00AF1FB9"/>
    <w:rsid w:val="00AF22A8"/>
    <w:rsid w:val="00AF25CA"/>
    <w:rsid w:val="00AF32B1"/>
    <w:rsid w:val="00AF3987"/>
    <w:rsid w:val="00AF3C12"/>
    <w:rsid w:val="00AF54A5"/>
    <w:rsid w:val="00AF5C88"/>
    <w:rsid w:val="00AF64FF"/>
    <w:rsid w:val="00AF6586"/>
    <w:rsid w:val="00AF6830"/>
    <w:rsid w:val="00AF70DF"/>
    <w:rsid w:val="00AF726D"/>
    <w:rsid w:val="00AF7617"/>
    <w:rsid w:val="00B002A7"/>
    <w:rsid w:val="00B00B7E"/>
    <w:rsid w:val="00B00FDD"/>
    <w:rsid w:val="00B01028"/>
    <w:rsid w:val="00B0143E"/>
    <w:rsid w:val="00B02458"/>
    <w:rsid w:val="00B03995"/>
    <w:rsid w:val="00B044A0"/>
    <w:rsid w:val="00B054D7"/>
    <w:rsid w:val="00B055FE"/>
    <w:rsid w:val="00B05784"/>
    <w:rsid w:val="00B0604D"/>
    <w:rsid w:val="00B061BB"/>
    <w:rsid w:val="00B06D01"/>
    <w:rsid w:val="00B0737E"/>
    <w:rsid w:val="00B079C9"/>
    <w:rsid w:val="00B07D0B"/>
    <w:rsid w:val="00B07EE8"/>
    <w:rsid w:val="00B111B0"/>
    <w:rsid w:val="00B1135D"/>
    <w:rsid w:val="00B1144B"/>
    <w:rsid w:val="00B12CC8"/>
    <w:rsid w:val="00B137AA"/>
    <w:rsid w:val="00B157D9"/>
    <w:rsid w:val="00B1581E"/>
    <w:rsid w:val="00B15EA8"/>
    <w:rsid w:val="00B162C8"/>
    <w:rsid w:val="00B16DB0"/>
    <w:rsid w:val="00B16E0F"/>
    <w:rsid w:val="00B16EEB"/>
    <w:rsid w:val="00B17F78"/>
    <w:rsid w:val="00B21B47"/>
    <w:rsid w:val="00B2239F"/>
    <w:rsid w:val="00B22674"/>
    <w:rsid w:val="00B22820"/>
    <w:rsid w:val="00B22C3B"/>
    <w:rsid w:val="00B22CA0"/>
    <w:rsid w:val="00B2350C"/>
    <w:rsid w:val="00B23F93"/>
    <w:rsid w:val="00B25169"/>
    <w:rsid w:val="00B257DA"/>
    <w:rsid w:val="00B25984"/>
    <w:rsid w:val="00B25D22"/>
    <w:rsid w:val="00B3078E"/>
    <w:rsid w:val="00B315DE"/>
    <w:rsid w:val="00B32304"/>
    <w:rsid w:val="00B33320"/>
    <w:rsid w:val="00B345AD"/>
    <w:rsid w:val="00B348D0"/>
    <w:rsid w:val="00B35345"/>
    <w:rsid w:val="00B35A43"/>
    <w:rsid w:val="00B35D97"/>
    <w:rsid w:val="00B35E06"/>
    <w:rsid w:val="00B35E5C"/>
    <w:rsid w:val="00B365E9"/>
    <w:rsid w:val="00B36BB7"/>
    <w:rsid w:val="00B40630"/>
    <w:rsid w:val="00B406E4"/>
    <w:rsid w:val="00B41FBE"/>
    <w:rsid w:val="00B4255F"/>
    <w:rsid w:val="00B42806"/>
    <w:rsid w:val="00B429F6"/>
    <w:rsid w:val="00B43998"/>
    <w:rsid w:val="00B43DF3"/>
    <w:rsid w:val="00B4491C"/>
    <w:rsid w:val="00B44DB5"/>
    <w:rsid w:val="00B45098"/>
    <w:rsid w:val="00B455B9"/>
    <w:rsid w:val="00B45ED8"/>
    <w:rsid w:val="00B46449"/>
    <w:rsid w:val="00B47313"/>
    <w:rsid w:val="00B506FA"/>
    <w:rsid w:val="00B50ECA"/>
    <w:rsid w:val="00B51131"/>
    <w:rsid w:val="00B516ED"/>
    <w:rsid w:val="00B529F3"/>
    <w:rsid w:val="00B53CB2"/>
    <w:rsid w:val="00B55D63"/>
    <w:rsid w:val="00B563CA"/>
    <w:rsid w:val="00B569CF"/>
    <w:rsid w:val="00B577B9"/>
    <w:rsid w:val="00B57B33"/>
    <w:rsid w:val="00B57D69"/>
    <w:rsid w:val="00B60753"/>
    <w:rsid w:val="00B61101"/>
    <w:rsid w:val="00B62832"/>
    <w:rsid w:val="00B634F1"/>
    <w:rsid w:val="00B6464D"/>
    <w:rsid w:val="00B65185"/>
    <w:rsid w:val="00B65286"/>
    <w:rsid w:val="00B65DBC"/>
    <w:rsid w:val="00B70064"/>
    <w:rsid w:val="00B7102E"/>
    <w:rsid w:val="00B7151B"/>
    <w:rsid w:val="00B716CB"/>
    <w:rsid w:val="00B719E1"/>
    <w:rsid w:val="00B7287C"/>
    <w:rsid w:val="00B72C9A"/>
    <w:rsid w:val="00B73397"/>
    <w:rsid w:val="00B7365F"/>
    <w:rsid w:val="00B746BC"/>
    <w:rsid w:val="00B74BE1"/>
    <w:rsid w:val="00B76F8E"/>
    <w:rsid w:val="00B8167F"/>
    <w:rsid w:val="00B8289A"/>
    <w:rsid w:val="00B82FD2"/>
    <w:rsid w:val="00B84535"/>
    <w:rsid w:val="00B846B0"/>
    <w:rsid w:val="00B847D9"/>
    <w:rsid w:val="00B84D4B"/>
    <w:rsid w:val="00B84E07"/>
    <w:rsid w:val="00B85093"/>
    <w:rsid w:val="00B85A1F"/>
    <w:rsid w:val="00B86353"/>
    <w:rsid w:val="00B87889"/>
    <w:rsid w:val="00B925D7"/>
    <w:rsid w:val="00B9262E"/>
    <w:rsid w:val="00B944B8"/>
    <w:rsid w:val="00B9602B"/>
    <w:rsid w:val="00B964F3"/>
    <w:rsid w:val="00B96B3E"/>
    <w:rsid w:val="00B97B11"/>
    <w:rsid w:val="00BA04FF"/>
    <w:rsid w:val="00BA0829"/>
    <w:rsid w:val="00BA0E4E"/>
    <w:rsid w:val="00BA1A48"/>
    <w:rsid w:val="00BA1FCB"/>
    <w:rsid w:val="00BA3415"/>
    <w:rsid w:val="00BA3A55"/>
    <w:rsid w:val="00BA3C73"/>
    <w:rsid w:val="00BA4E40"/>
    <w:rsid w:val="00BA5995"/>
    <w:rsid w:val="00BA60E5"/>
    <w:rsid w:val="00BA60FA"/>
    <w:rsid w:val="00BA6548"/>
    <w:rsid w:val="00BA7312"/>
    <w:rsid w:val="00BA774D"/>
    <w:rsid w:val="00BB05BA"/>
    <w:rsid w:val="00BB1001"/>
    <w:rsid w:val="00BB2244"/>
    <w:rsid w:val="00BB2858"/>
    <w:rsid w:val="00BB2886"/>
    <w:rsid w:val="00BB34D7"/>
    <w:rsid w:val="00BB444B"/>
    <w:rsid w:val="00BB4E5D"/>
    <w:rsid w:val="00BB5294"/>
    <w:rsid w:val="00BB7137"/>
    <w:rsid w:val="00BC1B08"/>
    <w:rsid w:val="00BC2D38"/>
    <w:rsid w:val="00BC2D99"/>
    <w:rsid w:val="00BC3484"/>
    <w:rsid w:val="00BC3F99"/>
    <w:rsid w:val="00BC5795"/>
    <w:rsid w:val="00BC5847"/>
    <w:rsid w:val="00BC5EB2"/>
    <w:rsid w:val="00BC70BC"/>
    <w:rsid w:val="00BC71AE"/>
    <w:rsid w:val="00BC7C14"/>
    <w:rsid w:val="00BD0C78"/>
    <w:rsid w:val="00BD1678"/>
    <w:rsid w:val="00BD1FBC"/>
    <w:rsid w:val="00BD2164"/>
    <w:rsid w:val="00BD276A"/>
    <w:rsid w:val="00BD4A17"/>
    <w:rsid w:val="00BD4E3D"/>
    <w:rsid w:val="00BD5D4C"/>
    <w:rsid w:val="00BD5FAA"/>
    <w:rsid w:val="00BD6323"/>
    <w:rsid w:val="00BD660B"/>
    <w:rsid w:val="00BE07CA"/>
    <w:rsid w:val="00BE1CDC"/>
    <w:rsid w:val="00BE2082"/>
    <w:rsid w:val="00BE2857"/>
    <w:rsid w:val="00BE2D51"/>
    <w:rsid w:val="00BE3731"/>
    <w:rsid w:val="00BE3873"/>
    <w:rsid w:val="00BE506F"/>
    <w:rsid w:val="00BE53CD"/>
    <w:rsid w:val="00BE6619"/>
    <w:rsid w:val="00BE718B"/>
    <w:rsid w:val="00BE73F7"/>
    <w:rsid w:val="00BE7770"/>
    <w:rsid w:val="00BF0940"/>
    <w:rsid w:val="00BF1334"/>
    <w:rsid w:val="00BF1E2C"/>
    <w:rsid w:val="00BF3255"/>
    <w:rsid w:val="00BF426D"/>
    <w:rsid w:val="00BF42E7"/>
    <w:rsid w:val="00BF4AFA"/>
    <w:rsid w:val="00BF5086"/>
    <w:rsid w:val="00BF50B9"/>
    <w:rsid w:val="00BF5370"/>
    <w:rsid w:val="00BF5C9D"/>
    <w:rsid w:val="00BF6718"/>
    <w:rsid w:val="00BF6780"/>
    <w:rsid w:val="00BF680C"/>
    <w:rsid w:val="00BF6FCD"/>
    <w:rsid w:val="00BF7125"/>
    <w:rsid w:val="00BF7868"/>
    <w:rsid w:val="00C00528"/>
    <w:rsid w:val="00C00565"/>
    <w:rsid w:val="00C00A53"/>
    <w:rsid w:val="00C00B93"/>
    <w:rsid w:val="00C00D33"/>
    <w:rsid w:val="00C01C5D"/>
    <w:rsid w:val="00C022CB"/>
    <w:rsid w:val="00C024D6"/>
    <w:rsid w:val="00C028AD"/>
    <w:rsid w:val="00C0396B"/>
    <w:rsid w:val="00C04C21"/>
    <w:rsid w:val="00C052B1"/>
    <w:rsid w:val="00C06AB3"/>
    <w:rsid w:val="00C07001"/>
    <w:rsid w:val="00C11555"/>
    <w:rsid w:val="00C1256A"/>
    <w:rsid w:val="00C12721"/>
    <w:rsid w:val="00C14FC5"/>
    <w:rsid w:val="00C154B1"/>
    <w:rsid w:val="00C15D64"/>
    <w:rsid w:val="00C1611E"/>
    <w:rsid w:val="00C17D22"/>
    <w:rsid w:val="00C20AE0"/>
    <w:rsid w:val="00C20D1D"/>
    <w:rsid w:val="00C21AC8"/>
    <w:rsid w:val="00C221F2"/>
    <w:rsid w:val="00C2288F"/>
    <w:rsid w:val="00C230C0"/>
    <w:rsid w:val="00C23AB6"/>
    <w:rsid w:val="00C23F90"/>
    <w:rsid w:val="00C243F8"/>
    <w:rsid w:val="00C24CD1"/>
    <w:rsid w:val="00C256AD"/>
    <w:rsid w:val="00C2591E"/>
    <w:rsid w:val="00C25D42"/>
    <w:rsid w:val="00C25D68"/>
    <w:rsid w:val="00C26EF8"/>
    <w:rsid w:val="00C278F2"/>
    <w:rsid w:val="00C306BD"/>
    <w:rsid w:val="00C30BF7"/>
    <w:rsid w:val="00C30CA8"/>
    <w:rsid w:val="00C30EF5"/>
    <w:rsid w:val="00C32596"/>
    <w:rsid w:val="00C326A6"/>
    <w:rsid w:val="00C339D3"/>
    <w:rsid w:val="00C34D4D"/>
    <w:rsid w:val="00C358E9"/>
    <w:rsid w:val="00C358F4"/>
    <w:rsid w:val="00C35C11"/>
    <w:rsid w:val="00C36525"/>
    <w:rsid w:val="00C365EA"/>
    <w:rsid w:val="00C3757D"/>
    <w:rsid w:val="00C40A54"/>
    <w:rsid w:val="00C40CE3"/>
    <w:rsid w:val="00C40E54"/>
    <w:rsid w:val="00C42D57"/>
    <w:rsid w:val="00C43A58"/>
    <w:rsid w:val="00C442D4"/>
    <w:rsid w:val="00C44673"/>
    <w:rsid w:val="00C446C1"/>
    <w:rsid w:val="00C453DA"/>
    <w:rsid w:val="00C455DD"/>
    <w:rsid w:val="00C46C36"/>
    <w:rsid w:val="00C47067"/>
    <w:rsid w:val="00C474B5"/>
    <w:rsid w:val="00C474D2"/>
    <w:rsid w:val="00C50389"/>
    <w:rsid w:val="00C5059C"/>
    <w:rsid w:val="00C511D0"/>
    <w:rsid w:val="00C5151E"/>
    <w:rsid w:val="00C52186"/>
    <w:rsid w:val="00C52FFF"/>
    <w:rsid w:val="00C539B0"/>
    <w:rsid w:val="00C547B8"/>
    <w:rsid w:val="00C54BE9"/>
    <w:rsid w:val="00C56C0F"/>
    <w:rsid w:val="00C574F2"/>
    <w:rsid w:val="00C60490"/>
    <w:rsid w:val="00C60AA6"/>
    <w:rsid w:val="00C60C41"/>
    <w:rsid w:val="00C62B4E"/>
    <w:rsid w:val="00C64765"/>
    <w:rsid w:val="00C6530B"/>
    <w:rsid w:val="00C65988"/>
    <w:rsid w:val="00C66A57"/>
    <w:rsid w:val="00C67A0E"/>
    <w:rsid w:val="00C706B1"/>
    <w:rsid w:val="00C7096E"/>
    <w:rsid w:val="00C71514"/>
    <w:rsid w:val="00C71890"/>
    <w:rsid w:val="00C72086"/>
    <w:rsid w:val="00C72A03"/>
    <w:rsid w:val="00C7335F"/>
    <w:rsid w:val="00C73F65"/>
    <w:rsid w:val="00C7428E"/>
    <w:rsid w:val="00C74910"/>
    <w:rsid w:val="00C75805"/>
    <w:rsid w:val="00C75A99"/>
    <w:rsid w:val="00C763D2"/>
    <w:rsid w:val="00C76AD2"/>
    <w:rsid w:val="00C76ED0"/>
    <w:rsid w:val="00C77682"/>
    <w:rsid w:val="00C77EE1"/>
    <w:rsid w:val="00C80631"/>
    <w:rsid w:val="00C80D9F"/>
    <w:rsid w:val="00C80E79"/>
    <w:rsid w:val="00C81367"/>
    <w:rsid w:val="00C81B0A"/>
    <w:rsid w:val="00C8218A"/>
    <w:rsid w:val="00C821D0"/>
    <w:rsid w:val="00C832FF"/>
    <w:rsid w:val="00C83CC5"/>
    <w:rsid w:val="00C83DC3"/>
    <w:rsid w:val="00C84CEE"/>
    <w:rsid w:val="00C851AA"/>
    <w:rsid w:val="00C85BEB"/>
    <w:rsid w:val="00C87113"/>
    <w:rsid w:val="00C87C9A"/>
    <w:rsid w:val="00C907ED"/>
    <w:rsid w:val="00C90A3D"/>
    <w:rsid w:val="00C91955"/>
    <w:rsid w:val="00C935FC"/>
    <w:rsid w:val="00C93E0D"/>
    <w:rsid w:val="00C94A36"/>
    <w:rsid w:val="00C94FE4"/>
    <w:rsid w:val="00C96651"/>
    <w:rsid w:val="00C96CFC"/>
    <w:rsid w:val="00C96E79"/>
    <w:rsid w:val="00C97A04"/>
    <w:rsid w:val="00CA0CB5"/>
    <w:rsid w:val="00CA1CB9"/>
    <w:rsid w:val="00CA2325"/>
    <w:rsid w:val="00CA27FE"/>
    <w:rsid w:val="00CA493A"/>
    <w:rsid w:val="00CA599B"/>
    <w:rsid w:val="00CA656E"/>
    <w:rsid w:val="00CB0AFE"/>
    <w:rsid w:val="00CB1349"/>
    <w:rsid w:val="00CB16F7"/>
    <w:rsid w:val="00CB28E8"/>
    <w:rsid w:val="00CB413C"/>
    <w:rsid w:val="00CB4833"/>
    <w:rsid w:val="00CB5068"/>
    <w:rsid w:val="00CB61BA"/>
    <w:rsid w:val="00CB62E9"/>
    <w:rsid w:val="00CB654E"/>
    <w:rsid w:val="00CB67A8"/>
    <w:rsid w:val="00CB6AB6"/>
    <w:rsid w:val="00CB7583"/>
    <w:rsid w:val="00CC0311"/>
    <w:rsid w:val="00CC06D1"/>
    <w:rsid w:val="00CC0779"/>
    <w:rsid w:val="00CC0DF5"/>
    <w:rsid w:val="00CC1A6B"/>
    <w:rsid w:val="00CC1B8E"/>
    <w:rsid w:val="00CC1E5B"/>
    <w:rsid w:val="00CC25E6"/>
    <w:rsid w:val="00CC2FF4"/>
    <w:rsid w:val="00CC3077"/>
    <w:rsid w:val="00CC3C91"/>
    <w:rsid w:val="00CC3DCF"/>
    <w:rsid w:val="00CC3EDE"/>
    <w:rsid w:val="00CC42CE"/>
    <w:rsid w:val="00CC4BDB"/>
    <w:rsid w:val="00CC4D96"/>
    <w:rsid w:val="00CC517B"/>
    <w:rsid w:val="00CC557B"/>
    <w:rsid w:val="00CC564B"/>
    <w:rsid w:val="00CC5B65"/>
    <w:rsid w:val="00CC5DAC"/>
    <w:rsid w:val="00CC6556"/>
    <w:rsid w:val="00CC6587"/>
    <w:rsid w:val="00CC7737"/>
    <w:rsid w:val="00CC790B"/>
    <w:rsid w:val="00CC7B56"/>
    <w:rsid w:val="00CD0B7D"/>
    <w:rsid w:val="00CD12A3"/>
    <w:rsid w:val="00CD1FB6"/>
    <w:rsid w:val="00CD2040"/>
    <w:rsid w:val="00CD26FE"/>
    <w:rsid w:val="00CD271F"/>
    <w:rsid w:val="00CD28DC"/>
    <w:rsid w:val="00CD3176"/>
    <w:rsid w:val="00CD3800"/>
    <w:rsid w:val="00CD4436"/>
    <w:rsid w:val="00CD49C6"/>
    <w:rsid w:val="00CD5084"/>
    <w:rsid w:val="00CD518C"/>
    <w:rsid w:val="00CD6923"/>
    <w:rsid w:val="00CD712B"/>
    <w:rsid w:val="00CD7594"/>
    <w:rsid w:val="00CD75C1"/>
    <w:rsid w:val="00CE04C7"/>
    <w:rsid w:val="00CE0ED9"/>
    <w:rsid w:val="00CE18F2"/>
    <w:rsid w:val="00CE1B2D"/>
    <w:rsid w:val="00CE3F17"/>
    <w:rsid w:val="00CE4187"/>
    <w:rsid w:val="00CE4945"/>
    <w:rsid w:val="00CE4965"/>
    <w:rsid w:val="00CE555A"/>
    <w:rsid w:val="00CE5DAF"/>
    <w:rsid w:val="00CE6B9E"/>
    <w:rsid w:val="00CE7246"/>
    <w:rsid w:val="00CE7529"/>
    <w:rsid w:val="00CE79E6"/>
    <w:rsid w:val="00CF02A3"/>
    <w:rsid w:val="00CF258A"/>
    <w:rsid w:val="00CF26B9"/>
    <w:rsid w:val="00CF329B"/>
    <w:rsid w:val="00CF345B"/>
    <w:rsid w:val="00CF42DC"/>
    <w:rsid w:val="00CF516A"/>
    <w:rsid w:val="00CF6BE8"/>
    <w:rsid w:val="00CF74CA"/>
    <w:rsid w:val="00CF7607"/>
    <w:rsid w:val="00CF77CE"/>
    <w:rsid w:val="00CF7B93"/>
    <w:rsid w:val="00CF7BD2"/>
    <w:rsid w:val="00CF7C02"/>
    <w:rsid w:val="00D00019"/>
    <w:rsid w:val="00D00164"/>
    <w:rsid w:val="00D0137E"/>
    <w:rsid w:val="00D02617"/>
    <w:rsid w:val="00D02812"/>
    <w:rsid w:val="00D034A4"/>
    <w:rsid w:val="00D05EF1"/>
    <w:rsid w:val="00D05F95"/>
    <w:rsid w:val="00D060C8"/>
    <w:rsid w:val="00D06900"/>
    <w:rsid w:val="00D103B7"/>
    <w:rsid w:val="00D112F5"/>
    <w:rsid w:val="00D11491"/>
    <w:rsid w:val="00D11713"/>
    <w:rsid w:val="00D12C7A"/>
    <w:rsid w:val="00D1350B"/>
    <w:rsid w:val="00D13636"/>
    <w:rsid w:val="00D136C0"/>
    <w:rsid w:val="00D13CCF"/>
    <w:rsid w:val="00D141B5"/>
    <w:rsid w:val="00D147FC"/>
    <w:rsid w:val="00D14A84"/>
    <w:rsid w:val="00D1537B"/>
    <w:rsid w:val="00D16112"/>
    <w:rsid w:val="00D169C2"/>
    <w:rsid w:val="00D16CFE"/>
    <w:rsid w:val="00D16FAE"/>
    <w:rsid w:val="00D17B78"/>
    <w:rsid w:val="00D2028B"/>
    <w:rsid w:val="00D20680"/>
    <w:rsid w:val="00D20EFE"/>
    <w:rsid w:val="00D20F8A"/>
    <w:rsid w:val="00D213F2"/>
    <w:rsid w:val="00D2226F"/>
    <w:rsid w:val="00D22F2C"/>
    <w:rsid w:val="00D2311D"/>
    <w:rsid w:val="00D23F55"/>
    <w:rsid w:val="00D24606"/>
    <w:rsid w:val="00D24E6F"/>
    <w:rsid w:val="00D266DC"/>
    <w:rsid w:val="00D2714B"/>
    <w:rsid w:val="00D27B8E"/>
    <w:rsid w:val="00D27D64"/>
    <w:rsid w:val="00D30A95"/>
    <w:rsid w:val="00D30F47"/>
    <w:rsid w:val="00D31306"/>
    <w:rsid w:val="00D31CC6"/>
    <w:rsid w:val="00D327F0"/>
    <w:rsid w:val="00D34437"/>
    <w:rsid w:val="00D34AFC"/>
    <w:rsid w:val="00D351A8"/>
    <w:rsid w:val="00D35329"/>
    <w:rsid w:val="00D3614E"/>
    <w:rsid w:val="00D36DCE"/>
    <w:rsid w:val="00D37D8E"/>
    <w:rsid w:val="00D4058B"/>
    <w:rsid w:val="00D40768"/>
    <w:rsid w:val="00D40B03"/>
    <w:rsid w:val="00D40D9C"/>
    <w:rsid w:val="00D41B23"/>
    <w:rsid w:val="00D426C8"/>
    <w:rsid w:val="00D4350B"/>
    <w:rsid w:val="00D43826"/>
    <w:rsid w:val="00D441B7"/>
    <w:rsid w:val="00D4522B"/>
    <w:rsid w:val="00D452B8"/>
    <w:rsid w:val="00D45721"/>
    <w:rsid w:val="00D46A5A"/>
    <w:rsid w:val="00D46D52"/>
    <w:rsid w:val="00D47635"/>
    <w:rsid w:val="00D47AEC"/>
    <w:rsid w:val="00D50E92"/>
    <w:rsid w:val="00D5260D"/>
    <w:rsid w:val="00D53A39"/>
    <w:rsid w:val="00D53C6F"/>
    <w:rsid w:val="00D53E43"/>
    <w:rsid w:val="00D5532B"/>
    <w:rsid w:val="00D558DD"/>
    <w:rsid w:val="00D5641D"/>
    <w:rsid w:val="00D56C03"/>
    <w:rsid w:val="00D57019"/>
    <w:rsid w:val="00D60AB8"/>
    <w:rsid w:val="00D60C96"/>
    <w:rsid w:val="00D60E8E"/>
    <w:rsid w:val="00D6103F"/>
    <w:rsid w:val="00D61350"/>
    <w:rsid w:val="00D614D4"/>
    <w:rsid w:val="00D616B5"/>
    <w:rsid w:val="00D632CF"/>
    <w:rsid w:val="00D636EB"/>
    <w:rsid w:val="00D63E60"/>
    <w:rsid w:val="00D657E2"/>
    <w:rsid w:val="00D67ADF"/>
    <w:rsid w:val="00D67B08"/>
    <w:rsid w:val="00D67C55"/>
    <w:rsid w:val="00D67F64"/>
    <w:rsid w:val="00D70291"/>
    <w:rsid w:val="00D7101B"/>
    <w:rsid w:val="00D72746"/>
    <w:rsid w:val="00D732BF"/>
    <w:rsid w:val="00D736C0"/>
    <w:rsid w:val="00D736E2"/>
    <w:rsid w:val="00D74046"/>
    <w:rsid w:val="00D74062"/>
    <w:rsid w:val="00D7462B"/>
    <w:rsid w:val="00D74719"/>
    <w:rsid w:val="00D749A2"/>
    <w:rsid w:val="00D74BD3"/>
    <w:rsid w:val="00D754C7"/>
    <w:rsid w:val="00D7559A"/>
    <w:rsid w:val="00D77DF5"/>
    <w:rsid w:val="00D77DF9"/>
    <w:rsid w:val="00D804BE"/>
    <w:rsid w:val="00D81842"/>
    <w:rsid w:val="00D82E20"/>
    <w:rsid w:val="00D83FFF"/>
    <w:rsid w:val="00D84746"/>
    <w:rsid w:val="00D8562B"/>
    <w:rsid w:val="00D85C3B"/>
    <w:rsid w:val="00D86A7C"/>
    <w:rsid w:val="00D86C63"/>
    <w:rsid w:val="00D871EE"/>
    <w:rsid w:val="00D874ED"/>
    <w:rsid w:val="00D87DD5"/>
    <w:rsid w:val="00D901D4"/>
    <w:rsid w:val="00D90CD0"/>
    <w:rsid w:val="00D91CD8"/>
    <w:rsid w:val="00D92227"/>
    <w:rsid w:val="00D92B22"/>
    <w:rsid w:val="00D9400F"/>
    <w:rsid w:val="00D945A6"/>
    <w:rsid w:val="00D9595A"/>
    <w:rsid w:val="00D95BA5"/>
    <w:rsid w:val="00D9650F"/>
    <w:rsid w:val="00D972B2"/>
    <w:rsid w:val="00D97E15"/>
    <w:rsid w:val="00DA11ED"/>
    <w:rsid w:val="00DA12AC"/>
    <w:rsid w:val="00DA1EFB"/>
    <w:rsid w:val="00DA1F6F"/>
    <w:rsid w:val="00DA208B"/>
    <w:rsid w:val="00DA2A71"/>
    <w:rsid w:val="00DA3590"/>
    <w:rsid w:val="00DA35FF"/>
    <w:rsid w:val="00DA3A0B"/>
    <w:rsid w:val="00DA480B"/>
    <w:rsid w:val="00DA4F6F"/>
    <w:rsid w:val="00DA5253"/>
    <w:rsid w:val="00DA5AA9"/>
    <w:rsid w:val="00DA69FF"/>
    <w:rsid w:val="00DA6EC7"/>
    <w:rsid w:val="00DA7171"/>
    <w:rsid w:val="00DB0047"/>
    <w:rsid w:val="00DB03FF"/>
    <w:rsid w:val="00DB078A"/>
    <w:rsid w:val="00DB0C2D"/>
    <w:rsid w:val="00DB0FFD"/>
    <w:rsid w:val="00DB2198"/>
    <w:rsid w:val="00DB3F59"/>
    <w:rsid w:val="00DB4D0F"/>
    <w:rsid w:val="00DB5238"/>
    <w:rsid w:val="00DB5775"/>
    <w:rsid w:val="00DB5863"/>
    <w:rsid w:val="00DB69B4"/>
    <w:rsid w:val="00DC004A"/>
    <w:rsid w:val="00DC00FE"/>
    <w:rsid w:val="00DC0B86"/>
    <w:rsid w:val="00DC1AC9"/>
    <w:rsid w:val="00DC2346"/>
    <w:rsid w:val="00DC238D"/>
    <w:rsid w:val="00DC2C39"/>
    <w:rsid w:val="00DC323C"/>
    <w:rsid w:val="00DC5789"/>
    <w:rsid w:val="00DC6AEE"/>
    <w:rsid w:val="00DC74C1"/>
    <w:rsid w:val="00DC7D5D"/>
    <w:rsid w:val="00DD0131"/>
    <w:rsid w:val="00DD0616"/>
    <w:rsid w:val="00DD16B6"/>
    <w:rsid w:val="00DD17B7"/>
    <w:rsid w:val="00DD1E9A"/>
    <w:rsid w:val="00DD3909"/>
    <w:rsid w:val="00DD4724"/>
    <w:rsid w:val="00DD482D"/>
    <w:rsid w:val="00DD52FD"/>
    <w:rsid w:val="00DD59FC"/>
    <w:rsid w:val="00DD7E7F"/>
    <w:rsid w:val="00DE00A3"/>
    <w:rsid w:val="00DE032D"/>
    <w:rsid w:val="00DE2211"/>
    <w:rsid w:val="00DE222F"/>
    <w:rsid w:val="00DE3C34"/>
    <w:rsid w:val="00DE3F50"/>
    <w:rsid w:val="00DE46B8"/>
    <w:rsid w:val="00DE49BD"/>
    <w:rsid w:val="00DE4C68"/>
    <w:rsid w:val="00DE5206"/>
    <w:rsid w:val="00DE5CF2"/>
    <w:rsid w:val="00DE7BE1"/>
    <w:rsid w:val="00DF1493"/>
    <w:rsid w:val="00DF1DF6"/>
    <w:rsid w:val="00DF37B7"/>
    <w:rsid w:val="00DF3DC5"/>
    <w:rsid w:val="00DF4AFF"/>
    <w:rsid w:val="00DF5C19"/>
    <w:rsid w:val="00DF6122"/>
    <w:rsid w:val="00DF66E8"/>
    <w:rsid w:val="00DF6CA5"/>
    <w:rsid w:val="00DF7739"/>
    <w:rsid w:val="00DF7A42"/>
    <w:rsid w:val="00DF7E4E"/>
    <w:rsid w:val="00E0003C"/>
    <w:rsid w:val="00E00418"/>
    <w:rsid w:val="00E0093C"/>
    <w:rsid w:val="00E00AEC"/>
    <w:rsid w:val="00E01B0C"/>
    <w:rsid w:val="00E01C70"/>
    <w:rsid w:val="00E02409"/>
    <w:rsid w:val="00E03379"/>
    <w:rsid w:val="00E03B96"/>
    <w:rsid w:val="00E04333"/>
    <w:rsid w:val="00E04E3E"/>
    <w:rsid w:val="00E05270"/>
    <w:rsid w:val="00E061EF"/>
    <w:rsid w:val="00E06E94"/>
    <w:rsid w:val="00E07140"/>
    <w:rsid w:val="00E07A0B"/>
    <w:rsid w:val="00E100DE"/>
    <w:rsid w:val="00E10DF8"/>
    <w:rsid w:val="00E11D00"/>
    <w:rsid w:val="00E11DAA"/>
    <w:rsid w:val="00E120C2"/>
    <w:rsid w:val="00E123B9"/>
    <w:rsid w:val="00E13154"/>
    <w:rsid w:val="00E1321B"/>
    <w:rsid w:val="00E13BED"/>
    <w:rsid w:val="00E152A2"/>
    <w:rsid w:val="00E15308"/>
    <w:rsid w:val="00E15342"/>
    <w:rsid w:val="00E16D2D"/>
    <w:rsid w:val="00E179B5"/>
    <w:rsid w:val="00E17EBF"/>
    <w:rsid w:val="00E2275E"/>
    <w:rsid w:val="00E23683"/>
    <w:rsid w:val="00E239CF"/>
    <w:rsid w:val="00E2479F"/>
    <w:rsid w:val="00E247EA"/>
    <w:rsid w:val="00E25D45"/>
    <w:rsid w:val="00E3038A"/>
    <w:rsid w:val="00E30F3B"/>
    <w:rsid w:val="00E34A44"/>
    <w:rsid w:val="00E3535E"/>
    <w:rsid w:val="00E3634D"/>
    <w:rsid w:val="00E363DD"/>
    <w:rsid w:val="00E365F4"/>
    <w:rsid w:val="00E36C34"/>
    <w:rsid w:val="00E376F4"/>
    <w:rsid w:val="00E37DB1"/>
    <w:rsid w:val="00E41F5C"/>
    <w:rsid w:val="00E41FB5"/>
    <w:rsid w:val="00E423E1"/>
    <w:rsid w:val="00E42F12"/>
    <w:rsid w:val="00E42F61"/>
    <w:rsid w:val="00E4395B"/>
    <w:rsid w:val="00E44360"/>
    <w:rsid w:val="00E4477B"/>
    <w:rsid w:val="00E44C96"/>
    <w:rsid w:val="00E45A89"/>
    <w:rsid w:val="00E468CB"/>
    <w:rsid w:val="00E46A18"/>
    <w:rsid w:val="00E46F1E"/>
    <w:rsid w:val="00E47EEB"/>
    <w:rsid w:val="00E5081E"/>
    <w:rsid w:val="00E509F6"/>
    <w:rsid w:val="00E51EC6"/>
    <w:rsid w:val="00E5200E"/>
    <w:rsid w:val="00E52041"/>
    <w:rsid w:val="00E53955"/>
    <w:rsid w:val="00E540BD"/>
    <w:rsid w:val="00E54F20"/>
    <w:rsid w:val="00E55143"/>
    <w:rsid w:val="00E55520"/>
    <w:rsid w:val="00E55862"/>
    <w:rsid w:val="00E56137"/>
    <w:rsid w:val="00E56736"/>
    <w:rsid w:val="00E56CE1"/>
    <w:rsid w:val="00E570EC"/>
    <w:rsid w:val="00E57F40"/>
    <w:rsid w:val="00E613E8"/>
    <w:rsid w:val="00E62F70"/>
    <w:rsid w:val="00E64D9F"/>
    <w:rsid w:val="00E657AE"/>
    <w:rsid w:val="00E65A9C"/>
    <w:rsid w:val="00E66536"/>
    <w:rsid w:val="00E6707B"/>
    <w:rsid w:val="00E679D4"/>
    <w:rsid w:val="00E67D1C"/>
    <w:rsid w:val="00E70DF2"/>
    <w:rsid w:val="00E737D0"/>
    <w:rsid w:val="00E74E3C"/>
    <w:rsid w:val="00E74F72"/>
    <w:rsid w:val="00E75C7F"/>
    <w:rsid w:val="00E76942"/>
    <w:rsid w:val="00E80473"/>
    <w:rsid w:val="00E82B40"/>
    <w:rsid w:val="00E82C8F"/>
    <w:rsid w:val="00E836E5"/>
    <w:rsid w:val="00E86223"/>
    <w:rsid w:val="00E86B01"/>
    <w:rsid w:val="00E86B6B"/>
    <w:rsid w:val="00E86CDF"/>
    <w:rsid w:val="00E86DF5"/>
    <w:rsid w:val="00E875B4"/>
    <w:rsid w:val="00E8760B"/>
    <w:rsid w:val="00E90D53"/>
    <w:rsid w:val="00E90FE1"/>
    <w:rsid w:val="00E916C8"/>
    <w:rsid w:val="00E92AF1"/>
    <w:rsid w:val="00E93106"/>
    <w:rsid w:val="00E93AA0"/>
    <w:rsid w:val="00E93F20"/>
    <w:rsid w:val="00E946E9"/>
    <w:rsid w:val="00E94757"/>
    <w:rsid w:val="00E95A9C"/>
    <w:rsid w:val="00E962F8"/>
    <w:rsid w:val="00E9743E"/>
    <w:rsid w:val="00EA0C86"/>
    <w:rsid w:val="00EA10E7"/>
    <w:rsid w:val="00EA10EA"/>
    <w:rsid w:val="00EA1A08"/>
    <w:rsid w:val="00EA2553"/>
    <w:rsid w:val="00EA2767"/>
    <w:rsid w:val="00EA34A6"/>
    <w:rsid w:val="00EA3AA8"/>
    <w:rsid w:val="00EA3C80"/>
    <w:rsid w:val="00EA4B94"/>
    <w:rsid w:val="00EA4C1C"/>
    <w:rsid w:val="00EA5091"/>
    <w:rsid w:val="00EA5842"/>
    <w:rsid w:val="00EA5875"/>
    <w:rsid w:val="00EA5F83"/>
    <w:rsid w:val="00EA6072"/>
    <w:rsid w:val="00EA7156"/>
    <w:rsid w:val="00EA763E"/>
    <w:rsid w:val="00EB0442"/>
    <w:rsid w:val="00EB0EEC"/>
    <w:rsid w:val="00EB1004"/>
    <w:rsid w:val="00EB25B9"/>
    <w:rsid w:val="00EB400D"/>
    <w:rsid w:val="00EB4255"/>
    <w:rsid w:val="00EB4DF5"/>
    <w:rsid w:val="00EB5714"/>
    <w:rsid w:val="00EB5C85"/>
    <w:rsid w:val="00EB659A"/>
    <w:rsid w:val="00EB7328"/>
    <w:rsid w:val="00EB7A30"/>
    <w:rsid w:val="00EB7BCB"/>
    <w:rsid w:val="00EB7E2F"/>
    <w:rsid w:val="00EC04EF"/>
    <w:rsid w:val="00EC0907"/>
    <w:rsid w:val="00EC0E3C"/>
    <w:rsid w:val="00EC18B3"/>
    <w:rsid w:val="00EC2969"/>
    <w:rsid w:val="00EC2A09"/>
    <w:rsid w:val="00EC33C9"/>
    <w:rsid w:val="00EC4720"/>
    <w:rsid w:val="00EC512A"/>
    <w:rsid w:val="00EC654E"/>
    <w:rsid w:val="00EC68DB"/>
    <w:rsid w:val="00ED0A9E"/>
    <w:rsid w:val="00ED0EDE"/>
    <w:rsid w:val="00ED0F88"/>
    <w:rsid w:val="00ED1C79"/>
    <w:rsid w:val="00ED1F87"/>
    <w:rsid w:val="00ED30A6"/>
    <w:rsid w:val="00ED310B"/>
    <w:rsid w:val="00ED37B1"/>
    <w:rsid w:val="00ED4DCD"/>
    <w:rsid w:val="00ED4F54"/>
    <w:rsid w:val="00ED5056"/>
    <w:rsid w:val="00ED645D"/>
    <w:rsid w:val="00ED6B1F"/>
    <w:rsid w:val="00ED6E71"/>
    <w:rsid w:val="00ED6F78"/>
    <w:rsid w:val="00ED7512"/>
    <w:rsid w:val="00ED756D"/>
    <w:rsid w:val="00ED775B"/>
    <w:rsid w:val="00EE02C0"/>
    <w:rsid w:val="00EE0A40"/>
    <w:rsid w:val="00EE12C1"/>
    <w:rsid w:val="00EE19B3"/>
    <w:rsid w:val="00EE1E06"/>
    <w:rsid w:val="00EE2639"/>
    <w:rsid w:val="00EE29BF"/>
    <w:rsid w:val="00EE301E"/>
    <w:rsid w:val="00EE3A48"/>
    <w:rsid w:val="00EE3DB0"/>
    <w:rsid w:val="00EE42D4"/>
    <w:rsid w:val="00EE48A3"/>
    <w:rsid w:val="00EE50D5"/>
    <w:rsid w:val="00EE5990"/>
    <w:rsid w:val="00EE5D2A"/>
    <w:rsid w:val="00EE6570"/>
    <w:rsid w:val="00EE73A3"/>
    <w:rsid w:val="00EF005C"/>
    <w:rsid w:val="00EF0F68"/>
    <w:rsid w:val="00EF1468"/>
    <w:rsid w:val="00EF1C45"/>
    <w:rsid w:val="00EF21CA"/>
    <w:rsid w:val="00EF2902"/>
    <w:rsid w:val="00EF3657"/>
    <w:rsid w:val="00EF4337"/>
    <w:rsid w:val="00EF4410"/>
    <w:rsid w:val="00EF45C3"/>
    <w:rsid w:val="00EF5892"/>
    <w:rsid w:val="00EF5B6F"/>
    <w:rsid w:val="00EF5BE4"/>
    <w:rsid w:val="00F0155F"/>
    <w:rsid w:val="00F018F3"/>
    <w:rsid w:val="00F02185"/>
    <w:rsid w:val="00F02714"/>
    <w:rsid w:val="00F032C8"/>
    <w:rsid w:val="00F07ED2"/>
    <w:rsid w:val="00F10CB3"/>
    <w:rsid w:val="00F11177"/>
    <w:rsid w:val="00F11FC7"/>
    <w:rsid w:val="00F13A7B"/>
    <w:rsid w:val="00F14092"/>
    <w:rsid w:val="00F144E3"/>
    <w:rsid w:val="00F14961"/>
    <w:rsid w:val="00F14DFB"/>
    <w:rsid w:val="00F154AE"/>
    <w:rsid w:val="00F1628F"/>
    <w:rsid w:val="00F167FC"/>
    <w:rsid w:val="00F16FA5"/>
    <w:rsid w:val="00F1703D"/>
    <w:rsid w:val="00F172F1"/>
    <w:rsid w:val="00F17AF9"/>
    <w:rsid w:val="00F20D4E"/>
    <w:rsid w:val="00F22DB3"/>
    <w:rsid w:val="00F235F3"/>
    <w:rsid w:val="00F24BAE"/>
    <w:rsid w:val="00F25D12"/>
    <w:rsid w:val="00F267DE"/>
    <w:rsid w:val="00F26E2B"/>
    <w:rsid w:val="00F26EDB"/>
    <w:rsid w:val="00F2723C"/>
    <w:rsid w:val="00F27B59"/>
    <w:rsid w:val="00F27E2F"/>
    <w:rsid w:val="00F30DAD"/>
    <w:rsid w:val="00F31668"/>
    <w:rsid w:val="00F32238"/>
    <w:rsid w:val="00F323A1"/>
    <w:rsid w:val="00F32F3A"/>
    <w:rsid w:val="00F330AB"/>
    <w:rsid w:val="00F336A1"/>
    <w:rsid w:val="00F336FF"/>
    <w:rsid w:val="00F33810"/>
    <w:rsid w:val="00F340C1"/>
    <w:rsid w:val="00F343ED"/>
    <w:rsid w:val="00F3606A"/>
    <w:rsid w:val="00F360F3"/>
    <w:rsid w:val="00F366E3"/>
    <w:rsid w:val="00F36764"/>
    <w:rsid w:val="00F3680A"/>
    <w:rsid w:val="00F369BB"/>
    <w:rsid w:val="00F373D0"/>
    <w:rsid w:val="00F374A3"/>
    <w:rsid w:val="00F37DEC"/>
    <w:rsid w:val="00F40261"/>
    <w:rsid w:val="00F407CE"/>
    <w:rsid w:val="00F4167F"/>
    <w:rsid w:val="00F43022"/>
    <w:rsid w:val="00F43B5F"/>
    <w:rsid w:val="00F44225"/>
    <w:rsid w:val="00F44AD5"/>
    <w:rsid w:val="00F44D21"/>
    <w:rsid w:val="00F44E37"/>
    <w:rsid w:val="00F45E5B"/>
    <w:rsid w:val="00F4699F"/>
    <w:rsid w:val="00F47437"/>
    <w:rsid w:val="00F47571"/>
    <w:rsid w:val="00F50D99"/>
    <w:rsid w:val="00F516D5"/>
    <w:rsid w:val="00F51764"/>
    <w:rsid w:val="00F51881"/>
    <w:rsid w:val="00F52598"/>
    <w:rsid w:val="00F5403F"/>
    <w:rsid w:val="00F54E3B"/>
    <w:rsid w:val="00F55555"/>
    <w:rsid w:val="00F55D44"/>
    <w:rsid w:val="00F56011"/>
    <w:rsid w:val="00F562C4"/>
    <w:rsid w:val="00F60499"/>
    <w:rsid w:val="00F60A80"/>
    <w:rsid w:val="00F61274"/>
    <w:rsid w:val="00F612F6"/>
    <w:rsid w:val="00F61B46"/>
    <w:rsid w:val="00F6345C"/>
    <w:rsid w:val="00F63951"/>
    <w:rsid w:val="00F63C2A"/>
    <w:rsid w:val="00F64514"/>
    <w:rsid w:val="00F64DE9"/>
    <w:rsid w:val="00F64FCE"/>
    <w:rsid w:val="00F65789"/>
    <w:rsid w:val="00F66474"/>
    <w:rsid w:val="00F669DB"/>
    <w:rsid w:val="00F67A1E"/>
    <w:rsid w:val="00F67FE8"/>
    <w:rsid w:val="00F70F51"/>
    <w:rsid w:val="00F71151"/>
    <w:rsid w:val="00F71694"/>
    <w:rsid w:val="00F71E2F"/>
    <w:rsid w:val="00F725C0"/>
    <w:rsid w:val="00F729D7"/>
    <w:rsid w:val="00F742DA"/>
    <w:rsid w:val="00F74BF2"/>
    <w:rsid w:val="00F76CB0"/>
    <w:rsid w:val="00F77601"/>
    <w:rsid w:val="00F77B8D"/>
    <w:rsid w:val="00F800AA"/>
    <w:rsid w:val="00F800E0"/>
    <w:rsid w:val="00F80531"/>
    <w:rsid w:val="00F81396"/>
    <w:rsid w:val="00F81460"/>
    <w:rsid w:val="00F8165E"/>
    <w:rsid w:val="00F81EE4"/>
    <w:rsid w:val="00F81FA9"/>
    <w:rsid w:val="00F82894"/>
    <w:rsid w:val="00F82907"/>
    <w:rsid w:val="00F82A79"/>
    <w:rsid w:val="00F83890"/>
    <w:rsid w:val="00F838CC"/>
    <w:rsid w:val="00F839FF"/>
    <w:rsid w:val="00F84AFE"/>
    <w:rsid w:val="00F852EF"/>
    <w:rsid w:val="00F86213"/>
    <w:rsid w:val="00F872A6"/>
    <w:rsid w:val="00F908EE"/>
    <w:rsid w:val="00F91589"/>
    <w:rsid w:val="00F91847"/>
    <w:rsid w:val="00F921D7"/>
    <w:rsid w:val="00F9262E"/>
    <w:rsid w:val="00F92946"/>
    <w:rsid w:val="00F939B7"/>
    <w:rsid w:val="00F95078"/>
    <w:rsid w:val="00F95E69"/>
    <w:rsid w:val="00F975E6"/>
    <w:rsid w:val="00FA2A2E"/>
    <w:rsid w:val="00FA3681"/>
    <w:rsid w:val="00FA4566"/>
    <w:rsid w:val="00FA46FA"/>
    <w:rsid w:val="00FA48C1"/>
    <w:rsid w:val="00FA735F"/>
    <w:rsid w:val="00FA736D"/>
    <w:rsid w:val="00FB0BF5"/>
    <w:rsid w:val="00FB0D04"/>
    <w:rsid w:val="00FB0D3C"/>
    <w:rsid w:val="00FB0E25"/>
    <w:rsid w:val="00FB14C6"/>
    <w:rsid w:val="00FB1FA2"/>
    <w:rsid w:val="00FB2B31"/>
    <w:rsid w:val="00FB2FC5"/>
    <w:rsid w:val="00FB3723"/>
    <w:rsid w:val="00FB3BEB"/>
    <w:rsid w:val="00FB4649"/>
    <w:rsid w:val="00FB574E"/>
    <w:rsid w:val="00FB57C3"/>
    <w:rsid w:val="00FB661B"/>
    <w:rsid w:val="00FB68EF"/>
    <w:rsid w:val="00FB6944"/>
    <w:rsid w:val="00FB6E34"/>
    <w:rsid w:val="00FB7A57"/>
    <w:rsid w:val="00FB7B8C"/>
    <w:rsid w:val="00FC0348"/>
    <w:rsid w:val="00FC0738"/>
    <w:rsid w:val="00FC11E2"/>
    <w:rsid w:val="00FC1A1F"/>
    <w:rsid w:val="00FC3A24"/>
    <w:rsid w:val="00FC3F49"/>
    <w:rsid w:val="00FC4373"/>
    <w:rsid w:val="00FC64D6"/>
    <w:rsid w:val="00FC6C07"/>
    <w:rsid w:val="00FC7265"/>
    <w:rsid w:val="00FC7591"/>
    <w:rsid w:val="00FC7798"/>
    <w:rsid w:val="00FC7DA2"/>
    <w:rsid w:val="00FD13A1"/>
    <w:rsid w:val="00FD17A7"/>
    <w:rsid w:val="00FD1848"/>
    <w:rsid w:val="00FD1937"/>
    <w:rsid w:val="00FD19FA"/>
    <w:rsid w:val="00FD1D8A"/>
    <w:rsid w:val="00FD235A"/>
    <w:rsid w:val="00FD2C10"/>
    <w:rsid w:val="00FD2F8C"/>
    <w:rsid w:val="00FD4FAF"/>
    <w:rsid w:val="00FD548A"/>
    <w:rsid w:val="00FD5E2A"/>
    <w:rsid w:val="00FD619B"/>
    <w:rsid w:val="00FD6A8F"/>
    <w:rsid w:val="00FD7307"/>
    <w:rsid w:val="00FE01DA"/>
    <w:rsid w:val="00FE1A5C"/>
    <w:rsid w:val="00FE1D6B"/>
    <w:rsid w:val="00FE2FCB"/>
    <w:rsid w:val="00FE3154"/>
    <w:rsid w:val="00FE37A7"/>
    <w:rsid w:val="00FE6034"/>
    <w:rsid w:val="00FE663E"/>
    <w:rsid w:val="00FE7399"/>
    <w:rsid w:val="00FE7C91"/>
    <w:rsid w:val="00FE7C9B"/>
    <w:rsid w:val="00FE7CCB"/>
    <w:rsid w:val="00FF1C40"/>
    <w:rsid w:val="00FF1CAD"/>
    <w:rsid w:val="00FF2689"/>
    <w:rsid w:val="00FF2FE3"/>
    <w:rsid w:val="00FF3DBE"/>
    <w:rsid w:val="00FF3EA3"/>
    <w:rsid w:val="00FF4245"/>
    <w:rsid w:val="00FF4301"/>
    <w:rsid w:val="00FF504E"/>
    <w:rsid w:val="00FF559A"/>
    <w:rsid w:val="00FF56AF"/>
    <w:rsid w:val="00FF5CBC"/>
    <w:rsid w:val="00FF5F7E"/>
    <w:rsid w:val="00FF6340"/>
    <w:rsid w:val="00FF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72047D"/>
  <w15:chartTrackingRefBased/>
  <w15:docId w15:val="{3C4A4913-1125-43F8-B420-5DF0ACB7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lv-LV"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E2"/>
    <w:rPr>
      <w:sz w:val="24"/>
      <w:szCs w:val="24"/>
    </w:rPr>
  </w:style>
  <w:style w:type="paragraph" w:styleId="Heading1">
    <w:name w:val="heading 1"/>
    <w:next w:val="Normal"/>
    <w:link w:val="Heading1Char"/>
    <w:unhideWhenUsed/>
    <w:qFormat/>
    <w:rsid w:val="00CE18F2"/>
    <w:pPr>
      <w:keepNext/>
      <w:keepLines/>
      <w:spacing w:after="90" w:line="259" w:lineRule="auto"/>
      <w:ind w:left="265"/>
      <w:jc w:val="right"/>
      <w:outlineLvl w:val="0"/>
    </w:pPr>
    <w:rPr>
      <w:rFonts w:eastAsia="Times New Roman"/>
      <w:color w:val="000000"/>
      <w:sz w:val="23"/>
      <w:szCs w:val="22"/>
      <w:u w:val="single" w:color="000000"/>
      <w:lang w:eastAsia="en-IE"/>
    </w:rPr>
  </w:style>
  <w:style w:type="paragraph" w:styleId="Heading2">
    <w:name w:val="heading 2"/>
    <w:basedOn w:val="Normal"/>
    <w:next w:val="Normal"/>
    <w:link w:val="Heading2Char"/>
    <w:semiHidden/>
    <w:unhideWhenUsed/>
    <w:qFormat/>
    <w:rsid w:val="00EA607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D5244"/>
    <w:rPr>
      <w:color w:val="0000FF"/>
      <w:shd w:val="clear" w:color="auto" w:fill="auto"/>
    </w:rPr>
  </w:style>
  <w:style w:type="paragraph" w:customStyle="1" w:styleId="Pagedecouverture">
    <w:name w:val="Page de couverture"/>
    <w:basedOn w:val="Normal"/>
    <w:next w:val="Normal"/>
    <w:rsid w:val="003D5244"/>
    <w:pPr>
      <w:jc w:val="both"/>
    </w:pPr>
    <w:rPr>
      <w:szCs w:val="22"/>
    </w:rPr>
  </w:style>
  <w:style w:type="paragraph" w:styleId="Header">
    <w:name w:val="header"/>
    <w:basedOn w:val="Normal"/>
    <w:link w:val="HeaderChar"/>
    <w:unhideWhenUsed/>
    <w:rsid w:val="003D5244"/>
    <w:pPr>
      <w:tabs>
        <w:tab w:val="center" w:pos="4513"/>
        <w:tab w:val="right" w:pos="9026"/>
      </w:tabs>
    </w:pPr>
  </w:style>
  <w:style w:type="character" w:customStyle="1" w:styleId="HeaderChar">
    <w:name w:val="Header Char"/>
    <w:basedOn w:val="DefaultParagraphFont"/>
    <w:link w:val="Header"/>
    <w:rsid w:val="003D5244"/>
    <w:rPr>
      <w:sz w:val="24"/>
      <w:szCs w:val="24"/>
      <w:lang w:val="lv-LV"/>
    </w:rPr>
  </w:style>
  <w:style w:type="paragraph" w:styleId="Footer">
    <w:name w:val="footer"/>
    <w:basedOn w:val="Normal"/>
    <w:link w:val="FooterChar"/>
    <w:uiPriority w:val="99"/>
    <w:unhideWhenUsed/>
    <w:rsid w:val="003D5244"/>
    <w:pPr>
      <w:tabs>
        <w:tab w:val="center" w:pos="4513"/>
        <w:tab w:val="right" w:pos="9026"/>
      </w:tabs>
    </w:pPr>
  </w:style>
  <w:style w:type="character" w:customStyle="1" w:styleId="FooterChar">
    <w:name w:val="Footer Char"/>
    <w:basedOn w:val="DefaultParagraphFont"/>
    <w:link w:val="Footer"/>
    <w:uiPriority w:val="99"/>
    <w:rsid w:val="003D5244"/>
    <w:rPr>
      <w:sz w:val="24"/>
      <w:szCs w:val="24"/>
      <w:lang w:val="lv-LV"/>
    </w:rPr>
  </w:style>
  <w:style w:type="paragraph" w:customStyle="1" w:styleId="FooterCoverPage">
    <w:name w:val="Footer Cover Page"/>
    <w:basedOn w:val="Normal"/>
    <w:link w:val="FooterCoverPageChar"/>
    <w:rsid w:val="003D5244"/>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3D5244"/>
    <w:rPr>
      <w:sz w:val="24"/>
      <w:szCs w:val="24"/>
    </w:rPr>
  </w:style>
  <w:style w:type="paragraph" w:customStyle="1" w:styleId="FooterSensitivity">
    <w:name w:val="Footer Sensitivity"/>
    <w:basedOn w:val="Normal"/>
    <w:link w:val="FooterSensitivityChar"/>
    <w:rsid w:val="003D5244"/>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sid w:val="003D5244"/>
    <w:rPr>
      <w:b/>
      <w:sz w:val="32"/>
      <w:szCs w:val="24"/>
    </w:rPr>
  </w:style>
  <w:style w:type="paragraph" w:customStyle="1" w:styleId="HeaderCoverPage">
    <w:name w:val="Header Cover Page"/>
    <w:basedOn w:val="Normal"/>
    <w:link w:val="HeaderCoverPageChar"/>
    <w:rsid w:val="003D5244"/>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3D5244"/>
    <w:rPr>
      <w:sz w:val="24"/>
      <w:szCs w:val="24"/>
    </w:rPr>
  </w:style>
  <w:style w:type="paragraph" w:customStyle="1" w:styleId="HeaderSensitivity">
    <w:name w:val="Header Sensitivity"/>
    <w:basedOn w:val="Normal"/>
    <w:link w:val="HeaderSensitivityChar"/>
    <w:rsid w:val="003D5244"/>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3D5244"/>
    <w:rPr>
      <w:b/>
      <w:sz w:val="32"/>
      <w:szCs w:val="24"/>
    </w:rPr>
  </w:style>
  <w:style w:type="paragraph" w:customStyle="1" w:styleId="HeaderSensitivityRight">
    <w:name w:val="Header Sensitivity Right"/>
    <w:basedOn w:val="Normal"/>
    <w:link w:val="HeaderSensitivityRightChar"/>
    <w:rsid w:val="003D5244"/>
    <w:pPr>
      <w:spacing w:after="120"/>
      <w:jc w:val="right"/>
    </w:pPr>
    <w:rPr>
      <w:sz w:val="28"/>
    </w:rPr>
  </w:style>
  <w:style w:type="character" w:customStyle="1" w:styleId="HeaderSensitivityRightChar">
    <w:name w:val="Header Sensitivity Right Char"/>
    <w:basedOn w:val="DefaultParagraphFont"/>
    <w:link w:val="HeaderSensitivityRight"/>
    <w:rsid w:val="003D5244"/>
    <w:rPr>
      <w:sz w:val="28"/>
      <w:szCs w:val="24"/>
    </w:rPr>
  </w:style>
  <w:style w:type="paragraph" w:styleId="FootnoteText">
    <w:name w:val="footnote text"/>
    <w:basedOn w:val="Normal"/>
    <w:link w:val="FootnoteTextChar"/>
    <w:semiHidden/>
    <w:rsid w:val="003D5244"/>
    <w:pPr>
      <w:ind w:left="720" w:hanging="720"/>
      <w:jc w:val="both"/>
    </w:pPr>
    <w:rPr>
      <w:rFonts w:eastAsia="Times New Roman"/>
      <w:sz w:val="20"/>
      <w:szCs w:val="20"/>
    </w:rPr>
  </w:style>
  <w:style w:type="character" w:customStyle="1" w:styleId="FootnoteTextChar">
    <w:name w:val="Footnote Text Char"/>
    <w:basedOn w:val="DefaultParagraphFont"/>
    <w:link w:val="FootnoteText"/>
    <w:semiHidden/>
    <w:rsid w:val="003D5244"/>
    <w:rPr>
      <w:rFonts w:eastAsia="Times New Roman"/>
      <w:lang w:val="lv-LV"/>
    </w:rPr>
  </w:style>
  <w:style w:type="character" w:styleId="FootnoteReference">
    <w:name w:val="footnote reference"/>
    <w:semiHidden/>
    <w:rsid w:val="003D5244"/>
    <w:rPr>
      <w:shd w:val="clear" w:color="auto" w:fill="auto"/>
      <w:vertAlign w:val="superscript"/>
    </w:rPr>
  </w:style>
  <w:style w:type="paragraph" w:styleId="ListParagraph">
    <w:name w:val="List Paragraph"/>
    <w:basedOn w:val="Normal"/>
    <w:uiPriority w:val="34"/>
    <w:qFormat/>
    <w:rsid w:val="003D5244"/>
    <w:pPr>
      <w:ind w:left="720"/>
      <w:contextualSpacing/>
    </w:pPr>
  </w:style>
  <w:style w:type="character" w:styleId="CommentReference">
    <w:name w:val="annotation reference"/>
    <w:basedOn w:val="DefaultParagraphFont"/>
    <w:semiHidden/>
    <w:unhideWhenUsed/>
    <w:rsid w:val="00771D99"/>
    <w:rPr>
      <w:sz w:val="16"/>
      <w:szCs w:val="16"/>
    </w:rPr>
  </w:style>
  <w:style w:type="paragraph" w:styleId="CommentText">
    <w:name w:val="annotation text"/>
    <w:basedOn w:val="Normal"/>
    <w:link w:val="CommentTextChar"/>
    <w:semiHidden/>
    <w:unhideWhenUsed/>
    <w:rsid w:val="00771D99"/>
    <w:rPr>
      <w:sz w:val="20"/>
      <w:szCs w:val="20"/>
    </w:rPr>
  </w:style>
  <w:style w:type="character" w:customStyle="1" w:styleId="CommentTextChar">
    <w:name w:val="Comment Text Char"/>
    <w:basedOn w:val="DefaultParagraphFont"/>
    <w:link w:val="CommentText"/>
    <w:semiHidden/>
    <w:rsid w:val="00771D99"/>
    <w:rPr>
      <w:lang w:val="lv-LV"/>
    </w:rPr>
  </w:style>
  <w:style w:type="paragraph" w:styleId="CommentSubject">
    <w:name w:val="annotation subject"/>
    <w:basedOn w:val="CommentText"/>
    <w:next w:val="CommentText"/>
    <w:link w:val="CommentSubjectChar"/>
    <w:semiHidden/>
    <w:unhideWhenUsed/>
    <w:rsid w:val="00771D99"/>
    <w:rPr>
      <w:b/>
      <w:bCs/>
    </w:rPr>
  </w:style>
  <w:style w:type="character" w:customStyle="1" w:styleId="CommentSubjectChar">
    <w:name w:val="Comment Subject Char"/>
    <w:basedOn w:val="CommentTextChar"/>
    <w:link w:val="CommentSubject"/>
    <w:semiHidden/>
    <w:rsid w:val="00771D99"/>
    <w:rPr>
      <w:b/>
      <w:bCs/>
      <w:lang w:val="lv-LV"/>
    </w:rPr>
  </w:style>
  <w:style w:type="paragraph" w:styleId="BalloonText">
    <w:name w:val="Balloon Text"/>
    <w:basedOn w:val="Normal"/>
    <w:link w:val="BalloonTextChar"/>
    <w:semiHidden/>
    <w:unhideWhenUsed/>
    <w:rsid w:val="00771D99"/>
    <w:rPr>
      <w:rFonts w:ascii="Segoe UI" w:hAnsi="Segoe UI" w:cs="Segoe UI"/>
      <w:sz w:val="18"/>
      <w:szCs w:val="18"/>
    </w:rPr>
  </w:style>
  <w:style w:type="character" w:customStyle="1" w:styleId="BalloonTextChar">
    <w:name w:val="Balloon Text Char"/>
    <w:basedOn w:val="DefaultParagraphFont"/>
    <w:link w:val="BalloonText"/>
    <w:semiHidden/>
    <w:rsid w:val="00771D99"/>
    <w:rPr>
      <w:rFonts w:ascii="Segoe UI" w:hAnsi="Segoe UI" w:cs="Segoe UI"/>
      <w:sz w:val="18"/>
      <w:szCs w:val="18"/>
      <w:lang w:val="lv-LV"/>
    </w:rPr>
  </w:style>
  <w:style w:type="paragraph" w:styleId="Revision">
    <w:name w:val="Revision"/>
    <w:hidden/>
    <w:uiPriority w:val="99"/>
    <w:semiHidden/>
    <w:rsid w:val="00FE7C91"/>
    <w:rPr>
      <w:sz w:val="24"/>
      <w:szCs w:val="24"/>
    </w:rPr>
  </w:style>
  <w:style w:type="paragraph" w:styleId="NormalWeb">
    <w:name w:val="Normal (Web)"/>
    <w:basedOn w:val="Normal"/>
    <w:uiPriority w:val="99"/>
    <w:unhideWhenUsed/>
    <w:rsid w:val="007E070B"/>
    <w:pPr>
      <w:spacing w:before="100" w:beforeAutospacing="1" w:after="100" w:afterAutospacing="1"/>
    </w:pPr>
    <w:rPr>
      <w:rFonts w:eastAsia="Times New Roman"/>
      <w:lang w:eastAsia="en-IE"/>
    </w:rPr>
  </w:style>
  <w:style w:type="paragraph" w:customStyle="1" w:styleId="CharCharChar">
    <w:name w:val="Char Char Char"/>
    <w:basedOn w:val="Normal"/>
    <w:next w:val="Normal"/>
    <w:rsid w:val="009F0543"/>
    <w:pPr>
      <w:spacing w:after="160" w:line="240" w:lineRule="exact"/>
    </w:pPr>
    <w:rPr>
      <w:rFonts w:ascii="Tahoma" w:eastAsia="Times New Roman" w:hAnsi="Tahoma"/>
      <w:szCs w:val="20"/>
    </w:rPr>
  </w:style>
  <w:style w:type="paragraph" w:customStyle="1" w:styleId="Default">
    <w:name w:val="Default"/>
    <w:rsid w:val="00166684"/>
    <w:pPr>
      <w:autoSpaceDE w:val="0"/>
      <w:autoSpaceDN w:val="0"/>
      <w:adjustRightInd w:val="0"/>
    </w:pPr>
    <w:rPr>
      <w:rFonts w:ascii="Arial" w:hAnsi="Arial" w:cs="Arial"/>
      <w:color w:val="000000"/>
      <w:sz w:val="24"/>
      <w:szCs w:val="24"/>
    </w:rPr>
  </w:style>
  <w:style w:type="character" w:styleId="Hyperlink">
    <w:name w:val="Hyperlink"/>
    <w:uiPriority w:val="99"/>
    <w:rsid w:val="00CE18F2"/>
    <w:rPr>
      <w:rFonts w:cs="Times New Roman"/>
      <w:color w:val="0000FF"/>
      <w:u w:val="single"/>
    </w:rPr>
  </w:style>
  <w:style w:type="character" w:customStyle="1" w:styleId="Heading1Char">
    <w:name w:val="Heading 1 Char"/>
    <w:basedOn w:val="DefaultParagraphFont"/>
    <w:link w:val="Heading1"/>
    <w:rsid w:val="00CE18F2"/>
    <w:rPr>
      <w:rFonts w:eastAsia="Times New Roman"/>
      <w:color w:val="000000"/>
      <w:sz w:val="23"/>
      <w:szCs w:val="22"/>
      <w:u w:val="single" w:color="000000"/>
      <w:lang w:val="lv-LV" w:eastAsia="en-IE"/>
    </w:rPr>
  </w:style>
  <w:style w:type="table" w:customStyle="1" w:styleId="TableGrid">
    <w:name w:val="TableGrid"/>
    <w:rsid w:val="00CE18F2"/>
    <w:rPr>
      <w:rFonts w:asciiTheme="minorHAnsi" w:eastAsiaTheme="minorEastAsia" w:hAnsiTheme="minorHAnsi" w:cstheme="minorBidi"/>
      <w:sz w:val="22"/>
      <w:szCs w:val="22"/>
      <w:lang w:eastAsia="en-IE"/>
    </w:rPr>
    <w:tblPr>
      <w:tblCellMar>
        <w:top w:w="0" w:type="dxa"/>
        <w:left w:w="0" w:type="dxa"/>
        <w:bottom w:w="0" w:type="dxa"/>
        <w:right w:w="0" w:type="dxa"/>
      </w:tblCellMar>
    </w:tblPr>
  </w:style>
  <w:style w:type="paragraph" w:customStyle="1" w:styleId="NumberedList">
    <w:name w:val="Numbered List"/>
    <w:basedOn w:val="ListParagraph"/>
    <w:uiPriority w:val="5"/>
    <w:qFormat/>
    <w:rsid w:val="00CE18F2"/>
    <w:pPr>
      <w:numPr>
        <w:numId w:val="2"/>
      </w:numPr>
      <w:spacing w:after="120"/>
      <w:ind w:right="680"/>
      <w:contextualSpacing w:val="0"/>
      <w:jc w:val="both"/>
    </w:pPr>
    <w:rPr>
      <w:rFonts w:eastAsia="SimSun"/>
      <w:sz w:val="22"/>
      <w:szCs w:val="20"/>
    </w:rPr>
  </w:style>
  <w:style w:type="character" w:customStyle="1" w:styleId="y2iqfc">
    <w:name w:val="y2iqfc"/>
    <w:basedOn w:val="DefaultParagraphFont"/>
    <w:rsid w:val="00CE18F2"/>
  </w:style>
  <w:style w:type="character" w:styleId="FollowedHyperlink">
    <w:name w:val="FollowedHyperlink"/>
    <w:basedOn w:val="DefaultParagraphFont"/>
    <w:semiHidden/>
    <w:unhideWhenUsed/>
    <w:rsid w:val="001A38B2"/>
    <w:rPr>
      <w:color w:val="800080" w:themeColor="followedHyperlink"/>
      <w:u w:val="single"/>
    </w:rPr>
  </w:style>
  <w:style w:type="character" w:customStyle="1" w:styleId="Heading2Char">
    <w:name w:val="Heading 2 Char"/>
    <w:basedOn w:val="DefaultParagraphFont"/>
    <w:link w:val="Heading2"/>
    <w:semiHidden/>
    <w:rsid w:val="00EA6072"/>
    <w:rPr>
      <w:rFonts w:asciiTheme="majorHAnsi" w:eastAsiaTheme="majorEastAsia" w:hAnsiTheme="majorHAnsi" w:cstheme="majorBidi"/>
      <w:color w:val="365F91" w:themeColor="accent1" w:themeShade="BF"/>
      <w:sz w:val="26"/>
      <w:szCs w:val="2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493785">
      <w:bodyDiv w:val="1"/>
      <w:marLeft w:val="0"/>
      <w:marRight w:val="0"/>
      <w:marTop w:val="0"/>
      <w:marBottom w:val="0"/>
      <w:divBdr>
        <w:top w:val="none" w:sz="0" w:space="0" w:color="auto"/>
        <w:left w:val="none" w:sz="0" w:space="0" w:color="auto"/>
        <w:bottom w:val="none" w:sz="0" w:space="0" w:color="auto"/>
        <w:right w:val="none" w:sz="0" w:space="0" w:color="auto"/>
      </w:divBdr>
    </w:div>
    <w:div w:id="1428692318">
      <w:bodyDiv w:val="1"/>
      <w:marLeft w:val="0"/>
      <w:marRight w:val="0"/>
      <w:marTop w:val="0"/>
      <w:marBottom w:val="0"/>
      <w:divBdr>
        <w:top w:val="none" w:sz="0" w:space="0" w:color="auto"/>
        <w:left w:val="none" w:sz="0" w:space="0" w:color="auto"/>
        <w:bottom w:val="none" w:sz="0" w:space="0" w:color="auto"/>
        <w:right w:val="none" w:sz="0" w:space="0" w:color="auto"/>
      </w:divBdr>
    </w:div>
    <w:div w:id="2049604888">
      <w:bodyDiv w:val="1"/>
      <w:marLeft w:val="0"/>
      <w:marRight w:val="0"/>
      <w:marTop w:val="0"/>
      <w:marBottom w:val="0"/>
      <w:divBdr>
        <w:top w:val="none" w:sz="0" w:space="0" w:color="auto"/>
        <w:left w:val="none" w:sz="0" w:space="0" w:color="auto"/>
        <w:bottom w:val="none" w:sz="0" w:space="0" w:color="auto"/>
        <w:right w:val="none" w:sz="0" w:space="0" w:color="auto"/>
      </w:divBdr>
      <w:divsChild>
        <w:div w:id="1964917559">
          <w:marLeft w:val="0"/>
          <w:marRight w:val="0"/>
          <w:marTop w:val="0"/>
          <w:marBottom w:val="0"/>
          <w:divBdr>
            <w:top w:val="none" w:sz="0" w:space="0" w:color="auto"/>
            <w:left w:val="none" w:sz="0" w:space="0" w:color="auto"/>
            <w:bottom w:val="none" w:sz="0" w:space="0" w:color="auto"/>
            <w:right w:val="none" w:sz="0" w:space="0" w:color="auto"/>
          </w:divBdr>
          <w:divsChild>
            <w:div w:id="1580288208">
              <w:marLeft w:val="0"/>
              <w:marRight w:val="0"/>
              <w:marTop w:val="0"/>
              <w:marBottom w:val="300"/>
              <w:divBdr>
                <w:top w:val="none" w:sz="0" w:space="0" w:color="auto"/>
                <w:left w:val="none" w:sz="0" w:space="0" w:color="auto"/>
                <w:bottom w:val="none" w:sz="0" w:space="0" w:color="auto"/>
                <w:right w:val="none" w:sz="0" w:space="0" w:color="auto"/>
              </w:divBdr>
              <w:divsChild>
                <w:div w:id="126317528">
                  <w:marLeft w:val="0"/>
                  <w:marRight w:val="0"/>
                  <w:marTop w:val="0"/>
                  <w:marBottom w:val="0"/>
                  <w:divBdr>
                    <w:top w:val="single" w:sz="6" w:space="11" w:color="E5E5E5"/>
                    <w:left w:val="single" w:sz="6" w:space="11" w:color="E5E5E5"/>
                    <w:bottom w:val="single" w:sz="6" w:space="11" w:color="E5E5E5"/>
                    <w:right w:val="single" w:sz="6" w:space="11" w:color="E5E5E5"/>
                  </w:divBdr>
                  <w:divsChild>
                    <w:div w:id="11841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82F6207-46CE-4E80-8AE5-60AA3664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cp:revision>
  <dcterms:created xsi:type="dcterms:W3CDTF">2024-04-19T08:20:00Z</dcterms:created>
  <dcterms:modified xsi:type="dcterms:W3CDTF">2024-04-25T14:25:00Z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9.0, Build 20230317</vt:lpwstr>
  </property>
  <property fmtid="{D5CDD505-2E9C-101B-9397-08002B2CF9AE}" pid="8" name="Created using">
    <vt:lpwstr>LW 7.0, Build 20190717</vt:lpwstr>
  </property>
  <property fmtid="{D5CDD505-2E9C-101B-9397-08002B2CF9AE}" pid="9" name="MSIP_Label_6bd9ddd1-4d20-43f6-abfa-fc3c07406f94_Enabled">
    <vt:lpwstr>true</vt:lpwstr>
  </property>
  <property fmtid="{D5CDD505-2E9C-101B-9397-08002B2CF9AE}" pid="10" name="MSIP_Label_6bd9ddd1-4d20-43f6-abfa-fc3c07406f94_SetDate">
    <vt:lpwstr>2023-08-07T18:18:43Z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e4b391be-d719-46ef-bef6-3892be26f411</vt:lpwstr>
  </property>
  <property fmtid="{D5CDD505-2E9C-101B-9397-08002B2CF9AE}" pid="15" name="MSIP_Label_6bd9ddd1-4d20-43f6-abfa-fc3c07406f94_ContentBits">
    <vt:lpwstr>0</vt:lpwstr>
  </property>
</Properties>
</file>