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AACB" w14:textId="77777777" w:rsidR="00A950AA" w:rsidRPr="007B4CEE" w:rsidRDefault="00AD26AD" w:rsidP="00A51310">
      <w:pPr>
        <w:pStyle w:val="Pagedecouverture"/>
        <w:rPr>
          <w:noProof/>
        </w:rPr>
      </w:pPr>
      <w:r>
        <w:rPr>
          <w:noProof/>
        </w:rPr>
        <w:pict w14:anchorId="1F84E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63CD9B6-7E94-4FE7-B180-5D95ADFD8307" style="width:455.25pt;height:383.25pt">
            <v:imagedata r:id="rId11" o:title=""/>
          </v:shape>
        </w:pict>
      </w:r>
    </w:p>
    <w:p w14:paraId="02C114C7" w14:textId="77777777" w:rsidR="00B85326" w:rsidRPr="007B4CEE" w:rsidRDefault="00B85326" w:rsidP="00B85326">
      <w:pPr>
        <w:rPr>
          <w:noProof/>
        </w:rPr>
        <w:sectPr w:rsidR="00B85326" w:rsidRPr="007B4CEE" w:rsidSect="0026167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pgMar w:top="1134" w:right="1417" w:bottom="1134" w:left="1417" w:header="709" w:footer="709" w:gutter="0"/>
          <w:pgNumType w:start="1"/>
          <w:cols w:space="720"/>
          <w:docGrid w:linePitch="360"/>
        </w:sectPr>
      </w:pPr>
    </w:p>
    <w:p w14:paraId="4446C07A" w14:textId="77777777" w:rsidR="004A5E08" w:rsidRPr="007B4CEE" w:rsidRDefault="004A5E08" w:rsidP="00B85326">
      <w:pPr>
        <w:pStyle w:val="Exposdesmotifstitre"/>
        <w:rPr>
          <w:noProof/>
        </w:rPr>
      </w:pPr>
      <w:r w:rsidRPr="007B4CEE">
        <w:rPr>
          <w:noProof/>
        </w:rPr>
        <w:lastRenderedPageBreak/>
        <w:t>BEGRÜNDUNG</w:t>
      </w:r>
    </w:p>
    <w:p w14:paraId="6952EC46" w14:textId="77777777" w:rsidR="004A5E08" w:rsidRPr="007B4CEE" w:rsidRDefault="004A5E08" w:rsidP="004A5E08">
      <w:pPr>
        <w:pStyle w:val="ManualHeading1"/>
        <w:rPr>
          <w:noProof/>
        </w:rPr>
      </w:pPr>
      <w:r w:rsidRPr="007B4CEE">
        <w:rPr>
          <w:noProof/>
        </w:rPr>
        <w:t>1.</w:t>
      </w:r>
      <w:r w:rsidRPr="007B4CEE">
        <w:rPr>
          <w:noProof/>
        </w:rPr>
        <w:tab/>
        <w:t>KONTEXT DES VORSCHLAGS</w:t>
      </w:r>
    </w:p>
    <w:p w14:paraId="2D3F361D" w14:textId="77777777" w:rsidR="004A5E08" w:rsidRPr="007B4CEE" w:rsidRDefault="004A5E08" w:rsidP="004A5E08">
      <w:pPr>
        <w:pStyle w:val="ManualHeading2"/>
        <w:rPr>
          <w:rFonts w:eastAsia="Arial Unicode MS"/>
          <w:noProof/>
        </w:rPr>
      </w:pPr>
      <w:r w:rsidRPr="007B4CEE">
        <w:rPr>
          <w:noProof/>
          <w:color w:val="000000"/>
          <w:u w:color="000000"/>
          <w:bdr w:val="nil"/>
        </w:rPr>
        <w:t>•</w:t>
      </w:r>
      <w:r w:rsidRPr="007B4CEE">
        <w:rPr>
          <w:noProof/>
          <w:color w:val="000000"/>
          <w:u w:color="000000"/>
          <w:bdr w:val="nil"/>
        </w:rPr>
        <w:tab/>
      </w:r>
      <w:r w:rsidRPr="007B4CEE">
        <w:rPr>
          <w:noProof/>
        </w:rPr>
        <w:t>Gründe und Ziele des Vorschlags</w:t>
      </w:r>
    </w:p>
    <w:p w14:paraId="6D0BB399" w14:textId="77777777" w:rsidR="004A5E08" w:rsidRPr="007B4CEE" w:rsidRDefault="004A5E08" w:rsidP="004A5E08">
      <w:pPr>
        <w:rPr>
          <w:noProof/>
        </w:rPr>
      </w:pPr>
      <w:r w:rsidRPr="007B4CEE">
        <w:rPr>
          <w:noProof/>
        </w:rPr>
        <w:t>Um eine ausreichende und kontinuierliche Versorgung mit bestimmten landwirtschaftlichen und gewerblichen Waren, die in der Union in unzureichendem Maße oder gar nicht hergestellt werden, zu gewährleisten und Marktstörungen bei diesen Waren zu vermeiden, wurden mit der Verordnung (EU) 2021/2278 des Rates</w:t>
      </w:r>
      <w:r w:rsidR="00F97099" w:rsidRPr="007B4CEE">
        <w:rPr>
          <w:rStyle w:val="FootnoteReference"/>
          <w:noProof/>
        </w:rPr>
        <w:footnoteReference w:id="2"/>
      </w:r>
      <w:r w:rsidRPr="007B4CEE">
        <w:rPr>
          <w:noProof/>
        </w:rPr>
        <w:t xml:space="preserve"> (im Folgenden „Verordnung“) die Zollsätze des Gemeinsamen Zolltarifs für diese Waren ohne Mengenbeschränkung ganz oder teilweise ausgesetzt.</w:t>
      </w:r>
    </w:p>
    <w:p w14:paraId="74F5F635" w14:textId="77777777" w:rsidR="00DF2C0E" w:rsidRPr="007B4CEE" w:rsidRDefault="004A5E08" w:rsidP="004A5E08">
      <w:pPr>
        <w:rPr>
          <w:noProof/>
        </w:rPr>
      </w:pPr>
      <w:r w:rsidRPr="007B4CEE">
        <w:rPr>
          <w:noProof/>
        </w:rPr>
        <w:t xml:space="preserve">Die Verordnung wird alle sechs Monate aktualisiert, um dem Bedarf der Industrie in der Union Rechnung zu tragen. </w:t>
      </w:r>
    </w:p>
    <w:p w14:paraId="1AF33263" w14:textId="77777777" w:rsidR="004A5E08" w:rsidRPr="007B4CEE" w:rsidRDefault="004A5E08" w:rsidP="004A5E08">
      <w:pPr>
        <w:rPr>
          <w:noProof/>
        </w:rPr>
      </w:pPr>
      <w:r w:rsidRPr="007B4CEE">
        <w:rPr>
          <w:noProof/>
        </w:rPr>
        <w:t>Die Kommission hat mit Unterstützung der Gruppe „Wirtschaftliche Tariffragen“ (ETQG) alle Anträge der Mitgliedstaaten auf autonome Zollaussetzungen geprüft.</w:t>
      </w:r>
    </w:p>
    <w:p w14:paraId="7EE0BF6D" w14:textId="77777777" w:rsidR="004A5E08" w:rsidRPr="007B4CEE" w:rsidRDefault="004A5E08" w:rsidP="004A5E08">
      <w:pPr>
        <w:rPr>
          <w:noProof/>
        </w:rPr>
      </w:pPr>
      <w:r w:rsidRPr="007B4CEE">
        <w:rPr>
          <w:noProof/>
        </w:rPr>
        <w:t>Nach dieser Prüfung hält die Kommission die Aussetzung der Zollsätze für bestimmte neue Waren, die derzeit nicht im Anhang der Verordnung aufgeführt sind, für gerechtfertigt. Bei einigen anderen Waren ist es notwendig, die Warenbezeichnung, die Einreihung, die besondere Maßeinheit oder die Anforderungen an die Endverwendung zu ändern. Waren, bei denen eine Zollaussetzung nicht mehr im wirtschaftlichen Interesse der Europäischen Union liegt, sollten gestrichen werden.</w:t>
      </w:r>
    </w:p>
    <w:p w14:paraId="0F1CB309" w14:textId="77777777" w:rsidR="004A5E08" w:rsidRPr="007B4CEE" w:rsidRDefault="004A5E08" w:rsidP="004A5E08">
      <w:pPr>
        <w:pStyle w:val="ManualHeading2"/>
        <w:rPr>
          <w:rFonts w:eastAsia="Arial Unicode MS"/>
          <w:noProof/>
          <w:color w:val="000000"/>
          <w:u w:color="000000"/>
          <w:bdr w:val="nil"/>
        </w:rPr>
      </w:pPr>
      <w:r w:rsidRPr="007B4CEE">
        <w:rPr>
          <w:noProof/>
          <w:color w:val="000000"/>
          <w:u w:color="000000"/>
          <w:bdr w:val="nil"/>
        </w:rPr>
        <w:t>•</w:t>
      </w:r>
      <w:r w:rsidRPr="007B4CEE">
        <w:rPr>
          <w:noProof/>
          <w:color w:val="000000"/>
          <w:u w:color="000000"/>
          <w:bdr w:val="nil"/>
        </w:rPr>
        <w:tab/>
      </w:r>
      <w:r w:rsidRPr="007B4CEE">
        <w:rPr>
          <w:noProof/>
        </w:rPr>
        <w:t>Kohärenz mit den bestehenden Vorschriften in diesem Politikbereich</w:t>
      </w:r>
    </w:p>
    <w:p w14:paraId="5B0D0C40" w14:textId="77777777" w:rsidR="004A5E08" w:rsidRPr="007B4CEE" w:rsidRDefault="004A5E08" w:rsidP="004A5E08">
      <w:pPr>
        <w:rPr>
          <w:noProof/>
        </w:rPr>
      </w:pPr>
      <w:r w:rsidRPr="007B4CEE">
        <w:rPr>
          <w:noProof/>
        </w:rPr>
        <w:t>Dieser Vorschlag betrifft weder Länder, mit denen die Union präferenzielle Handelsabkommen geschlossen hat, noch Beitrittsländer oder potenzielle Beitrittsländer für Präferenzabkommen mit der Union (z. B. Allgemeines Präferenzsystem; Gruppe der Staaten Afrikas, des Karibischen Raums und Pazifischen Raums (AKP); Freihandelsabkommen).</w:t>
      </w:r>
    </w:p>
    <w:p w14:paraId="1E9BE4FE" w14:textId="77777777" w:rsidR="004A5E08" w:rsidRPr="007B4CEE" w:rsidRDefault="004A5E08" w:rsidP="004A5E08">
      <w:pPr>
        <w:pStyle w:val="ManualHeading2"/>
        <w:rPr>
          <w:rFonts w:eastAsia="Arial Unicode MS"/>
          <w:noProof/>
        </w:rPr>
      </w:pPr>
      <w:r w:rsidRPr="007B4CEE">
        <w:rPr>
          <w:noProof/>
          <w:color w:val="000000"/>
          <w:u w:color="000000"/>
          <w:bdr w:val="nil"/>
        </w:rPr>
        <w:t>•</w:t>
      </w:r>
      <w:r w:rsidRPr="007B4CEE">
        <w:rPr>
          <w:noProof/>
          <w:color w:val="000000"/>
          <w:u w:color="000000"/>
          <w:bdr w:val="nil"/>
        </w:rPr>
        <w:tab/>
      </w:r>
      <w:r w:rsidRPr="007B4CEE">
        <w:rPr>
          <w:noProof/>
        </w:rPr>
        <w:t>Kohärenz mit der Politik der Union in anderen Bereichen</w:t>
      </w:r>
    </w:p>
    <w:p w14:paraId="5DACB3C5" w14:textId="77777777" w:rsidR="004A5E08" w:rsidRPr="007B4CEE" w:rsidRDefault="004A5E08" w:rsidP="004A5E08">
      <w:pPr>
        <w:rPr>
          <w:noProof/>
        </w:rPr>
      </w:pPr>
      <w:r w:rsidRPr="007B4CEE">
        <w:rPr>
          <w:noProof/>
        </w:rPr>
        <w:t>Der Vorschlag steht im Einklang mit der Politik der Union in den Bereichen Landwirtschaft, Handel, Unternehmen, Umwelt, Entwicklung und Außenbeziehungen.</w:t>
      </w:r>
    </w:p>
    <w:p w14:paraId="4579820E" w14:textId="77777777" w:rsidR="004A5E08" w:rsidRPr="007B4CEE" w:rsidRDefault="004A5E08" w:rsidP="004A5E08">
      <w:pPr>
        <w:pStyle w:val="ManualHeading1"/>
        <w:rPr>
          <w:noProof/>
        </w:rPr>
      </w:pPr>
      <w:r w:rsidRPr="007B4CEE">
        <w:rPr>
          <w:noProof/>
        </w:rPr>
        <w:t>2.</w:t>
      </w:r>
      <w:r w:rsidRPr="007B4CEE">
        <w:rPr>
          <w:noProof/>
        </w:rPr>
        <w:tab/>
        <w:t>RECHTSGRUNDLAGE, SUBSIDIARITÄT UND VERHÄLTNISMÄẞIGKEIT</w:t>
      </w:r>
    </w:p>
    <w:p w14:paraId="617F25BB"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Rechtsgrundlage</w:t>
      </w:r>
    </w:p>
    <w:p w14:paraId="65D75E2F" w14:textId="77777777" w:rsidR="004A5E08" w:rsidRPr="007B4CEE" w:rsidRDefault="004A5E08" w:rsidP="004A5E08">
      <w:pPr>
        <w:rPr>
          <w:noProof/>
        </w:rPr>
      </w:pPr>
      <w:r w:rsidRPr="007B4CEE">
        <w:rPr>
          <w:noProof/>
        </w:rPr>
        <w:t>Rechtsgrundlage dieses Vorschlags ist Artikel 31 des Vertrags über die Arbeitsweise der Europäischen Union (AEUV).</w:t>
      </w:r>
    </w:p>
    <w:p w14:paraId="12451675" w14:textId="77777777" w:rsidR="004A5E08" w:rsidRPr="007B4CEE" w:rsidRDefault="004A5E08" w:rsidP="004A5E08">
      <w:pPr>
        <w:pStyle w:val="ManualHeading2"/>
        <w:rPr>
          <w:rFonts w:eastAsia="Arial Unicode MS"/>
          <w:noProof/>
          <w:u w:color="000000"/>
          <w:bdr w:val="nil"/>
        </w:rPr>
      </w:pPr>
      <w:r w:rsidRPr="007B4CEE">
        <w:rPr>
          <w:noProof/>
          <w:u w:color="000000"/>
          <w:bdr w:val="nil"/>
        </w:rPr>
        <w:lastRenderedPageBreak/>
        <w:t>•</w:t>
      </w:r>
      <w:r w:rsidRPr="007B4CEE">
        <w:rPr>
          <w:noProof/>
          <w:u w:color="000000"/>
          <w:bdr w:val="nil"/>
        </w:rPr>
        <w:tab/>
        <w:t xml:space="preserve">Subsidiarität (bei nicht ausschließlicher Zuständigkeit) </w:t>
      </w:r>
    </w:p>
    <w:p w14:paraId="7F7B30C3" w14:textId="77777777" w:rsidR="004A5E08" w:rsidRPr="007B4CEE" w:rsidRDefault="004A5E08" w:rsidP="004A5E08">
      <w:pPr>
        <w:rPr>
          <w:noProof/>
        </w:rPr>
      </w:pPr>
      <w:r w:rsidRPr="007B4CEE">
        <w:rPr>
          <w:noProof/>
        </w:rPr>
        <w:t>Der Vorschlag fällt unter die ausschließliche Zuständigkeit der Union. Daher findet das Subsidiaritätsprinzip keine Anwendung.</w:t>
      </w:r>
    </w:p>
    <w:p w14:paraId="340A93C3"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Verhältnismäßigkeit</w:t>
      </w:r>
    </w:p>
    <w:p w14:paraId="14D38179" w14:textId="77777777" w:rsidR="004A5E08" w:rsidRPr="007B4CEE" w:rsidRDefault="004A5E08" w:rsidP="004A5E08">
      <w:pPr>
        <w:rPr>
          <w:noProof/>
        </w:rPr>
      </w:pPr>
      <w:r w:rsidRPr="007B4CEE">
        <w:rPr>
          <w:noProof/>
        </w:rPr>
        <w:t>Der Vorschlag entspricht dem Grundsatz der Verhältnismäßigkeit. Die vorgesehenen Maßnahmen stehen in Einklang mit den Grundsätzen zur Vereinfachung der Verfahren für die Außenhandelsbeteiligten gemäß der Mitteilung der Kommission zu den autonomen Zollaussetzungen und Zollkontingenten</w:t>
      </w:r>
      <w:r w:rsidRPr="007B4CEE">
        <w:rPr>
          <w:rStyle w:val="FootnoteReference"/>
          <w:noProof/>
        </w:rPr>
        <w:footnoteReference w:id="3"/>
      </w:r>
      <w:r w:rsidRPr="007B4CEE">
        <w:rPr>
          <w:noProof/>
        </w:rPr>
        <w:t>. Die vorliegende Verordnung geht entsprechend Artikel 5 Absatz 4 des Vertrags über die Europäische Union (EUV) nicht über das zur Erreichung dieser Ziele erforderliche Maß hinaus.</w:t>
      </w:r>
    </w:p>
    <w:p w14:paraId="111ACC70"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Wahl des Instruments</w:t>
      </w:r>
    </w:p>
    <w:p w14:paraId="4C21911F" w14:textId="77777777" w:rsidR="004A5E08" w:rsidRPr="007B4CEE" w:rsidRDefault="004A5E08" w:rsidP="004A5E08">
      <w:pPr>
        <w:rPr>
          <w:noProof/>
        </w:rPr>
      </w:pPr>
      <w:r w:rsidRPr="007B4CEE">
        <w:rPr>
          <w:noProof/>
        </w:rPr>
        <w:t>Nach Artikel 31 AEUV legt „der Rat [...] die Sätze des Gemeinsamen Zolltarifs auf Vorschlag der Kommission fest“. Daher stellt eine Verordnung des Rates das geeignete Rechtsinstrument dar.</w:t>
      </w:r>
    </w:p>
    <w:p w14:paraId="3EC92116" w14:textId="77777777" w:rsidR="004A5E08" w:rsidRPr="007B4CEE" w:rsidRDefault="004A5E08" w:rsidP="004A5E08">
      <w:pPr>
        <w:pStyle w:val="ManualHeading1"/>
        <w:rPr>
          <w:noProof/>
        </w:rPr>
      </w:pPr>
      <w:r w:rsidRPr="007B4CEE">
        <w:rPr>
          <w:noProof/>
        </w:rPr>
        <w:t>3.</w:t>
      </w:r>
      <w:r w:rsidRPr="007B4CEE">
        <w:rPr>
          <w:noProof/>
        </w:rPr>
        <w:tab/>
        <w:t>ERGEBNISSE DER EX-POST-BEWERTUNG, DER KONSULTATION DER INTERESSENTRÄGER UND DER FOLGENABSCHÄTZUNG</w:t>
      </w:r>
    </w:p>
    <w:p w14:paraId="45072621"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Ex-post-Bewertung/Eignungsprüfungen bestehender Rechtsvorschriften</w:t>
      </w:r>
    </w:p>
    <w:p w14:paraId="3E4E915C" w14:textId="77777777" w:rsidR="004A5E08" w:rsidRPr="007B4CEE" w:rsidRDefault="004A5E08" w:rsidP="004A5E08">
      <w:pPr>
        <w:rPr>
          <w:noProof/>
        </w:rPr>
      </w:pPr>
      <w:r w:rsidRPr="007B4CEE">
        <w:rPr>
          <w:noProof/>
        </w:rPr>
        <w:t>Das System der autonomen Zollaussetzungen war 2013 Gegenstand einer umfassenden Bewertung.</w:t>
      </w:r>
      <w:r w:rsidR="00DD4CE4" w:rsidRPr="007B4CEE">
        <w:rPr>
          <w:rStyle w:val="FootnoteReference"/>
          <w:noProof/>
        </w:rPr>
        <w:footnoteReference w:id="4"/>
      </w:r>
      <w:r w:rsidRPr="007B4CEE">
        <w:rPr>
          <w:noProof/>
        </w:rPr>
        <w:t xml:space="preserve"> Die Bewertung ergab, dass das eigentliche Grundprinzip der Regelung nach wie vor Gültigkeit hat. Die Einsparungen für EU-Unternehmen, die im Rahmen dieser Regelung Waren einführen, können beträchtlich sein. Diese Einsparungen können je nach Ware, Unternehmen und Sektor weitere Vorteile bewirken, beispielsweise die Wettbewerbsfähigkeit steigern, zu effizienteren Produktionsmethoden führen und zur Schaffung oder Erhaltung von Arbeitsplätzen in der Union beitragen. Einzelheiten zu den Einsparungen durch diese Verordnung sind dem beigefügten Finanzbogen zu entnehmen.</w:t>
      </w:r>
    </w:p>
    <w:p w14:paraId="672B5A4D"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Konsultation der Interessenträger</w:t>
      </w:r>
    </w:p>
    <w:p w14:paraId="05341AB0" w14:textId="77777777" w:rsidR="004A5E08" w:rsidRPr="007B4CEE" w:rsidRDefault="004A5E08" w:rsidP="004A5E08">
      <w:pPr>
        <w:rPr>
          <w:noProof/>
        </w:rPr>
      </w:pPr>
      <w:r w:rsidRPr="007B4CEE">
        <w:rPr>
          <w:noProof/>
        </w:rPr>
        <w:t xml:space="preserve">Die Gruppe „Wirtschaftliche Tariffragen“, die sich aus Vertretern aller Mitgliedstaaten und einer Delegation der Türkei zusammensetzt, hat die Kommission bei der Ausarbeitung dieses Vorschlags unterstützt. </w:t>
      </w:r>
    </w:p>
    <w:p w14:paraId="3AF075D4" w14:textId="77777777" w:rsidR="004A5E08" w:rsidRPr="007B4CEE" w:rsidRDefault="004A5E08" w:rsidP="004A5E08">
      <w:pPr>
        <w:rPr>
          <w:noProof/>
        </w:rPr>
      </w:pPr>
      <w:r w:rsidRPr="007B4CEE">
        <w:rPr>
          <w:noProof/>
        </w:rPr>
        <w:t>Die Gruppe hat sorgfältig jeden einzelnen Antrag untersucht, um zu gewährleisten, dass Unternehmen in der Union kein Schaden entsteht und die Wettbewerbsfähigkeit der Produktion innerhalb der Union gestärkt und konsolidiert wird. Diese Bewertung erfolgte zum einen im Rahmen von Erörterungen durch die Mitglieder der Gruppe und zum anderen mittels Konsultation der betroffenen Wirtschaftszweige, Verbände, Handelskammern sowie anderer interessierter Kreise durch die Mitgliedstaaten.</w:t>
      </w:r>
    </w:p>
    <w:p w14:paraId="35E52015" w14:textId="77777777" w:rsidR="004A5E08" w:rsidRPr="007B4CEE" w:rsidRDefault="00DF2C0E" w:rsidP="004A5E08">
      <w:pPr>
        <w:rPr>
          <w:noProof/>
        </w:rPr>
      </w:pPr>
      <w:r w:rsidRPr="007B4CEE">
        <w:rPr>
          <w:noProof/>
        </w:rPr>
        <w:lastRenderedPageBreak/>
        <w:t xml:space="preserve">Allen aufgeführten Aussetzungen liegt ein bei den Erörterungen innerhalb der Gruppe erzielter Konsens oder Kompromiss zugrunde. Es wurden keine potenziell ernsten Risiken mit irreversiblen Folgen ermittelt. </w:t>
      </w:r>
    </w:p>
    <w:p w14:paraId="320C85D8"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Folgenabschätzung</w:t>
      </w:r>
    </w:p>
    <w:p w14:paraId="25777C7F" w14:textId="77777777" w:rsidR="004A5E08" w:rsidRPr="007B4CEE" w:rsidRDefault="004A5E08" w:rsidP="004A5E08">
      <w:pPr>
        <w:rPr>
          <w:noProof/>
        </w:rPr>
      </w:pPr>
      <w:r w:rsidRPr="007B4CEE">
        <w:rPr>
          <w:noProof/>
        </w:rPr>
        <w:t>Die vorgeschlagene Änderung ist rein technischer Art und betrifft nur den Umfang der derzeit im Anhang der Verordnung (EU) 2021/2278 des Rates aufgeführten Aussetzungen. Es wurde keine Folgenabschätzung durchgeführt, da die vorgeschlagenen Änderungen in der Liste der Waren, die von der Aussetzung der autonomen Zollsätze des Gemeinsamen Zolltarifs profitieren würden, keine nennenswerten Auswirkungen haben dürften.</w:t>
      </w:r>
    </w:p>
    <w:p w14:paraId="73EFE37C" w14:textId="77777777" w:rsidR="004A5E08" w:rsidRPr="007B4CEE" w:rsidRDefault="004A5E08" w:rsidP="004A5E08">
      <w:pPr>
        <w:pStyle w:val="ManualHeading2"/>
        <w:rPr>
          <w:rFonts w:eastAsia="Arial Unicode MS"/>
          <w:noProof/>
          <w:u w:color="000000"/>
          <w:bdr w:val="nil"/>
        </w:rPr>
      </w:pPr>
      <w:r w:rsidRPr="007B4CEE">
        <w:rPr>
          <w:noProof/>
          <w:u w:color="000000"/>
          <w:bdr w:val="nil"/>
        </w:rPr>
        <w:t>•</w:t>
      </w:r>
      <w:r w:rsidRPr="007B4CEE">
        <w:rPr>
          <w:noProof/>
          <w:u w:color="000000"/>
          <w:bdr w:val="nil"/>
        </w:rPr>
        <w:tab/>
        <w:t>Grundrechte</w:t>
      </w:r>
    </w:p>
    <w:p w14:paraId="54F6F399" w14:textId="77777777" w:rsidR="004A5E08" w:rsidRPr="007B4CEE" w:rsidRDefault="004A5E08" w:rsidP="004A5E08">
      <w:pPr>
        <w:rPr>
          <w:noProof/>
        </w:rPr>
      </w:pPr>
      <w:r w:rsidRPr="007B4CEE">
        <w:rPr>
          <w:noProof/>
        </w:rPr>
        <w:t>Der Vorschlag hat keine Auswirkungen auf die Grundrechte.</w:t>
      </w:r>
    </w:p>
    <w:p w14:paraId="20EC0F9F" w14:textId="77777777" w:rsidR="004A5E08" w:rsidRPr="007B4CEE" w:rsidRDefault="004A5E08" w:rsidP="004A5E08">
      <w:pPr>
        <w:pStyle w:val="ManualHeading1"/>
        <w:rPr>
          <w:noProof/>
        </w:rPr>
      </w:pPr>
      <w:r w:rsidRPr="007B4CEE">
        <w:rPr>
          <w:noProof/>
        </w:rPr>
        <w:t>4.</w:t>
      </w:r>
      <w:r w:rsidRPr="007B4CEE">
        <w:rPr>
          <w:noProof/>
        </w:rPr>
        <w:tab/>
        <w:t>AUSWIRKUNGEN AUF DEN HAUSHALT</w:t>
      </w:r>
    </w:p>
    <w:p w14:paraId="1B2014D7" w14:textId="77777777" w:rsidR="004A5E08" w:rsidRPr="007B4CEE" w:rsidRDefault="004A5E08" w:rsidP="00151F04">
      <w:pPr>
        <w:rPr>
          <w:noProof/>
        </w:rPr>
      </w:pPr>
      <w:r w:rsidRPr="007B4CEE">
        <w:rPr>
          <w:noProof/>
        </w:rPr>
        <w:t>Dieser Vorschlag wirkt sich nicht auf die Ausgaben, sondern ausschließlich auf die Einnahmen aus. Diese Zollaussetzungen führen zu Mindereinnahmen in Höhe von schätzungsweise 14 953 591 EUR pro Jahr. Die negativen Auswirkungen auf die traditionellen Eigenmittel des Haushaltsplans belaufen sich auf 11 215 193 EUR pro Jahr (d. h. 75 % des Gesamtbetrags). Die finanziellen Auswirkungen des Vorschlags werden im Finanzbogen im Einzelnen erläutert.</w:t>
      </w:r>
    </w:p>
    <w:p w14:paraId="38CC39EC" w14:textId="77777777" w:rsidR="004A5E08" w:rsidRPr="007B4CEE" w:rsidRDefault="004A5E08" w:rsidP="00151F04">
      <w:pPr>
        <w:rPr>
          <w:noProof/>
        </w:rPr>
      </w:pPr>
      <w:r w:rsidRPr="007B4CEE">
        <w:rPr>
          <w:noProof/>
        </w:rPr>
        <w:t>Die Mindereinnahmen bei den traditionellen Eigenmitteln werden durch das Bruttonationaleinkommen (BNE) der Mitgliedstaaten auf der Grundlage der Eigenmittelbeiträge kompensiert.</w:t>
      </w:r>
    </w:p>
    <w:p w14:paraId="0DD6E6F5" w14:textId="77777777" w:rsidR="004A5E08" w:rsidRPr="007B4CEE" w:rsidRDefault="004A5E08" w:rsidP="00151F04">
      <w:pPr>
        <w:pStyle w:val="ManualHeading1"/>
        <w:rPr>
          <w:noProof/>
        </w:rPr>
      </w:pPr>
      <w:r w:rsidRPr="007B4CEE">
        <w:rPr>
          <w:noProof/>
        </w:rPr>
        <w:t>5.</w:t>
      </w:r>
      <w:r w:rsidRPr="007B4CEE">
        <w:rPr>
          <w:noProof/>
        </w:rPr>
        <w:tab/>
        <w:t>WEITERE ANGABEN</w:t>
      </w:r>
    </w:p>
    <w:p w14:paraId="0866FEC7" w14:textId="77777777" w:rsidR="004A5E08" w:rsidRPr="007B4CEE" w:rsidRDefault="004A5E08" w:rsidP="00151F04">
      <w:pPr>
        <w:pStyle w:val="ManualHeading2"/>
        <w:rPr>
          <w:rFonts w:eastAsia="Arial Unicode MS"/>
          <w:noProof/>
          <w:u w:color="000000"/>
          <w:bdr w:val="nil"/>
        </w:rPr>
      </w:pPr>
      <w:r w:rsidRPr="007B4CEE">
        <w:rPr>
          <w:noProof/>
          <w:u w:color="000000"/>
          <w:bdr w:val="nil"/>
        </w:rPr>
        <w:t>•</w:t>
      </w:r>
      <w:r w:rsidRPr="007B4CEE">
        <w:rPr>
          <w:noProof/>
          <w:u w:color="000000"/>
          <w:bdr w:val="nil"/>
        </w:rPr>
        <w:tab/>
        <w:t>Durchführungspläne sowie Monitoring-, Bewertungs- und Berichterstattungsmodalitäten</w:t>
      </w:r>
    </w:p>
    <w:p w14:paraId="7248CD7D" w14:textId="77777777" w:rsidR="004A5E08" w:rsidRPr="007B4CEE" w:rsidRDefault="004A5E08" w:rsidP="00151F04">
      <w:pPr>
        <w:rPr>
          <w:noProof/>
        </w:rPr>
      </w:pPr>
      <w:r w:rsidRPr="007B4CEE">
        <w:rPr>
          <w:noProof/>
        </w:rPr>
        <w:t>Die vorgeschlagenen Maßnahmen werden im Rahmen des Integrierten Zolltarifs der Europäischen Union (TARIC) von den Zollverwaltungen der Mitgliedstaaten verwaltet.</w:t>
      </w:r>
    </w:p>
    <w:p w14:paraId="6E003343" w14:textId="77777777" w:rsidR="004A5E08" w:rsidRPr="007B4CEE" w:rsidRDefault="004A5E08" w:rsidP="00151F04">
      <w:pPr>
        <w:rPr>
          <w:noProof/>
          <w:lang w:eastAsia="en-GB"/>
        </w:rPr>
        <w:sectPr w:rsidR="004A5E08" w:rsidRPr="007B4CEE" w:rsidSect="00261675">
          <w:footerReference w:type="default" r:id="rId18"/>
          <w:footerReference w:type="first" r:id="rId19"/>
          <w:footnotePr>
            <w:numRestart w:val="eachSect"/>
          </w:footnotePr>
          <w:pgSz w:w="11907" w:h="16839"/>
          <w:pgMar w:top="1134" w:right="1417" w:bottom="1134" w:left="1417" w:header="709" w:footer="709" w:gutter="0"/>
          <w:pgNumType w:start="1"/>
          <w:cols w:space="708"/>
          <w:docGrid w:linePitch="360"/>
        </w:sectPr>
      </w:pPr>
    </w:p>
    <w:p w14:paraId="18BB7F1D" w14:textId="77777777" w:rsidR="009B568D" w:rsidRDefault="00261675">
      <w:pPr>
        <w:pStyle w:val="Rfrenceinterinstitutionnelle"/>
        <w:rPr>
          <w:noProof/>
        </w:rPr>
      </w:pPr>
      <w:r>
        <w:rPr>
          <w:noProof/>
        </w:rPr>
        <w:t>2024/0107 (NLE)</w:t>
      </w:r>
    </w:p>
    <w:p w14:paraId="6C08330E" w14:textId="77777777" w:rsidR="004A5E08" w:rsidRPr="007B4CEE" w:rsidRDefault="007B4CEE" w:rsidP="007B4CEE">
      <w:pPr>
        <w:pStyle w:val="Statut"/>
        <w:rPr>
          <w:noProof/>
        </w:rPr>
      </w:pPr>
      <w:r w:rsidRPr="007B4CEE">
        <w:rPr>
          <w:noProof/>
        </w:rPr>
        <w:t>Vorschlag für eine</w:t>
      </w:r>
    </w:p>
    <w:p w14:paraId="119B90C8" w14:textId="77777777" w:rsidR="004A5E08" w:rsidRPr="007B4CEE" w:rsidRDefault="007B4CEE" w:rsidP="007B4CEE">
      <w:pPr>
        <w:pStyle w:val="Typedudocument"/>
        <w:rPr>
          <w:noProof/>
        </w:rPr>
      </w:pPr>
      <w:r w:rsidRPr="007B4CEE">
        <w:rPr>
          <w:noProof/>
        </w:rPr>
        <w:t>VERORDNUNG DES RATES</w:t>
      </w:r>
    </w:p>
    <w:p w14:paraId="180E0354" w14:textId="77777777" w:rsidR="00F72A3C" w:rsidRPr="007B4CEE" w:rsidRDefault="007B4CEE" w:rsidP="007B4CEE">
      <w:pPr>
        <w:pStyle w:val="Titreobjet"/>
        <w:rPr>
          <w:noProof/>
        </w:rPr>
      </w:pPr>
      <w:r w:rsidRPr="007B4CEE">
        <w:rPr>
          <w:noProof/>
        </w:rPr>
        <w:t>zur Änderung der Verordnung (EU) 2021/2278 des Rates zur Aussetzung der in Artikel 56 Absatz 2 Buchstabe c der Verordnung (EU) Nr. 952/2013 des Europäischen Parlaments und des Rates genannten Zölle des Gemeinsamen Zolltarifs für bestimmte landwirtschaftliche und gewerbliche Waren</w:t>
      </w:r>
    </w:p>
    <w:p w14:paraId="6CA2699B" w14:textId="77777777" w:rsidR="004A5E08" w:rsidRPr="007B4CEE" w:rsidRDefault="004A5E08" w:rsidP="00151F04">
      <w:pPr>
        <w:pStyle w:val="Institutionquiagit"/>
        <w:rPr>
          <w:noProof/>
        </w:rPr>
      </w:pPr>
      <w:r w:rsidRPr="007B4CEE">
        <w:rPr>
          <w:noProof/>
        </w:rPr>
        <w:t>DER RAT DER EUROPÄISCHEN UNION —</w:t>
      </w:r>
    </w:p>
    <w:p w14:paraId="2DBA5313" w14:textId="77777777" w:rsidR="004A5E08" w:rsidRPr="007B4CEE" w:rsidRDefault="004A5E08" w:rsidP="00151F04">
      <w:pPr>
        <w:rPr>
          <w:noProof/>
        </w:rPr>
      </w:pPr>
      <w:r w:rsidRPr="007B4CEE">
        <w:rPr>
          <w:noProof/>
        </w:rPr>
        <w:t>gestützt auf den Vertrag über die Arbeitsweise der Europäischen Union, insbesondere auf Artikel 31,</w:t>
      </w:r>
    </w:p>
    <w:p w14:paraId="6011CBCE" w14:textId="77777777" w:rsidR="004A5E08" w:rsidRPr="007B4CEE" w:rsidRDefault="004A5E08" w:rsidP="00151F04">
      <w:pPr>
        <w:rPr>
          <w:noProof/>
        </w:rPr>
      </w:pPr>
      <w:r w:rsidRPr="007B4CEE">
        <w:rPr>
          <w:noProof/>
        </w:rPr>
        <w:t>auf Vorschlag der Europäischen Kommission,</w:t>
      </w:r>
    </w:p>
    <w:p w14:paraId="25C477C0" w14:textId="77777777" w:rsidR="004A5E08" w:rsidRPr="007B4CEE" w:rsidRDefault="004A5E08" w:rsidP="00151F04">
      <w:pPr>
        <w:rPr>
          <w:noProof/>
        </w:rPr>
      </w:pPr>
      <w:r w:rsidRPr="007B4CEE">
        <w:rPr>
          <w:noProof/>
        </w:rPr>
        <w:t>in Erwägung nachstehender Gründe:</w:t>
      </w:r>
    </w:p>
    <w:p w14:paraId="7D32D963" w14:textId="77777777" w:rsidR="0075670A" w:rsidRPr="007B4CEE" w:rsidRDefault="0075670A" w:rsidP="0075670A">
      <w:pPr>
        <w:pStyle w:val="ManualConsidrant"/>
        <w:rPr>
          <w:noProof/>
        </w:rPr>
      </w:pPr>
      <w:r>
        <w:rPr>
          <w:noProof/>
        </w:rPr>
        <w:t>(1)</w:t>
      </w:r>
      <w:r>
        <w:rPr>
          <w:noProof/>
        </w:rPr>
        <w:tab/>
      </w:r>
      <w:r w:rsidRPr="007B4CEE">
        <w:rPr>
          <w:noProof/>
        </w:rPr>
        <w:t>Um eine ausreichende und kontinuierliche Versorgung mit bestimmten landwirtschaftlichen und gewerblichen Waren, die in der Union nicht hergestellt werden, zu gewährleisten und dadurch Marktstörungen bei diesen Waren zu vermeiden, wurden mit der Verordnung (EU) 2021/2278 des Rates</w:t>
      </w:r>
      <w:r w:rsidRPr="007B4CEE">
        <w:rPr>
          <w:rStyle w:val="FootnoteReference"/>
          <w:noProof/>
        </w:rPr>
        <w:footnoteReference w:id="5"/>
      </w:r>
      <w:r w:rsidRPr="007B4CEE">
        <w:rPr>
          <w:noProof/>
        </w:rPr>
        <w:t xml:space="preserve"> die Zollsätze des Gemeinsamen Zolltarifs von der in Artikel 56 Absatz 2 Buchstabe c der Verordnung (EU) Nr. 952/2013 des Europäischen Parlaments und des Rates</w:t>
      </w:r>
      <w:r w:rsidRPr="007B4CEE">
        <w:rPr>
          <w:rStyle w:val="FootnoteReference"/>
          <w:noProof/>
        </w:rPr>
        <w:footnoteReference w:id="6"/>
      </w:r>
      <w:r w:rsidRPr="007B4CEE">
        <w:rPr>
          <w:noProof/>
        </w:rPr>
        <w:t xml:space="preserve"> genannten Art (im Folgenden „Zollsätze des GZT“) für diese Waren ausgesetzt. Die im Anhang der Verordnung (EU) 2021/2278 aufgeführten Waren können daher ohne Mengenbeschränkungen zu ermäßigten Zollsätzen oder zum Nullsatz in die Union eingeführt werden.</w:t>
      </w:r>
    </w:p>
    <w:p w14:paraId="22CAA699" w14:textId="77777777" w:rsidR="0075670A" w:rsidRPr="007B4CEE" w:rsidRDefault="0075670A" w:rsidP="0075670A">
      <w:pPr>
        <w:pStyle w:val="ManualConsidrant"/>
        <w:rPr>
          <w:noProof/>
        </w:rPr>
      </w:pPr>
      <w:r>
        <w:rPr>
          <w:noProof/>
        </w:rPr>
        <w:t>(2)</w:t>
      </w:r>
      <w:r>
        <w:rPr>
          <w:noProof/>
        </w:rPr>
        <w:tab/>
      </w:r>
      <w:r w:rsidRPr="007B4CEE">
        <w:rPr>
          <w:noProof/>
        </w:rPr>
        <w:t>Bestimmte Waren, die nicht im Anhang der Verordnung (EU) 2021/2278 aufgeführt sind, werden in der Union nicht in ausreichender Menge hergestellt, um den spezifischen Bedarf der Abnehmerindustrien in der Union zu decken. Da es im Interesse der Union liegt, eine angemessene Versorgung mit bestimmten Waren zu gewährleisten, und in Anbetracht der Tatsache, dass gleiche oder gleichartige Waren oder Ersatzwaren in der Union nicht in ausreichenden Mengen hergestellt werden, ist es notwendig, für die Zollsätze des GZT auch für diese Waren eine vollständige Aussetzung zu gewähren.</w:t>
      </w:r>
    </w:p>
    <w:p w14:paraId="53660A55" w14:textId="77777777" w:rsidR="0075670A" w:rsidRPr="007B4CEE" w:rsidRDefault="0075670A" w:rsidP="0075670A">
      <w:pPr>
        <w:pStyle w:val="ManualConsidrant"/>
        <w:rPr>
          <w:noProof/>
          <w:sz w:val="22"/>
        </w:rPr>
      </w:pPr>
      <w:r>
        <w:rPr>
          <w:noProof/>
        </w:rPr>
        <w:t>(3)</w:t>
      </w:r>
      <w:r>
        <w:rPr>
          <w:noProof/>
        </w:rPr>
        <w:tab/>
      </w:r>
      <w:r w:rsidRPr="007B4CEE">
        <w:rPr>
          <w:noProof/>
        </w:rPr>
        <w:t>Zur Förderung der integrierten Herstellung von Batterien in der Union sollte eine teilweise Aussetzung der Zollsätze des GZT für bestimmte, mit der Batterieherstellung zusammenhängende Waren, die derzeit nicht im Anhang der Verordnung (EU) 2021/2278 aufgeführt sind, gewährt werden, wobei berücksichtigt wird, dass die Unionsproduktion dieser Waren nicht geeignet ist, den spezifischen Bedarf der Abnehmerindustrien in der Union zu decken.</w:t>
      </w:r>
      <w:r w:rsidRPr="007B4CEE">
        <w:rPr>
          <w:noProof/>
          <w:sz w:val="22"/>
        </w:rPr>
        <w:t xml:space="preserve"> </w:t>
      </w:r>
      <w:r w:rsidRPr="007B4CEE">
        <w:rPr>
          <w:noProof/>
        </w:rPr>
        <w:t>Der Tag für die verbindliche Überprüfung dieser Aussetzungen sollte auf den 31. Dezember 2024 festgelegt werden, damit diese Überprüfung die kurzfristige Entwicklung des Batteriesektors in der Union berücksichtigt.</w:t>
      </w:r>
    </w:p>
    <w:p w14:paraId="0CA7350D" w14:textId="77777777" w:rsidR="0075670A" w:rsidRPr="007B4CEE" w:rsidRDefault="0075670A" w:rsidP="0075670A">
      <w:pPr>
        <w:pStyle w:val="ManualConsidrant"/>
        <w:spacing w:after="0" w:line="312" w:lineRule="atLeast"/>
        <w:rPr>
          <w:noProof/>
        </w:rPr>
      </w:pPr>
      <w:r>
        <w:rPr>
          <w:noProof/>
        </w:rPr>
        <w:t>(4)</w:t>
      </w:r>
      <w:r>
        <w:rPr>
          <w:noProof/>
        </w:rPr>
        <w:tab/>
      </w:r>
      <w:r w:rsidRPr="007B4CEE">
        <w:rPr>
          <w:noProof/>
        </w:rPr>
        <w:t xml:space="preserve">Die Warenbezeichnung, die Einreihung, die besondere Maßeinheit und die Anforderungen an die Endverwendung für bestimmte Aussetzungen der autonomen Zollsätze des GZT, die im Anhang der Verordnung (EU) 2021/2278 aufgeführt sind, müssen geändert werden, um den technischen Entwicklungen der Waren und den wirtschaftlichen Markttendenzen Rechnung zu tragen. </w:t>
      </w:r>
    </w:p>
    <w:p w14:paraId="05AAE2DB" w14:textId="77777777" w:rsidR="0075670A" w:rsidRPr="007B4CEE" w:rsidRDefault="0075670A" w:rsidP="0075670A">
      <w:pPr>
        <w:pStyle w:val="ManualConsidrant"/>
        <w:rPr>
          <w:noProof/>
        </w:rPr>
      </w:pPr>
      <w:r>
        <w:rPr>
          <w:noProof/>
        </w:rPr>
        <w:t>(5)</w:t>
      </w:r>
      <w:r>
        <w:rPr>
          <w:noProof/>
        </w:rPr>
        <w:tab/>
      </w:r>
      <w:r w:rsidRPr="007B4CEE">
        <w:rPr>
          <w:noProof/>
        </w:rPr>
        <w:t>Es liegt nicht länger im Interesse der Union, die Aussetzung von Zollsätzen des GZT für bestimmte Waren, die im Anhang der Verordnung (EU) 2021/2278 aufgeführt sind, beizubehalten. Die Aussetzungen für diese Waren sollten daher mit Wirkung vom 1. Juli 2024 aus diesem Anhang gestrichen werden.</w:t>
      </w:r>
    </w:p>
    <w:p w14:paraId="07CDA8B4" w14:textId="77777777" w:rsidR="0075670A" w:rsidRPr="007B4CEE" w:rsidRDefault="0075670A" w:rsidP="0075670A">
      <w:pPr>
        <w:pStyle w:val="ManualConsidrant"/>
        <w:rPr>
          <w:noProof/>
        </w:rPr>
      </w:pPr>
      <w:r>
        <w:rPr>
          <w:noProof/>
        </w:rPr>
        <w:t>(6)</w:t>
      </w:r>
      <w:r>
        <w:rPr>
          <w:noProof/>
        </w:rPr>
        <w:tab/>
      </w:r>
      <w:r w:rsidRPr="007B4CEE">
        <w:rPr>
          <w:noProof/>
        </w:rPr>
        <w:t>Die Verordnung (EU) 2021/2278 sollte daher entsprechend geändert werden.</w:t>
      </w:r>
    </w:p>
    <w:p w14:paraId="77CDBD41" w14:textId="77777777" w:rsidR="0075670A" w:rsidRPr="007B4CEE" w:rsidRDefault="0075670A" w:rsidP="0075670A">
      <w:pPr>
        <w:pStyle w:val="ManualConsidrant"/>
        <w:rPr>
          <w:noProof/>
        </w:rPr>
      </w:pPr>
      <w:r>
        <w:rPr>
          <w:noProof/>
        </w:rPr>
        <w:t>(7)</w:t>
      </w:r>
      <w:r>
        <w:rPr>
          <w:noProof/>
        </w:rPr>
        <w:tab/>
      </w:r>
      <w:r w:rsidRPr="007B4CEE">
        <w:rPr>
          <w:noProof/>
        </w:rPr>
        <w:t>Um eine Unterbrechung der Anwendung der autonomen Zollaussetzungen zu vermeiden und die in der Mitteilung der Kommission vom 13. Dezember 2011 zu den autonomen Zollaussetzungen und Zollkontingenten dargelegten Leitlinien zu befolgen, sollten die in dieser Verordnung vorgesehenen Änderungen der Zollaussetzungen für die betroffenen Waren ab dem 1. Juli 2024 gelten. Diese Verordnung sollte daher umgehend in Kraft treten —</w:t>
      </w:r>
    </w:p>
    <w:p w14:paraId="2AE26BD6" w14:textId="77777777" w:rsidR="004A5E08" w:rsidRPr="007B4CEE" w:rsidRDefault="004A5E08" w:rsidP="00151F04">
      <w:pPr>
        <w:pStyle w:val="Formuledadoption"/>
        <w:rPr>
          <w:noProof/>
        </w:rPr>
      </w:pPr>
      <w:r w:rsidRPr="007B4CEE">
        <w:rPr>
          <w:noProof/>
        </w:rPr>
        <w:t>HAT FOLGENDE VERORDNUNG ERLASSEN:</w:t>
      </w:r>
    </w:p>
    <w:p w14:paraId="4B4FC915" w14:textId="77777777" w:rsidR="004A5E08" w:rsidRPr="007B4CEE" w:rsidRDefault="004A5E08" w:rsidP="00151F04">
      <w:pPr>
        <w:pStyle w:val="Titrearticle"/>
        <w:rPr>
          <w:noProof/>
        </w:rPr>
      </w:pPr>
      <w:r w:rsidRPr="007B4CEE">
        <w:rPr>
          <w:noProof/>
        </w:rPr>
        <w:t>Artikel 1</w:t>
      </w:r>
    </w:p>
    <w:p w14:paraId="4EE20A63" w14:textId="77777777" w:rsidR="00A07FFB" w:rsidRPr="007B4CEE" w:rsidRDefault="004A5E08" w:rsidP="00151F04">
      <w:pPr>
        <w:rPr>
          <w:noProof/>
        </w:rPr>
      </w:pPr>
      <w:r w:rsidRPr="007B4CEE">
        <w:rPr>
          <w:noProof/>
        </w:rPr>
        <w:t>Der Anhang der Verordnung (EU) 2021/2278 wird gemäß dem Anhang der vorliegenden Verordnung geändert.</w:t>
      </w:r>
    </w:p>
    <w:p w14:paraId="50B5570C" w14:textId="77777777" w:rsidR="004A5E08" w:rsidRPr="007B4CEE" w:rsidRDefault="004A5E08" w:rsidP="00151F04">
      <w:pPr>
        <w:pStyle w:val="Titrearticle"/>
        <w:rPr>
          <w:noProof/>
        </w:rPr>
      </w:pPr>
      <w:r w:rsidRPr="007B4CEE">
        <w:rPr>
          <w:noProof/>
        </w:rPr>
        <w:t>Artikel 2</w:t>
      </w:r>
    </w:p>
    <w:p w14:paraId="57D95474" w14:textId="77777777" w:rsidR="004A5E08" w:rsidRPr="007B4CEE" w:rsidRDefault="004A5E08" w:rsidP="00151F04">
      <w:pPr>
        <w:rPr>
          <w:noProof/>
        </w:rPr>
      </w:pPr>
      <w:r w:rsidRPr="007B4CEE">
        <w:rPr>
          <w:noProof/>
        </w:rPr>
        <w:t xml:space="preserve">Diese Verordnung tritt am Tag nach ihrer Veröffentlichung im </w:t>
      </w:r>
      <w:r w:rsidRPr="007B4CEE">
        <w:rPr>
          <w:i/>
          <w:noProof/>
        </w:rPr>
        <w:t>Amtsblatt der Europäischen Union</w:t>
      </w:r>
      <w:r w:rsidRPr="007B4CEE">
        <w:rPr>
          <w:noProof/>
        </w:rPr>
        <w:t xml:space="preserve"> in Kraft. </w:t>
      </w:r>
    </w:p>
    <w:p w14:paraId="4789D1F6" w14:textId="77777777" w:rsidR="004A5E08" w:rsidRPr="007B4CEE" w:rsidRDefault="004A5E08" w:rsidP="00151F04">
      <w:pPr>
        <w:rPr>
          <w:noProof/>
        </w:rPr>
      </w:pPr>
      <w:r w:rsidRPr="007B4CEE">
        <w:rPr>
          <w:noProof/>
        </w:rPr>
        <w:t>Sie gilt ab dem 1. Juli 2024.</w:t>
      </w:r>
    </w:p>
    <w:p w14:paraId="0D48B2D2" w14:textId="77777777" w:rsidR="004A5E08" w:rsidRPr="007B4CEE" w:rsidRDefault="004A5E08" w:rsidP="00D163B0">
      <w:pPr>
        <w:pStyle w:val="Applicationdirecte"/>
        <w:keepNext/>
        <w:keepLines/>
        <w:rPr>
          <w:noProof/>
        </w:rPr>
      </w:pPr>
      <w:r w:rsidRPr="007B4CEE">
        <w:rPr>
          <w:noProof/>
        </w:rPr>
        <w:t>Diese Verordnung ist in allen ihren Teilen verbindlich und gilt unmittelbar in jedem Mitgliedstaat.</w:t>
      </w:r>
    </w:p>
    <w:p w14:paraId="3900DDB5" w14:textId="06EFBF73" w:rsidR="004A5E08" w:rsidRPr="007B4CEE" w:rsidRDefault="007B4CEE" w:rsidP="00D163B0">
      <w:pPr>
        <w:pStyle w:val="Fait"/>
        <w:rPr>
          <w:noProof/>
        </w:rPr>
      </w:pPr>
      <w:r>
        <w:rPr>
          <w:noProof/>
        </w:rPr>
        <w:t xml:space="preserve">Geschehen zu Brüssel am </w:t>
      </w:r>
    </w:p>
    <w:p w14:paraId="7146442A" w14:textId="77777777" w:rsidR="004A5E08" w:rsidRPr="007B4CEE" w:rsidRDefault="004A5E08" w:rsidP="00D163B0">
      <w:pPr>
        <w:pStyle w:val="Institutionquisigne"/>
        <w:rPr>
          <w:noProof/>
        </w:rPr>
      </w:pPr>
      <w:r w:rsidRPr="007B4CEE">
        <w:rPr>
          <w:noProof/>
        </w:rPr>
        <w:tab/>
        <w:t>Im Namen des Rates</w:t>
      </w:r>
    </w:p>
    <w:p w14:paraId="2FB1F02D" w14:textId="77777777" w:rsidR="004A5E08" w:rsidRPr="007B4CEE" w:rsidRDefault="004A5E08" w:rsidP="00151F04">
      <w:pPr>
        <w:pStyle w:val="Personnequisigne"/>
        <w:rPr>
          <w:noProof/>
        </w:rPr>
      </w:pPr>
      <w:r w:rsidRPr="007B4CEE">
        <w:rPr>
          <w:noProof/>
        </w:rPr>
        <w:tab/>
        <w:t>Der Präsident / Die Präsidentin</w:t>
      </w:r>
    </w:p>
    <w:p w14:paraId="5857BDFF" w14:textId="77777777" w:rsidR="004A5E08" w:rsidRPr="007B4CEE" w:rsidRDefault="004A5E08" w:rsidP="00151F04">
      <w:pPr>
        <w:rPr>
          <w:noProof/>
        </w:rPr>
        <w:sectPr w:rsidR="004A5E08" w:rsidRPr="007B4CEE" w:rsidSect="00261675">
          <w:footnotePr>
            <w:numRestart w:val="eachSect"/>
          </w:footnotePr>
          <w:pgSz w:w="11907" w:h="16839"/>
          <w:pgMar w:top="1134" w:right="1417" w:bottom="1134" w:left="1417" w:header="709" w:footer="709" w:gutter="0"/>
          <w:cols w:space="708"/>
          <w:docGrid w:linePitch="360"/>
        </w:sectPr>
      </w:pPr>
    </w:p>
    <w:p w14:paraId="3920BCB3" w14:textId="77777777" w:rsidR="004A5E08" w:rsidRPr="007B4CEE" w:rsidRDefault="004A5E08" w:rsidP="00151F04">
      <w:pPr>
        <w:pStyle w:val="Fichefinanciretitre"/>
        <w:rPr>
          <w:noProof/>
        </w:rPr>
      </w:pPr>
      <w:r w:rsidRPr="007B4CEE">
        <w:rPr>
          <w:noProof/>
        </w:rPr>
        <w:t>FINANZBOGEN ZU RECHTSAKTEN</w:t>
      </w:r>
    </w:p>
    <w:p w14:paraId="37F3E96F" w14:textId="77777777" w:rsidR="004A5E08" w:rsidRPr="007B4CEE" w:rsidRDefault="004A5E08" w:rsidP="00151F04">
      <w:pPr>
        <w:pStyle w:val="ManualHeading1"/>
        <w:rPr>
          <w:noProof/>
          <w:szCs w:val="24"/>
        </w:rPr>
      </w:pPr>
      <w:r>
        <w:rPr>
          <w:noProof/>
        </w:rPr>
        <w:t>1.</w:t>
      </w:r>
      <w:r>
        <w:rPr>
          <w:noProof/>
        </w:rPr>
        <w:tab/>
      </w:r>
      <w:r w:rsidRPr="007B4CEE">
        <w:rPr>
          <w:noProof/>
        </w:rPr>
        <w:t>BEZEICHNUNG DES VORSCHLAGS:</w:t>
      </w:r>
    </w:p>
    <w:p w14:paraId="234F08F7" w14:textId="77777777" w:rsidR="004A5E08" w:rsidRPr="007B4CEE" w:rsidRDefault="004A5E08" w:rsidP="00151F04">
      <w:pPr>
        <w:pStyle w:val="Text1"/>
        <w:rPr>
          <w:noProof/>
        </w:rPr>
      </w:pPr>
      <w:r w:rsidRPr="007B4CEE">
        <w:rPr>
          <w:noProof/>
        </w:rPr>
        <w:t>Vorschlag zur Änderung der Verordnung (EU) 2021/2278 des Rates zur Aussetzung der in Artikel 56 Absatz 2 Buchstabe c der Verordnung (EU) Nr. 952/2013 des Europäischen Parlaments und des Rates genannten Zölle des Gemeinsamen Zolltarifs für bestimmte landwirtschaftliche und gewerbliche Waren</w:t>
      </w:r>
    </w:p>
    <w:p w14:paraId="2A17A3B4" w14:textId="77777777" w:rsidR="004A5E08" w:rsidRPr="007B4CEE" w:rsidRDefault="004A5E08" w:rsidP="00151F04">
      <w:pPr>
        <w:pStyle w:val="ManualHeading1"/>
        <w:rPr>
          <w:noProof/>
          <w:szCs w:val="24"/>
        </w:rPr>
      </w:pPr>
      <w:r>
        <w:rPr>
          <w:noProof/>
        </w:rPr>
        <w:t>2.</w:t>
      </w:r>
      <w:r>
        <w:rPr>
          <w:noProof/>
        </w:rPr>
        <w:tab/>
      </w:r>
      <w:r w:rsidRPr="007B4CEE">
        <w:rPr>
          <w:noProof/>
        </w:rPr>
        <w:t>HAUSHALTSLINIEN:</w:t>
      </w:r>
    </w:p>
    <w:p w14:paraId="67EFFE2A" w14:textId="77777777" w:rsidR="004A5E08" w:rsidRPr="007B4CEE" w:rsidRDefault="004A5E08" w:rsidP="00151F04">
      <w:pPr>
        <w:pStyle w:val="Text1"/>
        <w:rPr>
          <w:noProof/>
        </w:rPr>
      </w:pPr>
      <w:r w:rsidRPr="007B4CEE">
        <w:rPr>
          <w:noProof/>
        </w:rPr>
        <w:t>Kapitel und Artikel: Kapitel 12 Artikel 120</w:t>
      </w:r>
    </w:p>
    <w:p w14:paraId="7CF67FEC" w14:textId="77777777" w:rsidR="004A5E08" w:rsidRPr="007B4CEE" w:rsidRDefault="004A5E08" w:rsidP="00151F04">
      <w:pPr>
        <w:pStyle w:val="Text1"/>
        <w:rPr>
          <w:noProof/>
        </w:rPr>
      </w:pPr>
      <w:r w:rsidRPr="007B4CEE">
        <w:rPr>
          <w:noProof/>
        </w:rPr>
        <w:t>Für das Jahr 2024 veranschlagter Betrag: 24 620 400 000 EUR</w:t>
      </w:r>
    </w:p>
    <w:p w14:paraId="17968BCE" w14:textId="77777777" w:rsidR="004A5E08" w:rsidRPr="007B4CEE" w:rsidRDefault="004A5E08" w:rsidP="00151F04">
      <w:pPr>
        <w:pStyle w:val="ManualHeading1"/>
        <w:rPr>
          <w:noProof/>
          <w:szCs w:val="24"/>
        </w:rPr>
      </w:pPr>
      <w:r>
        <w:rPr>
          <w:noProof/>
        </w:rPr>
        <w:t>3.</w:t>
      </w:r>
      <w:r>
        <w:rPr>
          <w:noProof/>
        </w:rPr>
        <w:tab/>
      </w:r>
      <w:r w:rsidRPr="007B4CEE">
        <w:rPr>
          <w:noProof/>
        </w:rPr>
        <w:t>FINANZIELLE AUSWIRKUNGEN</w:t>
      </w:r>
    </w:p>
    <w:p w14:paraId="057E161C" w14:textId="77777777" w:rsidR="004A5E08" w:rsidRPr="007B4CEE" w:rsidRDefault="004A5E08" w:rsidP="00151F04">
      <w:pPr>
        <w:pStyle w:val="Text1"/>
        <w:rPr>
          <w:noProof/>
        </w:rPr>
      </w:pPr>
      <w:r w:rsidRPr="007B4CEE">
        <w:rPr>
          <w:noProof/>
        </w:rPr>
        <w:sym w:font="Wingdings" w:char="F0A8"/>
      </w:r>
      <w:r w:rsidRPr="007B4CEE">
        <w:rPr>
          <w:noProof/>
        </w:rPr>
        <w:tab/>
        <w:t>Der Vorschlag hat keine finanziellen Auswirkungen.</w:t>
      </w:r>
    </w:p>
    <w:p w14:paraId="5122F375" w14:textId="77777777" w:rsidR="004A5E08" w:rsidRPr="007B4CEE" w:rsidRDefault="004A5E08" w:rsidP="00151F04">
      <w:pPr>
        <w:pStyle w:val="Text1"/>
        <w:rPr>
          <w:noProof/>
        </w:rPr>
      </w:pPr>
      <w:r w:rsidRPr="007B4CEE">
        <w:rPr>
          <w:noProof/>
        </w:rPr>
        <w:t>X Der Vorschlag wirkt sich nicht auf die Ausgaben, sondern ausschließlich auf die Einnahmen aus, und zwar folgendermaßen:</w:t>
      </w:r>
    </w:p>
    <w:p w14:paraId="44E2ADB0" w14:textId="77777777" w:rsidR="004A5E08" w:rsidRPr="007B4CEE" w:rsidRDefault="004A5E08" w:rsidP="00151F04">
      <w:pPr>
        <w:jc w:val="right"/>
        <w:rPr>
          <w:noProof/>
        </w:rPr>
      </w:pPr>
      <w:r w:rsidRPr="007B4CEE">
        <w:rPr>
          <w:noProof/>
        </w:rPr>
        <w:t>(in Mio. EUR, 1 Dezimalstelle)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2"/>
        <w:gridCol w:w="2790"/>
        <w:gridCol w:w="2070"/>
        <w:gridCol w:w="2070"/>
      </w:tblGrid>
      <w:tr w:rsidR="004A5E08" w:rsidRPr="007B4CEE" w14:paraId="35B97615" w14:textId="77777777" w:rsidTr="00A41FD4">
        <w:trPr>
          <w:gridAfter w:val="2"/>
          <w:wAfter w:w="4140" w:type="dxa"/>
          <w:cantSplit/>
        </w:trPr>
        <w:tc>
          <w:tcPr>
            <w:tcW w:w="1412" w:type="dxa"/>
          </w:tcPr>
          <w:p w14:paraId="472E1F24" w14:textId="77777777" w:rsidR="004A5E08" w:rsidRPr="007B4CEE" w:rsidRDefault="004A5E08" w:rsidP="00151F04">
            <w:pPr>
              <w:spacing w:before="0" w:after="0"/>
              <w:jc w:val="left"/>
              <w:rPr>
                <w:noProof/>
                <w:snapToGrid w:val="0"/>
                <w:sz w:val="18"/>
              </w:rPr>
            </w:pPr>
          </w:p>
        </w:tc>
        <w:tc>
          <w:tcPr>
            <w:tcW w:w="2790" w:type="dxa"/>
          </w:tcPr>
          <w:p w14:paraId="4F6D78A0" w14:textId="77777777" w:rsidR="004A5E08" w:rsidRPr="007B4CEE" w:rsidRDefault="004A5E08" w:rsidP="00151F04">
            <w:pPr>
              <w:spacing w:before="0" w:after="0"/>
              <w:jc w:val="left"/>
              <w:rPr>
                <w:noProof/>
                <w:snapToGrid w:val="0"/>
                <w:sz w:val="18"/>
              </w:rPr>
            </w:pPr>
          </w:p>
        </w:tc>
      </w:tr>
      <w:tr w:rsidR="004A5E08" w:rsidRPr="007B4CEE" w14:paraId="0C2074EB" w14:textId="77777777" w:rsidTr="00A41FD4">
        <w:trPr>
          <w:cantSplit/>
        </w:trPr>
        <w:tc>
          <w:tcPr>
            <w:tcW w:w="1412" w:type="dxa"/>
          </w:tcPr>
          <w:p w14:paraId="26F3C2F2" w14:textId="77777777" w:rsidR="004A5E08" w:rsidRPr="007B4CEE" w:rsidRDefault="004A5E08" w:rsidP="00151F04">
            <w:pPr>
              <w:spacing w:before="0" w:after="0"/>
              <w:jc w:val="left"/>
              <w:rPr>
                <w:noProof/>
                <w:snapToGrid w:val="0"/>
              </w:rPr>
            </w:pPr>
            <w:r w:rsidRPr="007B4CEE">
              <w:rPr>
                <w:noProof/>
                <w:sz w:val="22"/>
              </w:rPr>
              <w:t>Haushaltslinie</w:t>
            </w:r>
          </w:p>
        </w:tc>
        <w:tc>
          <w:tcPr>
            <w:tcW w:w="2790" w:type="dxa"/>
          </w:tcPr>
          <w:p w14:paraId="708A840B" w14:textId="77777777" w:rsidR="004A5E08" w:rsidRPr="007B4CEE" w:rsidRDefault="004A5E08" w:rsidP="00151F04">
            <w:pPr>
              <w:spacing w:before="0" w:after="0"/>
              <w:jc w:val="center"/>
              <w:rPr>
                <w:noProof/>
                <w:snapToGrid w:val="0"/>
              </w:rPr>
            </w:pPr>
            <w:r w:rsidRPr="007B4CEE">
              <w:rPr>
                <w:noProof/>
                <w:sz w:val="22"/>
              </w:rPr>
              <w:t>Einnahmen</w:t>
            </w:r>
          </w:p>
        </w:tc>
        <w:tc>
          <w:tcPr>
            <w:tcW w:w="2070" w:type="dxa"/>
            <w:shd w:val="clear" w:color="auto" w:fill="auto"/>
          </w:tcPr>
          <w:p w14:paraId="0CF89ACD" w14:textId="77777777" w:rsidR="004A5E08" w:rsidRPr="007B4CEE" w:rsidRDefault="00E03A45" w:rsidP="00151F04">
            <w:pPr>
              <w:spacing w:before="0" w:after="0"/>
              <w:jc w:val="center"/>
              <w:rPr>
                <w:noProof/>
                <w:snapToGrid w:val="0"/>
              </w:rPr>
            </w:pPr>
            <w:r w:rsidRPr="007B4CEE">
              <w:rPr>
                <w:noProof/>
                <w:sz w:val="22"/>
              </w:rPr>
              <w:t>Zeitraum von 6 Monaten, gerechnet ab dem TT.MM.JJJJ</w:t>
            </w:r>
          </w:p>
        </w:tc>
        <w:tc>
          <w:tcPr>
            <w:tcW w:w="2070" w:type="dxa"/>
            <w:shd w:val="clear" w:color="auto" w:fill="auto"/>
          </w:tcPr>
          <w:p w14:paraId="3857673E" w14:textId="77777777" w:rsidR="004A5E08" w:rsidRPr="007B4CEE" w:rsidRDefault="004A5E08" w:rsidP="00151F04">
            <w:pPr>
              <w:spacing w:before="0" w:after="0"/>
              <w:jc w:val="center"/>
              <w:rPr>
                <w:noProof/>
                <w:snapToGrid w:val="0"/>
              </w:rPr>
            </w:pPr>
            <w:r w:rsidRPr="007B4CEE">
              <w:rPr>
                <w:noProof/>
                <w:sz w:val="22"/>
              </w:rPr>
              <w:t>[Jahr: zweites Halbjahr 2024]</w:t>
            </w:r>
          </w:p>
        </w:tc>
      </w:tr>
      <w:tr w:rsidR="004A5E08" w:rsidRPr="007B4CEE" w14:paraId="2F36618C" w14:textId="77777777" w:rsidTr="00A41FD4">
        <w:trPr>
          <w:cantSplit/>
        </w:trPr>
        <w:tc>
          <w:tcPr>
            <w:tcW w:w="1412" w:type="dxa"/>
            <w:shd w:val="clear" w:color="auto" w:fill="auto"/>
          </w:tcPr>
          <w:p w14:paraId="5432021C" w14:textId="77777777" w:rsidR="004A5E08" w:rsidRPr="007B4CEE" w:rsidRDefault="004A5E08" w:rsidP="00151F04">
            <w:pPr>
              <w:spacing w:before="0" w:after="0"/>
              <w:jc w:val="left"/>
              <w:rPr>
                <w:noProof/>
              </w:rPr>
            </w:pPr>
            <w:r w:rsidRPr="007B4CEE">
              <w:rPr>
                <w:noProof/>
                <w:sz w:val="22"/>
              </w:rPr>
              <w:t xml:space="preserve">Artikel 120 </w:t>
            </w:r>
          </w:p>
          <w:p w14:paraId="1D87C27E" w14:textId="77777777" w:rsidR="004A5E08" w:rsidRPr="007B4CEE" w:rsidRDefault="004A5E08" w:rsidP="00151F04">
            <w:pPr>
              <w:spacing w:before="0" w:after="0"/>
              <w:jc w:val="left"/>
              <w:rPr>
                <w:noProof/>
                <w:snapToGrid w:val="0"/>
              </w:rPr>
            </w:pPr>
          </w:p>
        </w:tc>
        <w:tc>
          <w:tcPr>
            <w:tcW w:w="2790" w:type="dxa"/>
          </w:tcPr>
          <w:p w14:paraId="7C3D18D6" w14:textId="77777777" w:rsidR="004A5E08" w:rsidRPr="007B4CEE" w:rsidRDefault="004A5E08" w:rsidP="00151F04">
            <w:pPr>
              <w:spacing w:before="0" w:after="0"/>
              <w:jc w:val="left"/>
              <w:rPr>
                <w:i/>
                <w:noProof/>
                <w:snapToGrid w:val="0"/>
              </w:rPr>
            </w:pPr>
            <w:r w:rsidRPr="007B4CEE">
              <w:rPr>
                <w:i/>
                <w:noProof/>
                <w:sz w:val="22"/>
              </w:rPr>
              <w:t>Auswirkungen auf die Eigenmittel</w:t>
            </w:r>
          </w:p>
        </w:tc>
        <w:tc>
          <w:tcPr>
            <w:tcW w:w="2070" w:type="dxa"/>
            <w:shd w:val="clear" w:color="auto" w:fill="auto"/>
          </w:tcPr>
          <w:p w14:paraId="4EEECB5E" w14:textId="77777777" w:rsidR="004A5E08" w:rsidRPr="007B4CEE" w:rsidRDefault="004A5E08" w:rsidP="00151F04">
            <w:pPr>
              <w:spacing w:before="0" w:after="0"/>
              <w:jc w:val="left"/>
              <w:rPr>
                <w:noProof/>
                <w:snapToGrid w:val="0"/>
              </w:rPr>
            </w:pPr>
            <w:r w:rsidRPr="007B4CEE">
              <w:rPr>
                <w:noProof/>
                <w:snapToGrid w:val="0"/>
                <w:sz w:val="22"/>
              </w:rPr>
              <w:t xml:space="preserve">      1.7.2024</w:t>
            </w:r>
          </w:p>
        </w:tc>
        <w:tc>
          <w:tcPr>
            <w:tcW w:w="2070" w:type="dxa"/>
            <w:shd w:val="clear" w:color="auto" w:fill="auto"/>
          </w:tcPr>
          <w:p w14:paraId="39FCB847" w14:textId="77777777" w:rsidR="004A5E08" w:rsidRPr="007B4CEE" w:rsidRDefault="007D7EEF" w:rsidP="00151F04">
            <w:pPr>
              <w:spacing w:before="0" w:after="0"/>
              <w:jc w:val="center"/>
              <w:rPr>
                <w:noProof/>
                <w:snapToGrid w:val="0"/>
              </w:rPr>
            </w:pPr>
            <w:r w:rsidRPr="007B4CEE">
              <w:rPr>
                <w:noProof/>
                <w:snapToGrid w:val="0"/>
                <w:sz w:val="22"/>
              </w:rPr>
              <w:t>-5,6</w:t>
            </w:r>
          </w:p>
        </w:tc>
      </w:tr>
    </w:tbl>
    <w:p w14:paraId="544904F6" w14:textId="77777777" w:rsidR="004A5E08" w:rsidRPr="007B4CEE" w:rsidRDefault="004A5E08" w:rsidP="00151F04">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rsidR="004A5E08" w:rsidRPr="007B4CEE" w14:paraId="6E0F4800" w14:textId="77777777" w:rsidTr="006560DF">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14:paraId="105027B0" w14:textId="77777777" w:rsidR="004A5E08" w:rsidRPr="007B4CEE" w:rsidRDefault="004A5E08" w:rsidP="00151F04">
            <w:pPr>
              <w:spacing w:line="276" w:lineRule="auto"/>
              <w:jc w:val="center"/>
              <w:rPr>
                <w:noProof/>
                <w:szCs w:val="24"/>
              </w:rPr>
            </w:pPr>
            <w:r w:rsidRPr="007B4CEE">
              <w:rPr>
                <w:noProof/>
                <w:sz w:val="22"/>
              </w:rPr>
              <w:t>Stand nach der Maßnahme</w:t>
            </w:r>
          </w:p>
        </w:tc>
      </w:tr>
      <w:tr w:rsidR="004A5E08" w:rsidRPr="007B4CEE" w14:paraId="74C81D5D" w14:textId="77777777" w:rsidTr="006560DF">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14:paraId="5B4A29A0" w14:textId="77777777" w:rsidR="004A5E08" w:rsidRPr="007B4CEE" w:rsidRDefault="004A5E08" w:rsidP="00151F04">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14:paraId="472BC241" w14:textId="77777777" w:rsidR="004A5E08" w:rsidRPr="007B4CEE" w:rsidRDefault="004A5E08" w:rsidP="00151F04">
            <w:pPr>
              <w:spacing w:line="276" w:lineRule="auto"/>
              <w:jc w:val="center"/>
              <w:rPr>
                <w:noProof/>
                <w:szCs w:val="24"/>
              </w:rPr>
            </w:pPr>
            <w:r w:rsidRPr="007B4CEE">
              <w:rPr>
                <w:noProof/>
                <w:sz w:val="22"/>
              </w:rPr>
              <w:t>[2024 bis 2028]</w:t>
            </w:r>
          </w:p>
        </w:tc>
      </w:tr>
      <w:tr w:rsidR="004A5E08" w:rsidRPr="007B4CEE" w14:paraId="4ABCE2FA" w14:textId="77777777" w:rsidTr="006560DF">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14:paraId="3C1B6C40" w14:textId="77777777" w:rsidR="004A5E08" w:rsidRPr="007B4CEE" w:rsidRDefault="004A5E08" w:rsidP="00151F04">
            <w:pPr>
              <w:spacing w:line="276" w:lineRule="auto"/>
              <w:rPr>
                <w:noProof/>
                <w:szCs w:val="24"/>
              </w:rPr>
            </w:pPr>
            <w:r w:rsidRPr="007B4CEE">
              <w:rPr>
                <w:noProof/>
                <w:sz w:val="22"/>
              </w:rPr>
              <w:t>Artikel 120</w:t>
            </w:r>
          </w:p>
        </w:tc>
        <w:tc>
          <w:tcPr>
            <w:tcW w:w="7073" w:type="dxa"/>
            <w:gridSpan w:val="3"/>
            <w:tcBorders>
              <w:top w:val="single" w:sz="4" w:space="0" w:color="auto"/>
              <w:left w:val="single" w:sz="4" w:space="0" w:color="auto"/>
              <w:bottom w:val="single" w:sz="4" w:space="0" w:color="auto"/>
              <w:right w:val="single" w:sz="4" w:space="0" w:color="auto"/>
            </w:tcBorders>
          </w:tcPr>
          <w:p w14:paraId="0314A9A5" w14:textId="77777777" w:rsidR="004A5E08" w:rsidRPr="007B4CEE" w:rsidRDefault="004A5E08" w:rsidP="00151F04">
            <w:pPr>
              <w:spacing w:line="276" w:lineRule="auto"/>
              <w:jc w:val="center"/>
              <w:rPr>
                <w:noProof/>
                <w:szCs w:val="24"/>
              </w:rPr>
            </w:pPr>
            <w:r w:rsidRPr="007B4CEE">
              <w:rPr>
                <w:noProof/>
                <w:sz w:val="22"/>
              </w:rPr>
              <w:t>-11,2 Mio. EUR/Jahr</w:t>
            </w:r>
          </w:p>
        </w:tc>
      </w:tr>
      <w:tr w:rsidR="004A5E08" w:rsidRPr="007B4CEE" w14:paraId="1EC5A4CD" w14:textId="77777777" w:rsidTr="00656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B5C67F7" w14:textId="77777777" w:rsidR="004A5E08" w:rsidRPr="007B4CEE" w:rsidRDefault="004A5E08" w:rsidP="00151F04">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30D42BA" w14:textId="77777777" w:rsidR="004A5E08" w:rsidRPr="007B4CEE" w:rsidRDefault="004A5E08" w:rsidP="00151F04">
            <w:pPr>
              <w:pStyle w:val="Text1"/>
              <w:rPr>
                <w:noProof/>
              </w:rPr>
            </w:pPr>
          </w:p>
        </w:tc>
      </w:tr>
    </w:tbl>
    <w:p w14:paraId="1F500E0A" w14:textId="77777777" w:rsidR="00CE64C9" w:rsidRPr="007B4CEE" w:rsidRDefault="00CE64C9" w:rsidP="00151F04">
      <w:pPr>
        <w:pStyle w:val="Text1"/>
        <w:rPr>
          <w:noProof/>
        </w:rPr>
      </w:pPr>
      <w:r w:rsidRPr="007B4CEE">
        <w:rPr>
          <w:noProof/>
        </w:rPr>
        <w:t>Der Anhang umfasst 66 neue Waren. Geht man bei der Berechnung von den Prognosen des antragstellenden Mitgliedstaats für den Zeitraum 2024 bis 2028 aus, so führen diese Zollaussetzungen zu Mindereinnahmen in Höhe von 31 491 754 EUR pro Jahr.</w:t>
      </w:r>
    </w:p>
    <w:p w14:paraId="5D3746A2" w14:textId="77777777" w:rsidR="00CE64C9" w:rsidRPr="007B4CEE" w:rsidRDefault="004A5E08" w:rsidP="00151F04">
      <w:pPr>
        <w:pStyle w:val="Text1"/>
        <w:rPr>
          <w:noProof/>
        </w:rPr>
      </w:pPr>
      <w:r w:rsidRPr="007B4CEE">
        <w:rPr>
          <w:noProof/>
        </w:rPr>
        <w:t>Aus den Statistiken der vergangenen Jahre ergibt sich jedoch, dass dieser Betrag mit einem Faktor von durchschnittlich 1,8 multipliziert werden muss, um den Einfuhren in die anderen Mitgliedstaaten Rechnung zu tragen, die diese Aussetzungen ebenfalls in Anspruch nehmen. Dies entspräche einem Betrag an nicht vereinnahmten Zöllen in Höhe von rund 56 685 157 EUR pro Jahr.</w:t>
      </w:r>
    </w:p>
    <w:p w14:paraId="2C9DAD1D" w14:textId="77777777" w:rsidR="004A5E08" w:rsidRPr="007B4CEE" w:rsidRDefault="00E03A45" w:rsidP="00151F04">
      <w:pPr>
        <w:pStyle w:val="Text1"/>
        <w:rPr>
          <w:noProof/>
        </w:rPr>
      </w:pPr>
      <w:r w:rsidRPr="007B4CEE">
        <w:rPr>
          <w:noProof/>
        </w:rPr>
        <w:t>Aus dem Anhang wurden 47 Waren gestrichen, sodass erneut Zölle auf sie erhoben werden können. Dadurch entstehen, ausgehend von den verfügbaren Statistiken aus dem Jahr 2023, geschätzte Mehreinnahmen von 41 731 566 EUR pro Jahr.</w:t>
      </w:r>
    </w:p>
    <w:p w14:paraId="3806F978" w14:textId="77777777" w:rsidR="004A5E08" w:rsidRPr="007B4CEE" w:rsidRDefault="004A5E08" w:rsidP="00151F04">
      <w:pPr>
        <w:pStyle w:val="Text1"/>
        <w:rPr>
          <w:noProof/>
        </w:rPr>
      </w:pPr>
      <w:r w:rsidRPr="007B4CEE">
        <w:rPr>
          <w:noProof/>
        </w:rPr>
        <w:t>Auf der Grundlage der vorstehenden Ausführungen wird der sich aus dieser Verordnung ergebende Verlust an Einnahmen für den EU-Haushalt mit 56 685 157 EUR - 41 731 566 EUR = 14 953 591 EUR (Bruttobetrag einschließlich Erhebungskosten) x 0,75 = 11 215 193 EUR pro Jahr veranschlagt.</w:t>
      </w:r>
    </w:p>
    <w:p w14:paraId="7E9D3274" w14:textId="77777777" w:rsidR="004A5E08" w:rsidRPr="007B4CEE" w:rsidRDefault="004A5E08" w:rsidP="00151F04">
      <w:pPr>
        <w:pStyle w:val="ManualHeading1"/>
        <w:rPr>
          <w:noProof/>
          <w:szCs w:val="24"/>
        </w:rPr>
      </w:pPr>
      <w:r>
        <w:rPr>
          <w:noProof/>
        </w:rPr>
        <w:t>4.</w:t>
      </w:r>
      <w:r>
        <w:rPr>
          <w:noProof/>
        </w:rPr>
        <w:tab/>
      </w:r>
      <w:r w:rsidRPr="007B4CEE">
        <w:rPr>
          <w:noProof/>
        </w:rPr>
        <w:t>BETRUGSBEKÄMPFUNGSMAẞNAHMEN</w:t>
      </w:r>
    </w:p>
    <w:p w14:paraId="6FA57F61" w14:textId="77777777" w:rsidR="004A5E08" w:rsidRPr="007B4CEE" w:rsidRDefault="004A5E08" w:rsidP="00151F04">
      <w:pPr>
        <w:pStyle w:val="Text1"/>
        <w:rPr>
          <w:noProof/>
        </w:rPr>
      </w:pPr>
      <w:r w:rsidRPr="007B4CEE">
        <w:rPr>
          <w:noProof/>
        </w:rPr>
        <w:t>Die Endverwendung bestimmter unter diese Ratsverordnung fallender Waren wird gemäß Artikel 254 der Verordnung (EU) Nr. 952/2013 überwacht.</w:t>
      </w:r>
    </w:p>
    <w:p w14:paraId="3B14942A" w14:textId="77777777" w:rsidR="004A5E08" w:rsidRPr="007B4CEE" w:rsidRDefault="004A5E08" w:rsidP="00151F04">
      <w:pPr>
        <w:pStyle w:val="Text1"/>
        <w:rPr>
          <w:noProof/>
        </w:rPr>
      </w:pPr>
      <w:r w:rsidRPr="007B4CEE">
        <w:rPr>
          <w:noProof/>
        </w:rPr>
        <w:t>Zusätzlich können die Mitgliedstaaten gemäß Artikel 46 der Verordnung (EU) Nr. 952/2013 alle Zollkontrollen durchführen, die ihres Erachtens im Rahmen des von ihnen durchgeführten Risikomanagements angemessen sind.</w:t>
      </w:r>
    </w:p>
    <w:sectPr w:rsidR="004A5E08" w:rsidRPr="007B4CEE" w:rsidSect="00261675">
      <w:footnotePr>
        <w:numRestart w:val="eachSect"/>
      </w:footnotePr>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BB9D" w14:textId="77777777" w:rsidR="00BF6FCE" w:rsidRDefault="00BF6FCE">
      <w:r>
        <w:separator/>
      </w:r>
    </w:p>
  </w:endnote>
  <w:endnote w:type="continuationSeparator" w:id="0">
    <w:p w14:paraId="52D680E5" w14:textId="77777777" w:rsidR="00BF6FCE" w:rsidRDefault="00BF6FCE">
      <w:r>
        <w:continuationSeparator/>
      </w:r>
    </w:p>
  </w:endnote>
  <w:endnote w:type="continuationNotice" w:id="1">
    <w:p w14:paraId="618E8E4F" w14:textId="77777777" w:rsidR="004F52B3" w:rsidRDefault="004F52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1ED" w14:textId="51C7DF22" w:rsidR="00A51310" w:rsidRPr="00261675" w:rsidRDefault="00261675" w:rsidP="00261675">
    <w:pPr>
      <w:pStyle w:val="Footer"/>
      <w:rPr>
        <w:rFonts w:ascii="Arial" w:hAnsi="Arial" w:cs="Arial"/>
        <w:b/>
        <w:sz w:val="48"/>
      </w:rPr>
    </w:pPr>
    <w:r w:rsidRPr="00261675">
      <w:rPr>
        <w:rFonts w:ascii="Arial" w:hAnsi="Arial" w:cs="Arial"/>
        <w:b/>
        <w:sz w:val="48"/>
      </w:rPr>
      <w:t>DE</w:t>
    </w:r>
    <w:r w:rsidRPr="00261675">
      <w:rPr>
        <w:rFonts w:ascii="Arial" w:hAnsi="Arial" w:cs="Arial"/>
        <w:b/>
        <w:sz w:val="48"/>
      </w:rPr>
      <w:tab/>
    </w:r>
    <w:r w:rsidRPr="00261675">
      <w:rPr>
        <w:rFonts w:ascii="Arial" w:hAnsi="Arial" w:cs="Arial"/>
        <w:b/>
        <w:sz w:val="48"/>
      </w:rPr>
      <w:tab/>
    </w:r>
    <w:r w:rsidRPr="00261675">
      <w:tab/>
    </w:r>
    <w:r w:rsidRPr="00261675">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A2D" w14:textId="017653E2" w:rsidR="00A51310" w:rsidRPr="00261675" w:rsidRDefault="00261675" w:rsidP="00261675">
    <w:pPr>
      <w:pStyle w:val="Footer"/>
      <w:rPr>
        <w:rFonts w:ascii="Arial" w:hAnsi="Arial" w:cs="Arial"/>
        <w:b/>
        <w:sz w:val="48"/>
      </w:rPr>
    </w:pPr>
    <w:r w:rsidRPr="00261675">
      <w:rPr>
        <w:rFonts w:ascii="Arial" w:hAnsi="Arial" w:cs="Arial"/>
        <w:b/>
        <w:sz w:val="48"/>
      </w:rPr>
      <w:t>DE</w:t>
    </w:r>
    <w:r w:rsidRPr="00261675">
      <w:rPr>
        <w:rFonts w:ascii="Arial" w:hAnsi="Arial" w:cs="Arial"/>
        <w:b/>
        <w:sz w:val="48"/>
      </w:rPr>
      <w:tab/>
    </w:r>
    <w:r w:rsidRPr="00261675">
      <w:rPr>
        <w:rFonts w:ascii="Arial" w:hAnsi="Arial" w:cs="Arial"/>
        <w:b/>
        <w:sz w:val="48"/>
      </w:rPr>
      <w:tab/>
    </w:r>
    <w:r w:rsidRPr="00261675">
      <w:tab/>
    </w:r>
    <w:r w:rsidRPr="00261675">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4EAF" w14:textId="77777777" w:rsidR="00261675" w:rsidRPr="00261675" w:rsidRDefault="00261675" w:rsidP="00261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1992" w14:textId="4B8DD917" w:rsidR="00261675" w:rsidRPr="00261675" w:rsidRDefault="00261675" w:rsidP="00261675">
    <w:pPr>
      <w:pStyle w:val="Footer"/>
      <w:rPr>
        <w:rFonts w:ascii="Arial" w:hAnsi="Arial" w:cs="Arial"/>
        <w:b/>
        <w:sz w:val="48"/>
      </w:rPr>
    </w:pPr>
    <w:r w:rsidRPr="00261675">
      <w:rPr>
        <w:rFonts w:ascii="Arial" w:hAnsi="Arial" w:cs="Arial"/>
        <w:b/>
        <w:sz w:val="48"/>
      </w:rPr>
      <w:t>DE</w:t>
    </w:r>
    <w:r w:rsidRPr="0026167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261675">
      <w:tab/>
    </w:r>
    <w:r w:rsidRPr="00261675">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9411" w14:textId="77777777" w:rsidR="00261675" w:rsidRPr="00261675" w:rsidRDefault="00261675" w:rsidP="0026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CA00" w14:textId="77777777" w:rsidR="00BF6FCE" w:rsidRDefault="00BF6FCE">
      <w:r>
        <w:separator/>
      </w:r>
    </w:p>
  </w:footnote>
  <w:footnote w:type="continuationSeparator" w:id="0">
    <w:p w14:paraId="0924BF4E" w14:textId="77777777" w:rsidR="00BF6FCE" w:rsidRDefault="00BF6FCE">
      <w:r>
        <w:continuationSeparator/>
      </w:r>
    </w:p>
  </w:footnote>
  <w:footnote w:type="continuationNotice" w:id="1">
    <w:p w14:paraId="609716BE" w14:textId="77777777" w:rsidR="004F52B3" w:rsidRDefault="004F52B3">
      <w:pPr>
        <w:spacing w:before="0" w:after="0"/>
      </w:pPr>
    </w:p>
  </w:footnote>
  <w:footnote w:id="2">
    <w:p w14:paraId="29470365" w14:textId="77777777" w:rsidR="00F97099" w:rsidRPr="007B4CEE" w:rsidRDefault="00F97099">
      <w:pPr>
        <w:pStyle w:val="FootnoteText"/>
      </w:pPr>
      <w:r>
        <w:rPr>
          <w:rStyle w:val="FootnoteReference"/>
        </w:rPr>
        <w:footnoteRef/>
      </w:r>
      <w:r w:rsidRPr="007B4CEE">
        <w:tab/>
        <w:t>ABl. L 466 vom 29.12.2021, S. 1.</w:t>
      </w:r>
    </w:p>
  </w:footnote>
  <w:footnote w:id="3">
    <w:p w14:paraId="245A0D04" w14:textId="77777777" w:rsidR="004A5E08" w:rsidRPr="007B4CEE" w:rsidRDefault="004A5E08" w:rsidP="004A5E08">
      <w:pPr>
        <w:pStyle w:val="FootnoteText"/>
      </w:pPr>
      <w:r>
        <w:rPr>
          <w:rStyle w:val="FootnoteReference"/>
        </w:rPr>
        <w:footnoteRef/>
      </w:r>
      <w:r w:rsidRPr="007B4CEE">
        <w:tab/>
        <w:t>ABl. C 363 vom 13.12.2011, S. 6.</w:t>
      </w:r>
    </w:p>
  </w:footnote>
  <w:footnote w:id="4">
    <w:p w14:paraId="2DB20555" w14:textId="77777777" w:rsidR="00DD4CE4" w:rsidRPr="007B4CEE" w:rsidRDefault="00DD4CE4">
      <w:pPr>
        <w:pStyle w:val="FootnoteText"/>
      </w:pPr>
      <w:r>
        <w:rPr>
          <w:rStyle w:val="FootnoteReference"/>
        </w:rPr>
        <w:footnoteRef/>
      </w:r>
      <w:r w:rsidRPr="007B4CEE">
        <w:tab/>
        <w:t>https://taxation-customs.ec.europa.eu/system/files/2016-09/evaluation_suspensions_duties.pdf</w:t>
      </w:r>
    </w:p>
  </w:footnote>
  <w:footnote w:id="5">
    <w:p w14:paraId="21834E2B" w14:textId="77777777" w:rsidR="003A5FBC" w:rsidRPr="00605EE7" w:rsidRDefault="0075670A" w:rsidP="003A5FBC">
      <w:pPr>
        <w:pStyle w:val="FootnoteText"/>
      </w:pPr>
      <w:r>
        <w:rPr>
          <w:rStyle w:val="FootnoteReference"/>
        </w:rPr>
        <w:footnoteRef/>
      </w:r>
      <w:r w:rsidRPr="007B4CEE">
        <w:tab/>
        <w:t xml:space="preserve">Verordnung (EU) 2021/2278 des Rates vom 20. Dezember 2021 zur Aussetzung der in Artikel 56 Absatz 2 Buchstabe c der Verordnung (EU) Nr. 952/2013 genannten Zölle des Gemeinsamen Zolltarifs für bestimmte landwirtschaftliche und gewerbliche Waren und zur Aufhebung der Verordnung (EU) Nr. 1387/2013 (ABl. </w:t>
      </w:r>
      <w:r>
        <w:t>L 466 vom 29.12.2021, S. 1). ELI: </w:t>
      </w:r>
      <w:hyperlink r:id="rId1" w:tooltip="Ermöglicht den Zugriff auf dieses Dokument über seine ELI-URI." w:history="1">
        <w:r>
          <w:t>http://data.europa.eu/eli/reg/2021/2278/oj</w:t>
        </w:r>
      </w:hyperlink>
      <w:r>
        <w:t>).</w:t>
      </w:r>
    </w:p>
  </w:footnote>
  <w:footnote w:id="6">
    <w:p w14:paraId="455A9B9E" w14:textId="77777777" w:rsidR="0075670A" w:rsidRPr="00F41A39" w:rsidRDefault="0075670A" w:rsidP="0075670A">
      <w:pPr>
        <w:pStyle w:val="FootnoteText"/>
      </w:pPr>
      <w:r>
        <w:rPr>
          <w:rStyle w:val="FootnoteReference"/>
        </w:rPr>
        <w:footnoteRef/>
      </w:r>
      <w:r>
        <w:tab/>
        <w:t>Verordnung (EU) Nr. 952/2013 des Europäischen Parlaments und des Rates vom 9. Oktober 2013 zur Festlegung des Zollkodex der Union (ABl. L 269 vom 10.10.2013, S. 1). ELI: </w:t>
      </w:r>
      <w:hyperlink r:id="rId2" w:tooltip="Ermöglicht den Zugriff auf dieses Dokument über seine ELI-URI." w:history="1">
        <w:r>
          <w:rPr>
            <w:rStyle w:val="Hyperlink"/>
          </w:rPr>
          <w:t>http://data.europa.eu/eli/reg/2013/952/oj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63B5" w14:textId="77777777" w:rsidR="00261675" w:rsidRPr="00261675" w:rsidRDefault="00261675" w:rsidP="00261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57C7" w14:textId="77777777" w:rsidR="00261675" w:rsidRPr="00261675" w:rsidRDefault="00261675" w:rsidP="00261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92F5" w14:textId="77777777" w:rsidR="00261675" w:rsidRPr="00261675" w:rsidRDefault="00261675" w:rsidP="0026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B2CA9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4326C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B8E816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F20F3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24F1C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54259A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A1E91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72E117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79228582">
    <w:abstractNumId w:val="7"/>
  </w:num>
  <w:num w:numId="2" w16cid:durableId="38626716">
    <w:abstractNumId w:val="5"/>
  </w:num>
  <w:num w:numId="3" w16cid:durableId="275604565">
    <w:abstractNumId w:val="4"/>
  </w:num>
  <w:num w:numId="4" w16cid:durableId="1643147906">
    <w:abstractNumId w:val="3"/>
  </w:num>
  <w:num w:numId="5" w16cid:durableId="2005237588">
    <w:abstractNumId w:val="6"/>
  </w:num>
  <w:num w:numId="6" w16cid:durableId="398746944">
    <w:abstractNumId w:val="2"/>
  </w:num>
  <w:num w:numId="7" w16cid:durableId="60032571">
    <w:abstractNumId w:val="1"/>
  </w:num>
  <w:num w:numId="8" w16cid:durableId="1444152867">
    <w:abstractNumId w:val="0"/>
  </w:num>
  <w:num w:numId="9" w16cid:durableId="904683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7715298">
    <w:abstractNumId w:val="22"/>
    <w:lvlOverride w:ilvl="0">
      <w:startOverride w:val="1"/>
    </w:lvlOverride>
  </w:num>
  <w:num w:numId="11" w16cid:durableId="975917022">
    <w:abstractNumId w:val="20"/>
  </w:num>
  <w:num w:numId="12" w16cid:durableId="593974629">
    <w:abstractNumId w:val="22"/>
  </w:num>
  <w:num w:numId="13" w16cid:durableId="2043165265">
    <w:abstractNumId w:val="19"/>
  </w:num>
  <w:num w:numId="14" w16cid:durableId="1462384133">
    <w:abstractNumId w:val="12"/>
  </w:num>
  <w:num w:numId="15" w16cid:durableId="1752655693">
    <w:abstractNumId w:val="21"/>
  </w:num>
  <w:num w:numId="16" w16cid:durableId="221602518">
    <w:abstractNumId w:val="11"/>
  </w:num>
  <w:num w:numId="17" w16cid:durableId="568464046">
    <w:abstractNumId w:val="13"/>
  </w:num>
  <w:num w:numId="18" w16cid:durableId="1878010357">
    <w:abstractNumId w:val="14"/>
  </w:num>
  <w:num w:numId="19" w16cid:durableId="1745763627">
    <w:abstractNumId w:val="9"/>
  </w:num>
  <w:num w:numId="20" w16cid:durableId="362168682">
    <w:abstractNumId w:val="20"/>
  </w:num>
  <w:num w:numId="21" w16cid:durableId="1110660610">
    <w:abstractNumId w:val="8"/>
  </w:num>
  <w:num w:numId="22" w16cid:durableId="121313089">
    <w:abstractNumId w:val="15"/>
  </w:num>
  <w:num w:numId="23" w16cid:durableId="995913942">
    <w:abstractNumId w:val="17"/>
  </w:num>
  <w:num w:numId="24" w16cid:durableId="1183520780">
    <w:abstractNumId w:val="18"/>
  </w:num>
  <w:num w:numId="25" w16cid:durableId="1529756194">
    <w:abstractNumId w:val="10"/>
  </w:num>
  <w:num w:numId="26" w16cid:durableId="930161407">
    <w:abstractNumId w:val="16"/>
  </w:num>
  <w:num w:numId="27" w16cid:durableId="496071150">
    <w:abstractNumId w:val="22"/>
  </w:num>
  <w:num w:numId="28" w16cid:durableId="1128089066">
    <w:abstractNumId w:val="19"/>
  </w:num>
  <w:num w:numId="29" w16cid:durableId="1195924766">
    <w:abstractNumId w:val="12"/>
  </w:num>
  <w:num w:numId="30" w16cid:durableId="1754623948">
    <w:abstractNumId w:val="21"/>
  </w:num>
  <w:num w:numId="31" w16cid:durableId="1911957644">
    <w:abstractNumId w:val="11"/>
  </w:num>
  <w:num w:numId="32" w16cid:durableId="608707708">
    <w:abstractNumId w:val="13"/>
  </w:num>
  <w:num w:numId="33" w16cid:durableId="485632197">
    <w:abstractNumId w:val="14"/>
  </w:num>
  <w:num w:numId="34" w16cid:durableId="121072812">
    <w:abstractNumId w:val="9"/>
  </w:num>
  <w:num w:numId="35" w16cid:durableId="646670136">
    <w:abstractNumId w:val="20"/>
  </w:num>
  <w:num w:numId="36" w16cid:durableId="508567151">
    <w:abstractNumId w:val="8"/>
  </w:num>
  <w:num w:numId="37" w16cid:durableId="1475829762">
    <w:abstractNumId w:val="15"/>
  </w:num>
  <w:num w:numId="38" w16cid:durableId="1037388365">
    <w:abstractNumId w:val="17"/>
  </w:num>
  <w:num w:numId="39" w16cid:durableId="2004969823">
    <w:abstractNumId w:val="18"/>
  </w:num>
  <w:num w:numId="40" w16cid:durableId="898714089">
    <w:abstractNumId w:val="10"/>
  </w:num>
  <w:num w:numId="41" w16cid:durableId="403334693">
    <w:abstractNumId w:val="16"/>
  </w:num>
  <w:num w:numId="42" w16cid:durableId="37782572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fi-FI" w:vendorID="64" w:dllVersion="6" w:nlCheck="1" w:checkStyle="0"/>
  <w:activeWritingStyle w:appName="MSWord" w:lang="fi-FI" w:vendorID="64" w:dllVersion="0" w:nlCheck="1" w:checkStyle="0"/>
  <w:activeWritingStyle w:appName="MSWord" w:lang="cs-CZ"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sidérant" w:val="Considérant__1"/>
    <w:docVar w:name="Copylist_Path" w:val="\\at100\user\wk\SEILEG\Lw5x\Copylist\CecCons\Template"/>
    <w:docVar w:name="DQCDateTime" w:val="2024-05-16 10:47:0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63CD9B6-7E94-4FE7-B180-5D95ADFD8307"/>
    <w:docVar w:name="LW_COVERPAGE_TYPE" w:val="1"/>
    <w:docVar w:name="LW_CROSSREFERENCE" w:val="&lt;UNUSED&gt;"/>
    <w:docVar w:name="LW_DocType" w:val="COM"/>
    <w:docVar w:name="LW_EMISSION" w:val="16.5.2024"/>
    <w:docVar w:name="LW_EMISSION_ISODATE" w:val="2024-05-16"/>
    <w:docVar w:name="LW_EMISSION_LOCATION" w:val="BRX"/>
    <w:docVar w:name="LW_EMISSION_PREFIX" w:val="Brüssel, den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107"/>
    <w:docVar w:name="LW_REF.II.NEW.CP_YEAR" w:val="2024"/>
    <w:docVar w:name="LW_REF.INST.NEW" w:val="COM"/>
    <w:docVar w:name="LW_REF.INST.NEW_ADOPTED" w:val="final"/>
    <w:docVar w:name="LW_REF.INST.NEW_TEXT" w:val="(2024) 20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2021/2278 des Rates zur Aussetzung der in Artikel 56 Absatz 2 Buchstabe c der Verordnung (EU) Nr. 952/2013 des Europäischen Parlaments und des Rates genannten Zölle des Gemeinsamen Zolltarifs für bestimmte landwirtschaftliche und gewerbliche Waren"/>
    <w:docVar w:name="LW_TITRE.OBJ.CP_PREVIOUS" w:val="&lt;UNUSED&gt;"/>
    <w:docVar w:name="LW_TYPE.DOC.CP" w:val="VERORDNUNG DES RATES"/>
    <w:docVar w:name="LwApiVersions" w:val="LW4CoDe 1.24.5.0; LW 9.0, Build 20240221"/>
    <w:docVar w:name="VSSDB_IniPath" w:val="\\at100\user\wovo\SEILEG\vss\srcsafe.ini"/>
    <w:docVar w:name="VSSDB_ProjectPath" w:val="$/LegisWrite/DOT/COM"/>
  </w:docVars>
  <w:rsids>
    <w:rsidRoot w:val="00D34740"/>
    <w:rsid w:val="00004B01"/>
    <w:rsid w:val="00004CD3"/>
    <w:rsid w:val="00005907"/>
    <w:rsid w:val="0000704F"/>
    <w:rsid w:val="00012F6C"/>
    <w:rsid w:val="00014925"/>
    <w:rsid w:val="00015B39"/>
    <w:rsid w:val="00027532"/>
    <w:rsid w:val="00027C1B"/>
    <w:rsid w:val="00030E2C"/>
    <w:rsid w:val="00036EF7"/>
    <w:rsid w:val="00043514"/>
    <w:rsid w:val="00043D79"/>
    <w:rsid w:val="00052BDF"/>
    <w:rsid w:val="000628EE"/>
    <w:rsid w:val="0006316B"/>
    <w:rsid w:val="00063BFE"/>
    <w:rsid w:val="00065769"/>
    <w:rsid w:val="00066EE5"/>
    <w:rsid w:val="00074F2F"/>
    <w:rsid w:val="00077AC1"/>
    <w:rsid w:val="0008014F"/>
    <w:rsid w:val="00080A36"/>
    <w:rsid w:val="00082AF2"/>
    <w:rsid w:val="00082CC3"/>
    <w:rsid w:val="000849C8"/>
    <w:rsid w:val="0008763E"/>
    <w:rsid w:val="000908B3"/>
    <w:rsid w:val="00092294"/>
    <w:rsid w:val="000937A5"/>
    <w:rsid w:val="000A0FEC"/>
    <w:rsid w:val="000A22D5"/>
    <w:rsid w:val="000A51B0"/>
    <w:rsid w:val="000B0DC4"/>
    <w:rsid w:val="000B7E7B"/>
    <w:rsid w:val="000C2192"/>
    <w:rsid w:val="000C52AD"/>
    <w:rsid w:val="000D351A"/>
    <w:rsid w:val="000D71B5"/>
    <w:rsid w:val="000D74CE"/>
    <w:rsid w:val="000E030F"/>
    <w:rsid w:val="000E2825"/>
    <w:rsid w:val="000E3141"/>
    <w:rsid w:val="000F1874"/>
    <w:rsid w:val="000F1B4C"/>
    <w:rsid w:val="000F6CCD"/>
    <w:rsid w:val="00102D23"/>
    <w:rsid w:val="001048E2"/>
    <w:rsid w:val="00105CF0"/>
    <w:rsid w:val="00106175"/>
    <w:rsid w:val="00106B04"/>
    <w:rsid w:val="00110F44"/>
    <w:rsid w:val="00113872"/>
    <w:rsid w:val="00114503"/>
    <w:rsid w:val="00115AC1"/>
    <w:rsid w:val="001167B1"/>
    <w:rsid w:val="00124213"/>
    <w:rsid w:val="00125406"/>
    <w:rsid w:val="0013507F"/>
    <w:rsid w:val="00137F38"/>
    <w:rsid w:val="00140418"/>
    <w:rsid w:val="00141685"/>
    <w:rsid w:val="00141F5E"/>
    <w:rsid w:val="001469B9"/>
    <w:rsid w:val="00151B11"/>
    <w:rsid w:val="00151C93"/>
    <w:rsid w:val="00151F04"/>
    <w:rsid w:val="001522A0"/>
    <w:rsid w:val="001536A7"/>
    <w:rsid w:val="001570EF"/>
    <w:rsid w:val="00160BC2"/>
    <w:rsid w:val="00160DBF"/>
    <w:rsid w:val="001614B1"/>
    <w:rsid w:val="00162E5B"/>
    <w:rsid w:val="00167B43"/>
    <w:rsid w:val="001720FB"/>
    <w:rsid w:val="001721B8"/>
    <w:rsid w:val="001730F9"/>
    <w:rsid w:val="00173B7F"/>
    <w:rsid w:val="00176841"/>
    <w:rsid w:val="00176AA4"/>
    <w:rsid w:val="00180CB6"/>
    <w:rsid w:val="00181A9B"/>
    <w:rsid w:val="0018661C"/>
    <w:rsid w:val="001940D8"/>
    <w:rsid w:val="00195D99"/>
    <w:rsid w:val="001A0AB5"/>
    <w:rsid w:val="001A39BD"/>
    <w:rsid w:val="001A47F7"/>
    <w:rsid w:val="001A680C"/>
    <w:rsid w:val="001B20C7"/>
    <w:rsid w:val="001B2D61"/>
    <w:rsid w:val="001B31DC"/>
    <w:rsid w:val="001B5DC5"/>
    <w:rsid w:val="001C19F7"/>
    <w:rsid w:val="001D1F4F"/>
    <w:rsid w:val="001D28EB"/>
    <w:rsid w:val="001D2AE4"/>
    <w:rsid w:val="001D7621"/>
    <w:rsid w:val="001E0B23"/>
    <w:rsid w:val="001E0B57"/>
    <w:rsid w:val="001E1216"/>
    <w:rsid w:val="001E5809"/>
    <w:rsid w:val="001E5A41"/>
    <w:rsid w:val="001E6B33"/>
    <w:rsid w:val="001F1AC9"/>
    <w:rsid w:val="00200E6D"/>
    <w:rsid w:val="002019B6"/>
    <w:rsid w:val="00203B17"/>
    <w:rsid w:val="00204F34"/>
    <w:rsid w:val="00206290"/>
    <w:rsid w:val="00206B9C"/>
    <w:rsid w:val="00210953"/>
    <w:rsid w:val="002133F8"/>
    <w:rsid w:val="002167F3"/>
    <w:rsid w:val="00220003"/>
    <w:rsid w:val="00222A8F"/>
    <w:rsid w:val="0022487F"/>
    <w:rsid w:val="00231491"/>
    <w:rsid w:val="00234FA1"/>
    <w:rsid w:val="002372EF"/>
    <w:rsid w:val="00242C1C"/>
    <w:rsid w:val="00244BEA"/>
    <w:rsid w:val="00246810"/>
    <w:rsid w:val="00250E99"/>
    <w:rsid w:val="00257A1A"/>
    <w:rsid w:val="00261675"/>
    <w:rsid w:val="00265CB7"/>
    <w:rsid w:val="00267429"/>
    <w:rsid w:val="00272122"/>
    <w:rsid w:val="002727E3"/>
    <w:rsid w:val="0027443F"/>
    <w:rsid w:val="00281975"/>
    <w:rsid w:val="0028347A"/>
    <w:rsid w:val="00284102"/>
    <w:rsid w:val="00285D45"/>
    <w:rsid w:val="002867EA"/>
    <w:rsid w:val="0029182F"/>
    <w:rsid w:val="0029517E"/>
    <w:rsid w:val="00296450"/>
    <w:rsid w:val="002A0D37"/>
    <w:rsid w:val="002A75C0"/>
    <w:rsid w:val="002B1FAD"/>
    <w:rsid w:val="002B24EA"/>
    <w:rsid w:val="002C7D0C"/>
    <w:rsid w:val="002D097B"/>
    <w:rsid w:val="002D4F29"/>
    <w:rsid w:val="002D730C"/>
    <w:rsid w:val="002E061F"/>
    <w:rsid w:val="002F0044"/>
    <w:rsid w:val="002F0128"/>
    <w:rsid w:val="002F41D8"/>
    <w:rsid w:val="002F7C22"/>
    <w:rsid w:val="00305B90"/>
    <w:rsid w:val="00307B89"/>
    <w:rsid w:val="0031113D"/>
    <w:rsid w:val="00311487"/>
    <w:rsid w:val="00314D3A"/>
    <w:rsid w:val="00316660"/>
    <w:rsid w:val="00316B51"/>
    <w:rsid w:val="00316D2F"/>
    <w:rsid w:val="00321631"/>
    <w:rsid w:val="00333C0D"/>
    <w:rsid w:val="00335BA8"/>
    <w:rsid w:val="00342FAD"/>
    <w:rsid w:val="00343141"/>
    <w:rsid w:val="00343EE8"/>
    <w:rsid w:val="0034460A"/>
    <w:rsid w:val="00344C1C"/>
    <w:rsid w:val="00347CCE"/>
    <w:rsid w:val="003517C3"/>
    <w:rsid w:val="0036432E"/>
    <w:rsid w:val="00371CA8"/>
    <w:rsid w:val="00377F02"/>
    <w:rsid w:val="003821F7"/>
    <w:rsid w:val="00390288"/>
    <w:rsid w:val="00397612"/>
    <w:rsid w:val="00397A94"/>
    <w:rsid w:val="003A5FBC"/>
    <w:rsid w:val="003B0BDD"/>
    <w:rsid w:val="003B29D1"/>
    <w:rsid w:val="003B49E4"/>
    <w:rsid w:val="003B5C98"/>
    <w:rsid w:val="003B6B9F"/>
    <w:rsid w:val="003C191B"/>
    <w:rsid w:val="003C2A9D"/>
    <w:rsid w:val="003C4FD7"/>
    <w:rsid w:val="003C51EE"/>
    <w:rsid w:val="003D2939"/>
    <w:rsid w:val="003D2BFA"/>
    <w:rsid w:val="003D5212"/>
    <w:rsid w:val="003E0841"/>
    <w:rsid w:val="003E0C68"/>
    <w:rsid w:val="003E2851"/>
    <w:rsid w:val="003E296E"/>
    <w:rsid w:val="003E4445"/>
    <w:rsid w:val="003F0950"/>
    <w:rsid w:val="003F49FA"/>
    <w:rsid w:val="003F77DB"/>
    <w:rsid w:val="004027DA"/>
    <w:rsid w:val="0040317C"/>
    <w:rsid w:val="004046C0"/>
    <w:rsid w:val="004104B5"/>
    <w:rsid w:val="00417EA9"/>
    <w:rsid w:val="00422DD6"/>
    <w:rsid w:val="004243B9"/>
    <w:rsid w:val="00424639"/>
    <w:rsid w:val="00431600"/>
    <w:rsid w:val="0043214B"/>
    <w:rsid w:val="00434F7E"/>
    <w:rsid w:val="00435A09"/>
    <w:rsid w:val="00437683"/>
    <w:rsid w:val="00446BC1"/>
    <w:rsid w:val="0044783B"/>
    <w:rsid w:val="00447C0A"/>
    <w:rsid w:val="00456421"/>
    <w:rsid w:val="00457F26"/>
    <w:rsid w:val="00462844"/>
    <w:rsid w:val="0046295A"/>
    <w:rsid w:val="004743C8"/>
    <w:rsid w:val="004750DE"/>
    <w:rsid w:val="004765E7"/>
    <w:rsid w:val="00482DC9"/>
    <w:rsid w:val="00483B09"/>
    <w:rsid w:val="00485790"/>
    <w:rsid w:val="00490BB0"/>
    <w:rsid w:val="004928A8"/>
    <w:rsid w:val="004948C9"/>
    <w:rsid w:val="00494D5B"/>
    <w:rsid w:val="004950F3"/>
    <w:rsid w:val="004967C1"/>
    <w:rsid w:val="004A1AED"/>
    <w:rsid w:val="004A4F82"/>
    <w:rsid w:val="004A5E08"/>
    <w:rsid w:val="004A68DF"/>
    <w:rsid w:val="004A68F4"/>
    <w:rsid w:val="004B1233"/>
    <w:rsid w:val="004B173F"/>
    <w:rsid w:val="004B19B8"/>
    <w:rsid w:val="004B2A79"/>
    <w:rsid w:val="004B3151"/>
    <w:rsid w:val="004B42D0"/>
    <w:rsid w:val="004B4585"/>
    <w:rsid w:val="004B7413"/>
    <w:rsid w:val="004C17AC"/>
    <w:rsid w:val="004E3C1E"/>
    <w:rsid w:val="004E3F2A"/>
    <w:rsid w:val="004E5227"/>
    <w:rsid w:val="004E5B9A"/>
    <w:rsid w:val="004E798F"/>
    <w:rsid w:val="004F27CB"/>
    <w:rsid w:val="004F4174"/>
    <w:rsid w:val="004F52B3"/>
    <w:rsid w:val="005032E0"/>
    <w:rsid w:val="00505534"/>
    <w:rsid w:val="00513B6A"/>
    <w:rsid w:val="00515022"/>
    <w:rsid w:val="00516CC3"/>
    <w:rsid w:val="005306DC"/>
    <w:rsid w:val="00533EC0"/>
    <w:rsid w:val="00534E79"/>
    <w:rsid w:val="00536360"/>
    <w:rsid w:val="0053677C"/>
    <w:rsid w:val="00536CDE"/>
    <w:rsid w:val="00536EB8"/>
    <w:rsid w:val="0054341B"/>
    <w:rsid w:val="00545F54"/>
    <w:rsid w:val="00552A61"/>
    <w:rsid w:val="00554427"/>
    <w:rsid w:val="00556131"/>
    <w:rsid w:val="00556C2A"/>
    <w:rsid w:val="00557303"/>
    <w:rsid w:val="00557D17"/>
    <w:rsid w:val="00557E41"/>
    <w:rsid w:val="0056212B"/>
    <w:rsid w:val="005630B4"/>
    <w:rsid w:val="00565626"/>
    <w:rsid w:val="00570620"/>
    <w:rsid w:val="0057183F"/>
    <w:rsid w:val="00572309"/>
    <w:rsid w:val="00572D0C"/>
    <w:rsid w:val="00573773"/>
    <w:rsid w:val="00575D28"/>
    <w:rsid w:val="005800A7"/>
    <w:rsid w:val="005827F4"/>
    <w:rsid w:val="0058302E"/>
    <w:rsid w:val="0058713A"/>
    <w:rsid w:val="005917C2"/>
    <w:rsid w:val="005A22CC"/>
    <w:rsid w:val="005C6E62"/>
    <w:rsid w:val="005D0223"/>
    <w:rsid w:val="005D7536"/>
    <w:rsid w:val="005E3D26"/>
    <w:rsid w:val="005E4AC4"/>
    <w:rsid w:val="005E7631"/>
    <w:rsid w:val="005F02CA"/>
    <w:rsid w:val="005F14DD"/>
    <w:rsid w:val="005F15E1"/>
    <w:rsid w:val="00603B2F"/>
    <w:rsid w:val="00604044"/>
    <w:rsid w:val="00610D5A"/>
    <w:rsid w:val="0061133F"/>
    <w:rsid w:val="006124EC"/>
    <w:rsid w:val="00613068"/>
    <w:rsid w:val="00616511"/>
    <w:rsid w:val="00622EB3"/>
    <w:rsid w:val="00623896"/>
    <w:rsid w:val="006263FB"/>
    <w:rsid w:val="0063443A"/>
    <w:rsid w:val="00636A74"/>
    <w:rsid w:val="00647F20"/>
    <w:rsid w:val="006509F9"/>
    <w:rsid w:val="0065201D"/>
    <w:rsid w:val="006557D7"/>
    <w:rsid w:val="00665B88"/>
    <w:rsid w:val="0066641C"/>
    <w:rsid w:val="00672651"/>
    <w:rsid w:val="0068045C"/>
    <w:rsid w:val="006907A5"/>
    <w:rsid w:val="006944B0"/>
    <w:rsid w:val="00697FD8"/>
    <w:rsid w:val="006A1313"/>
    <w:rsid w:val="006A25CD"/>
    <w:rsid w:val="006B1B18"/>
    <w:rsid w:val="006B1C39"/>
    <w:rsid w:val="006B3BB4"/>
    <w:rsid w:val="006B7E98"/>
    <w:rsid w:val="006D3622"/>
    <w:rsid w:val="006D6253"/>
    <w:rsid w:val="006D6918"/>
    <w:rsid w:val="006E7AE9"/>
    <w:rsid w:val="006F170F"/>
    <w:rsid w:val="006F49F9"/>
    <w:rsid w:val="006F6209"/>
    <w:rsid w:val="006F6358"/>
    <w:rsid w:val="006F6E13"/>
    <w:rsid w:val="00701A9C"/>
    <w:rsid w:val="007028D1"/>
    <w:rsid w:val="00703F74"/>
    <w:rsid w:val="007067C4"/>
    <w:rsid w:val="00711F38"/>
    <w:rsid w:val="007171BB"/>
    <w:rsid w:val="007205AC"/>
    <w:rsid w:val="0072315B"/>
    <w:rsid w:val="0072318B"/>
    <w:rsid w:val="0072364D"/>
    <w:rsid w:val="00724273"/>
    <w:rsid w:val="00726715"/>
    <w:rsid w:val="00727F7C"/>
    <w:rsid w:val="00752CEB"/>
    <w:rsid w:val="00754351"/>
    <w:rsid w:val="0075670A"/>
    <w:rsid w:val="007569E6"/>
    <w:rsid w:val="007577A7"/>
    <w:rsid w:val="0076036C"/>
    <w:rsid w:val="00760956"/>
    <w:rsid w:val="00761438"/>
    <w:rsid w:val="00762B15"/>
    <w:rsid w:val="007714BE"/>
    <w:rsid w:val="0077213A"/>
    <w:rsid w:val="007769F3"/>
    <w:rsid w:val="00777822"/>
    <w:rsid w:val="0078056D"/>
    <w:rsid w:val="00780BD6"/>
    <w:rsid w:val="00781842"/>
    <w:rsid w:val="00781FC8"/>
    <w:rsid w:val="00783A4B"/>
    <w:rsid w:val="0078685C"/>
    <w:rsid w:val="00790B93"/>
    <w:rsid w:val="00791D87"/>
    <w:rsid w:val="0079248F"/>
    <w:rsid w:val="0079387C"/>
    <w:rsid w:val="0079613F"/>
    <w:rsid w:val="007A1945"/>
    <w:rsid w:val="007A5FED"/>
    <w:rsid w:val="007B0476"/>
    <w:rsid w:val="007B47BA"/>
    <w:rsid w:val="007B4CEE"/>
    <w:rsid w:val="007B57A2"/>
    <w:rsid w:val="007B7F96"/>
    <w:rsid w:val="007C01C2"/>
    <w:rsid w:val="007C0777"/>
    <w:rsid w:val="007C24D6"/>
    <w:rsid w:val="007C4C57"/>
    <w:rsid w:val="007C502C"/>
    <w:rsid w:val="007C5CC2"/>
    <w:rsid w:val="007C64ED"/>
    <w:rsid w:val="007D3734"/>
    <w:rsid w:val="007D6879"/>
    <w:rsid w:val="007D7EEF"/>
    <w:rsid w:val="007E042C"/>
    <w:rsid w:val="007E30A2"/>
    <w:rsid w:val="007E4D8A"/>
    <w:rsid w:val="007E7B76"/>
    <w:rsid w:val="007F011E"/>
    <w:rsid w:val="007F218A"/>
    <w:rsid w:val="007F3711"/>
    <w:rsid w:val="007F51A2"/>
    <w:rsid w:val="007F6D7A"/>
    <w:rsid w:val="007F7CC3"/>
    <w:rsid w:val="00802137"/>
    <w:rsid w:val="0080307B"/>
    <w:rsid w:val="008036BE"/>
    <w:rsid w:val="0080600E"/>
    <w:rsid w:val="0080618D"/>
    <w:rsid w:val="0081054B"/>
    <w:rsid w:val="008124C1"/>
    <w:rsid w:val="008134CA"/>
    <w:rsid w:val="00825EF3"/>
    <w:rsid w:val="00826FEB"/>
    <w:rsid w:val="008317E0"/>
    <w:rsid w:val="00835AD9"/>
    <w:rsid w:val="00836076"/>
    <w:rsid w:val="00836529"/>
    <w:rsid w:val="0084080D"/>
    <w:rsid w:val="00840C8B"/>
    <w:rsid w:val="008429C3"/>
    <w:rsid w:val="00851DBA"/>
    <w:rsid w:val="00851ED3"/>
    <w:rsid w:val="00851EEE"/>
    <w:rsid w:val="00854F65"/>
    <w:rsid w:val="00855046"/>
    <w:rsid w:val="00857CB1"/>
    <w:rsid w:val="008620FD"/>
    <w:rsid w:val="00866201"/>
    <w:rsid w:val="00866B33"/>
    <w:rsid w:val="00871287"/>
    <w:rsid w:val="00872DBE"/>
    <w:rsid w:val="00873254"/>
    <w:rsid w:val="00884D6C"/>
    <w:rsid w:val="0088623A"/>
    <w:rsid w:val="0089086D"/>
    <w:rsid w:val="008920A9"/>
    <w:rsid w:val="00892E17"/>
    <w:rsid w:val="00894A80"/>
    <w:rsid w:val="008958A4"/>
    <w:rsid w:val="00896BFE"/>
    <w:rsid w:val="008A2478"/>
    <w:rsid w:val="008B21CE"/>
    <w:rsid w:val="008B59D0"/>
    <w:rsid w:val="008B6A0E"/>
    <w:rsid w:val="008B6D24"/>
    <w:rsid w:val="008B7DF7"/>
    <w:rsid w:val="008C31CB"/>
    <w:rsid w:val="008C58CA"/>
    <w:rsid w:val="008D00C3"/>
    <w:rsid w:val="008D0100"/>
    <w:rsid w:val="008D1EDF"/>
    <w:rsid w:val="008D7631"/>
    <w:rsid w:val="008E049B"/>
    <w:rsid w:val="008E2415"/>
    <w:rsid w:val="008E3D8A"/>
    <w:rsid w:val="008E465A"/>
    <w:rsid w:val="008F7630"/>
    <w:rsid w:val="008F7D83"/>
    <w:rsid w:val="00901BAB"/>
    <w:rsid w:val="00901CBD"/>
    <w:rsid w:val="00902B30"/>
    <w:rsid w:val="00906C7A"/>
    <w:rsid w:val="00927729"/>
    <w:rsid w:val="009278B8"/>
    <w:rsid w:val="00930752"/>
    <w:rsid w:val="0093577A"/>
    <w:rsid w:val="00936205"/>
    <w:rsid w:val="009403B5"/>
    <w:rsid w:val="00943DE8"/>
    <w:rsid w:val="00945B2C"/>
    <w:rsid w:val="00950A7C"/>
    <w:rsid w:val="00952991"/>
    <w:rsid w:val="0095367B"/>
    <w:rsid w:val="00954308"/>
    <w:rsid w:val="00960033"/>
    <w:rsid w:val="00960263"/>
    <w:rsid w:val="00961A8D"/>
    <w:rsid w:val="00963B28"/>
    <w:rsid w:val="00965095"/>
    <w:rsid w:val="0098355C"/>
    <w:rsid w:val="00983710"/>
    <w:rsid w:val="00990EF1"/>
    <w:rsid w:val="009923B6"/>
    <w:rsid w:val="00995446"/>
    <w:rsid w:val="0099670E"/>
    <w:rsid w:val="009A1D49"/>
    <w:rsid w:val="009A1DC7"/>
    <w:rsid w:val="009A2916"/>
    <w:rsid w:val="009A5A68"/>
    <w:rsid w:val="009A5CFD"/>
    <w:rsid w:val="009B0F67"/>
    <w:rsid w:val="009B568D"/>
    <w:rsid w:val="009B6CD5"/>
    <w:rsid w:val="009C1423"/>
    <w:rsid w:val="009F52A7"/>
    <w:rsid w:val="009F5BF7"/>
    <w:rsid w:val="009F5CDC"/>
    <w:rsid w:val="00A021CA"/>
    <w:rsid w:val="00A0250F"/>
    <w:rsid w:val="00A0391A"/>
    <w:rsid w:val="00A0574D"/>
    <w:rsid w:val="00A05E26"/>
    <w:rsid w:val="00A07FFB"/>
    <w:rsid w:val="00A138FE"/>
    <w:rsid w:val="00A26947"/>
    <w:rsid w:val="00A27765"/>
    <w:rsid w:val="00A30574"/>
    <w:rsid w:val="00A30AC9"/>
    <w:rsid w:val="00A30B22"/>
    <w:rsid w:val="00A3307A"/>
    <w:rsid w:val="00A33393"/>
    <w:rsid w:val="00A3377C"/>
    <w:rsid w:val="00A3578E"/>
    <w:rsid w:val="00A41FD4"/>
    <w:rsid w:val="00A425D5"/>
    <w:rsid w:val="00A42CE9"/>
    <w:rsid w:val="00A43B63"/>
    <w:rsid w:val="00A51310"/>
    <w:rsid w:val="00A5189C"/>
    <w:rsid w:val="00A52375"/>
    <w:rsid w:val="00A5358D"/>
    <w:rsid w:val="00A54779"/>
    <w:rsid w:val="00A55403"/>
    <w:rsid w:val="00A56DFD"/>
    <w:rsid w:val="00A6591C"/>
    <w:rsid w:val="00A70D0A"/>
    <w:rsid w:val="00A723F6"/>
    <w:rsid w:val="00A73910"/>
    <w:rsid w:val="00A7753A"/>
    <w:rsid w:val="00A81B19"/>
    <w:rsid w:val="00A84AF4"/>
    <w:rsid w:val="00A8593B"/>
    <w:rsid w:val="00A86B3D"/>
    <w:rsid w:val="00A9172A"/>
    <w:rsid w:val="00A950AA"/>
    <w:rsid w:val="00A9528B"/>
    <w:rsid w:val="00AA5FC8"/>
    <w:rsid w:val="00AA6EE4"/>
    <w:rsid w:val="00AA7D4E"/>
    <w:rsid w:val="00AB00FF"/>
    <w:rsid w:val="00AB0E8F"/>
    <w:rsid w:val="00AB21FF"/>
    <w:rsid w:val="00AB2A22"/>
    <w:rsid w:val="00AB4C0E"/>
    <w:rsid w:val="00AB5685"/>
    <w:rsid w:val="00AD11B8"/>
    <w:rsid w:val="00AD26AD"/>
    <w:rsid w:val="00AE36D6"/>
    <w:rsid w:val="00AE399E"/>
    <w:rsid w:val="00AE3C96"/>
    <w:rsid w:val="00AE7D0E"/>
    <w:rsid w:val="00AF53CB"/>
    <w:rsid w:val="00AF5977"/>
    <w:rsid w:val="00AF72B9"/>
    <w:rsid w:val="00B0129E"/>
    <w:rsid w:val="00B155CE"/>
    <w:rsid w:val="00B155EB"/>
    <w:rsid w:val="00B23B2B"/>
    <w:rsid w:val="00B24603"/>
    <w:rsid w:val="00B2731D"/>
    <w:rsid w:val="00B31C05"/>
    <w:rsid w:val="00B32F27"/>
    <w:rsid w:val="00B401EA"/>
    <w:rsid w:val="00B4136B"/>
    <w:rsid w:val="00B4201D"/>
    <w:rsid w:val="00B42348"/>
    <w:rsid w:val="00B4287B"/>
    <w:rsid w:val="00B4328F"/>
    <w:rsid w:val="00B43B45"/>
    <w:rsid w:val="00B43E9B"/>
    <w:rsid w:val="00B46FCF"/>
    <w:rsid w:val="00B47313"/>
    <w:rsid w:val="00B47A18"/>
    <w:rsid w:val="00B5716B"/>
    <w:rsid w:val="00B57432"/>
    <w:rsid w:val="00B60D09"/>
    <w:rsid w:val="00B60FB7"/>
    <w:rsid w:val="00B611EF"/>
    <w:rsid w:val="00B64D8A"/>
    <w:rsid w:val="00B65F09"/>
    <w:rsid w:val="00B7062A"/>
    <w:rsid w:val="00B7170A"/>
    <w:rsid w:val="00B74903"/>
    <w:rsid w:val="00B776B8"/>
    <w:rsid w:val="00B82B5A"/>
    <w:rsid w:val="00B840C6"/>
    <w:rsid w:val="00B85326"/>
    <w:rsid w:val="00B937B8"/>
    <w:rsid w:val="00B93F30"/>
    <w:rsid w:val="00BA1435"/>
    <w:rsid w:val="00BA301D"/>
    <w:rsid w:val="00BA5259"/>
    <w:rsid w:val="00BA5F70"/>
    <w:rsid w:val="00BA733D"/>
    <w:rsid w:val="00BB0A88"/>
    <w:rsid w:val="00BB311D"/>
    <w:rsid w:val="00BB3D2D"/>
    <w:rsid w:val="00BB5DB5"/>
    <w:rsid w:val="00BD190A"/>
    <w:rsid w:val="00BD745C"/>
    <w:rsid w:val="00BE01B6"/>
    <w:rsid w:val="00BE16FB"/>
    <w:rsid w:val="00BE5B18"/>
    <w:rsid w:val="00BE5D08"/>
    <w:rsid w:val="00BE6896"/>
    <w:rsid w:val="00BE77C0"/>
    <w:rsid w:val="00BF4AD0"/>
    <w:rsid w:val="00BF4B0F"/>
    <w:rsid w:val="00BF4D44"/>
    <w:rsid w:val="00BF5C41"/>
    <w:rsid w:val="00BF6FCE"/>
    <w:rsid w:val="00BF7E71"/>
    <w:rsid w:val="00C01915"/>
    <w:rsid w:val="00C05AF8"/>
    <w:rsid w:val="00C0757D"/>
    <w:rsid w:val="00C16017"/>
    <w:rsid w:val="00C20B67"/>
    <w:rsid w:val="00C212A2"/>
    <w:rsid w:val="00C23A12"/>
    <w:rsid w:val="00C26331"/>
    <w:rsid w:val="00C301DF"/>
    <w:rsid w:val="00C44844"/>
    <w:rsid w:val="00C44E4A"/>
    <w:rsid w:val="00C46E32"/>
    <w:rsid w:val="00C47DCE"/>
    <w:rsid w:val="00C559E0"/>
    <w:rsid w:val="00C56AC3"/>
    <w:rsid w:val="00C5701C"/>
    <w:rsid w:val="00C636D2"/>
    <w:rsid w:val="00C643E3"/>
    <w:rsid w:val="00C7676A"/>
    <w:rsid w:val="00C76C18"/>
    <w:rsid w:val="00C7719F"/>
    <w:rsid w:val="00C801BC"/>
    <w:rsid w:val="00C813FA"/>
    <w:rsid w:val="00C82195"/>
    <w:rsid w:val="00C82685"/>
    <w:rsid w:val="00C83DEA"/>
    <w:rsid w:val="00C84B22"/>
    <w:rsid w:val="00C850A5"/>
    <w:rsid w:val="00CA0E5E"/>
    <w:rsid w:val="00CA38E5"/>
    <w:rsid w:val="00CA5A78"/>
    <w:rsid w:val="00CA67F5"/>
    <w:rsid w:val="00CB23CB"/>
    <w:rsid w:val="00CB453E"/>
    <w:rsid w:val="00CB4B1C"/>
    <w:rsid w:val="00CB5DD2"/>
    <w:rsid w:val="00CB64A7"/>
    <w:rsid w:val="00CC47E0"/>
    <w:rsid w:val="00CC6612"/>
    <w:rsid w:val="00CC7AB4"/>
    <w:rsid w:val="00CC7B4C"/>
    <w:rsid w:val="00CD0D5E"/>
    <w:rsid w:val="00CD0F95"/>
    <w:rsid w:val="00CD392B"/>
    <w:rsid w:val="00CD5F9D"/>
    <w:rsid w:val="00CE24DF"/>
    <w:rsid w:val="00CE5433"/>
    <w:rsid w:val="00CE64C9"/>
    <w:rsid w:val="00CE7CAD"/>
    <w:rsid w:val="00CE7CCF"/>
    <w:rsid w:val="00CF5E9C"/>
    <w:rsid w:val="00D03045"/>
    <w:rsid w:val="00D0440A"/>
    <w:rsid w:val="00D048D6"/>
    <w:rsid w:val="00D11892"/>
    <w:rsid w:val="00D12D4F"/>
    <w:rsid w:val="00D15A81"/>
    <w:rsid w:val="00D163B0"/>
    <w:rsid w:val="00D2112D"/>
    <w:rsid w:val="00D22681"/>
    <w:rsid w:val="00D23638"/>
    <w:rsid w:val="00D25A0E"/>
    <w:rsid w:val="00D25FE0"/>
    <w:rsid w:val="00D2716F"/>
    <w:rsid w:val="00D27289"/>
    <w:rsid w:val="00D31E8E"/>
    <w:rsid w:val="00D34740"/>
    <w:rsid w:val="00D35332"/>
    <w:rsid w:val="00D36BB8"/>
    <w:rsid w:val="00D42C2F"/>
    <w:rsid w:val="00D4568B"/>
    <w:rsid w:val="00D46619"/>
    <w:rsid w:val="00D578FB"/>
    <w:rsid w:val="00D6126D"/>
    <w:rsid w:val="00D7227E"/>
    <w:rsid w:val="00D735B9"/>
    <w:rsid w:val="00D7536D"/>
    <w:rsid w:val="00D7668A"/>
    <w:rsid w:val="00D802BE"/>
    <w:rsid w:val="00D810AA"/>
    <w:rsid w:val="00D877E2"/>
    <w:rsid w:val="00D95BA9"/>
    <w:rsid w:val="00DA15D4"/>
    <w:rsid w:val="00DA1FB4"/>
    <w:rsid w:val="00DB2594"/>
    <w:rsid w:val="00DB38D5"/>
    <w:rsid w:val="00DB6547"/>
    <w:rsid w:val="00DB7940"/>
    <w:rsid w:val="00DC2A80"/>
    <w:rsid w:val="00DC38CE"/>
    <w:rsid w:val="00DC3900"/>
    <w:rsid w:val="00DC5450"/>
    <w:rsid w:val="00DD03E9"/>
    <w:rsid w:val="00DD3A2A"/>
    <w:rsid w:val="00DD4CE4"/>
    <w:rsid w:val="00DE1FAD"/>
    <w:rsid w:val="00DF2C0E"/>
    <w:rsid w:val="00DF735C"/>
    <w:rsid w:val="00E013AC"/>
    <w:rsid w:val="00E03173"/>
    <w:rsid w:val="00E03A45"/>
    <w:rsid w:val="00E0734E"/>
    <w:rsid w:val="00E07881"/>
    <w:rsid w:val="00E13D01"/>
    <w:rsid w:val="00E16D71"/>
    <w:rsid w:val="00E2454B"/>
    <w:rsid w:val="00E3019E"/>
    <w:rsid w:val="00E352C3"/>
    <w:rsid w:val="00E44150"/>
    <w:rsid w:val="00E45608"/>
    <w:rsid w:val="00E45777"/>
    <w:rsid w:val="00E614DC"/>
    <w:rsid w:val="00E64044"/>
    <w:rsid w:val="00E6668F"/>
    <w:rsid w:val="00E75B44"/>
    <w:rsid w:val="00E76EA5"/>
    <w:rsid w:val="00E85CA4"/>
    <w:rsid w:val="00E90BBB"/>
    <w:rsid w:val="00E93A3D"/>
    <w:rsid w:val="00E942BB"/>
    <w:rsid w:val="00E94D8C"/>
    <w:rsid w:val="00E950CB"/>
    <w:rsid w:val="00E959D3"/>
    <w:rsid w:val="00EA02FB"/>
    <w:rsid w:val="00EA2C9C"/>
    <w:rsid w:val="00EA4A5C"/>
    <w:rsid w:val="00EA7595"/>
    <w:rsid w:val="00EB4532"/>
    <w:rsid w:val="00EB77D1"/>
    <w:rsid w:val="00EC1365"/>
    <w:rsid w:val="00ED208E"/>
    <w:rsid w:val="00ED6BF1"/>
    <w:rsid w:val="00EE5089"/>
    <w:rsid w:val="00EF0969"/>
    <w:rsid w:val="00EF467D"/>
    <w:rsid w:val="00EF4F29"/>
    <w:rsid w:val="00F019F2"/>
    <w:rsid w:val="00F04026"/>
    <w:rsid w:val="00F06101"/>
    <w:rsid w:val="00F15542"/>
    <w:rsid w:val="00F16F1C"/>
    <w:rsid w:val="00F16F6D"/>
    <w:rsid w:val="00F21594"/>
    <w:rsid w:val="00F25212"/>
    <w:rsid w:val="00F25717"/>
    <w:rsid w:val="00F25B9E"/>
    <w:rsid w:val="00F31EF9"/>
    <w:rsid w:val="00F32FFE"/>
    <w:rsid w:val="00F42165"/>
    <w:rsid w:val="00F43AC6"/>
    <w:rsid w:val="00F507AB"/>
    <w:rsid w:val="00F65DE7"/>
    <w:rsid w:val="00F71381"/>
    <w:rsid w:val="00F71C68"/>
    <w:rsid w:val="00F72A3C"/>
    <w:rsid w:val="00F72FAE"/>
    <w:rsid w:val="00F74D1D"/>
    <w:rsid w:val="00F77019"/>
    <w:rsid w:val="00F8337A"/>
    <w:rsid w:val="00F836B0"/>
    <w:rsid w:val="00F8417A"/>
    <w:rsid w:val="00F8689B"/>
    <w:rsid w:val="00F87288"/>
    <w:rsid w:val="00F9569F"/>
    <w:rsid w:val="00F97099"/>
    <w:rsid w:val="00FA06FF"/>
    <w:rsid w:val="00FA07F3"/>
    <w:rsid w:val="00FB1C8F"/>
    <w:rsid w:val="00FB41DA"/>
    <w:rsid w:val="00FB6459"/>
    <w:rsid w:val="00FB6D44"/>
    <w:rsid w:val="00FC0E6B"/>
    <w:rsid w:val="00FC3B7A"/>
    <w:rsid w:val="00FD1229"/>
    <w:rsid w:val="00FD54F8"/>
    <w:rsid w:val="00FD6576"/>
    <w:rsid w:val="00FE443F"/>
    <w:rsid w:val="00FE4851"/>
    <w:rsid w:val="00FE4936"/>
    <w:rsid w:val="00FF05F7"/>
    <w:rsid w:val="00FF0AD5"/>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A182317"/>
  <w15:chartTrackingRefBased/>
  <w15:docId w15:val="{2F7C8438-7F84-4E74-960E-A527F580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CE7CAD"/>
    <w:pPr>
      <w:spacing w:before="0" w:after="0"/>
      <w:jc w:val="center"/>
    </w:pPr>
    <w:rPr>
      <w:b/>
    </w:rPr>
  </w:style>
  <w:style w:type="paragraph" w:customStyle="1" w:styleId="Sous-titreobjetPagedecouverture">
    <w:name w:val="Sous-titre objet (Page de couverture)"/>
    <w:basedOn w:val="Sous-titreobjet"/>
    <w:rsid w:val="00CE7CAD"/>
  </w:style>
  <w:style w:type="paragraph" w:styleId="ListBullet">
    <w:name w:val="List Bullet"/>
    <w:basedOn w:val="Normal"/>
    <w:rsid w:val="004A1AED"/>
    <w:pPr>
      <w:numPr>
        <w:numId w:val="1"/>
      </w:numPr>
    </w:pPr>
  </w:style>
  <w:style w:type="paragraph" w:styleId="ListBullet2">
    <w:name w:val="List Bullet 2"/>
    <w:basedOn w:val="Normal"/>
    <w:rsid w:val="004A1AED"/>
    <w:pPr>
      <w:numPr>
        <w:numId w:val="2"/>
      </w:numPr>
    </w:pPr>
  </w:style>
  <w:style w:type="paragraph" w:styleId="ListBullet3">
    <w:name w:val="List Bullet 3"/>
    <w:basedOn w:val="Normal"/>
    <w:rsid w:val="004A1AED"/>
    <w:pPr>
      <w:numPr>
        <w:numId w:val="3"/>
      </w:numPr>
    </w:pPr>
  </w:style>
  <w:style w:type="paragraph" w:styleId="ListBullet4">
    <w:name w:val="List Bullet 4"/>
    <w:basedOn w:val="Normal"/>
    <w:rsid w:val="004A1AED"/>
    <w:pPr>
      <w:numPr>
        <w:numId w:val="4"/>
      </w:numPr>
    </w:pPr>
  </w:style>
  <w:style w:type="table" w:customStyle="1" w:styleId="Listtable">
    <w:name w:val="List table"/>
    <w:next w:val="TableNormal"/>
    <w:rsid w:val="0000704F"/>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character" w:styleId="CommentReference">
    <w:name w:val="annotation reference"/>
    <w:semiHidden/>
    <w:rsid w:val="0056212B"/>
    <w:rPr>
      <w:rFonts w:cs="Times New Roman"/>
      <w:sz w:val="16"/>
      <w:szCs w:val="16"/>
      <w:shd w:val="clear" w:color="auto" w:fill="auto"/>
    </w:rPr>
  </w:style>
  <w:style w:type="paragraph" w:customStyle="1" w:styleId="Paragraph">
    <w:name w:val="Paragraph"/>
    <w:basedOn w:val="Text"/>
    <w:rsid w:val="00B64D8A"/>
    <w:pPr>
      <w:jc w:val="both"/>
    </w:pPr>
  </w:style>
  <w:style w:type="paragraph" w:customStyle="1" w:styleId="Text">
    <w:name w:val="Text"/>
    <w:hidden/>
    <w:rsid w:val="00B64D8A"/>
    <w:rPr>
      <w:sz w:val="16"/>
    </w:rPr>
  </w:style>
  <w:style w:type="paragraph" w:customStyle="1" w:styleId="SUSPparagraph">
    <w:name w:val="SUSP paragraph"/>
    <w:basedOn w:val="Paragraph"/>
    <w:rsid w:val="00B64D8A"/>
    <w:pPr>
      <w:spacing w:before="60" w:after="60"/>
    </w:pPr>
  </w:style>
  <w:style w:type="table" w:customStyle="1" w:styleId="Notestable">
    <w:name w:val="Notes table"/>
    <w:rsid w:val="00B64D8A"/>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B64D8A"/>
    <w:pPr>
      <w:keepNext/>
      <w:spacing w:before="120" w:after="120"/>
      <w:jc w:val="center"/>
    </w:pPr>
    <w:rPr>
      <w:sz w:val="24"/>
    </w:rPr>
  </w:style>
  <w:style w:type="paragraph" w:customStyle="1" w:styleId="Subtitle1">
    <w:name w:val="Subtitle1"/>
    <w:aliases w:val="CONTENT.TITLE.TI"/>
    <w:basedOn w:val="SUSPparagraph"/>
    <w:rsid w:val="00B64D8A"/>
    <w:pPr>
      <w:keepNext/>
      <w:spacing w:before="120" w:after="120"/>
      <w:jc w:val="center"/>
    </w:pPr>
    <w:rPr>
      <w:sz w:val="24"/>
    </w:rPr>
  </w:style>
  <w:style w:type="character" w:customStyle="1" w:styleId="FootnoteReference1">
    <w:name w:val="Footnote Reference1"/>
    <w:hidden/>
    <w:rsid w:val="00B64D8A"/>
    <w:rPr>
      <w:sz w:val="16"/>
      <w:szCs w:val="16"/>
    </w:rPr>
  </w:style>
  <w:style w:type="table" w:customStyle="1" w:styleId="Listdash">
    <w:name w:val="List dash"/>
    <w:basedOn w:val="Listtable"/>
    <w:rsid w:val="00B64D8A"/>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qFormat/>
    <w:rsid w:val="00552A61"/>
    <w:rPr>
      <w:b/>
      <w:bCs/>
      <w:sz w:val="20"/>
      <w:szCs w:val="20"/>
    </w:rPr>
  </w:style>
  <w:style w:type="paragraph" w:styleId="TableofFigures">
    <w:name w:val="table of figures"/>
    <w:basedOn w:val="Normal"/>
    <w:next w:val="Normal"/>
    <w:semiHidden/>
    <w:rsid w:val="00552A61"/>
  </w:style>
  <w:style w:type="paragraph" w:styleId="ListNumber">
    <w:name w:val="List Number"/>
    <w:basedOn w:val="Normal"/>
    <w:rsid w:val="00552A61"/>
    <w:pPr>
      <w:numPr>
        <w:numId w:val="5"/>
      </w:numPr>
    </w:pPr>
  </w:style>
  <w:style w:type="paragraph" w:styleId="ListNumber2">
    <w:name w:val="List Number 2"/>
    <w:basedOn w:val="Normal"/>
    <w:rsid w:val="00552A61"/>
    <w:pPr>
      <w:numPr>
        <w:numId w:val="6"/>
      </w:numPr>
    </w:pPr>
  </w:style>
  <w:style w:type="paragraph" w:styleId="ListNumber3">
    <w:name w:val="List Number 3"/>
    <w:basedOn w:val="Normal"/>
    <w:rsid w:val="00552A61"/>
    <w:pPr>
      <w:numPr>
        <w:numId w:val="7"/>
      </w:numPr>
    </w:pPr>
  </w:style>
  <w:style w:type="paragraph" w:styleId="ListNumber4">
    <w:name w:val="List Number 4"/>
    <w:basedOn w:val="Normal"/>
    <w:rsid w:val="00552A61"/>
    <w:pPr>
      <w:numPr>
        <w:numId w:val="8"/>
      </w:numPr>
    </w:pPr>
  </w:style>
  <w:style w:type="paragraph" w:styleId="CommentText">
    <w:name w:val="annotation text"/>
    <w:basedOn w:val="Normal"/>
    <w:semiHidden/>
    <w:rsid w:val="00552A61"/>
    <w:rPr>
      <w:sz w:val="20"/>
      <w:szCs w:val="20"/>
    </w:rPr>
  </w:style>
  <w:style w:type="paragraph" w:styleId="CommentSubject">
    <w:name w:val="annotation subject"/>
    <w:basedOn w:val="CommentText"/>
    <w:next w:val="CommentText"/>
    <w:semiHidden/>
    <w:rsid w:val="00552A61"/>
    <w:rPr>
      <w:b/>
      <w:bCs/>
    </w:rPr>
  </w:style>
  <w:style w:type="character" w:styleId="Hyperlink">
    <w:name w:val="Hyperlink"/>
    <w:rsid w:val="00552A61"/>
    <w:rPr>
      <w:color w:val="0000FF"/>
      <w:u w:val="single"/>
      <w:shd w:val="clear" w:color="auto" w:fill="auto"/>
    </w:rPr>
  </w:style>
  <w:style w:type="paragraph" w:styleId="BalloonText">
    <w:name w:val="Balloon Text"/>
    <w:basedOn w:val="Normal"/>
    <w:semiHidden/>
    <w:rsid w:val="00552A61"/>
    <w:rPr>
      <w:rFonts w:ascii="Tahoma" w:hAnsi="Tahoma" w:cs="Tahoma"/>
      <w:sz w:val="16"/>
      <w:szCs w:val="16"/>
    </w:rPr>
  </w:style>
  <w:style w:type="paragraph" w:customStyle="1" w:styleId="Note">
    <w:name w:val="Note"/>
    <w:aliases w:val="NOTE"/>
    <w:basedOn w:val="SUSPparagraph"/>
    <w:rsid w:val="00FC0E6B"/>
    <w:rPr>
      <w:szCs w:val="16"/>
    </w:rPr>
  </w:style>
  <w:style w:type="paragraph" w:styleId="EndnoteText">
    <w:name w:val="endnote text"/>
    <w:basedOn w:val="Normal"/>
    <w:link w:val="EndnoteTextChar"/>
    <w:rsid w:val="000F6CCD"/>
    <w:rPr>
      <w:sz w:val="20"/>
      <w:szCs w:val="20"/>
    </w:rPr>
  </w:style>
  <w:style w:type="character" w:customStyle="1" w:styleId="EndnoteTextChar">
    <w:name w:val="Endnote Text Char"/>
    <w:link w:val="EndnoteText"/>
    <w:rsid w:val="000F6CCD"/>
    <w:rPr>
      <w:shd w:val="clear" w:color="auto" w:fill="auto"/>
      <w:lang w:eastAsia="en-US"/>
    </w:rPr>
  </w:style>
  <w:style w:type="character" w:styleId="EndnoteReference">
    <w:name w:val="endnote reference"/>
    <w:rsid w:val="000F6CCD"/>
    <w:rPr>
      <w:shd w:val="clear" w:color="auto" w:fill="auto"/>
      <w:vertAlign w:val="superscript"/>
    </w:rPr>
  </w:style>
  <w:style w:type="paragraph" w:customStyle="1" w:styleId="CM1">
    <w:name w:val="CM1"/>
    <w:basedOn w:val="Normal"/>
    <w:next w:val="Normal"/>
    <w:rsid w:val="00347CCE"/>
    <w:pPr>
      <w:autoSpaceDE w:val="0"/>
      <w:autoSpaceDN w:val="0"/>
      <w:adjustRightInd w:val="0"/>
      <w:spacing w:before="0" w:after="0"/>
      <w:jc w:val="left"/>
    </w:pPr>
    <w:rPr>
      <w:rFonts w:ascii="EUAlbertina" w:hAnsi="EUAlbertina"/>
      <w:lang w:eastAsia="en-GB"/>
    </w:rPr>
  </w:style>
  <w:style w:type="table" w:customStyle="1" w:styleId="Notestablewithoutborder">
    <w:name w:val="Notes table without border"/>
    <w:rsid w:val="00424639"/>
    <w:rPr>
      <w:sz w:val="16"/>
      <w:szCs w:val="16"/>
    </w:rPr>
    <w:tblPr>
      <w:tblCellSpacing w:w="0" w:type="dxa"/>
      <w:tblInd w:w="0" w:type="dxa"/>
      <w:tblCellMar>
        <w:top w:w="60" w:type="dxa"/>
        <w:left w:w="60" w:type="dxa"/>
        <w:bottom w:w="60" w:type="dxa"/>
        <w:right w:w="60" w:type="dxa"/>
      </w:tblCellMar>
    </w:tblPr>
    <w:trPr>
      <w:tblCellSpacing w:w="0" w:type="dxa"/>
    </w:trPr>
  </w:style>
  <w:style w:type="paragraph" w:styleId="Subtitle">
    <w:name w:val="Subtitle"/>
    <w:basedOn w:val="SUSPparagraph"/>
    <w:link w:val="SubtitleChar"/>
    <w:qFormat/>
    <w:rsid w:val="00424639"/>
    <w:pPr>
      <w:keepNext/>
      <w:spacing w:before="120" w:after="120"/>
      <w:jc w:val="center"/>
    </w:pPr>
    <w:rPr>
      <w:sz w:val="24"/>
    </w:rPr>
  </w:style>
  <w:style w:type="character" w:customStyle="1" w:styleId="SubtitleChar">
    <w:name w:val="Subtitle Char"/>
    <w:link w:val="Subtitle"/>
    <w:rsid w:val="00424639"/>
    <w:rPr>
      <w:sz w:val="24"/>
      <w:shd w:val="clear" w:color="auto" w:fill="auto"/>
    </w:rPr>
  </w:style>
  <w:style w:type="table" w:customStyle="1" w:styleId="ListBullet1">
    <w:name w:val="List Bullet1"/>
    <w:basedOn w:val="Listtable"/>
    <w:rsid w:val="00424639"/>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24639"/>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customStyle="1" w:styleId="oj-normal">
    <w:name w:val="oj-normal"/>
    <w:basedOn w:val="Normal"/>
    <w:rsid w:val="005F02CA"/>
    <w:pPr>
      <w:spacing w:before="100" w:beforeAutospacing="1" w:after="100" w:afterAutospacing="1"/>
      <w:jc w:val="left"/>
    </w:pPr>
  </w:style>
  <w:style w:type="character" w:customStyle="1" w:styleId="oj-super">
    <w:name w:val="oj-super"/>
    <w:rsid w:val="005F02CA"/>
  </w:style>
  <w:style w:type="paragraph" w:customStyle="1" w:styleId="Normal1">
    <w:name w:val="Normal1"/>
    <w:basedOn w:val="Normal"/>
    <w:rsid w:val="00851EEE"/>
    <w:pPr>
      <w:spacing w:before="100" w:beforeAutospacing="1" w:after="100" w:afterAutospacing="1"/>
      <w:jc w:val="left"/>
    </w:pPr>
  </w:style>
  <w:style w:type="character" w:customStyle="1" w:styleId="super">
    <w:name w:val="super"/>
    <w:rsid w:val="00930752"/>
  </w:style>
  <w:style w:type="character" w:customStyle="1" w:styleId="italic">
    <w:name w:val="italic"/>
    <w:rsid w:val="00D2716F"/>
  </w:style>
  <w:style w:type="character" w:customStyle="1" w:styleId="oj-italic">
    <w:name w:val="oj-italic"/>
    <w:rsid w:val="00762B15"/>
  </w:style>
  <w:style w:type="character" w:customStyle="1" w:styleId="boldface">
    <w:name w:val="boldface"/>
    <w:rsid w:val="00063BFE"/>
  </w:style>
  <w:style w:type="paragraph" w:customStyle="1" w:styleId="title-article-norm">
    <w:name w:val="title-article-norm"/>
    <w:basedOn w:val="Normal"/>
    <w:rsid w:val="00AF72B9"/>
    <w:pPr>
      <w:spacing w:before="100" w:beforeAutospacing="1" w:after="100" w:afterAutospacing="1"/>
      <w:jc w:val="left"/>
    </w:pPr>
  </w:style>
  <w:style w:type="character" w:customStyle="1" w:styleId="no-parag">
    <w:name w:val="no-parag"/>
    <w:rsid w:val="00AF72B9"/>
  </w:style>
  <w:style w:type="paragraph" w:customStyle="1" w:styleId="modref">
    <w:name w:val="modref"/>
    <w:basedOn w:val="Normal"/>
    <w:rsid w:val="00AF72B9"/>
    <w:pPr>
      <w:spacing w:before="100" w:beforeAutospacing="1" w:after="100" w:afterAutospacing="1"/>
      <w:jc w:val="left"/>
    </w:pPr>
  </w:style>
  <w:style w:type="paragraph" w:customStyle="1" w:styleId="norm">
    <w:name w:val="norm"/>
    <w:basedOn w:val="Normal"/>
    <w:rsid w:val="00AF72B9"/>
    <w:pPr>
      <w:spacing w:before="100" w:beforeAutospacing="1" w:after="100" w:afterAutospacing="1"/>
      <w:jc w:val="left"/>
    </w:pPr>
  </w:style>
  <w:style w:type="character" w:customStyle="1" w:styleId="italics">
    <w:name w:val="italics"/>
    <w:rsid w:val="00AF72B9"/>
  </w:style>
  <w:style w:type="paragraph" w:styleId="Revision">
    <w:name w:val="Revision"/>
    <w:hidden/>
    <w:uiPriority w:val="99"/>
    <w:semiHidden/>
    <w:rsid w:val="00B82B5A"/>
    <w:rPr>
      <w:sz w:val="24"/>
      <w:szCs w:val="24"/>
    </w:rPr>
  </w:style>
  <w:style w:type="character" w:styleId="FollowedHyperlink">
    <w:name w:val="FollowedHyperlink"/>
    <w:rsid w:val="00B85326"/>
    <w:rPr>
      <w:color w:val="954F72"/>
      <w:u w:val="single"/>
    </w:rPr>
  </w:style>
  <w:style w:type="character" w:styleId="Emphasis">
    <w:name w:val="Emphasis"/>
    <w:uiPriority w:val="20"/>
    <w:qFormat/>
    <w:rsid w:val="00F72A3C"/>
    <w:rPr>
      <w:i/>
      <w:iCs/>
    </w:rPr>
  </w:style>
  <w:style w:type="character" w:customStyle="1" w:styleId="UnresolvedMention1">
    <w:name w:val="Unresolved Mention1"/>
    <w:uiPriority w:val="99"/>
    <w:semiHidden/>
    <w:unhideWhenUsed/>
    <w:rsid w:val="00835AD9"/>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7476">
      <w:bodyDiv w:val="1"/>
      <w:marLeft w:val="0"/>
      <w:marRight w:val="0"/>
      <w:marTop w:val="0"/>
      <w:marBottom w:val="0"/>
      <w:divBdr>
        <w:top w:val="none" w:sz="0" w:space="0" w:color="auto"/>
        <w:left w:val="none" w:sz="0" w:space="0" w:color="auto"/>
        <w:bottom w:val="none" w:sz="0" w:space="0" w:color="auto"/>
        <w:right w:val="none" w:sz="0" w:space="0" w:color="auto"/>
      </w:divBdr>
    </w:div>
    <w:div w:id="175120516">
      <w:bodyDiv w:val="1"/>
      <w:marLeft w:val="0"/>
      <w:marRight w:val="0"/>
      <w:marTop w:val="0"/>
      <w:marBottom w:val="0"/>
      <w:divBdr>
        <w:top w:val="none" w:sz="0" w:space="0" w:color="auto"/>
        <w:left w:val="none" w:sz="0" w:space="0" w:color="auto"/>
        <w:bottom w:val="none" w:sz="0" w:space="0" w:color="auto"/>
        <w:right w:val="none" w:sz="0" w:space="0" w:color="auto"/>
      </w:divBdr>
    </w:div>
    <w:div w:id="186069492">
      <w:bodyDiv w:val="1"/>
      <w:marLeft w:val="0"/>
      <w:marRight w:val="0"/>
      <w:marTop w:val="0"/>
      <w:marBottom w:val="0"/>
      <w:divBdr>
        <w:top w:val="none" w:sz="0" w:space="0" w:color="auto"/>
        <w:left w:val="none" w:sz="0" w:space="0" w:color="auto"/>
        <w:bottom w:val="none" w:sz="0" w:space="0" w:color="auto"/>
        <w:right w:val="none" w:sz="0" w:space="0" w:color="auto"/>
      </w:divBdr>
    </w:div>
    <w:div w:id="260526819">
      <w:bodyDiv w:val="1"/>
      <w:marLeft w:val="0"/>
      <w:marRight w:val="0"/>
      <w:marTop w:val="0"/>
      <w:marBottom w:val="0"/>
      <w:divBdr>
        <w:top w:val="none" w:sz="0" w:space="0" w:color="auto"/>
        <w:left w:val="none" w:sz="0" w:space="0" w:color="auto"/>
        <w:bottom w:val="none" w:sz="0" w:space="0" w:color="auto"/>
        <w:right w:val="none" w:sz="0" w:space="0" w:color="auto"/>
      </w:divBdr>
    </w:div>
    <w:div w:id="341665352">
      <w:bodyDiv w:val="1"/>
      <w:marLeft w:val="0"/>
      <w:marRight w:val="0"/>
      <w:marTop w:val="0"/>
      <w:marBottom w:val="0"/>
      <w:divBdr>
        <w:top w:val="none" w:sz="0" w:space="0" w:color="auto"/>
        <w:left w:val="none" w:sz="0" w:space="0" w:color="auto"/>
        <w:bottom w:val="none" w:sz="0" w:space="0" w:color="auto"/>
        <w:right w:val="none" w:sz="0" w:space="0" w:color="auto"/>
      </w:divBdr>
    </w:div>
    <w:div w:id="475336672">
      <w:bodyDiv w:val="1"/>
      <w:marLeft w:val="0"/>
      <w:marRight w:val="0"/>
      <w:marTop w:val="0"/>
      <w:marBottom w:val="0"/>
      <w:divBdr>
        <w:top w:val="none" w:sz="0" w:space="0" w:color="auto"/>
        <w:left w:val="none" w:sz="0" w:space="0" w:color="auto"/>
        <w:bottom w:val="none" w:sz="0" w:space="0" w:color="auto"/>
        <w:right w:val="none" w:sz="0" w:space="0" w:color="auto"/>
      </w:divBdr>
    </w:div>
    <w:div w:id="576478520">
      <w:bodyDiv w:val="1"/>
      <w:marLeft w:val="0"/>
      <w:marRight w:val="0"/>
      <w:marTop w:val="0"/>
      <w:marBottom w:val="0"/>
      <w:divBdr>
        <w:top w:val="none" w:sz="0" w:space="0" w:color="auto"/>
        <w:left w:val="none" w:sz="0" w:space="0" w:color="auto"/>
        <w:bottom w:val="none" w:sz="0" w:space="0" w:color="auto"/>
        <w:right w:val="none" w:sz="0" w:space="0" w:color="auto"/>
      </w:divBdr>
    </w:div>
    <w:div w:id="708267042">
      <w:bodyDiv w:val="1"/>
      <w:marLeft w:val="0"/>
      <w:marRight w:val="0"/>
      <w:marTop w:val="0"/>
      <w:marBottom w:val="0"/>
      <w:divBdr>
        <w:top w:val="none" w:sz="0" w:space="0" w:color="auto"/>
        <w:left w:val="none" w:sz="0" w:space="0" w:color="auto"/>
        <w:bottom w:val="none" w:sz="0" w:space="0" w:color="auto"/>
        <w:right w:val="none" w:sz="0" w:space="0" w:color="auto"/>
      </w:divBdr>
    </w:div>
    <w:div w:id="727651878">
      <w:bodyDiv w:val="1"/>
      <w:marLeft w:val="0"/>
      <w:marRight w:val="0"/>
      <w:marTop w:val="0"/>
      <w:marBottom w:val="0"/>
      <w:divBdr>
        <w:top w:val="none" w:sz="0" w:space="0" w:color="auto"/>
        <w:left w:val="none" w:sz="0" w:space="0" w:color="auto"/>
        <w:bottom w:val="none" w:sz="0" w:space="0" w:color="auto"/>
        <w:right w:val="none" w:sz="0" w:space="0" w:color="auto"/>
      </w:divBdr>
    </w:div>
    <w:div w:id="904492970">
      <w:bodyDiv w:val="1"/>
      <w:marLeft w:val="0"/>
      <w:marRight w:val="0"/>
      <w:marTop w:val="0"/>
      <w:marBottom w:val="0"/>
      <w:divBdr>
        <w:top w:val="none" w:sz="0" w:space="0" w:color="auto"/>
        <w:left w:val="none" w:sz="0" w:space="0" w:color="auto"/>
        <w:bottom w:val="none" w:sz="0" w:space="0" w:color="auto"/>
        <w:right w:val="none" w:sz="0" w:space="0" w:color="auto"/>
      </w:divBdr>
    </w:div>
    <w:div w:id="1176648093">
      <w:bodyDiv w:val="1"/>
      <w:marLeft w:val="0"/>
      <w:marRight w:val="0"/>
      <w:marTop w:val="0"/>
      <w:marBottom w:val="0"/>
      <w:divBdr>
        <w:top w:val="none" w:sz="0" w:space="0" w:color="auto"/>
        <w:left w:val="none" w:sz="0" w:space="0" w:color="auto"/>
        <w:bottom w:val="none" w:sz="0" w:space="0" w:color="auto"/>
        <w:right w:val="none" w:sz="0" w:space="0" w:color="auto"/>
      </w:divBdr>
    </w:div>
    <w:div w:id="1189024647">
      <w:bodyDiv w:val="1"/>
      <w:marLeft w:val="0"/>
      <w:marRight w:val="0"/>
      <w:marTop w:val="0"/>
      <w:marBottom w:val="0"/>
      <w:divBdr>
        <w:top w:val="none" w:sz="0" w:space="0" w:color="auto"/>
        <w:left w:val="none" w:sz="0" w:space="0" w:color="auto"/>
        <w:bottom w:val="none" w:sz="0" w:space="0" w:color="auto"/>
        <w:right w:val="none" w:sz="0" w:space="0" w:color="auto"/>
      </w:divBdr>
    </w:div>
    <w:div w:id="1213078640">
      <w:bodyDiv w:val="1"/>
      <w:marLeft w:val="0"/>
      <w:marRight w:val="0"/>
      <w:marTop w:val="0"/>
      <w:marBottom w:val="0"/>
      <w:divBdr>
        <w:top w:val="none" w:sz="0" w:space="0" w:color="auto"/>
        <w:left w:val="none" w:sz="0" w:space="0" w:color="auto"/>
        <w:bottom w:val="none" w:sz="0" w:space="0" w:color="auto"/>
        <w:right w:val="none" w:sz="0" w:space="0" w:color="auto"/>
      </w:divBdr>
    </w:div>
    <w:div w:id="1272325032">
      <w:bodyDiv w:val="1"/>
      <w:marLeft w:val="0"/>
      <w:marRight w:val="0"/>
      <w:marTop w:val="0"/>
      <w:marBottom w:val="0"/>
      <w:divBdr>
        <w:top w:val="none" w:sz="0" w:space="0" w:color="auto"/>
        <w:left w:val="none" w:sz="0" w:space="0" w:color="auto"/>
        <w:bottom w:val="none" w:sz="0" w:space="0" w:color="auto"/>
        <w:right w:val="none" w:sz="0" w:space="0" w:color="auto"/>
      </w:divBdr>
    </w:div>
    <w:div w:id="1314213732">
      <w:bodyDiv w:val="1"/>
      <w:marLeft w:val="0"/>
      <w:marRight w:val="0"/>
      <w:marTop w:val="0"/>
      <w:marBottom w:val="0"/>
      <w:divBdr>
        <w:top w:val="none" w:sz="0" w:space="0" w:color="auto"/>
        <w:left w:val="none" w:sz="0" w:space="0" w:color="auto"/>
        <w:bottom w:val="none" w:sz="0" w:space="0" w:color="auto"/>
        <w:right w:val="none" w:sz="0" w:space="0" w:color="auto"/>
      </w:divBdr>
    </w:div>
    <w:div w:id="1329140099">
      <w:bodyDiv w:val="1"/>
      <w:marLeft w:val="0"/>
      <w:marRight w:val="0"/>
      <w:marTop w:val="0"/>
      <w:marBottom w:val="0"/>
      <w:divBdr>
        <w:top w:val="none" w:sz="0" w:space="0" w:color="auto"/>
        <w:left w:val="none" w:sz="0" w:space="0" w:color="auto"/>
        <w:bottom w:val="none" w:sz="0" w:space="0" w:color="auto"/>
        <w:right w:val="none" w:sz="0" w:space="0" w:color="auto"/>
      </w:divBdr>
    </w:div>
    <w:div w:id="1346862491">
      <w:bodyDiv w:val="1"/>
      <w:marLeft w:val="0"/>
      <w:marRight w:val="0"/>
      <w:marTop w:val="0"/>
      <w:marBottom w:val="0"/>
      <w:divBdr>
        <w:top w:val="none" w:sz="0" w:space="0" w:color="auto"/>
        <w:left w:val="none" w:sz="0" w:space="0" w:color="auto"/>
        <w:bottom w:val="none" w:sz="0" w:space="0" w:color="auto"/>
        <w:right w:val="none" w:sz="0" w:space="0" w:color="auto"/>
      </w:divBdr>
    </w:div>
    <w:div w:id="1349411148">
      <w:bodyDiv w:val="1"/>
      <w:marLeft w:val="0"/>
      <w:marRight w:val="0"/>
      <w:marTop w:val="0"/>
      <w:marBottom w:val="0"/>
      <w:divBdr>
        <w:top w:val="none" w:sz="0" w:space="0" w:color="auto"/>
        <w:left w:val="none" w:sz="0" w:space="0" w:color="auto"/>
        <w:bottom w:val="none" w:sz="0" w:space="0" w:color="auto"/>
        <w:right w:val="none" w:sz="0" w:space="0" w:color="auto"/>
      </w:divBdr>
    </w:div>
    <w:div w:id="1349789633">
      <w:bodyDiv w:val="1"/>
      <w:marLeft w:val="0"/>
      <w:marRight w:val="0"/>
      <w:marTop w:val="0"/>
      <w:marBottom w:val="0"/>
      <w:divBdr>
        <w:top w:val="none" w:sz="0" w:space="0" w:color="auto"/>
        <w:left w:val="none" w:sz="0" w:space="0" w:color="auto"/>
        <w:bottom w:val="none" w:sz="0" w:space="0" w:color="auto"/>
        <w:right w:val="none" w:sz="0" w:space="0" w:color="auto"/>
      </w:divBdr>
    </w:div>
    <w:div w:id="1354768929">
      <w:bodyDiv w:val="1"/>
      <w:marLeft w:val="0"/>
      <w:marRight w:val="0"/>
      <w:marTop w:val="0"/>
      <w:marBottom w:val="0"/>
      <w:divBdr>
        <w:top w:val="none" w:sz="0" w:space="0" w:color="auto"/>
        <w:left w:val="none" w:sz="0" w:space="0" w:color="auto"/>
        <w:bottom w:val="none" w:sz="0" w:space="0" w:color="auto"/>
        <w:right w:val="none" w:sz="0" w:space="0" w:color="auto"/>
      </w:divBdr>
      <w:divsChild>
        <w:div w:id="1793935717">
          <w:marLeft w:val="0"/>
          <w:marRight w:val="0"/>
          <w:marTop w:val="0"/>
          <w:marBottom w:val="0"/>
          <w:divBdr>
            <w:top w:val="none" w:sz="0" w:space="0" w:color="auto"/>
            <w:left w:val="none" w:sz="0" w:space="0" w:color="auto"/>
            <w:bottom w:val="none" w:sz="0" w:space="0" w:color="auto"/>
            <w:right w:val="none" w:sz="0" w:space="0" w:color="auto"/>
          </w:divBdr>
          <w:divsChild>
            <w:div w:id="1008604074">
              <w:marLeft w:val="0"/>
              <w:marRight w:val="0"/>
              <w:marTop w:val="0"/>
              <w:marBottom w:val="0"/>
              <w:divBdr>
                <w:top w:val="none" w:sz="0" w:space="0" w:color="auto"/>
                <w:left w:val="none" w:sz="0" w:space="0" w:color="auto"/>
                <w:bottom w:val="none" w:sz="0" w:space="0" w:color="auto"/>
                <w:right w:val="none" w:sz="0" w:space="0" w:color="auto"/>
              </w:divBdr>
            </w:div>
          </w:divsChild>
        </w:div>
        <w:div w:id="100076607">
          <w:marLeft w:val="0"/>
          <w:marRight w:val="0"/>
          <w:marTop w:val="0"/>
          <w:marBottom w:val="0"/>
          <w:divBdr>
            <w:top w:val="none" w:sz="0" w:space="0" w:color="auto"/>
            <w:left w:val="none" w:sz="0" w:space="0" w:color="auto"/>
            <w:bottom w:val="none" w:sz="0" w:space="0" w:color="auto"/>
            <w:right w:val="none" w:sz="0" w:space="0" w:color="auto"/>
          </w:divBdr>
          <w:divsChild>
            <w:div w:id="1234853668">
              <w:marLeft w:val="0"/>
              <w:marRight w:val="0"/>
              <w:marTop w:val="0"/>
              <w:marBottom w:val="0"/>
              <w:divBdr>
                <w:top w:val="none" w:sz="0" w:space="0" w:color="auto"/>
                <w:left w:val="none" w:sz="0" w:space="0" w:color="auto"/>
                <w:bottom w:val="none" w:sz="0" w:space="0" w:color="auto"/>
                <w:right w:val="none" w:sz="0" w:space="0" w:color="auto"/>
              </w:divBdr>
            </w:div>
          </w:divsChild>
        </w:div>
        <w:div w:id="2041083619">
          <w:marLeft w:val="0"/>
          <w:marRight w:val="0"/>
          <w:marTop w:val="0"/>
          <w:marBottom w:val="0"/>
          <w:divBdr>
            <w:top w:val="none" w:sz="0" w:space="0" w:color="auto"/>
            <w:left w:val="none" w:sz="0" w:space="0" w:color="auto"/>
            <w:bottom w:val="none" w:sz="0" w:space="0" w:color="auto"/>
            <w:right w:val="none" w:sz="0" w:space="0" w:color="auto"/>
          </w:divBdr>
          <w:divsChild>
            <w:div w:id="1379277966">
              <w:marLeft w:val="0"/>
              <w:marRight w:val="0"/>
              <w:marTop w:val="0"/>
              <w:marBottom w:val="0"/>
              <w:divBdr>
                <w:top w:val="none" w:sz="0" w:space="0" w:color="auto"/>
                <w:left w:val="none" w:sz="0" w:space="0" w:color="auto"/>
                <w:bottom w:val="none" w:sz="0" w:space="0" w:color="auto"/>
                <w:right w:val="none" w:sz="0" w:space="0" w:color="auto"/>
              </w:divBdr>
              <w:divsChild>
                <w:div w:id="1016158117">
                  <w:marLeft w:val="0"/>
                  <w:marRight w:val="0"/>
                  <w:marTop w:val="0"/>
                  <w:marBottom w:val="0"/>
                  <w:divBdr>
                    <w:top w:val="none" w:sz="0" w:space="0" w:color="auto"/>
                    <w:left w:val="none" w:sz="0" w:space="0" w:color="auto"/>
                    <w:bottom w:val="none" w:sz="0" w:space="0" w:color="auto"/>
                    <w:right w:val="none" w:sz="0" w:space="0" w:color="auto"/>
                  </w:divBdr>
                  <w:divsChild>
                    <w:div w:id="1267273570">
                      <w:marLeft w:val="0"/>
                      <w:marRight w:val="0"/>
                      <w:marTop w:val="120"/>
                      <w:marBottom w:val="0"/>
                      <w:divBdr>
                        <w:top w:val="none" w:sz="0" w:space="0" w:color="auto"/>
                        <w:left w:val="none" w:sz="0" w:space="0" w:color="auto"/>
                        <w:bottom w:val="none" w:sz="0" w:space="0" w:color="auto"/>
                        <w:right w:val="none" w:sz="0" w:space="0" w:color="auto"/>
                      </w:divBdr>
                    </w:div>
                    <w:div w:id="1050378047">
                      <w:marLeft w:val="0"/>
                      <w:marRight w:val="0"/>
                      <w:marTop w:val="0"/>
                      <w:marBottom w:val="0"/>
                      <w:divBdr>
                        <w:top w:val="none" w:sz="0" w:space="0" w:color="auto"/>
                        <w:left w:val="none" w:sz="0" w:space="0" w:color="auto"/>
                        <w:bottom w:val="none" w:sz="0" w:space="0" w:color="auto"/>
                        <w:right w:val="none" w:sz="0" w:space="0" w:color="auto"/>
                      </w:divBdr>
                    </w:div>
                  </w:divsChild>
                </w:div>
                <w:div w:id="530068789">
                  <w:marLeft w:val="0"/>
                  <w:marRight w:val="0"/>
                  <w:marTop w:val="0"/>
                  <w:marBottom w:val="0"/>
                  <w:divBdr>
                    <w:top w:val="none" w:sz="0" w:space="0" w:color="auto"/>
                    <w:left w:val="none" w:sz="0" w:space="0" w:color="auto"/>
                    <w:bottom w:val="none" w:sz="0" w:space="0" w:color="auto"/>
                    <w:right w:val="none" w:sz="0" w:space="0" w:color="auto"/>
                  </w:divBdr>
                  <w:divsChild>
                    <w:div w:id="14354204">
                      <w:marLeft w:val="0"/>
                      <w:marRight w:val="0"/>
                      <w:marTop w:val="120"/>
                      <w:marBottom w:val="0"/>
                      <w:divBdr>
                        <w:top w:val="none" w:sz="0" w:space="0" w:color="auto"/>
                        <w:left w:val="none" w:sz="0" w:space="0" w:color="auto"/>
                        <w:bottom w:val="none" w:sz="0" w:space="0" w:color="auto"/>
                        <w:right w:val="none" w:sz="0" w:space="0" w:color="auto"/>
                      </w:divBdr>
                    </w:div>
                    <w:div w:id="1270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3936">
          <w:marLeft w:val="0"/>
          <w:marRight w:val="0"/>
          <w:marTop w:val="0"/>
          <w:marBottom w:val="0"/>
          <w:divBdr>
            <w:top w:val="none" w:sz="0" w:space="0" w:color="auto"/>
            <w:left w:val="none" w:sz="0" w:space="0" w:color="auto"/>
            <w:bottom w:val="none" w:sz="0" w:space="0" w:color="auto"/>
            <w:right w:val="none" w:sz="0" w:space="0" w:color="auto"/>
          </w:divBdr>
          <w:divsChild>
            <w:div w:id="921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9027">
      <w:bodyDiv w:val="1"/>
      <w:marLeft w:val="0"/>
      <w:marRight w:val="0"/>
      <w:marTop w:val="0"/>
      <w:marBottom w:val="0"/>
      <w:divBdr>
        <w:top w:val="none" w:sz="0" w:space="0" w:color="auto"/>
        <w:left w:val="none" w:sz="0" w:space="0" w:color="auto"/>
        <w:bottom w:val="none" w:sz="0" w:space="0" w:color="auto"/>
        <w:right w:val="none" w:sz="0" w:space="0" w:color="auto"/>
      </w:divBdr>
    </w:div>
    <w:div w:id="1794714405">
      <w:bodyDiv w:val="1"/>
      <w:marLeft w:val="0"/>
      <w:marRight w:val="0"/>
      <w:marTop w:val="0"/>
      <w:marBottom w:val="0"/>
      <w:divBdr>
        <w:top w:val="none" w:sz="0" w:space="0" w:color="auto"/>
        <w:left w:val="none" w:sz="0" w:space="0" w:color="auto"/>
        <w:bottom w:val="none" w:sz="0" w:space="0" w:color="auto"/>
        <w:right w:val="none" w:sz="0" w:space="0" w:color="auto"/>
      </w:divBdr>
    </w:div>
    <w:div w:id="1903060017">
      <w:bodyDiv w:val="1"/>
      <w:marLeft w:val="0"/>
      <w:marRight w:val="0"/>
      <w:marTop w:val="0"/>
      <w:marBottom w:val="0"/>
      <w:divBdr>
        <w:top w:val="none" w:sz="0" w:space="0" w:color="auto"/>
        <w:left w:val="none" w:sz="0" w:space="0" w:color="auto"/>
        <w:bottom w:val="none" w:sz="0" w:space="0" w:color="auto"/>
        <w:right w:val="none" w:sz="0" w:space="0" w:color="auto"/>
      </w:divBdr>
    </w:div>
    <w:div w:id="1926038205">
      <w:bodyDiv w:val="1"/>
      <w:marLeft w:val="0"/>
      <w:marRight w:val="0"/>
      <w:marTop w:val="0"/>
      <w:marBottom w:val="0"/>
      <w:divBdr>
        <w:top w:val="none" w:sz="0" w:space="0" w:color="auto"/>
        <w:left w:val="none" w:sz="0" w:space="0" w:color="auto"/>
        <w:bottom w:val="none" w:sz="0" w:space="0" w:color="auto"/>
        <w:right w:val="none" w:sz="0" w:space="0" w:color="auto"/>
      </w:divBdr>
    </w:div>
    <w:div w:id="1988581762">
      <w:bodyDiv w:val="1"/>
      <w:marLeft w:val="0"/>
      <w:marRight w:val="0"/>
      <w:marTop w:val="0"/>
      <w:marBottom w:val="0"/>
      <w:divBdr>
        <w:top w:val="none" w:sz="0" w:space="0" w:color="auto"/>
        <w:left w:val="none" w:sz="0" w:space="0" w:color="auto"/>
        <w:bottom w:val="none" w:sz="0" w:space="0" w:color="auto"/>
        <w:right w:val="none" w:sz="0" w:space="0" w:color="auto"/>
      </w:divBdr>
    </w:div>
    <w:div w:id="1990669079">
      <w:bodyDiv w:val="1"/>
      <w:marLeft w:val="0"/>
      <w:marRight w:val="0"/>
      <w:marTop w:val="0"/>
      <w:marBottom w:val="0"/>
      <w:divBdr>
        <w:top w:val="none" w:sz="0" w:space="0" w:color="auto"/>
        <w:left w:val="none" w:sz="0" w:space="0" w:color="auto"/>
        <w:bottom w:val="none" w:sz="0" w:space="0" w:color="auto"/>
        <w:right w:val="none" w:sz="0" w:space="0" w:color="auto"/>
      </w:divBdr>
    </w:div>
    <w:div w:id="209717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13/952/oj" TargetMode="External"/><Relationship Id="rId1" Type="http://schemas.openxmlformats.org/officeDocument/2006/relationships/hyperlink" Target="http://data.europa.eu/eli/reg/2021/2278/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144c03d0-0f03-451f-9d46-5279004462a4">EN</EC_Collab_DocumentLanguage>
    <EC_Collab_Reference xmlns="144c03d0-0f03-451f-9d46-5279004462a4">-</EC_Collab_Reference>
    <EC_Collab_Status xmlns="144c03d0-0f03-451f-9d46-5279004462a4">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276D2-2182-4376-A56D-7CBBE70E2323}">
  <ds:schemaRefs>
    <ds:schemaRef ds:uri="http://schemas.openxmlformats.org/officeDocument/2006/bibliography"/>
  </ds:schemaRefs>
</ds:datastoreItem>
</file>

<file path=customXml/itemProps2.xml><?xml version="1.0" encoding="utf-8"?>
<ds:datastoreItem xmlns:ds="http://schemas.openxmlformats.org/officeDocument/2006/customXml" ds:itemID="{5EABB415-8585-464D-9199-97E4920DB1A3}">
  <ds:schemaRefs>
    <ds:schemaRef ds:uri="http://purl.org/dc/elements/1.1/"/>
    <ds:schemaRef ds:uri="http://www.w3.org/XML/1998/namespace"/>
    <ds:schemaRef ds:uri="http://schemas.microsoft.com/office/2006/documentManagement/types"/>
    <ds:schemaRef ds:uri="f7bb8512-91eb-4bfd-be42-d6f021407e9a"/>
    <ds:schemaRef ds:uri="http://schemas.microsoft.com/office/infopath/2007/PartnerControls"/>
    <ds:schemaRef ds:uri="http://schemas.microsoft.com/office/2006/metadata/properties"/>
    <ds:schemaRef ds:uri="http://schemas.openxmlformats.org/package/2006/metadata/core-properties"/>
    <ds:schemaRef ds:uri="144c03d0-0f03-451f-9d46-5279004462a4"/>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AA12848C-0FCB-4BEC-8327-BF4A5A664386}">
  <ds:schemaRefs>
    <ds:schemaRef ds:uri="http://schemas.microsoft.com/sharepoint/v3/contenttype/forms"/>
  </ds:schemaRefs>
</ds:datastoreItem>
</file>

<file path=customXml/itemProps4.xml><?xml version="1.0" encoding="utf-8"?>
<ds:datastoreItem xmlns:ds="http://schemas.openxmlformats.org/officeDocument/2006/customXml" ds:itemID="{0DA93674-9EAE-4B09-9534-07398DF1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Template>
  <TotalTime>1</TotalTime>
  <Pages>4</Pages>
  <Words>1718</Words>
  <Characters>11033</Characters>
  <Application>Microsoft Office Word</Application>
  <DocSecurity>0</DocSecurity>
  <Lines>225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12646</CharactersWithSpaces>
  <SharedDoc>false</SharedDoc>
  <HLinks>
    <vt:vector size="12" baseType="variant">
      <vt:variant>
        <vt:i4>7077990</vt:i4>
      </vt:variant>
      <vt:variant>
        <vt:i4>3</vt:i4>
      </vt:variant>
      <vt:variant>
        <vt:i4>0</vt:i4>
      </vt:variant>
      <vt:variant>
        <vt:i4>5</vt:i4>
      </vt:variant>
      <vt:variant>
        <vt:lpwstr>http://data.europa.eu/eli/reg/2021/2278/oj</vt:lpwstr>
      </vt:variant>
      <vt:variant>
        <vt:lpwstr/>
      </vt:variant>
      <vt:variant>
        <vt:i4>4849690</vt:i4>
      </vt:variant>
      <vt:variant>
        <vt:i4>0</vt:i4>
      </vt:variant>
      <vt:variant>
        <vt:i4>0</vt:i4>
      </vt:variant>
      <vt:variant>
        <vt:i4>5</vt:i4>
      </vt:variant>
      <vt:variant>
        <vt:lpwstr>http://data.europa.eu/eli/reg/2013/952/oj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JARAIZ Julia (SG)</dc:creator>
  <cp:keywords/>
  <dc:description/>
  <cp:lastModifiedBy>JARAIZ Julia (SG)</cp:lastModifiedBy>
  <cp:revision>6</cp:revision>
  <cp:lastPrinted>2022-03-24T18:14:00Z</cp:lastPrinted>
  <dcterms:created xsi:type="dcterms:W3CDTF">2024-05-16T08:46:00Z</dcterms:created>
  <dcterms:modified xsi:type="dcterms:W3CDTF">2024-05-16T08:47:00Z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9.0, Build 20230317</vt:lpwstr>
  </property>
  <property fmtid="{D5CDD505-2E9C-101B-9397-08002B2CF9AE}" pid="6" name="_NewReviewCycle">
    <vt:lpwstr/>
  </property>
  <property fmtid="{D5CDD505-2E9C-101B-9397-08002B2CF9AE}" pid="7" name="LWTemplateID">
    <vt:lpwstr>SJ-016</vt:lpwstr>
  </property>
  <property fmtid="{D5CDD505-2E9C-101B-9397-08002B2CF9AE}" pid="8" name="Level of sensitivity">
    <vt:lpwstr>Standard treatment</vt:lpwstr>
  </property>
  <property fmtid="{D5CDD505-2E9C-101B-9397-08002B2CF9AE}" pid="9" name="Part">
    <vt:lpwstr>1</vt:lpwstr>
  </property>
  <property fmtid="{D5CDD505-2E9C-101B-9397-08002B2CF9AE}" pid="10" name="Total parts">
    <vt:lpwstr>1</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2023-02-10T11:40:19Z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e750f0b3-1c54-4a71-a94a-bbdb734d8802</vt:lpwstr>
  </property>
  <property fmtid="{D5CDD505-2E9C-101B-9397-08002B2CF9AE}" pid="17" name="MSIP_Label_6bd9ddd1-4d20-43f6-abfa-fc3c07406f94_ContentBits">
    <vt:lpwstr>0</vt:lpwstr>
  </property>
  <property fmtid="{D5CDD505-2E9C-101B-9397-08002B2CF9AE}" pid="18" name="ContentTypeId">
    <vt:lpwstr>0x010100BAD999D84E12C74482EA5120F5227F6F00217DECAAC21D6B43958DFE68658C192E</vt:lpwstr>
  </property>
  <property fmtid="{D5CDD505-2E9C-101B-9397-08002B2CF9AE}" pid="19" name="DQCStatus">
    <vt:lpwstr>Green (DQC version 03)</vt:lpwstr>
  </property>
</Properties>
</file>