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96" w:rsidRPr="0070360D" w:rsidRDefault="00AC3AEE" w:rsidP="00AC3AEE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59F8C49-D377-49EC-A625-149C9DEC4111" style="width:455.25pt;height:396.75pt">
            <v:imagedata r:id="rId11" o:title=""/>
          </v:shape>
        </w:pict>
      </w:r>
    </w:p>
    <w:p w:rsidR="00DE4096" w:rsidRPr="0070360D" w:rsidRDefault="00DE4096" w:rsidP="00DE4096">
      <w:pPr>
        <w:rPr>
          <w:noProof/>
        </w:rPr>
        <w:sectPr w:rsidR="00DE4096" w:rsidRPr="0070360D" w:rsidSect="00AC3AEE">
          <w:footerReference w:type="even" r:id="rId12"/>
          <w:footerReference w:type="defaul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E4096" w:rsidRPr="0070360D" w:rsidRDefault="00DE4096">
      <w:pPr>
        <w:pStyle w:val="Exposdesmotifstitre"/>
        <w:rPr>
          <w:noProof/>
        </w:rPr>
      </w:pPr>
      <w:bookmarkStart w:id="0" w:name="_GoBack"/>
      <w:bookmarkEnd w:id="0"/>
      <w:r w:rsidRPr="0070360D">
        <w:rPr>
          <w:noProof/>
        </w:rPr>
        <w:lastRenderedPageBreak/>
        <w:t>EXPOSIÇÃO DE MOTIVOS</w:t>
      </w:r>
    </w:p>
    <w:p w:rsidR="00DE4096" w:rsidRPr="0070360D" w:rsidRDefault="00DE4096" w:rsidP="005E30F8">
      <w:pPr>
        <w:pStyle w:val="ManualHeading1"/>
        <w:rPr>
          <w:rFonts w:eastAsia="Arial Unicode MS"/>
          <w:noProof/>
        </w:rPr>
      </w:pPr>
      <w:r>
        <w:rPr>
          <w:noProof/>
        </w:rPr>
        <w:t>1.</w:t>
      </w:r>
      <w:r>
        <w:rPr>
          <w:noProof/>
        </w:rPr>
        <w:tab/>
      </w:r>
      <w:r w:rsidRPr="0070360D">
        <w:rPr>
          <w:noProof/>
        </w:rPr>
        <w:t>Objeto da proposta</w:t>
      </w:r>
    </w:p>
    <w:p w:rsidR="007D4118" w:rsidRPr="0070360D" w:rsidRDefault="00AD4BB1" w:rsidP="007D4118">
      <w:pPr>
        <w:rPr>
          <w:noProof/>
        </w:rPr>
      </w:pPr>
      <w:r w:rsidRPr="0070360D">
        <w:rPr>
          <w:noProof/>
        </w:rPr>
        <w:t xml:space="preserve">A presente proposta diz respeito à decisão que estabelece a posição a tomar, em nome da União, na 16.ª reunião do Comité das Partes (CdP) da Convenção do Conselho da Europa para a Prevenção e o Combate à Violência Contra as Mulheres e a Violência Doméstica («Convenção de Istambul» ou «Convenção») em 31 de maio de 2024, no que se refere à adoção prevista de um projeto de recomendação e de quatro projetos de conclusões dirigidos a cinco Estados Partes sobre a sua aplicação da Convenção.    </w:t>
      </w:r>
    </w:p>
    <w:p w:rsidR="00DE4096" w:rsidRPr="0070360D" w:rsidRDefault="00DE4096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 w:rsidRPr="0070360D">
        <w:rPr>
          <w:noProof/>
        </w:rPr>
        <w:t>Contexto da proposta</w:t>
      </w:r>
    </w:p>
    <w:p w:rsidR="00DE4096" w:rsidRPr="0070360D" w:rsidRDefault="00DE4096">
      <w:pPr>
        <w:pStyle w:val="ManualHeading2"/>
        <w:rPr>
          <w:noProof/>
        </w:rPr>
      </w:pPr>
      <w:r>
        <w:rPr>
          <w:noProof/>
        </w:rPr>
        <w:t>2.1.</w:t>
      </w:r>
      <w:r>
        <w:rPr>
          <w:noProof/>
        </w:rPr>
        <w:tab/>
      </w:r>
      <w:r w:rsidRPr="0070360D">
        <w:rPr>
          <w:noProof/>
        </w:rPr>
        <w:t>A Convenção de Istambul</w:t>
      </w:r>
    </w:p>
    <w:p w:rsidR="008041A1" w:rsidRPr="0070360D" w:rsidRDefault="00DE4096" w:rsidP="008041A1">
      <w:pPr>
        <w:rPr>
          <w:rFonts w:eastAsia="Arial Unicode MS"/>
          <w:noProof/>
        </w:rPr>
      </w:pPr>
      <w:r w:rsidRPr="0070360D">
        <w:rPr>
          <w:noProof/>
        </w:rPr>
        <w:t xml:space="preserve">A Convenção de Istambul visa estabelecer um conjunto abrangente e harmonizado de regras para prevenir e combater a violência contra as mulheres e a violência doméstica dentro e fora da Europa. A Convenção entrou em vigor em 1 de agosto de 2014. </w:t>
      </w:r>
    </w:p>
    <w:p w:rsidR="008041A1" w:rsidRPr="0070360D" w:rsidRDefault="008041A1" w:rsidP="008041A1">
      <w:pPr>
        <w:rPr>
          <w:rFonts w:eastAsia="Arial Unicode MS"/>
          <w:noProof/>
        </w:rPr>
      </w:pPr>
      <w:r w:rsidRPr="0070360D">
        <w:rPr>
          <w:noProof/>
        </w:rPr>
        <w:t>A UE assinou a Convenção em junho de 2017 e concluiu o procedimento de adesão com o depósito de dois instrumentos de aprovação em 28 de junho de 2023, o que desencadeou a entrada em vigor da Convenção, para a UE, em 1 de outubro de 2023. A UE aderiu à Convenção no que diz respeito às matérias da sua competência exclusiva, nomeadamente no que diz respeito a questões relacionadas com as instituições e a administração pública da União</w:t>
      </w:r>
      <w:r w:rsidRPr="0070360D">
        <w:rPr>
          <w:rStyle w:val="FootnoteReference"/>
          <w:rFonts w:eastAsia="Arial Unicode MS"/>
          <w:noProof/>
        </w:rPr>
        <w:footnoteReference w:id="2"/>
      </w:r>
      <w:r w:rsidR="000303AF" w:rsidRPr="000303AF">
        <w:rPr>
          <w:noProof/>
        </w:rPr>
        <w:t xml:space="preserve"> </w:t>
      </w:r>
      <w:r w:rsidR="000303AF" w:rsidRPr="0070360D">
        <w:rPr>
          <w:noProof/>
        </w:rPr>
        <w:t xml:space="preserve">e a </w:t>
      </w:r>
      <w:r w:rsidRPr="0070360D">
        <w:rPr>
          <w:noProof/>
        </w:rPr>
        <w:t>matérias relativas à cooperação judiciária em matéria penal, ao asilo e à não repulsão</w:t>
      </w:r>
      <w:r w:rsidRPr="0070360D">
        <w:rPr>
          <w:rStyle w:val="FootnoteReference"/>
          <w:rFonts w:eastAsia="Arial Unicode MS"/>
          <w:noProof/>
        </w:rPr>
        <w:footnoteReference w:id="3"/>
      </w:r>
      <w:r w:rsidRPr="0070360D">
        <w:rPr>
          <w:noProof/>
        </w:rPr>
        <w:t>. Todos os Estados-Membros da UE assinaram a Convenção, mas apenas 22 Estados-Membros a ratificaram</w:t>
      </w:r>
      <w:r w:rsidRPr="0070360D">
        <w:rPr>
          <w:rStyle w:val="FootnoteReference"/>
          <w:rFonts w:eastAsia="Arial Unicode MS"/>
          <w:noProof/>
        </w:rPr>
        <w:footnoteReference w:id="4"/>
      </w:r>
      <w:r w:rsidRPr="0070360D">
        <w:rPr>
          <w:noProof/>
        </w:rPr>
        <w:t>.</w:t>
      </w:r>
    </w:p>
    <w:p w:rsidR="00DE4096" w:rsidRPr="0070360D" w:rsidRDefault="00DE4096">
      <w:pPr>
        <w:pStyle w:val="ManualHeading2"/>
        <w:rPr>
          <w:noProof/>
        </w:rPr>
      </w:pPr>
      <w:r>
        <w:rPr>
          <w:noProof/>
        </w:rPr>
        <w:t>2.2.</w:t>
      </w:r>
      <w:r>
        <w:rPr>
          <w:noProof/>
        </w:rPr>
        <w:tab/>
      </w:r>
      <w:r w:rsidRPr="0070360D">
        <w:rPr>
          <w:noProof/>
        </w:rPr>
        <w:t xml:space="preserve">Comité das Partes </w:t>
      </w:r>
    </w:p>
    <w:p w:rsidR="00111E49" w:rsidRPr="0070360D" w:rsidRDefault="00111E49" w:rsidP="00111E49">
      <w:pPr>
        <w:rPr>
          <w:noProof/>
        </w:rPr>
      </w:pPr>
      <w:r w:rsidRPr="0070360D">
        <w:rPr>
          <w:noProof/>
        </w:rPr>
        <w:t>O Comité das Partes</w:t>
      </w:r>
      <w:r w:rsidRPr="0070360D">
        <w:rPr>
          <w:rStyle w:val="FootnoteReference"/>
          <w:rFonts w:eastAsia="Arial Unicode MS"/>
          <w:noProof/>
        </w:rPr>
        <w:footnoteReference w:id="5"/>
      </w:r>
      <w:r w:rsidRPr="0070360D">
        <w:rPr>
          <w:noProof/>
        </w:rPr>
        <w:t xml:space="preserve"> é composto por representantes das Partes na Convenção. </w:t>
      </w:r>
      <w:bookmarkStart w:id="1" w:name="_Hlk165392736"/>
      <w:r w:rsidRPr="0070360D">
        <w:rPr>
          <w:noProof/>
        </w:rPr>
        <w:t xml:space="preserve">As Partes envidam esforços para nomear, como seus representantes, </w:t>
      </w:r>
      <w:bookmarkEnd w:id="1"/>
      <w:r w:rsidRPr="0070360D">
        <w:rPr>
          <w:noProof/>
        </w:rPr>
        <w:t>peritos ao mais alto nível no domínio da prevenção e do combate à violência contra as mulheres e a violência doméstica</w:t>
      </w:r>
      <w:r w:rsidR="00387BC1" w:rsidRPr="0070360D">
        <w:rPr>
          <w:rStyle w:val="FootnoteReference"/>
          <w:rFonts w:eastAsia="Arial Unicode MS"/>
          <w:noProof/>
        </w:rPr>
        <w:footnoteReference w:id="6"/>
      </w:r>
      <w:r w:rsidRPr="0070360D">
        <w:rPr>
          <w:noProof/>
        </w:rPr>
        <w:t>. As tarefas confiadas ao CdP são enumeradas na Regra 1 do Regulamento Interno</w:t>
      </w:r>
      <w:r w:rsidR="00423882" w:rsidRPr="0070360D">
        <w:rPr>
          <w:rStyle w:val="FootnoteReference"/>
          <w:rFonts w:eastAsia="Arial Unicode MS"/>
          <w:noProof/>
        </w:rPr>
        <w:footnoteReference w:id="7"/>
      </w:r>
      <w:r w:rsidRPr="0070360D">
        <w:rPr>
          <w:noProof/>
        </w:rPr>
        <w:t>. Em 1 de outubro de 2023, a UE tornou-se Parte na Convenção de Istambul e, por conseguinte, membro do CdP (artigo 67.º, n.º 1, da Convenção).</w:t>
      </w:r>
    </w:p>
    <w:p w:rsidR="00111E49" w:rsidRPr="0070360D" w:rsidRDefault="00111E49" w:rsidP="00111E49">
      <w:pPr>
        <w:pStyle w:val="ManualHeading2"/>
        <w:rPr>
          <w:noProof/>
        </w:rPr>
      </w:pPr>
      <w:r>
        <w:rPr>
          <w:noProof/>
        </w:rPr>
        <w:lastRenderedPageBreak/>
        <w:t>2.3.</w:t>
      </w:r>
      <w:r>
        <w:rPr>
          <w:noProof/>
        </w:rPr>
        <w:tab/>
      </w:r>
      <w:r w:rsidRPr="0070360D">
        <w:rPr>
          <w:noProof/>
        </w:rPr>
        <w:t>Mecanismo de monitorização da Convenção de Istambul</w:t>
      </w:r>
    </w:p>
    <w:p w:rsidR="00111E49" w:rsidRPr="0070360D" w:rsidRDefault="00111E49" w:rsidP="00111E49">
      <w:pPr>
        <w:rPr>
          <w:noProof/>
        </w:rPr>
      </w:pPr>
      <w:r w:rsidRPr="0070360D">
        <w:rPr>
          <w:noProof/>
        </w:rPr>
        <w:t>A Convenção de Istambul cria um mecanismo de monitorização destinado a garantir a aplicação efetiva das suas disposições pelas Partes</w:t>
      </w:r>
      <w:r w:rsidRPr="0070360D">
        <w:rPr>
          <w:rStyle w:val="FootnoteReference"/>
          <w:noProof/>
        </w:rPr>
        <w:footnoteReference w:id="8"/>
      </w:r>
      <w:r w:rsidRPr="0070360D">
        <w:rPr>
          <w:noProof/>
        </w:rPr>
        <w:t>. Tem por objetivo avaliar a forma como as disposições da Convenção são postas em prática e proporcionar orientações às Partes. O mecanismo é composto por dois organismos distintos mas interatuantes: um organismo de peritos independentes - o Grupo de peritos sobre o combate à violência contra as mulheres e a violência doméstica (GREVIO) - e o CdP.</w:t>
      </w:r>
    </w:p>
    <w:p w:rsidR="00111E49" w:rsidRPr="0070360D" w:rsidRDefault="00111E49" w:rsidP="00111E49">
      <w:pPr>
        <w:rPr>
          <w:rFonts w:eastAsia="Arial Unicode MS"/>
          <w:noProof/>
        </w:rPr>
      </w:pPr>
      <w:r w:rsidRPr="0070360D">
        <w:rPr>
          <w:noProof/>
        </w:rPr>
        <w:t xml:space="preserve">O GREVIO é um grupo independente e imparcial de peritos sobre o combate à violência contra as mulheres e a violência doméstica que tem por missão monitorizar a aplicação da Convenção de Istambul por cada país, em conformidade com o artigo 66.º, n.º 1, da Convenção. O GREVIO é composto por 15 membros escolhidos de entre os cidadãos nacionais das Partes e eleito pelo CdP por um mandato de quatro anos, renovável uma vez. </w:t>
      </w:r>
    </w:p>
    <w:p w:rsidR="00111E49" w:rsidRPr="0070360D" w:rsidRDefault="00111E49" w:rsidP="00111E49">
      <w:pPr>
        <w:rPr>
          <w:rFonts w:eastAsia="Arial Unicode MS"/>
          <w:noProof/>
        </w:rPr>
      </w:pPr>
      <w:bookmarkStart w:id="2" w:name="_Hlk159248344"/>
      <w:r w:rsidRPr="0070360D">
        <w:rPr>
          <w:noProof/>
        </w:rPr>
        <w:t>O procedimento de monitorização é descrito no artigo 68.º da Convenção. Resumidamente, tendo por base um questionário elaborado pelo GREVIO, cada Parte deve apresentar um relatório sobre as medidas legislativas e de outra natureza que dão efeito às disposições da Convenção. Com base nestas informações, bem como nas informações recebidas da sociedade civil, de outros órgãos instituídos pelos tratados e de outras instâncias do Conselho da Europa, e nas informações obtidas durante as visitas aos países, o GREVIO elabora um projeto de relatório sobre as medidas adotadas pela Parte interessada para aplicar as disposições da Convenção e apresenta sugestões e propostas quanto ao modo como a Parte pode resolver os problemas que foram identificados</w:t>
      </w:r>
      <w:r w:rsidRPr="0070360D">
        <w:rPr>
          <w:rStyle w:val="FootnoteReference"/>
          <w:rFonts w:eastAsia="Arial Unicode MS"/>
          <w:noProof/>
        </w:rPr>
        <w:footnoteReference w:id="9"/>
      </w:r>
      <w:r w:rsidRPr="0070360D">
        <w:rPr>
          <w:noProof/>
        </w:rPr>
        <w:t>. Após dar à Parte a possibilidade de apresentar observações sobre o relatório, o GREVIO adota o seu relatório final</w:t>
      </w:r>
      <w:r w:rsidR="008F633F" w:rsidRPr="0070360D">
        <w:rPr>
          <w:rStyle w:val="FootnoteReference"/>
          <w:rFonts w:eastAsia="Arial Unicode MS"/>
          <w:noProof/>
        </w:rPr>
        <w:footnoteReference w:id="10"/>
      </w:r>
      <w:r w:rsidRPr="0070360D">
        <w:rPr>
          <w:noProof/>
        </w:rPr>
        <w:t xml:space="preserve">. O relatório contém conclusões que sublinham as medidas que a Parte interessada deve adotar para aplicar a Convenção. </w:t>
      </w:r>
    </w:p>
    <w:bookmarkEnd w:id="2"/>
    <w:p w:rsidR="00DE4096" w:rsidRPr="0070360D" w:rsidRDefault="00111E49">
      <w:pPr>
        <w:rPr>
          <w:rFonts w:eastAsia="Arial Unicode MS"/>
          <w:noProof/>
        </w:rPr>
      </w:pPr>
      <w:r w:rsidRPr="0070360D">
        <w:rPr>
          <w:noProof/>
        </w:rPr>
        <w:t>Com base nos relatórios do GREVIO e nas suas conclusões, o CdP, em conformidade com o artigo 68.º, n.º 12, da Convenção, pode adotar as recomendações dirigidas à Parte interessada sobre a aplicação da Convenção e fixar uma data para a apresentação de informações sobre essa aplicação. Com base nesta disposição, nos termos dos procedimentos acordados, o CdP adota recomendações nas quais estabelece uma distinção entre as medidas que, em seu entender, devem ser adotadas pela Parte interessada o mais rapidamente possível, com a obrigação de lhe apresentar, no prazo de três anos, um relatório sobre os progressos realizados neste sentido, e as medidas que, embora importantes, o CdP considera que poderão ser adotadas numa segunda fase</w:t>
      </w:r>
      <w:r w:rsidRPr="0070360D">
        <w:rPr>
          <w:rStyle w:val="FootnoteReference"/>
          <w:rFonts w:eastAsia="Arial Unicode MS"/>
          <w:noProof/>
        </w:rPr>
        <w:footnoteReference w:id="11"/>
      </w:r>
      <w:r w:rsidRPr="0070360D">
        <w:rPr>
          <w:noProof/>
        </w:rPr>
        <w:t>. No final do período de três anos, a Parte deve apresentar ao CdP um relatório sobre os progressos realizados na aplicação dessas medidas. Com base nestas informações e noutras informações suplementares facultadas por organizações não-governamentais e da sociedade civil e por instituições nacionais para a proteção dos direitos humanos, o CdP adota conclusões sobre a aplicação das recomendações no que se refere a cada Parte examinada, que serão elaboradas pelo Secretariado do Comité</w:t>
      </w:r>
      <w:r w:rsidR="008F633F" w:rsidRPr="0070360D">
        <w:rPr>
          <w:rStyle w:val="FootnoteReference"/>
          <w:rFonts w:eastAsia="Arial Unicode MS"/>
          <w:noProof/>
        </w:rPr>
        <w:footnoteReference w:id="12"/>
      </w:r>
      <w:r w:rsidRPr="0070360D">
        <w:rPr>
          <w:noProof/>
        </w:rPr>
        <w:t xml:space="preserve">. Até à data, o CdP </w:t>
      </w:r>
      <w:r w:rsidRPr="0070360D">
        <w:rPr>
          <w:noProof/>
        </w:rPr>
        <w:lastRenderedPageBreak/>
        <w:t>tem adotado as suas recomendações e conclusões por consenso nas suas reuniões, que se realizam mediante pedido</w:t>
      </w:r>
      <w:r w:rsidRPr="0070360D">
        <w:rPr>
          <w:rStyle w:val="FootnoteReference"/>
          <w:rFonts w:eastAsia="Arial Unicode MS"/>
          <w:noProof/>
        </w:rPr>
        <w:footnoteReference w:id="13"/>
      </w:r>
      <w:r w:rsidRPr="0070360D">
        <w:rPr>
          <w:noProof/>
        </w:rPr>
        <w:t xml:space="preserve">, geralmente duas vezes por ano. </w:t>
      </w:r>
    </w:p>
    <w:p w:rsidR="00DE4096" w:rsidRPr="0070360D" w:rsidRDefault="00DE4096">
      <w:pPr>
        <w:pStyle w:val="ManualHeading2"/>
        <w:rPr>
          <w:noProof/>
        </w:rPr>
      </w:pPr>
      <w:r>
        <w:rPr>
          <w:noProof/>
        </w:rPr>
        <w:t>2.4.</w:t>
      </w:r>
      <w:r>
        <w:rPr>
          <w:noProof/>
        </w:rPr>
        <w:tab/>
      </w:r>
      <w:r w:rsidRPr="0070360D">
        <w:rPr>
          <w:noProof/>
        </w:rPr>
        <w:t>Atos previstos do Comité das Partes</w:t>
      </w:r>
    </w:p>
    <w:p w:rsidR="000F6ECE" w:rsidRPr="0070360D" w:rsidRDefault="000F6ECE" w:rsidP="000F6ECE">
      <w:pPr>
        <w:rPr>
          <w:rFonts w:eastAsia="Arial Unicode MS"/>
          <w:noProof/>
        </w:rPr>
      </w:pPr>
      <w:r w:rsidRPr="0070360D">
        <w:rPr>
          <w:noProof/>
        </w:rPr>
        <w:t xml:space="preserve">Prevê-se que, na sua 16.ª reunião, que se realizará em 31 de maio de 2024, o CdP proceda à adoção dos seguintes projetos de recomendação e conclusões («atos previstos» ou «projetos de recomendação e conclusões»): </w:t>
      </w:r>
    </w:p>
    <w:p w:rsidR="000F6ECE" w:rsidRPr="0070360D" w:rsidRDefault="00E47A98" w:rsidP="000066FE">
      <w:pPr>
        <w:pStyle w:val="Tiret1"/>
        <w:numPr>
          <w:ilvl w:val="0"/>
          <w:numId w:val="7"/>
        </w:numPr>
        <w:rPr>
          <w:noProof/>
        </w:rPr>
      </w:pPr>
      <w:r w:rsidRPr="0070360D">
        <w:rPr>
          <w:noProof/>
        </w:rPr>
        <w:t xml:space="preserve">Recomendação sobre a aplicação da Convenção do Conselho da Europa para a Prevenção e o Combate à Violência Contra as Mulheres e a Violência Doméstica pelo Listenstaine [IC-CP(2024)1-prov]; </w:t>
      </w:r>
    </w:p>
    <w:p w:rsidR="000F6ECE" w:rsidRPr="0070360D" w:rsidRDefault="00E47A98" w:rsidP="008F633F">
      <w:pPr>
        <w:pStyle w:val="Tiret1"/>
        <w:rPr>
          <w:noProof/>
        </w:rPr>
      </w:pPr>
      <w:r w:rsidRPr="0070360D">
        <w:rPr>
          <w:noProof/>
        </w:rPr>
        <w:t xml:space="preserve">Conclusões sobre a aplicação das recomendações no que respeita a Andorra, adotadas pelo Comité das Partes [IC-CP(2024)2-prov]; </w:t>
      </w:r>
    </w:p>
    <w:p w:rsidR="000F6ECE" w:rsidRPr="0070360D" w:rsidRDefault="00E47A98" w:rsidP="008F633F">
      <w:pPr>
        <w:pStyle w:val="Tiret1"/>
        <w:rPr>
          <w:noProof/>
        </w:rPr>
      </w:pPr>
      <w:r w:rsidRPr="0070360D">
        <w:rPr>
          <w:noProof/>
        </w:rPr>
        <w:t xml:space="preserve">Conclusões sobre a aplicação das recomendações no que respeita à Bélgica, adotadas pelo Comité das Partes [IC-CP(2024)3-prov]; </w:t>
      </w:r>
    </w:p>
    <w:p w:rsidR="000F6ECE" w:rsidRPr="0070360D" w:rsidRDefault="00E47A98" w:rsidP="008F633F">
      <w:pPr>
        <w:pStyle w:val="Tiret1"/>
        <w:rPr>
          <w:noProof/>
        </w:rPr>
      </w:pPr>
      <w:r w:rsidRPr="0070360D">
        <w:rPr>
          <w:noProof/>
        </w:rPr>
        <w:t xml:space="preserve">Conclusões sobre a aplicação das recomendações no que respeita a Malta, adotadas pelo Comité das Partes [IC-CP(2024)4-prov]; e </w:t>
      </w:r>
    </w:p>
    <w:p w:rsidR="000F6ECE" w:rsidRPr="0070360D" w:rsidRDefault="00E47A98" w:rsidP="008F633F">
      <w:pPr>
        <w:pStyle w:val="Tiret1"/>
        <w:rPr>
          <w:noProof/>
        </w:rPr>
      </w:pPr>
      <w:r w:rsidRPr="0070360D">
        <w:rPr>
          <w:noProof/>
        </w:rPr>
        <w:t xml:space="preserve">Conclusões sobre a aplicação das recomendações no que respeita a Espanha, adotadas pelo Comité das Partes [IC-CP(2024)5-prov]. </w:t>
      </w:r>
    </w:p>
    <w:p w:rsidR="00DE4096" w:rsidRPr="0070360D" w:rsidRDefault="00DE4096" w:rsidP="00DE4096">
      <w:pPr>
        <w:pStyle w:val="ManualHeading1"/>
        <w:rPr>
          <w:rFonts w:eastAsia="Arial Unicode MS"/>
          <w:noProof/>
        </w:rPr>
      </w:pPr>
      <w:r>
        <w:rPr>
          <w:noProof/>
        </w:rPr>
        <w:t>3.</w:t>
      </w:r>
      <w:r>
        <w:rPr>
          <w:noProof/>
        </w:rPr>
        <w:tab/>
      </w:r>
      <w:r w:rsidRPr="0070360D">
        <w:rPr>
          <w:noProof/>
        </w:rPr>
        <w:t>Posição a tomar em nome da União</w:t>
      </w:r>
    </w:p>
    <w:p w:rsidR="002659F4" w:rsidRPr="0070360D" w:rsidRDefault="000356B7" w:rsidP="001D4CC1">
      <w:pPr>
        <w:rPr>
          <w:noProof/>
        </w:rPr>
      </w:pPr>
      <w:r w:rsidRPr="0070360D">
        <w:rPr>
          <w:noProof/>
        </w:rPr>
        <w:t>Os atos previstos são dirigidos a cinco Estados Partes e incluem recomendações quanto às medidas a adotar para aplicar a Convenção de Istambul, bem como conclusões sobre a aplicação de recomendações anteriores pelos Estados Partes. Incluem questões relacionadas com a aplicação da Convenção pelas instituições competentes e pela administração pública.  A União aderiu à Convenção na medida em que esta se aplica às suas instituições e à sua administração pública e dispõe de competência exclusiva para aceitar as obrigações estabelecidas na Convenção no que respeita às suas próprias instituições e administração pública, na aceção do artigo 336.º do Tratado sobre o Funcionamento da União Europeia (TFUE). Por conseguinte, é conveniente definir a posição a tomar, em nome da União, no CdP, no que se refere às instituições e à administração pública da União, dado que os atos previstos são suscetíveis de influenciar de forma determinante o conteúdo do direito da União, na medida em que podem afetar a futura interpretação das disposições pertinentes da Convenção.</w:t>
      </w:r>
    </w:p>
    <w:p w:rsidR="001A7A4F" w:rsidRPr="0070360D" w:rsidRDefault="00247ECD" w:rsidP="001D4CC1">
      <w:pPr>
        <w:rPr>
          <w:rStyle w:val="eop"/>
          <w:noProof/>
        </w:rPr>
      </w:pPr>
      <w:r w:rsidRPr="0070360D">
        <w:rPr>
          <w:noProof/>
        </w:rPr>
        <w:t>Os projetos de recomendação e conclusões sobre matérias da competência da União, no que diz respeito às suas próprias instituições e administração pública, estão em consonância com as políticas e os objetivos da União e não suscitam quaisquer preocupações relativamente ao direito da União. Propõe-se, por conseguinte, que, na 16.ª reunião do Comité das Partes, a União não se oponha à adoção dos projetos de recomendação e conclusões. </w:t>
      </w:r>
    </w:p>
    <w:p w:rsidR="00DE4096" w:rsidRPr="0070360D" w:rsidRDefault="00DE4096">
      <w:pPr>
        <w:pStyle w:val="ManualHeading1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</w:r>
      <w:r w:rsidRPr="0070360D">
        <w:rPr>
          <w:noProof/>
        </w:rPr>
        <w:t>Base jurídica</w:t>
      </w:r>
    </w:p>
    <w:p w:rsidR="00DE4096" w:rsidRPr="0070360D" w:rsidRDefault="00DE4096">
      <w:pPr>
        <w:pStyle w:val="ManualHeading2"/>
        <w:rPr>
          <w:noProof/>
        </w:rPr>
      </w:pPr>
      <w:r>
        <w:rPr>
          <w:noProof/>
        </w:rPr>
        <w:t>4.1.</w:t>
      </w:r>
      <w:r>
        <w:rPr>
          <w:noProof/>
        </w:rPr>
        <w:tab/>
      </w:r>
      <w:r w:rsidRPr="0070360D">
        <w:rPr>
          <w:noProof/>
        </w:rPr>
        <w:t>Base jurídica processual</w:t>
      </w:r>
    </w:p>
    <w:p w:rsidR="00DE4096" w:rsidRPr="0070360D" w:rsidRDefault="00DE4096" w:rsidP="00DE4096">
      <w:pPr>
        <w:pStyle w:val="ManualHeading3"/>
        <w:tabs>
          <w:tab w:val="clear" w:pos="850"/>
          <w:tab w:val="num" w:pos="1984"/>
        </w:tabs>
        <w:ind w:left="1984" w:hanging="567"/>
        <w:rPr>
          <w:noProof/>
        </w:rPr>
      </w:pPr>
      <w:r>
        <w:rPr>
          <w:noProof/>
        </w:rPr>
        <w:t>4.1.1.</w:t>
      </w:r>
      <w:r>
        <w:rPr>
          <w:noProof/>
        </w:rPr>
        <w:tab/>
      </w:r>
      <w:r w:rsidRPr="0070360D">
        <w:rPr>
          <w:noProof/>
        </w:rPr>
        <w:t>Princípios</w:t>
      </w:r>
    </w:p>
    <w:p w:rsidR="00DE4096" w:rsidRPr="0070360D" w:rsidRDefault="00DE4096">
      <w:pPr>
        <w:rPr>
          <w:noProof/>
        </w:rPr>
      </w:pPr>
      <w:r w:rsidRPr="0070360D">
        <w:rPr>
          <w:noProof/>
        </w:rPr>
        <w:t xml:space="preserve">O artigo 218.º, n.º 9, do Tratado sobre o Funcionamento da União Europeia (TFUE) prevê decisões que definem </w:t>
      </w:r>
      <w:r w:rsidRPr="0070360D">
        <w:rPr>
          <w:i/>
          <w:noProof/>
        </w:rPr>
        <w:t>as posições a tomar em nome da União numa instância criada por um acordo, quando essa instância for chamada a adotar atos que produzam efeitos jurídicos, com exceção dos atos que completem ou alterem o quadro institucional do acordo</w:t>
      </w:r>
      <w:r w:rsidRPr="0070360D">
        <w:rPr>
          <w:noProof/>
        </w:rPr>
        <w:t>.</w:t>
      </w:r>
    </w:p>
    <w:p w:rsidR="00DE4096" w:rsidRPr="0070360D" w:rsidRDefault="59D8E17C">
      <w:pPr>
        <w:rPr>
          <w:noProof/>
        </w:rPr>
      </w:pPr>
      <w:r w:rsidRPr="0070360D">
        <w:rPr>
          <w:noProof/>
        </w:rPr>
        <w:t xml:space="preserve">A noção de </w:t>
      </w:r>
      <w:r w:rsidRPr="0070360D">
        <w:rPr>
          <w:i/>
          <w:noProof/>
        </w:rPr>
        <w:t>atos que produzem efeitos jurídicos</w:t>
      </w:r>
      <w:r w:rsidRPr="0070360D">
        <w:rPr>
          <w:noProof/>
        </w:rPr>
        <w:t xml:space="preserve"> inclui os atos que produzem efeitos jurídicos por força das normas do direito internacional que regem a instância em questão. Inclui ainda os instrumentos que não têm efeito vinculativo por força do direito internacional, mas que </w:t>
      </w:r>
      <w:r w:rsidRPr="0070360D">
        <w:rPr>
          <w:i/>
          <w:noProof/>
        </w:rPr>
        <w:t>tendem a influenciar de forma determinante o conteúdo da regulamentação adotada pelo legislador da União</w:t>
      </w:r>
      <w:r w:rsidR="00DE4096" w:rsidRPr="0070360D">
        <w:rPr>
          <w:rStyle w:val="FootnoteReference"/>
          <w:noProof/>
        </w:rPr>
        <w:footnoteReference w:id="14"/>
      </w:r>
      <w:r w:rsidRPr="0070360D">
        <w:rPr>
          <w:noProof/>
        </w:rPr>
        <w:t>.</w:t>
      </w:r>
    </w:p>
    <w:p w:rsidR="00DE4096" w:rsidRPr="0070360D" w:rsidRDefault="00DE4096" w:rsidP="00DE4096">
      <w:pPr>
        <w:pStyle w:val="ManualHeading3"/>
        <w:tabs>
          <w:tab w:val="clear" w:pos="850"/>
          <w:tab w:val="num" w:pos="1984"/>
        </w:tabs>
        <w:ind w:left="1984" w:hanging="567"/>
        <w:rPr>
          <w:noProof/>
        </w:rPr>
      </w:pPr>
      <w:r>
        <w:rPr>
          <w:noProof/>
        </w:rPr>
        <w:t>4.1.2.</w:t>
      </w:r>
      <w:r>
        <w:rPr>
          <w:noProof/>
        </w:rPr>
        <w:tab/>
      </w:r>
      <w:r w:rsidRPr="0070360D">
        <w:rPr>
          <w:noProof/>
        </w:rPr>
        <w:t>Aplicação ao caso em apreço</w:t>
      </w:r>
    </w:p>
    <w:p w:rsidR="00DE4096" w:rsidRPr="0070360D" w:rsidRDefault="00432F92">
      <w:pPr>
        <w:rPr>
          <w:noProof/>
        </w:rPr>
      </w:pPr>
      <w:r w:rsidRPr="0070360D">
        <w:rPr>
          <w:noProof/>
        </w:rPr>
        <w:t>O CdP é um órgão criado pela Convenção de Istambul. Os atos previstos que o CdP é chamado a adotar produzem efeitos jurídicos. Os atos previstos são suscetíveis de influenciar de forma determinante o conteúdo do direito da União, pois podem afetar a interpretação das disposições pertinentes da Convenção de Istambul no futuro. Por conseguinte, a base jurídica processual da decisão proposta é o artigo 218.º, n.º 9, do TFUE.</w:t>
      </w:r>
    </w:p>
    <w:p w:rsidR="00DE4096" w:rsidRPr="0070360D" w:rsidRDefault="00DE4096">
      <w:pPr>
        <w:pStyle w:val="ManualHeading2"/>
        <w:rPr>
          <w:noProof/>
        </w:rPr>
      </w:pPr>
      <w:r>
        <w:rPr>
          <w:noProof/>
        </w:rPr>
        <w:t>4.2.</w:t>
      </w:r>
      <w:r>
        <w:rPr>
          <w:noProof/>
        </w:rPr>
        <w:tab/>
      </w:r>
      <w:r w:rsidRPr="0070360D">
        <w:rPr>
          <w:noProof/>
        </w:rPr>
        <w:t>Base jurídica material</w:t>
      </w:r>
    </w:p>
    <w:p w:rsidR="00DE4096" w:rsidRPr="0070360D" w:rsidRDefault="00DE4096" w:rsidP="00DE4096">
      <w:pPr>
        <w:pStyle w:val="ManualHeading3"/>
        <w:tabs>
          <w:tab w:val="clear" w:pos="850"/>
          <w:tab w:val="num" w:pos="1984"/>
        </w:tabs>
        <w:ind w:left="1984" w:hanging="567"/>
        <w:rPr>
          <w:noProof/>
        </w:rPr>
      </w:pPr>
      <w:r>
        <w:rPr>
          <w:noProof/>
        </w:rPr>
        <w:t>4.2.1.</w:t>
      </w:r>
      <w:r>
        <w:rPr>
          <w:noProof/>
        </w:rPr>
        <w:tab/>
      </w:r>
      <w:r w:rsidRPr="0070360D">
        <w:rPr>
          <w:noProof/>
        </w:rPr>
        <w:t>Princípios</w:t>
      </w:r>
    </w:p>
    <w:p w:rsidR="00DE4096" w:rsidRPr="0070360D" w:rsidRDefault="00DE4096">
      <w:pPr>
        <w:rPr>
          <w:noProof/>
        </w:rPr>
      </w:pPr>
      <w:r w:rsidRPr="0070360D">
        <w:rPr>
          <w:noProof/>
        </w:rPr>
        <w:t>A base jurídica material de uma decisão nos termos do artigo 218.º, n.º 9, do TFUE depende essencialmente do objetivo e do conteúdo do ato previsto em relação ao qual é tomada uma posição em nome da União. Se o ato previsto prosseguir duas finalidades ou tiver duas componentes, e se uma dessas finalidades ou componentes for identificável como principal e a outra como sendo apenas acessória, a decisão a adotar nos termos do artigo 218.º, n.º 9, do TFUE deve assentar numa única base jurídica material, a saber, a exigida pela finalidade ou componente principal ou preponderante.</w:t>
      </w:r>
    </w:p>
    <w:p w:rsidR="00DE4096" w:rsidRPr="0070360D" w:rsidRDefault="00DE4096">
      <w:pPr>
        <w:rPr>
          <w:noProof/>
        </w:rPr>
      </w:pPr>
      <w:r w:rsidRPr="0070360D">
        <w:rPr>
          <w:noProof/>
        </w:rPr>
        <w:t>Se o ato previsto tiver simultaneamente várias finalidades ou componentes indissociavelmente ligadas, sem que nenhuma delas seja acessória em relação à outra, a base jurídica material de uma decisão a tomar nos termos do artigo 218.º, n.º 9, do TFUE, terá de incluir, excecionalmente, as várias bases jurídicas correspondentes.</w:t>
      </w:r>
    </w:p>
    <w:p w:rsidR="00DE4096" w:rsidRPr="0070360D" w:rsidRDefault="00DE4096" w:rsidP="00DE4096">
      <w:pPr>
        <w:pStyle w:val="ManualHeading3"/>
        <w:tabs>
          <w:tab w:val="clear" w:pos="850"/>
          <w:tab w:val="num" w:pos="1984"/>
        </w:tabs>
        <w:ind w:left="1984" w:hanging="567"/>
        <w:rPr>
          <w:noProof/>
        </w:rPr>
      </w:pPr>
      <w:r>
        <w:rPr>
          <w:noProof/>
        </w:rPr>
        <w:t>4.2.2.</w:t>
      </w:r>
      <w:r>
        <w:rPr>
          <w:noProof/>
        </w:rPr>
        <w:tab/>
      </w:r>
      <w:r w:rsidRPr="0070360D">
        <w:rPr>
          <w:noProof/>
        </w:rPr>
        <w:t>Aplicação ao caso em apreço</w:t>
      </w:r>
    </w:p>
    <w:p w:rsidR="00432F92" w:rsidRPr="0070360D" w:rsidRDefault="12663C35" w:rsidP="00432F92">
      <w:pPr>
        <w:rPr>
          <w:rFonts w:eastAsia="Arial Unicode MS"/>
          <w:noProof/>
        </w:rPr>
      </w:pPr>
      <w:r w:rsidRPr="0070360D">
        <w:rPr>
          <w:noProof/>
        </w:rPr>
        <w:t>Quanto à base jurídica material, a UE aderiu à Convenção de Istambul no que diz respeito às matérias da sua competência exclusiva, nomeadamente as questões relacionadas com as instituições e a administração pública da União</w:t>
      </w:r>
      <w:r w:rsidR="00432F92" w:rsidRPr="0070360D">
        <w:rPr>
          <w:rStyle w:val="FootnoteReference"/>
          <w:rFonts w:eastAsia="Arial Unicode MS"/>
          <w:noProof/>
        </w:rPr>
        <w:footnoteReference w:id="15"/>
      </w:r>
      <w:r w:rsidRPr="0070360D">
        <w:rPr>
          <w:noProof/>
        </w:rPr>
        <w:t xml:space="preserve"> e as matérias relativas à cooperação judiciária em matéria penal, ao asilo e à não repulsão</w:t>
      </w:r>
      <w:r w:rsidR="00432F92" w:rsidRPr="0070360D">
        <w:rPr>
          <w:rStyle w:val="FootnoteReference"/>
          <w:rFonts w:eastAsia="Arial Unicode MS"/>
          <w:noProof/>
        </w:rPr>
        <w:footnoteReference w:id="16"/>
      </w:r>
      <w:r w:rsidRPr="0070360D">
        <w:rPr>
          <w:noProof/>
        </w:rPr>
        <w:t xml:space="preserve">. A adesão da UE à Convenção de </w:t>
      </w:r>
      <w:r w:rsidRPr="0070360D">
        <w:rPr>
          <w:noProof/>
        </w:rPr>
        <w:lastRenderedPageBreak/>
        <w:t xml:space="preserve">Istambul foi cindida em duas decisões do Conselho distintas, a fim de ter em conta a posição especial da Dinamarca e da Irlanda no que diz respeito ao Título V do TFUE. Assim, também a decisão que estabelece a posição a tomar em nome da União no CdP deve ser cindida em duas decisões sempre que as recomendações ou conclusões pertinentes digam respeito a ambas as questões. </w:t>
      </w:r>
    </w:p>
    <w:p w:rsidR="00BC2DFE" w:rsidRPr="0070360D" w:rsidRDefault="00BC2DFE" w:rsidP="00432F92">
      <w:pPr>
        <w:rPr>
          <w:noProof/>
        </w:rPr>
      </w:pPr>
      <w:r w:rsidRPr="0070360D">
        <w:rPr>
          <w:rStyle w:val="normaltextrun"/>
          <w:noProof/>
          <w:color w:val="000000"/>
          <w:bdr w:val="none" w:sz="0" w:space="0" w:color="auto" w:frame="1"/>
        </w:rPr>
        <w:t>A base jurídica da presente decisão diz respeito a questões relacionadas com as instituições e a administração pública da União. A base jurídica material da presente decisão é, por conseguinte, o artigo 336.º do TFUE.</w:t>
      </w:r>
    </w:p>
    <w:p w:rsidR="00DE4096" w:rsidRPr="0070360D" w:rsidRDefault="00DE4096">
      <w:pPr>
        <w:pStyle w:val="ManualHeading2"/>
        <w:rPr>
          <w:noProof/>
        </w:rPr>
      </w:pPr>
      <w:r>
        <w:rPr>
          <w:noProof/>
        </w:rPr>
        <w:t>4.3.</w:t>
      </w:r>
      <w:r>
        <w:rPr>
          <w:noProof/>
        </w:rPr>
        <w:tab/>
      </w:r>
      <w:r w:rsidRPr="0070360D">
        <w:rPr>
          <w:noProof/>
        </w:rPr>
        <w:t>Conclusão</w:t>
      </w:r>
    </w:p>
    <w:p w:rsidR="00DE4096" w:rsidRPr="0070360D" w:rsidRDefault="00A94244">
      <w:pPr>
        <w:rPr>
          <w:rStyle w:val="eop"/>
          <w:noProof/>
          <w:color w:val="000000"/>
          <w:shd w:val="clear" w:color="auto" w:fill="FFFFFF"/>
        </w:rPr>
      </w:pPr>
      <w:r w:rsidRPr="0070360D">
        <w:rPr>
          <w:rStyle w:val="normaltextrun"/>
          <w:noProof/>
          <w:color w:val="000000"/>
          <w:shd w:val="clear" w:color="auto" w:fill="FFFFFF"/>
        </w:rPr>
        <w:t>A base jurídica da decisão proposta deve ser o artigo 336.º do TFUE, em conjugação com o artigo 218.º, n.º 9, do TFUE.</w:t>
      </w:r>
      <w:r w:rsidRPr="0070360D">
        <w:rPr>
          <w:rStyle w:val="eop"/>
          <w:noProof/>
          <w:color w:val="000000"/>
          <w:shd w:val="clear" w:color="auto" w:fill="FFFFFF"/>
        </w:rPr>
        <w:t> </w:t>
      </w:r>
    </w:p>
    <w:p w:rsidR="002856A3" w:rsidRPr="0070360D" w:rsidRDefault="002856A3">
      <w:pPr>
        <w:rPr>
          <w:noProof/>
        </w:rPr>
        <w:sectPr w:rsidR="002856A3" w:rsidRPr="0070360D" w:rsidSect="00AC3AEE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DE4096" w:rsidRPr="0070360D" w:rsidRDefault="0070360D" w:rsidP="0070360D">
      <w:pPr>
        <w:pStyle w:val="Statutc"/>
        <w:rPr>
          <w:noProof/>
        </w:rPr>
      </w:pPr>
      <w:r w:rsidRPr="0070360D">
        <w:rPr>
          <w:noProof/>
        </w:rPr>
        <w:lastRenderedPageBreak/>
        <w:t>Proposta de</w:t>
      </w:r>
    </w:p>
    <w:p w:rsidR="00AB0F66" w:rsidRDefault="00D1476B">
      <w:pPr>
        <w:pStyle w:val="Rfrenceinterinstitutionnelle"/>
        <w:rPr>
          <w:noProof/>
        </w:rPr>
      </w:pPr>
      <w:r>
        <w:rPr>
          <w:noProof/>
        </w:rPr>
        <w:t>2024/0120 (NLE)</w:t>
      </w:r>
    </w:p>
    <w:p w:rsidR="00DE4096" w:rsidRPr="0070360D" w:rsidRDefault="0070360D" w:rsidP="0070360D">
      <w:pPr>
        <w:pStyle w:val="Typedudocument"/>
        <w:rPr>
          <w:noProof/>
        </w:rPr>
      </w:pPr>
      <w:r w:rsidRPr="0070360D">
        <w:rPr>
          <w:noProof/>
        </w:rPr>
        <w:t>DECISÃO DO CONSELHO</w:t>
      </w:r>
    </w:p>
    <w:p w:rsidR="00DE4096" w:rsidRPr="0070360D" w:rsidRDefault="0070360D" w:rsidP="0070360D">
      <w:pPr>
        <w:pStyle w:val="Titreobjet"/>
        <w:rPr>
          <w:noProof/>
        </w:rPr>
      </w:pPr>
      <w:r w:rsidRPr="0070360D">
        <w:rPr>
          <w:noProof/>
        </w:rPr>
        <w:t>relativa à posição a tomar, em nome da União Europeia, na 16.ª reunião do Comité das Partes na Convenção do Conselho da Europa para a Prevenção e o Combate à Violência Contra as Mulheres e a Violência Doméstica, sobre a adoção de uma recomendação e de conclusões dirigidas a cinco Estados Partes no que diz respeito a questões relacionadas com as instituições e a administração pública da União</w:t>
      </w:r>
    </w:p>
    <w:p w:rsidR="00DE4096" w:rsidRPr="0070360D" w:rsidRDefault="00DE4096">
      <w:pPr>
        <w:pStyle w:val="Institutionquiagit"/>
        <w:rPr>
          <w:noProof/>
        </w:rPr>
      </w:pPr>
      <w:r w:rsidRPr="0070360D">
        <w:rPr>
          <w:noProof/>
        </w:rPr>
        <w:t>O CONSELHO DA UNIÃO EUROPEIA,</w:t>
      </w:r>
    </w:p>
    <w:p w:rsidR="00DE4096" w:rsidRPr="0070360D" w:rsidRDefault="00DE4096">
      <w:pPr>
        <w:rPr>
          <w:noProof/>
        </w:rPr>
      </w:pPr>
      <w:r w:rsidRPr="0070360D">
        <w:rPr>
          <w:noProof/>
        </w:rPr>
        <w:t>Tendo em conta o Tratado sobre o Funcionamento da União Europeia, nomeadamente o artigo 336.º, em conjugação com o artigo 218.º, n.º 9,</w:t>
      </w:r>
    </w:p>
    <w:p w:rsidR="00DE4096" w:rsidRPr="0070360D" w:rsidRDefault="00DE4096">
      <w:pPr>
        <w:rPr>
          <w:noProof/>
        </w:rPr>
      </w:pPr>
      <w:r w:rsidRPr="0070360D">
        <w:rPr>
          <w:noProof/>
        </w:rPr>
        <w:t>Tendo em conta a proposta da Comissão Europeia,</w:t>
      </w:r>
    </w:p>
    <w:p w:rsidR="00657229" w:rsidRPr="0070360D" w:rsidRDefault="00DE4096">
      <w:pPr>
        <w:rPr>
          <w:noProof/>
        </w:rPr>
      </w:pPr>
      <w:r w:rsidRPr="0070360D">
        <w:rPr>
          <w:noProof/>
        </w:rPr>
        <w:t>Considerando o seguinte:</w:t>
      </w:r>
    </w:p>
    <w:p w:rsidR="00363D88" w:rsidRPr="0070360D" w:rsidRDefault="00363D88" w:rsidP="000066FE"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</w:r>
      <w:r w:rsidRPr="0070360D">
        <w:rPr>
          <w:noProof/>
        </w:rPr>
        <w:t>A Convenção do Conselho da Europa para a Prevenção e o Combate à Violência Contra as Mulheres e a Violência Doméstica («Convenção») foi celebrada pela União através da Decisão (UE) 2023/1075 do Conselho</w:t>
      </w:r>
      <w:r w:rsidR="005E4D14" w:rsidRPr="0070360D">
        <w:rPr>
          <w:rStyle w:val="FootnoteReference"/>
          <w:noProof/>
        </w:rPr>
        <w:footnoteReference w:id="17"/>
      </w:r>
      <w:r w:rsidRPr="0070360D">
        <w:rPr>
          <w:noProof/>
        </w:rPr>
        <w:t>, no que diz respeito às instituições e à administração pública da União, e pela Decisão (UE)</w:t>
      </w:r>
      <w:hyperlink r:id="rId19" w:history="1">
        <w:r w:rsidRPr="0070360D">
          <w:rPr>
            <w:noProof/>
          </w:rPr>
          <w:t xml:space="preserve"> 2023/1076 do Conselho</w:t>
        </w:r>
        <w:r w:rsidR="005E4D14" w:rsidRPr="0070360D">
          <w:rPr>
            <w:rStyle w:val="FootnoteReference"/>
            <w:noProof/>
          </w:rPr>
          <w:footnoteReference w:id="18"/>
        </w:r>
      </w:hyperlink>
      <w:r w:rsidRPr="0070360D">
        <w:rPr>
          <w:noProof/>
        </w:rPr>
        <w:t xml:space="preserve">, no que diz respeito a matérias relativas à cooperação judiciária em matéria penal, ao asilo e à não repulsão, e entrou em vigor para a União em 1 de outubro de 2023. </w:t>
      </w:r>
    </w:p>
    <w:p w:rsidR="00C72903" w:rsidRPr="0070360D" w:rsidRDefault="001A0D57" w:rsidP="00BF7F78"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</w:r>
      <w:r w:rsidRPr="0070360D">
        <w:rPr>
          <w:noProof/>
        </w:rPr>
        <w:t>Em conformidade com o artigo 66.º, n.º 1, da Convenção, o Grupo de peritos sobre o combate à violência contra as mulheres e a violência doméstica («GREVIO») foi incumbido de monitorizar a aplicação da Convenção pelas Partes na mesma. Nos termos do artigo 68.º, n.º 11, da Convenção, o GREVIO adota o seu relatório e as suas conclusões sobre as medidas tomadas pela Parte interessada para aplicar as disposições da Convenção.</w:t>
      </w:r>
    </w:p>
    <w:p w:rsidR="007711FA" w:rsidRPr="0070360D" w:rsidRDefault="007711FA" w:rsidP="00961BB8">
      <w:pPr>
        <w:pStyle w:val="Point0"/>
        <w:rPr>
          <w:noProof/>
        </w:rPr>
      </w:pPr>
      <w:r>
        <w:rPr>
          <w:noProof/>
        </w:rPr>
        <w:t>(3)</w:t>
      </w:r>
      <w:r>
        <w:rPr>
          <w:noProof/>
        </w:rPr>
        <w:tab/>
      </w:r>
      <w:r w:rsidRPr="0070360D">
        <w:rPr>
          <w:noProof/>
        </w:rPr>
        <w:t xml:space="preserve">O Comité das Partes na Convenção pode adotar recomendações dirigidas à Parte interessada, em conformidade com o artigo 68.º, n.º 12, da Convenção. As recomendações baseiam-se nos relatórios do GREVIO e estabelecem uma distinção entre as medidas que o Comité das Partes entende devem ser adotadas pela Parte interessada o mais rapidamente possível, com a obrigação de lhe apresentar, no prazo de três anos, um relatório sobre os progressos realizados neste sentido, e as medidas que, embora importantes, o Comité das Partes considera que poderão ser adotadas </w:t>
      </w:r>
      <w:r w:rsidRPr="0070360D">
        <w:rPr>
          <w:noProof/>
        </w:rPr>
        <w:lastRenderedPageBreak/>
        <w:t>numa segunda fase. No final do período de três anos, a Parte deve apresentar um relatório ao Comité das Partes sobre as medidas adotadas em dez domínios específicos da Convenção. Com base nestas informações e noutras informações suplementares facultadas por organizações não-governamentais e da sociedade civil e por instituições nacionais para a proteção dos direitos humanos, o Comité das Partes adota conclusões sobre a aplicação das recomendações, que serão elaboradas pelo Secretariado do Comité.</w:t>
      </w:r>
    </w:p>
    <w:p w:rsidR="00A37DE7" w:rsidRPr="0070360D" w:rsidRDefault="00A37DE7" w:rsidP="00961BB8"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</w:r>
      <w:r w:rsidRPr="0070360D">
        <w:rPr>
          <w:noProof/>
        </w:rPr>
        <w:t>O Comité das Partes, na sua 16.ª reunião, que terá lugar em 31 de maio de 2024, deverá adotar o seguinte projeto de recomendação e quatro projetos de conclusões, relativos à aplicação da Convenção por cinco Estados Partes (projetos de recomendação e conclusões):</w:t>
      </w:r>
    </w:p>
    <w:p w:rsidR="00A37DE7" w:rsidRPr="0070360D" w:rsidRDefault="00E47A98" w:rsidP="008F633F">
      <w:pPr>
        <w:pStyle w:val="Tiret1"/>
        <w:rPr>
          <w:noProof/>
        </w:rPr>
      </w:pPr>
      <w:r w:rsidRPr="0070360D">
        <w:rPr>
          <w:noProof/>
        </w:rPr>
        <w:t xml:space="preserve">Recomendação sobre a aplicação da Convenção do Conselho da Europa para a Prevenção e o Combate à Violência Contra as Mulheres e a Violência Doméstica pelo Listenstaine [IC-CP(2024)1-prov]; </w:t>
      </w:r>
    </w:p>
    <w:p w:rsidR="00A37DE7" w:rsidRPr="0070360D" w:rsidRDefault="00E47A98" w:rsidP="008F633F">
      <w:pPr>
        <w:pStyle w:val="Tiret1"/>
        <w:rPr>
          <w:noProof/>
        </w:rPr>
      </w:pPr>
      <w:r w:rsidRPr="0070360D">
        <w:rPr>
          <w:noProof/>
        </w:rPr>
        <w:t xml:space="preserve">Conclusões sobre a aplicação das recomendações no que respeita a Andorra, adotadas pelo Comité das Partes [IC-CP(2024)2-prov]; </w:t>
      </w:r>
    </w:p>
    <w:p w:rsidR="00A37DE7" w:rsidRPr="0070360D" w:rsidRDefault="00E47A98" w:rsidP="008F633F">
      <w:pPr>
        <w:pStyle w:val="Tiret1"/>
        <w:rPr>
          <w:noProof/>
        </w:rPr>
      </w:pPr>
      <w:r w:rsidRPr="0070360D">
        <w:rPr>
          <w:noProof/>
        </w:rPr>
        <w:t xml:space="preserve">Conclusões sobre a aplicação das recomendações no que respeita à Bélgica, adotadas pelo Comité das Partes [IC-CP(2024)3-prov]; </w:t>
      </w:r>
    </w:p>
    <w:p w:rsidR="00A37DE7" w:rsidRPr="0070360D" w:rsidRDefault="00E47A98" w:rsidP="008F633F">
      <w:pPr>
        <w:pStyle w:val="Tiret1"/>
        <w:rPr>
          <w:noProof/>
        </w:rPr>
      </w:pPr>
      <w:r w:rsidRPr="0070360D">
        <w:rPr>
          <w:noProof/>
        </w:rPr>
        <w:t xml:space="preserve">Conclusões sobre a aplicação das recomendações no que respeita a Malta, adotadas pelo Comité das Partes [IC-CP(2024)4-prov]; e </w:t>
      </w:r>
    </w:p>
    <w:p w:rsidR="00A37DE7" w:rsidRPr="0070360D" w:rsidRDefault="00E47A98" w:rsidP="008F633F">
      <w:pPr>
        <w:pStyle w:val="Tiret1"/>
        <w:rPr>
          <w:noProof/>
        </w:rPr>
      </w:pPr>
      <w:r w:rsidRPr="0070360D">
        <w:rPr>
          <w:noProof/>
        </w:rPr>
        <w:t xml:space="preserve">Conclusões sobre a aplicação das recomendações no que respeita a Espanha, adotadas pelo Comité das Partes [IC-CP(2024)5-prov]. </w:t>
      </w:r>
    </w:p>
    <w:p w:rsidR="009A0E86" w:rsidRPr="0070360D" w:rsidRDefault="005368F7" w:rsidP="00961BB8">
      <w:pPr>
        <w:pStyle w:val="Point0"/>
        <w:rPr>
          <w:rStyle w:val="eop"/>
          <w:noProof/>
        </w:rPr>
      </w:pPr>
      <w:r>
        <w:rPr>
          <w:noProof/>
        </w:rPr>
        <w:t>(5)</w:t>
      </w:r>
      <w:r>
        <w:rPr>
          <w:noProof/>
        </w:rPr>
        <w:tab/>
      </w:r>
      <w:r w:rsidRPr="0070360D">
        <w:rPr>
          <w:rStyle w:val="normaltextrun"/>
          <w:noProof/>
        </w:rPr>
        <w:t xml:space="preserve">A União dispõe de competência exclusiva para aceitar as obrigações estabelecidas na Convenção no que respeita às suas próprias instituições e administração pública, na aceção do artigo 336.º do Tratado sobre o Funcionamento da União Europeia. No </w:t>
      </w:r>
      <w:r w:rsidRPr="0070360D">
        <w:rPr>
          <w:rStyle w:val="normaltextrun"/>
          <w:noProof/>
          <w:color w:val="000000"/>
          <w:shd w:val="clear" w:color="auto" w:fill="FFFFFF"/>
        </w:rPr>
        <w:t>Parecer 1/19 (Convenção de Istambul</w:t>
      </w:r>
      <w:r w:rsidRPr="0070360D">
        <w:rPr>
          <w:rStyle w:val="normaltextrun"/>
          <w:noProof/>
        </w:rPr>
        <w:t xml:space="preserve">), de 6 de outubro de 2021, EU:C:2021:832, </w:t>
      </w:r>
      <w:r w:rsidRPr="0070360D">
        <w:rPr>
          <w:rStyle w:val="normaltextrun"/>
          <w:noProof/>
          <w:color w:val="000000"/>
          <w:shd w:val="clear" w:color="auto" w:fill="FFFFFF"/>
        </w:rPr>
        <w:t xml:space="preserve">n.º 305, o Tribunal de Justiça confirmou que </w:t>
      </w:r>
      <w:r w:rsidRPr="0070360D">
        <w:rPr>
          <w:rStyle w:val="normaltextrun"/>
          <w:noProof/>
        </w:rPr>
        <w:t xml:space="preserve">uma parte significativa das obrigações da Convenção relativas à adoção de medidas preventivas e de prevenção se impõem, em substância, à União, igualmente no que diz respeito ao pessoal da sua administração e ao público que frequenta as instalações e os edifícios das suas instituições, órgãos e organismos. </w:t>
      </w:r>
      <w:r w:rsidRPr="0070360D">
        <w:rPr>
          <w:rStyle w:val="normaltextrun"/>
          <w:noProof/>
          <w:color w:val="000000"/>
          <w:shd w:val="clear" w:color="auto" w:fill="FFFFFF"/>
        </w:rPr>
        <w:t>O Tribunal considerou ainda, no n.º 307 do parecer, que a União não se deve limitar a estabelecer prescrições mínimas ou medidas de apoio, antes devendo assegurar ela própria que sejam inteiramente cumpridas essas obrigações.</w:t>
      </w:r>
      <w:r w:rsidRPr="0070360D">
        <w:rPr>
          <w:rStyle w:val="eop"/>
          <w:noProof/>
          <w:color w:val="000000"/>
          <w:shd w:val="clear" w:color="auto" w:fill="FFFFFF"/>
        </w:rPr>
        <w:t> </w:t>
      </w:r>
    </w:p>
    <w:p w:rsidR="002676A0" w:rsidRPr="0070360D" w:rsidRDefault="00022291" w:rsidP="00961BB8">
      <w:pPr>
        <w:pStyle w:val="Point0"/>
        <w:rPr>
          <w:noProof/>
        </w:rPr>
      </w:pPr>
      <w:r>
        <w:rPr>
          <w:noProof/>
        </w:rPr>
        <w:t>(6)</w:t>
      </w:r>
      <w:r>
        <w:rPr>
          <w:noProof/>
        </w:rPr>
        <w:tab/>
      </w:r>
      <w:r w:rsidRPr="0070360D">
        <w:rPr>
          <w:noProof/>
        </w:rPr>
        <w:t>Os projetos de recomendação e conclusões dizem respeito à aplicação das disposições da Convenção, que também se aplicam à União no que se refere às suas próprias instituições e administração pública. Por conseguinte, é conveniente definir a posição a tomar, em nome da União, no Comité das Partes, no que diz respeito a questões relacionadas com as instituições e a administração pública da União, dado que os atos previstos são suscetíveis de influenciar de forma determinante o conteúdo do direito da União, na medida em que podem afetar a futura interpretação das disposições pertinentes da Convenção.</w:t>
      </w:r>
    </w:p>
    <w:p w:rsidR="006C59C9" w:rsidRPr="0070360D" w:rsidRDefault="006C59C9" w:rsidP="00961BB8">
      <w:pPr>
        <w:pStyle w:val="Point0"/>
        <w:rPr>
          <w:noProof/>
        </w:rPr>
      </w:pPr>
      <w:r>
        <w:rPr>
          <w:noProof/>
        </w:rPr>
        <w:t>(7)</w:t>
      </w:r>
      <w:r>
        <w:rPr>
          <w:noProof/>
        </w:rPr>
        <w:tab/>
      </w:r>
      <w:r w:rsidRPr="0070360D">
        <w:rPr>
          <w:noProof/>
        </w:rPr>
        <w:t xml:space="preserve">No que se refere ao Listenstaine, o projeto de recomendação relativo à aplicação da Convenção por este Estado Parte incluem a necessidade de desenvolver uma estratégia ou plano de ação abrangente para prevenir e combater todas as formas de violência abrangidas pela Convenção (artigo 7.º da Convenção), garantir uma orçamentação sensível ao género e a afetação específica de fundos para identificar os </w:t>
      </w:r>
      <w:r w:rsidRPr="0070360D">
        <w:rPr>
          <w:noProof/>
        </w:rPr>
        <w:lastRenderedPageBreak/>
        <w:t>montantes despendidos por todas as instituições pertinentes no combate à violência contra as mulheres e à violência doméstica (artigo 8.º da Convenção), afetar recursos humanos e financeiros aos órgãos de coordenação (artigo 10.º da Convenção), realizar inquéritos à população sobre todas as formas de violência abrangidas pela Convenção e promover a investigação sobre a situação das mulheres vítimas de violência (artigo 11.º da Convenção), assegurar uma linha telefónica de apoio específica e gratuita a nível nacional (artigo 24.º da Convenção) e recorrer a ordens de interdição das autoridades policiais para assegurar a proteção das vítimas (artigo 52.º da Convenção). Dado que as recomendações sobre estas questões estão em consonância com as políticas e os objetivos da União e não suscitam quaisquer preocupações relativamente ao direito da União, a União deve tomar a posição de não se opor à adoção da recomendação dirigida ao Listenstaine.</w:t>
      </w:r>
    </w:p>
    <w:p w:rsidR="009722F3" w:rsidRPr="0070360D" w:rsidRDefault="00507A8C" w:rsidP="00961BB8">
      <w:pPr>
        <w:pStyle w:val="Point0"/>
        <w:rPr>
          <w:noProof/>
        </w:rPr>
      </w:pPr>
      <w:r>
        <w:rPr>
          <w:noProof/>
        </w:rPr>
        <w:t>(8)</w:t>
      </w:r>
      <w:r>
        <w:rPr>
          <w:noProof/>
        </w:rPr>
        <w:tab/>
      </w:r>
      <w:r w:rsidRPr="0070360D">
        <w:rPr>
          <w:noProof/>
        </w:rPr>
        <w:t>No que se refere a Andorra, os projetos de conclusões relativos à aplicação da Convenção por este Estado Parte incluem a necessidade de garantir que as partes interessadas pertinentes recebem recursos humanos e financeiros suficientes (artigo 8.º e artigo 25.º da Convenção), assegurar uma abordagem transversal e coordenada em matéria de prevenção e de combate à violência contra as mulheres (artigo 7.º da Convenção), promover atividades regulares de investigação sobre a situação relativa a todas as formas de violência cobertas pelo âmbito de aplicação da Convenção (artigo 11.º da Convenção) e garantir que as vítimas possam recorrer a ordens de interdição de emergência, em conformidade com a Convenção (artigo 52.º da Convenção). Dado que as conclusões sobre estas questões estão em consonância com as políticas e os objetivos da União e não suscitam quaisquer preocupações relativamente ao direito da União, a União deve tomar a posição de não se opor à adoção das conclusões dirigidas a Andorra.</w:t>
      </w:r>
    </w:p>
    <w:p w:rsidR="009B0704" w:rsidRPr="0070360D" w:rsidRDefault="009B0704" w:rsidP="00961BB8">
      <w:pPr>
        <w:pStyle w:val="Point0"/>
        <w:rPr>
          <w:noProof/>
        </w:rPr>
      </w:pPr>
      <w:r>
        <w:rPr>
          <w:noProof/>
        </w:rPr>
        <w:t>(9)</w:t>
      </w:r>
      <w:r>
        <w:rPr>
          <w:noProof/>
        </w:rPr>
        <w:tab/>
      </w:r>
      <w:r w:rsidRPr="0070360D">
        <w:rPr>
          <w:noProof/>
        </w:rPr>
        <w:t>No que se refere à Bélgica, os projetos de conclusões relativos à aplicação da Convenção por este Estado Parte incluem a necessidade de assegurar a recolha de dados sobre violência contra as mulheres (artigo 11.º da Convenção) e garantir que os serviços de apoio especializados beneficiam de financiamento que assegure a continuidade das suas atividades (artigo 8.º e artigo 25.º da Convenção). Dado que as conclusões sobre estas questões estão em consonância com as políticas e os objetivos da União e não suscitam quaisquer preocupações relativamente ao direito da União, a União deve tomar a posição de não se opor à adoção das conclusões dirigidas à Bélgica.</w:t>
      </w:r>
    </w:p>
    <w:p w:rsidR="002E596A" w:rsidRPr="0070360D" w:rsidRDefault="002E596A" w:rsidP="00961BB8">
      <w:pPr>
        <w:pStyle w:val="Point0"/>
        <w:rPr>
          <w:noProof/>
        </w:rPr>
      </w:pPr>
      <w:r>
        <w:rPr>
          <w:noProof/>
        </w:rPr>
        <w:t>(10)</w:t>
      </w:r>
      <w:r>
        <w:rPr>
          <w:noProof/>
        </w:rPr>
        <w:tab/>
      </w:r>
      <w:r w:rsidRPr="0070360D">
        <w:rPr>
          <w:noProof/>
        </w:rPr>
        <w:t>No que se refere a Malta, os projetos de conclusões relativos à aplicação da Convenção por este Estado Parte incluem a necessidade de reforçar a cooperação com intervenientes não governamentais, incluindo os que prestam serviços de apoio especializados, e assegurar a sua participação efetiva na conceção das políticas pertinentes (artigo 7.º da Convenção), garantir a recolha exaustiva de dados relativos a todas as formas de violência cobertas pela Convenção (artigo 11.º da Convenção) e assegurar a conformidade da sua legislação com a Convenção no que diz respeito às ordens de interdição de emergência e às ordens de proteção (artigo 52.º e artigo 53.º da Convenção). Dado que as conclusões sobre estas questões estão em consonância com as políticas e os objetivos da União e não suscitam quaisquer preocupações relativamente ao direito da União, a União deve tomar a posição de não se opor à adoção da conclusão dirigida a Malta.</w:t>
      </w:r>
    </w:p>
    <w:p w:rsidR="00EC1290" w:rsidRPr="0070360D" w:rsidRDefault="00EC1290" w:rsidP="00961BB8">
      <w:pPr>
        <w:pStyle w:val="Point0"/>
        <w:rPr>
          <w:noProof/>
        </w:rPr>
      </w:pPr>
      <w:r>
        <w:rPr>
          <w:noProof/>
        </w:rPr>
        <w:t>(11)</w:t>
      </w:r>
      <w:r>
        <w:rPr>
          <w:noProof/>
        </w:rPr>
        <w:tab/>
      </w:r>
      <w:r w:rsidRPr="0070360D">
        <w:rPr>
          <w:noProof/>
        </w:rPr>
        <w:t xml:space="preserve">No que se refere a Espanha, os projetos de conclusões relativos à aplicação da Convenção por este Estado Parte incluem a necessidade de harmonizar em todo o país o nível de apoio e proteção das mulheres vítimas de violência e avaliar a </w:t>
      </w:r>
      <w:r w:rsidRPr="0070360D">
        <w:rPr>
          <w:noProof/>
        </w:rPr>
        <w:lastRenderedPageBreak/>
        <w:t>aplicação das medidas pertinentes (artigo 10.º e artigo 25.º da Convenção). Dado que as conclusões sobre estas questões estão em consonância com as políticas e os objetivos da União e não suscitam quaisquer preocupações relativamente ao direito da União, a União deve tomar a posição de não se opor à adoção das conclusões dirigidas a Espanha</w:t>
      </w:r>
      <w:r w:rsidR="000C4481" w:rsidRPr="0070360D">
        <w:rPr>
          <w:noProof/>
        </w:rPr>
        <w:t>,</w:t>
      </w:r>
    </w:p>
    <w:p w:rsidR="00DE4096" w:rsidRPr="0070360D" w:rsidRDefault="00DE4096">
      <w:pPr>
        <w:pStyle w:val="Formuledadoption"/>
        <w:rPr>
          <w:noProof/>
        </w:rPr>
      </w:pPr>
      <w:r w:rsidRPr="0070360D">
        <w:rPr>
          <w:noProof/>
        </w:rPr>
        <w:t>ADOTOU A PRESENTE DECISÃO:</w:t>
      </w:r>
    </w:p>
    <w:p w:rsidR="00DE4096" w:rsidRPr="0070360D" w:rsidRDefault="00DE4096">
      <w:pPr>
        <w:pStyle w:val="Titrearticle"/>
        <w:rPr>
          <w:noProof/>
        </w:rPr>
      </w:pPr>
      <w:r w:rsidRPr="0070360D">
        <w:rPr>
          <w:noProof/>
        </w:rPr>
        <w:t>Artigo 1.º</w:t>
      </w:r>
    </w:p>
    <w:p w:rsidR="00336B92" w:rsidRPr="0070360D" w:rsidRDefault="00DE4096" w:rsidP="00077D80">
      <w:pPr>
        <w:rPr>
          <w:noProof/>
        </w:rPr>
      </w:pPr>
      <w:r w:rsidRPr="0070360D">
        <w:rPr>
          <w:noProof/>
        </w:rPr>
        <w:t>A posição a tomar, em nome da União, na 16.ª reunião do Comité das Partes, instituído nos termos do artigo 67.º da Convenção, é a de não se opor à adoção dos seguintes atos:</w:t>
      </w:r>
    </w:p>
    <w:p w:rsidR="00B85DF7" w:rsidRPr="0070360D" w:rsidRDefault="00E47A98" w:rsidP="005A2617">
      <w:pPr>
        <w:pStyle w:val="Point0"/>
        <w:rPr>
          <w:rFonts w:eastAsia="Times New Roman"/>
          <w:noProof/>
        </w:rPr>
      </w:pPr>
      <w:r>
        <w:rPr>
          <w:noProof/>
        </w:rPr>
        <w:t>(1)</w:t>
      </w:r>
      <w:r>
        <w:rPr>
          <w:noProof/>
        </w:rPr>
        <w:tab/>
      </w:r>
      <w:r w:rsidRPr="0070360D">
        <w:rPr>
          <w:noProof/>
        </w:rPr>
        <w:t>Recomendação sobre a aplicação da Convenção do Conselho da Europa para a Prevenção e o Combate à Violência Contra as Mulheres e a Violência Doméstica pelo Listenstaine [IC-CP(2024)1-prov];</w:t>
      </w:r>
    </w:p>
    <w:p w:rsidR="00B85DF7" w:rsidRPr="0070360D" w:rsidRDefault="00E47A98" w:rsidP="005E30F8"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</w:r>
      <w:r w:rsidRPr="0070360D">
        <w:rPr>
          <w:noProof/>
        </w:rPr>
        <w:t xml:space="preserve">Conclusões sobre a aplicação das recomendações no que respeita a Andorra, adotadas pelo Comité das Partes [IC-CP(2024)2-prov]; </w:t>
      </w:r>
    </w:p>
    <w:p w:rsidR="00B85DF7" w:rsidRPr="0070360D" w:rsidRDefault="00E47A98" w:rsidP="002856A3">
      <w:pPr>
        <w:pStyle w:val="Point0"/>
        <w:rPr>
          <w:noProof/>
        </w:rPr>
      </w:pPr>
      <w:r>
        <w:rPr>
          <w:noProof/>
        </w:rPr>
        <w:t>(3)</w:t>
      </w:r>
      <w:r>
        <w:rPr>
          <w:noProof/>
        </w:rPr>
        <w:tab/>
      </w:r>
      <w:r w:rsidRPr="0070360D">
        <w:rPr>
          <w:noProof/>
        </w:rPr>
        <w:t>Conclusões sobre a aplicação das recomendações no que respeita à Bélgica, adotadas pelo Comité das Partes [IC-CP(2024)3-prov];</w:t>
      </w:r>
    </w:p>
    <w:p w:rsidR="008A3E29" w:rsidRPr="0070360D" w:rsidRDefault="00E47A98" w:rsidP="002856A3"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</w:r>
      <w:r w:rsidRPr="0070360D">
        <w:rPr>
          <w:noProof/>
        </w:rPr>
        <w:t xml:space="preserve">Conclusões sobre a aplicação das recomendações no que respeita a Malta, adotadas pelo Comité das Partes [IC-CP(2024)4-prov]; e </w:t>
      </w:r>
    </w:p>
    <w:p w:rsidR="00B85DF7" w:rsidRPr="0070360D" w:rsidRDefault="00E47A98" w:rsidP="002856A3">
      <w:pPr>
        <w:pStyle w:val="Point0"/>
        <w:rPr>
          <w:noProof/>
        </w:rPr>
      </w:pPr>
      <w:r>
        <w:rPr>
          <w:noProof/>
        </w:rPr>
        <w:t>(5)</w:t>
      </w:r>
      <w:r>
        <w:rPr>
          <w:noProof/>
        </w:rPr>
        <w:tab/>
      </w:r>
      <w:r w:rsidRPr="0070360D">
        <w:rPr>
          <w:noProof/>
        </w:rPr>
        <w:t>Conclusões sobre a aplicação das recomendações no que respeita a Espanha, adotadas pelo Comité das Partes [IC-CP(2024)5-prov].</w:t>
      </w:r>
    </w:p>
    <w:p w:rsidR="00DE4096" w:rsidRPr="0070360D" w:rsidRDefault="00DE4096" w:rsidP="00811CBD">
      <w:pPr>
        <w:pStyle w:val="Titrearticle"/>
        <w:rPr>
          <w:noProof/>
        </w:rPr>
      </w:pPr>
      <w:r w:rsidRPr="0070360D">
        <w:rPr>
          <w:noProof/>
        </w:rPr>
        <w:t>Artigo 2.º</w:t>
      </w:r>
    </w:p>
    <w:p w:rsidR="00DE4096" w:rsidRPr="0070360D" w:rsidRDefault="00DE4096">
      <w:pPr>
        <w:rPr>
          <w:noProof/>
        </w:rPr>
      </w:pPr>
      <w:r w:rsidRPr="0070360D">
        <w:rPr>
          <w:noProof/>
        </w:rPr>
        <w:t>A destinatária da presente decisão é a Comissão.</w:t>
      </w:r>
    </w:p>
    <w:p w:rsidR="00ED0C58" w:rsidRPr="0070360D" w:rsidRDefault="0070360D" w:rsidP="00811CBD">
      <w:pPr>
        <w:pStyle w:val="Fait"/>
        <w:rPr>
          <w:noProof/>
        </w:rPr>
      </w:pPr>
      <w:r>
        <w:rPr>
          <w:noProof/>
        </w:rPr>
        <w:t>Feito em Bruxelas, em</w:t>
      </w:r>
    </w:p>
    <w:p w:rsidR="00DE4096" w:rsidRPr="0070360D" w:rsidRDefault="00DE4096" w:rsidP="00811CBD">
      <w:pPr>
        <w:pStyle w:val="Institutionquisigne"/>
        <w:rPr>
          <w:noProof/>
        </w:rPr>
      </w:pPr>
      <w:r w:rsidRPr="0070360D">
        <w:rPr>
          <w:noProof/>
        </w:rPr>
        <w:tab/>
        <w:t>Pelo Conselho</w:t>
      </w:r>
    </w:p>
    <w:p w:rsidR="00DE4096" w:rsidRPr="0070360D" w:rsidRDefault="00DE4096" w:rsidP="00DE4096">
      <w:pPr>
        <w:pStyle w:val="Personnequisigne"/>
        <w:rPr>
          <w:noProof/>
        </w:rPr>
      </w:pPr>
      <w:r w:rsidRPr="0070360D">
        <w:rPr>
          <w:noProof/>
        </w:rPr>
        <w:tab/>
        <w:t>O Presidente</w:t>
      </w:r>
    </w:p>
    <w:sectPr w:rsidR="00DE4096" w:rsidRPr="0070360D" w:rsidSect="00AC3AEE"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9B" w:rsidRDefault="00A81B9B" w:rsidP="00DE4096">
      <w:pPr>
        <w:spacing w:before="0" w:after="0"/>
      </w:pPr>
      <w:r>
        <w:separator/>
      </w:r>
    </w:p>
  </w:endnote>
  <w:endnote w:type="continuationSeparator" w:id="0">
    <w:p w:rsidR="00A81B9B" w:rsidRDefault="00A81B9B" w:rsidP="00DE4096">
      <w:pPr>
        <w:spacing w:before="0" w:after="0"/>
      </w:pPr>
      <w:r>
        <w:continuationSeparator/>
      </w:r>
    </w:p>
  </w:endnote>
  <w:endnote w:type="continuationNotice" w:id="1">
    <w:p w:rsidR="00A81B9B" w:rsidRDefault="00A81B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EE" w:rsidRPr="00AC3AEE" w:rsidRDefault="00AC3AEE" w:rsidP="00AC3AEE">
    <w:pPr>
      <w:pStyle w:val="Footer"/>
      <w:rPr>
        <w:rFonts w:ascii="Arial" w:hAnsi="Arial" w:cs="Arial"/>
        <w:b/>
        <w:sz w:val="48"/>
      </w:rPr>
    </w:pPr>
    <w:r w:rsidRPr="00AC3AEE">
      <w:rPr>
        <w:rFonts w:ascii="Arial" w:hAnsi="Arial" w:cs="Arial"/>
        <w:b/>
        <w:sz w:val="48"/>
      </w:rPr>
      <w:t>PT</w:t>
    </w:r>
    <w:r w:rsidRPr="00AC3AEE">
      <w:rPr>
        <w:rFonts w:ascii="Arial" w:hAnsi="Arial" w:cs="Arial"/>
        <w:b/>
        <w:sz w:val="48"/>
      </w:rPr>
      <w:tab/>
    </w:r>
    <w:r w:rsidRPr="00AC3AEE">
      <w:rPr>
        <w:rFonts w:ascii="Arial" w:hAnsi="Arial" w:cs="Arial"/>
        <w:b/>
        <w:sz w:val="48"/>
      </w:rPr>
      <w:tab/>
    </w:r>
    <w:r w:rsidRPr="00AC3AEE">
      <w:tab/>
    </w:r>
    <w:r w:rsidRPr="00AC3AEE">
      <w:rPr>
        <w:rFonts w:ascii="Arial" w:hAnsi="Arial" w:cs="Arial"/>
        <w:b/>
        <w:sz w:val="48"/>
      </w:rPr>
      <w:t>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EE" w:rsidRPr="00AC3AEE" w:rsidRDefault="00AC3AEE" w:rsidP="00AC3AEE">
    <w:pPr>
      <w:pStyle w:val="Footer"/>
      <w:rPr>
        <w:rFonts w:ascii="Arial" w:hAnsi="Arial" w:cs="Arial"/>
        <w:b/>
        <w:sz w:val="48"/>
      </w:rPr>
    </w:pPr>
    <w:r w:rsidRPr="00AC3AEE">
      <w:rPr>
        <w:rFonts w:ascii="Arial" w:hAnsi="Arial" w:cs="Arial"/>
        <w:b/>
        <w:sz w:val="48"/>
      </w:rPr>
      <w:t>PT</w:t>
    </w:r>
    <w:r w:rsidRPr="00AC3AEE">
      <w:rPr>
        <w:rFonts w:ascii="Arial" w:hAnsi="Arial" w:cs="Arial"/>
        <w:b/>
        <w:sz w:val="48"/>
      </w:rPr>
      <w:tab/>
    </w:r>
    <w:r w:rsidRPr="00AC3AEE">
      <w:rPr>
        <w:rFonts w:ascii="Arial" w:hAnsi="Arial" w:cs="Arial"/>
        <w:b/>
        <w:sz w:val="48"/>
      </w:rPr>
      <w:tab/>
    </w:r>
    <w:r w:rsidRPr="00AC3AEE">
      <w:tab/>
    </w:r>
    <w:r w:rsidRPr="00AC3AEE"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EE" w:rsidRDefault="00AC3A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EE" w:rsidRPr="00AC3AEE" w:rsidRDefault="00AC3AEE" w:rsidP="00AC3AEE">
    <w:pPr>
      <w:pStyle w:val="Footer"/>
      <w:rPr>
        <w:rFonts w:ascii="Arial" w:hAnsi="Arial" w:cs="Arial"/>
        <w:b/>
        <w:sz w:val="48"/>
      </w:rPr>
    </w:pPr>
    <w:r w:rsidRPr="00AC3AEE">
      <w:rPr>
        <w:rFonts w:ascii="Arial" w:hAnsi="Arial" w:cs="Arial"/>
        <w:b/>
        <w:sz w:val="48"/>
      </w:rPr>
      <w:t>PT</w:t>
    </w:r>
    <w:r w:rsidRPr="00AC3AE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811CBD">
      <w:rPr>
        <w:noProof/>
      </w:rPr>
      <w:t>9</w:t>
    </w:r>
    <w:r>
      <w:fldChar w:fldCharType="end"/>
    </w:r>
    <w:r>
      <w:tab/>
    </w:r>
    <w:r w:rsidRPr="00AC3AEE">
      <w:tab/>
    </w:r>
    <w:r w:rsidRPr="00AC3AEE">
      <w:rPr>
        <w:rFonts w:ascii="Arial" w:hAnsi="Arial" w:cs="Arial"/>
        <w:b/>
        <w:sz w:val="48"/>
      </w:rPr>
      <w:t>PT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EE" w:rsidRDefault="00AC3AEE" w:rsidP="00AC3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9B" w:rsidRDefault="00A81B9B" w:rsidP="00DE4096">
      <w:pPr>
        <w:spacing w:before="0" w:after="0"/>
      </w:pPr>
      <w:r>
        <w:separator/>
      </w:r>
    </w:p>
  </w:footnote>
  <w:footnote w:type="continuationSeparator" w:id="0">
    <w:p w:rsidR="00A81B9B" w:rsidRDefault="00A81B9B" w:rsidP="00DE4096">
      <w:pPr>
        <w:spacing w:before="0" w:after="0"/>
      </w:pPr>
      <w:r>
        <w:continuationSeparator/>
      </w:r>
    </w:p>
  </w:footnote>
  <w:footnote w:type="continuationNotice" w:id="1">
    <w:p w:rsidR="00A81B9B" w:rsidRDefault="00A81B9B">
      <w:pPr>
        <w:spacing w:before="0" w:after="0"/>
      </w:pPr>
    </w:p>
  </w:footnote>
  <w:footnote w:id="2">
    <w:p w:rsidR="008041A1" w:rsidRPr="000C4481" w:rsidRDefault="008041A1" w:rsidP="008041A1">
      <w:pPr>
        <w:pStyle w:val="FootnoteText"/>
      </w:pPr>
      <w:r>
        <w:rPr>
          <w:rStyle w:val="FootnoteReference"/>
        </w:rPr>
        <w:footnoteRef/>
      </w:r>
      <w:r w:rsidRPr="000C4481">
        <w:tab/>
        <w:t xml:space="preserve">Decisão (UE) 2023/1075 do Conselho, de 1 de junho de 2023, relativa à celebração, em nome da União Europeia, da Convenção do Conselho da Europa para a Prevenção e o Combate à Violência Contra as Mulheres e a Violência Doméstica no que diz respeito às instituições e à administração pública da União (JO L 143 I de 2.6.2023, p. 1, ELI: </w:t>
      </w:r>
      <w:hyperlink r:id="rId1" w:history="1">
        <w:r w:rsidRPr="000C4481">
          <w:rPr>
            <w:rStyle w:val="Hyperlink"/>
          </w:rPr>
          <w:t>http://data.europa.eu/eli/dec/2023/1075/oj</w:t>
        </w:r>
      </w:hyperlink>
      <w:r w:rsidRPr="000C4481">
        <w:rPr>
          <w:rStyle w:val="Hyperlink"/>
        </w:rPr>
        <w:t>)</w:t>
      </w:r>
      <w:r w:rsidRPr="000C4481">
        <w:t>.</w:t>
      </w:r>
    </w:p>
  </w:footnote>
  <w:footnote w:id="3">
    <w:p w:rsidR="008041A1" w:rsidRPr="000C4481" w:rsidRDefault="008041A1" w:rsidP="008041A1">
      <w:pPr>
        <w:pStyle w:val="FootnoteText"/>
      </w:pPr>
      <w:r>
        <w:rPr>
          <w:rStyle w:val="FootnoteReference"/>
        </w:rPr>
        <w:footnoteRef/>
      </w:r>
      <w:r w:rsidRPr="000C4481">
        <w:tab/>
        <w:t xml:space="preserve">Decisão (UE) 2023/1076 do Conselho, de 1 de junho de 2023, relativa à celebração, em nome da União Europeia, da Convenção do Conselho da Europa para a Prevenção e o Combate à Violência Contra as Mulheres e a Violência Doméstica no que diz respeito a matérias relativas à cooperação judiciária em matéria penal, ao asilo e à não repulsão (JO L 143 I de 2.6.2023, p. 4, ELI:  </w:t>
      </w:r>
      <w:hyperlink r:id="rId2" w:history="1">
        <w:r w:rsidRPr="000C4481">
          <w:rPr>
            <w:rStyle w:val="Hyperlink"/>
          </w:rPr>
          <w:t>http://data.europa.eu/eli/dec/2023/1076/oj</w:t>
        </w:r>
      </w:hyperlink>
      <w:r w:rsidRPr="000C4481">
        <w:rPr>
          <w:rStyle w:val="Hyperlink"/>
        </w:rPr>
        <w:t>).</w:t>
      </w:r>
    </w:p>
  </w:footnote>
  <w:footnote w:id="4">
    <w:p w:rsidR="008041A1" w:rsidRPr="000C4481" w:rsidRDefault="008041A1" w:rsidP="008041A1">
      <w:pPr>
        <w:pStyle w:val="FootnoteText"/>
      </w:pPr>
      <w:r>
        <w:rPr>
          <w:rStyle w:val="FootnoteReference"/>
        </w:rPr>
        <w:footnoteRef/>
      </w:r>
      <w:r w:rsidRPr="000C4481">
        <w:tab/>
        <w:t xml:space="preserve">Situação das ratificações em 21.5.2024: AT (2013); BE (2016); CY (2017); DE (2017); DK (2014); IE (2019); EL (2018); ES (2014); EE (2017) FI (2015); FR (2014); HR (2018); IT (2013); LU (2018); MT (2014); NL (2015); PL (2015); PT (2013); RO (2016); SI (2015); SV (2014), LV (2023). </w:t>
      </w:r>
    </w:p>
  </w:footnote>
  <w:footnote w:id="5">
    <w:p w:rsidR="00111E49" w:rsidRPr="000C4481" w:rsidRDefault="00111E49" w:rsidP="00111E49">
      <w:pPr>
        <w:pStyle w:val="FootnoteText"/>
      </w:pPr>
      <w:r>
        <w:rPr>
          <w:rStyle w:val="FootnoteReference"/>
        </w:rPr>
        <w:footnoteRef/>
      </w:r>
      <w:r w:rsidRPr="000C4481">
        <w:tab/>
      </w:r>
      <w:hyperlink r:id="rId3" w:history="1">
        <w:r w:rsidRPr="000C4481">
          <w:rPr>
            <w:rStyle w:val="Hyperlink"/>
          </w:rPr>
          <w:t>Comité das Partes - Convenção de Istambul para a Prevenção e o Combate à Violência contra as Mulheres e a Violência Doméstica (Coe.int)</w:t>
        </w:r>
      </w:hyperlink>
    </w:p>
  </w:footnote>
  <w:footnote w:id="6">
    <w:p w:rsidR="00387BC1" w:rsidRPr="000C4481" w:rsidRDefault="00387BC1">
      <w:pPr>
        <w:pStyle w:val="FootnoteText"/>
      </w:pPr>
      <w:r>
        <w:rPr>
          <w:rStyle w:val="FootnoteReference"/>
        </w:rPr>
        <w:footnoteRef/>
      </w:r>
      <w:r w:rsidRPr="000C4481">
        <w:tab/>
        <w:t>Regra 2.1.b do regulamento interno do Comité das Partes.</w:t>
      </w:r>
    </w:p>
  </w:footnote>
  <w:footnote w:id="7">
    <w:p w:rsidR="00423882" w:rsidRPr="000C4481" w:rsidRDefault="00423882">
      <w:pPr>
        <w:pStyle w:val="FootnoteText"/>
      </w:pPr>
      <w:r>
        <w:rPr>
          <w:rStyle w:val="FootnoteReference"/>
        </w:rPr>
        <w:footnoteRef/>
      </w:r>
      <w:r w:rsidRPr="000C4481">
        <w:tab/>
        <w:t>Documento IC-CP (2015) 2, adotado em 4 de maio de 2015.</w:t>
      </w:r>
    </w:p>
  </w:footnote>
  <w:footnote w:id="8">
    <w:p w:rsidR="00111E49" w:rsidRPr="000C4481" w:rsidRDefault="00111E49" w:rsidP="00111E49">
      <w:pPr>
        <w:pStyle w:val="FootnoteText"/>
      </w:pPr>
      <w:r>
        <w:rPr>
          <w:rStyle w:val="FootnoteReference"/>
        </w:rPr>
        <w:footnoteRef/>
      </w:r>
      <w:r w:rsidRPr="000C4481">
        <w:tab/>
        <w:t>Artigo 1.º, n.º 2, da Convenção de Istambul.</w:t>
      </w:r>
    </w:p>
  </w:footnote>
  <w:footnote w:id="9">
    <w:p w:rsidR="00111E49" w:rsidRPr="000C4481" w:rsidRDefault="00111E49" w:rsidP="00111E49">
      <w:pPr>
        <w:pStyle w:val="FootnoteText"/>
      </w:pPr>
      <w:r>
        <w:rPr>
          <w:rStyle w:val="FootnoteReference"/>
        </w:rPr>
        <w:footnoteRef/>
      </w:r>
      <w:r w:rsidRPr="000C4481">
        <w:tab/>
        <w:t>Artigo 68.º, n.º 10, da Convenção de Istambul.</w:t>
      </w:r>
    </w:p>
  </w:footnote>
  <w:footnote w:id="10">
    <w:p w:rsidR="008F633F" w:rsidRPr="000C4481" w:rsidRDefault="008F633F">
      <w:pPr>
        <w:pStyle w:val="FootnoteText"/>
      </w:pPr>
      <w:r>
        <w:rPr>
          <w:rStyle w:val="FootnoteReference"/>
        </w:rPr>
        <w:footnoteRef/>
      </w:r>
      <w:r w:rsidRPr="000C4481">
        <w:tab/>
        <w:t>Artigo 68.º, n.º 11, da Convenção de Istambul.</w:t>
      </w:r>
    </w:p>
  </w:footnote>
  <w:footnote w:id="11">
    <w:p w:rsidR="00111E49" w:rsidRPr="000C4481" w:rsidRDefault="00111E49" w:rsidP="000C4481">
      <w:pPr>
        <w:pStyle w:val="FootnoteText"/>
        <w:ind w:firstLine="0"/>
      </w:pPr>
      <w:r w:rsidRPr="00401A07">
        <w:rPr>
          <w:rStyle w:val="FootnoteReference"/>
        </w:rPr>
        <w:footnoteRef/>
      </w:r>
      <w:r w:rsidR="00401A07">
        <w:tab/>
      </w:r>
      <w:r w:rsidRPr="000C4481">
        <w:t xml:space="preserve">O procedimento aplicável de formulação de recomendações foi estabelecido pelo CdP na sua 4.ª reunião, em 30 de janeiro de 2018, e é descrito no documento de reflexão sobre a adoção de recomendações pelo Comité das Partes à luz dos relatórios e propostas/sugestões do GREVIO, IC-CP(2018)6. </w:t>
      </w:r>
    </w:p>
  </w:footnote>
  <w:footnote w:id="12">
    <w:p w:rsidR="008F633F" w:rsidRPr="000C4481" w:rsidRDefault="008F633F">
      <w:pPr>
        <w:pStyle w:val="FootnoteText"/>
      </w:pPr>
      <w:r>
        <w:rPr>
          <w:rStyle w:val="FootnoteReference"/>
        </w:rPr>
        <w:footnoteRef/>
      </w:r>
      <w:r w:rsidRPr="000C4481">
        <w:tab/>
        <w:t xml:space="preserve">O procedimento aplicável de supervisão da aplicação e da apresentação do relatório está definido no «Quadro de supervisão da implementação das recomendações dirigidas aos Estados Partes», adotado pelo CdP em 13 de abril de 2021, IC-CP/Inf (2021) 2, </w:t>
      </w:r>
      <w:hyperlink r:id="rId4" w:history="1">
        <w:r w:rsidRPr="000C4481">
          <w:rPr>
            <w:rStyle w:val="Hyperlink"/>
          </w:rPr>
          <w:t>CoP Supervision Framework_adopted (coe.int)</w:t>
        </w:r>
      </w:hyperlink>
    </w:p>
  </w:footnote>
  <w:footnote w:id="13">
    <w:p w:rsidR="00111E49" w:rsidRPr="000C4481" w:rsidRDefault="00111E49" w:rsidP="00111E49">
      <w:pPr>
        <w:pStyle w:val="FootnoteText"/>
      </w:pPr>
      <w:r>
        <w:rPr>
          <w:rStyle w:val="FootnoteReference"/>
        </w:rPr>
        <w:footnoteRef/>
      </w:r>
      <w:r w:rsidRPr="000C4481">
        <w:tab/>
        <w:t>Artigo 67.º, n.º 2, da Convenção.</w:t>
      </w:r>
    </w:p>
  </w:footnote>
  <w:footnote w:id="14">
    <w:p w:rsidR="00DE4096" w:rsidRPr="000C4481" w:rsidRDefault="00DE4096">
      <w:pPr>
        <w:pStyle w:val="FootnoteText"/>
      </w:pPr>
      <w:r>
        <w:rPr>
          <w:rStyle w:val="FootnoteReference"/>
        </w:rPr>
        <w:footnoteRef/>
      </w:r>
      <w:r w:rsidRPr="000C4481">
        <w:tab/>
        <w:t>Acórdão do Tribunal de Justiça de 7 de outubro de 2014, Alemanha/Conselho, C-399/12, ECLI:EU:C:2014:2258, n</w:t>
      </w:r>
      <w:r w:rsidR="000C4481" w:rsidRPr="000C4481">
        <w:t>.</w:t>
      </w:r>
      <w:r w:rsidR="000C4481" w:rsidRPr="000C4481">
        <w:rPr>
          <w:vertAlign w:val="superscript"/>
        </w:rPr>
        <w:t>os</w:t>
      </w:r>
      <w:r w:rsidRPr="000C4481">
        <w:t xml:space="preserve"> 61 a 64. </w:t>
      </w:r>
    </w:p>
  </w:footnote>
  <w:footnote w:id="15">
    <w:p w:rsidR="00432F92" w:rsidRPr="000C4481" w:rsidRDefault="00432F92" w:rsidP="00432F92">
      <w:pPr>
        <w:pStyle w:val="FootnoteText"/>
      </w:pPr>
      <w:r>
        <w:rPr>
          <w:rStyle w:val="FootnoteReference"/>
        </w:rPr>
        <w:footnoteRef/>
      </w:r>
      <w:r w:rsidRPr="000C4481">
        <w:tab/>
        <w:t>Decisão (UE) 2023/1075 do Conselho, de 1 de junho de 2023, relativa à celebração, em nome da União Europeia, da Convenção do Conselho da Europa para a Prevenção e o Combate à Violência Contra as Mulheres e a Violência Doméstica no que diz respeito às instituições e à administração pública da União (JO L 143 I de 2.6.2023, p. 1.)</w:t>
      </w:r>
    </w:p>
  </w:footnote>
  <w:footnote w:id="16">
    <w:p w:rsidR="00432F92" w:rsidRPr="000C4481" w:rsidRDefault="00432F92" w:rsidP="00432F92">
      <w:pPr>
        <w:pStyle w:val="FootnoteText"/>
      </w:pPr>
      <w:r>
        <w:rPr>
          <w:rStyle w:val="FootnoteReference"/>
        </w:rPr>
        <w:footnoteRef/>
      </w:r>
      <w:r w:rsidRPr="000C4481">
        <w:tab/>
        <w:t>Decisão (UE) 2023/1076 do Conselho, de 1 de junho de 2023, relativa à celebração, em nome da União Europeia, da Convenção do Conselho da Europa para a Prevenção e o Combate à Violência Contra as Mulheres e a Violência Doméstica no que diz respeito a matérias relativas à cooperação judiciária em matéria penal, ao asilo e à não repulsão (JO L 143 I de 2.6.2023, p. 4).</w:t>
      </w:r>
    </w:p>
  </w:footnote>
  <w:footnote w:id="17">
    <w:p w:rsidR="005E4D14" w:rsidRPr="000C4481" w:rsidRDefault="005E4D14">
      <w:pPr>
        <w:pStyle w:val="FootnoteText"/>
      </w:pPr>
      <w:r>
        <w:rPr>
          <w:rStyle w:val="FootnoteReference"/>
        </w:rPr>
        <w:footnoteRef/>
      </w:r>
      <w:r w:rsidRPr="000C4481">
        <w:tab/>
        <w:t xml:space="preserve">Decisão (UE) 2023/1075 do Conselho, de 1 de junho de 2023, relativa à celebração, em nome da União Europeia, da Convenção do Conselho da Europa para a Prevenção e o Combate à Violência Contra as Mulheres e a Violência Doméstica no que diz respeito às instituições e à administração pública da União (JO L 143 I de 2.6.2023, p. 1, ELI: </w:t>
      </w:r>
      <w:hyperlink r:id="rId5" w:history="1">
        <w:r w:rsidRPr="000C4481">
          <w:rPr>
            <w:rStyle w:val="Hyperlink"/>
          </w:rPr>
          <w:t>http://data.europa.eu/eli/dec/2023/1075/oj</w:t>
        </w:r>
      </w:hyperlink>
      <w:r w:rsidRPr="000C4481">
        <w:t>).</w:t>
      </w:r>
    </w:p>
  </w:footnote>
  <w:footnote w:id="18">
    <w:p w:rsidR="005E4D14" w:rsidRPr="000C4481" w:rsidRDefault="005E4D14">
      <w:pPr>
        <w:pStyle w:val="FootnoteText"/>
      </w:pPr>
      <w:r>
        <w:rPr>
          <w:rStyle w:val="FootnoteReference"/>
        </w:rPr>
        <w:footnoteRef/>
      </w:r>
      <w:r w:rsidRPr="000C4481">
        <w:tab/>
        <w:t xml:space="preserve">Decisão (UE) 2023/1076 do Conselho, de 1 de junho de 2023, relativa à celebração, em nome da União Europeia, da Convenção do Conselho da Europa para a Prevenção e o Combate à Violência Contra as Mulheres e a Violência Doméstica no que diz respeito a matérias relativas à cooperação judiciária em matéria penal, ao asilo e à não repulsão (JO L 143 I de 2.6.2023, p. 4, ELI: </w:t>
      </w:r>
      <w:hyperlink r:id="rId6" w:history="1">
        <w:r w:rsidRPr="000C4481">
          <w:rPr>
            <w:rStyle w:val="Hyperlink"/>
          </w:rPr>
          <w:t>http://data.europa.eu/eli/dec/2023/1076/oj</w:t>
        </w:r>
      </w:hyperlink>
      <w:r w:rsidRPr="000C4481">
        <w:rPr>
          <w:rStyle w:val="Hyperlink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EE" w:rsidRDefault="00AC3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EE" w:rsidRDefault="00AC3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EAC3E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AC8F9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AB6B3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C3CF7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17"/>
  </w:num>
  <w:num w:numId="12">
    <w:abstractNumId w:val="7"/>
  </w:num>
  <w:num w:numId="13">
    <w:abstractNumId w:val="9"/>
  </w:num>
  <w:num w:numId="14">
    <w:abstractNumId w:val="10"/>
  </w:num>
  <w:num w:numId="15">
    <w:abstractNumId w:val="5"/>
  </w:num>
  <w:num w:numId="16">
    <w:abstractNumId w:val="16"/>
  </w:num>
  <w:num w:numId="17">
    <w:abstractNumId w:val="4"/>
  </w:num>
  <w:num w:numId="18">
    <w:abstractNumId w:val="11"/>
  </w:num>
  <w:num w:numId="19">
    <w:abstractNumId w:val="13"/>
  </w:num>
  <w:num w:numId="20">
    <w:abstractNumId w:val="14"/>
  </w:num>
  <w:num w:numId="21">
    <w:abstractNumId w:val="6"/>
  </w:num>
  <w:num w:numId="22">
    <w:abstractNumId w:val="12"/>
  </w:num>
  <w:num w:numId="23">
    <w:abstractNumId w:val="18"/>
  </w:num>
  <w:num w:numId="24">
    <w:abstractNumId w:val="15"/>
  </w:num>
  <w:num w:numId="25">
    <w:abstractNumId w:val="8"/>
  </w:num>
  <w:num w:numId="26">
    <w:abstractNumId w:val="17"/>
  </w:num>
  <w:num w:numId="27">
    <w:abstractNumId w:val="7"/>
  </w:num>
  <w:num w:numId="28">
    <w:abstractNumId w:val="9"/>
  </w:num>
  <w:num w:numId="29">
    <w:abstractNumId w:val="10"/>
  </w:num>
  <w:num w:numId="30">
    <w:abstractNumId w:val="5"/>
  </w:num>
  <w:num w:numId="31">
    <w:abstractNumId w:val="16"/>
  </w:num>
  <w:num w:numId="32">
    <w:abstractNumId w:val="4"/>
  </w:num>
  <w:num w:numId="33">
    <w:abstractNumId w:val="11"/>
  </w:num>
  <w:num w:numId="34">
    <w:abstractNumId w:val="13"/>
  </w:num>
  <w:num w:numId="35">
    <w:abstractNumId w:val="14"/>
  </w:num>
  <w:num w:numId="36">
    <w:abstractNumId w:val="6"/>
  </w:num>
  <w:num w:numId="37">
    <w:abstractNumId w:val="12"/>
  </w:num>
  <w:num w:numId="38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CR_RefLast" w:val="0"/>
    <w:docVar w:name="DQCDateTime" w:val="2024-05-21 13:36:43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59F8C49-D377-49EC-A625-149C9DEC4111"/>
    <w:docVar w:name="LW_COVERPAGE_TYPE" w:val="1"/>
    <w:docVar w:name="LW_CROSSREFERENCE" w:val="&lt;UNUSED&gt;"/>
    <w:docVar w:name="LW_DocType" w:val="COM"/>
    <w:docVar w:name="LW_EMISSION" w:val="21.5.2024"/>
    <w:docVar w:name="LW_EMISSION_ISODATE" w:val="2024-05-21"/>
    <w:docVar w:name="LW_EMISSION_LOCATION" w:val="BRX"/>
    <w:docVar w:name="LW_EMISSION_PREFIX" w:val="Bruxelas, "/>
    <w:docVar w:name="LW_EMISSION_SUFFIX" w:val=" "/>
    <w:docVar w:name="LW_ID_DOCMODEL" w:val="SJ-043"/>
    <w:docVar w:name="LW_ID_DOCSIGNATURE" w:val="SJ-019"/>
    <w:docVar w:name="LW_ID_DOCSTRUCTURE" w:val="COM/PL/ORG"/>
    <w:docVar w:name="LW_ID_DOCTYPE" w:val="SJ-043"/>
    <w:docVar w:name="LW_ID_STATUT" w:val="SJ-019"/>
    <w:docVar w:name="LW_INSERT_EXP.MOTIFS.NEW" w:val="1"/>
    <w:docVar w:name="LW_INTERETEEE.CP" w:val="&lt;UNUSED&gt;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20"/>
    <w:docVar w:name="LW_REF.II.NEW.CP_YEAR" w:val="2024"/>
    <w:docVar w:name="LW_REF.INST.NEW" w:val="COM"/>
    <w:docVar w:name="LW_REF.INST.NEW_ADOPTED" w:val="final"/>
    <w:docVar w:name="LW_REF.INST.NEW_TEXT" w:val="(2024) 218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de"/>
    <w:docVar w:name="LW_SUPERTITRE" w:val="&lt;UNUSED&gt;"/>
    <w:docVar w:name="LW_TITRE.OBJ.CP" w:val="relativa à posição a tomar, em nome da União Europeia, na 16.ª reunião do Comité das Partes na Convenção do Conselho da Europa para a Prevenção e o Combate à Violência Contra as Mulheres e a Violência Doméstica, sobre a adoção de uma recomendação e de conclusões dirigidas a cinco Estados Partes no que diz respeito a questões relacionadas com as instituições e a administração pública da União"/>
    <w:docVar w:name="LW_TYPE.DOC.CP" w:val="DECISÃO DO CONSELHO"/>
    <w:docVar w:name="LwApiVersions" w:val="LW4CoDe 1.24.5.0; LW 9.0, Build 20240221"/>
  </w:docVars>
  <w:rsids>
    <w:rsidRoot w:val="00DE4096"/>
    <w:rsid w:val="00001BB9"/>
    <w:rsid w:val="00002B40"/>
    <w:rsid w:val="00005B57"/>
    <w:rsid w:val="000065F4"/>
    <w:rsid w:val="000066FE"/>
    <w:rsid w:val="00007823"/>
    <w:rsid w:val="00007C4F"/>
    <w:rsid w:val="0001170D"/>
    <w:rsid w:val="00011E13"/>
    <w:rsid w:val="0001354F"/>
    <w:rsid w:val="00014D03"/>
    <w:rsid w:val="0001543A"/>
    <w:rsid w:val="00016025"/>
    <w:rsid w:val="00017848"/>
    <w:rsid w:val="00022291"/>
    <w:rsid w:val="00022D06"/>
    <w:rsid w:val="00022FD3"/>
    <w:rsid w:val="0002307E"/>
    <w:rsid w:val="00023960"/>
    <w:rsid w:val="00023AFE"/>
    <w:rsid w:val="000244D8"/>
    <w:rsid w:val="00024540"/>
    <w:rsid w:val="000303AF"/>
    <w:rsid w:val="0003254C"/>
    <w:rsid w:val="00034A2D"/>
    <w:rsid w:val="00035673"/>
    <w:rsid w:val="000356B7"/>
    <w:rsid w:val="000357D5"/>
    <w:rsid w:val="00041B06"/>
    <w:rsid w:val="00041BFB"/>
    <w:rsid w:val="00041E2C"/>
    <w:rsid w:val="000430F6"/>
    <w:rsid w:val="00044146"/>
    <w:rsid w:val="0004443D"/>
    <w:rsid w:val="000448B9"/>
    <w:rsid w:val="000449A9"/>
    <w:rsid w:val="00045EAC"/>
    <w:rsid w:val="000464AC"/>
    <w:rsid w:val="00046506"/>
    <w:rsid w:val="00047167"/>
    <w:rsid w:val="00047DDB"/>
    <w:rsid w:val="00050822"/>
    <w:rsid w:val="00050C78"/>
    <w:rsid w:val="000517E2"/>
    <w:rsid w:val="00052B13"/>
    <w:rsid w:val="00054096"/>
    <w:rsid w:val="00060853"/>
    <w:rsid w:val="00060AE0"/>
    <w:rsid w:val="00061982"/>
    <w:rsid w:val="00063932"/>
    <w:rsid w:val="00064884"/>
    <w:rsid w:val="00065CE6"/>
    <w:rsid w:val="00065DE4"/>
    <w:rsid w:val="000663A2"/>
    <w:rsid w:val="00066D5A"/>
    <w:rsid w:val="00067347"/>
    <w:rsid w:val="00067DDD"/>
    <w:rsid w:val="0007362A"/>
    <w:rsid w:val="00073D05"/>
    <w:rsid w:val="00074749"/>
    <w:rsid w:val="00075D72"/>
    <w:rsid w:val="00075FDF"/>
    <w:rsid w:val="0007664C"/>
    <w:rsid w:val="000767FE"/>
    <w:rsid w:val="00077D80"/>
    <w:rsid w:val="00080E93"/>
    <w:rsid w:val="00080EDC"/>
    <w:rsid w:val="00081AAE"/>
    <w:rsid w:val="00083506"/>
    <w:rsid w:val="00083775"/>
    <w:rsid w:val="00085224"/>
    <w:rsid w:val="00085FDD"/>
    <w:rsid w:val="000865E9"/>
    <w:rsid w:val="00090D40"/>
    <w:rsid w:val="000911E2"/>
    <w:rsid w:val="00091D8D"/>
    <w:rsid w:val="00094DB4"/>
    <w:rsid w:val="000954C2"/>
    <w:rsid w:val="00095544"/>
    <w:rsid w:val="00097408"/>
    <w:rsid w:val="000A2E4A"/>
    <w:rsid w:val="000A73A8"/>
    <w:rsid w:val="000B0F1D"/>
    <w:rsid w:val="000B2A9A"/>
    <w:rsid w:val="000B2F1D"/>
    <w:rsid w:val="000B3251"/>
    <w:rsid w:val="000B4DBC"/>
    <w:rsid w:val="000B5E5A"/>
    <w:rsid w:val="000B6644"/>
    <w:rsid w:val="000B766E"/>
    <w:rsid w:val="000C08F7"/>
    <w:rsid w:val="000C0E0E"/>
    <w:rsid w:val="000C1058"/>
    <w:rsid w:val="000C2A1B"/>
    <w:rsid w:val="000C32BE"/>
    <w:rsid w:val="000C4481"/>
    <w:rsid w:val="000C4967"/>
    <w:rsid w:val="000C531E"/>
    <w:rsid w:val="000C6968"/>
    <w:rsid w:val="000C7069"/>
    <w:rsid w:val="000C74D2"/>
    <w:rsid w:val="000C76B6"/>
    <w:rsid w:val="000C7DCA"/>
    <w:rsid w:val="000D317D"/>
    <w:rsid w:val="000D3746"/>
    <w:rsid w:val="000D6718"/>
    <w:rsid w:val="000D6C0D"/>
    <w:rsid w:val="000D7A43"/>
    <w:rsid w:val="000E0A06"/>
    <w:rsid w:val="000E1D12"/>
    <w:rsid w:val="000E2ECD"/>
    <w:rsid w:val="000E4401"/>
    <w:rsid w:val="000E4B65"/>
    <w:rsid w:val="000E5066"/>
    <w:rsid w:val="000E5074"/>
    <w:rsid w:val="000E50CC"/>
    <w:rsid w:val="000E55A4"/>
    <w:rsid w:val="000E6D50"/>
    <w:rsid w:val="000F190F"/>
    <w:rsid w:val="000F2609"/>
    <w:rsid w:val="000F3407"/>
    <w:rsid w:val="000F3CA5"/>
    <w:rsid w:val="000F3F49"/>
    <w:rsid w:val="000F61D7"/>
    <w:rsid w:val="000F63A4"/>
    <w:rsid w:val="000F697D"/>
    <w:rsid w:val="000F6ECE"/>
    <w:rsid w:val="001017CB"/>
    <w:rsid w:val="0010458F"/>
    <w:rsid w:val="00104777"/>
    <w:rsid w:val="001049D4"/>
    <w:rsid w:val="001053FA"/>
    <w:rsid w:val="001065F5"/>
    <w:rsid w:val="00110F18"/>
    <w:rsid w:val="00111E49"/>
    <w:rsid w:val="001124A1"/>
    <w:rsid w:val="00112663"/>
    <w:rsid w:val="00112844"/>
    <w:rsid w:val="0011595A"/>
    <w:rsid w:val="001176B4"/>
    <w:rsid w:val="00120718"/>
    <w:rsid w:val="0012090D"/>
    <w:rsid w:val="00120E88"/>
    <w:rsid w:val="00122BB6"/>
    <w:rsid w:val="00123491"/>
    <w:rsid w:val="001238EF"/>
    <w:rsid w:val="00123A8D"/>
    <w:rsid w:val="00127DB8"/>
    <w:rsid w:val="00133242"/>
    <w:rsid w:val="00134026"/>
    <w:rsid w:val="001353C0"/>
    <w:rsid w:val="0013576C"/>
    <w:rsid w:val="001359E9"/>
    <w:rsid w:val="001360F6"/>
    <w:rsid w:val="001367AE"/>
    <w:rsid w:val="0013777E"/>
    <w:rsid w:val="00137F0D"/>
    <w:rsid w:val="00140C50"/>
    <w:rsid w:val="00140EE1"/>
    <w:rsid w:val="0014295A"/>
    <w:rsid w:val="00142D7F"/>
    <w:rsid w:val="00145AFE"/>
    <w:rsid w:val="0014624B"/>
    <w:rsid w:val="00146631"/>
    <w:rsid w:val="00151469"/>
    <w:rsid w:val="00151496"/>
    <w:rsid w:val="00151587"/>
    <w:rsid w:val="001517F5"/>
    <w:rsid w:val="00152CA9"/>
    <w:rsid w:val="00152FE4"/>
    <w:rsid w:val="001537DB"/>
    <w:rsid w:val="00154632"/>
    <w:rsid w:val="0016002A"/>
    <w:rsid w:val="00160F46"/>
    <w:rsid w:val="001610AA"/>
    <w:rsid w:val="00161FF1"/>
    <w:rsid w:val="00163933"/>
    <w:rsid w:val="0016547A"/>
    <w:rsid w:val="0016611B"/>
    <w:rsid w:val="00167484"/>
    <w:rsid w:val="00167699"/>
    <w:rsid w:val="00172127"/>
    <w:rsid w:val="001721D0"/>
    <w:rsid w:val="001740E0"/>
    <w:rsid w:val="00175259"/>
    <w:rsid w:val="0017574E"/>
    <w:rsid w:val="00175C67"/>
    <w:rsid w:val="00181135"/>
    <w:rsid w:val="001811BE"/>
    <w:rsid w:val="00181518"/>
    <w:rsid w:val="00181FE4"/>
    <w:rsid w:val="00182F81"/>
    <w:rsid w:val="00184C7F"/>
    <w:rsid w:val="00185460"/>
    <w:rsid w:val="00187B8F"/>
    <w:rsid w:val="00190765"/>
    <w:rsid w:val="0019077C"/>
    <w:rsid w:val="001907DE"/>
    <w:rsid w:val="00191D6A"/>
    <w:rsid w:val="00192C10"/>
    <w:rsid w:val="0019367D"/>
    <w:rsid w:val="00193885"/>
    <w:rsid w:val="00194742"/>
    <w:rsid w:val="001960DE"/>
    <w:rsid w:val="00197613"/>
    <w:rsid w:val="001A0D57"/>
    <w:rsid w:val="001A3208"/>
    <w:rsid w:val="001A35F7"/>
    <w:rsid w:val="001A644D"/>
    <w:rsid w:val="001A6E37"/>
    <w:rsid w:val="001A7A4F"/>
    <w:rsid w:val="001B2497"/>
    <w:rsid w:val="001B3C01"/>
    <w:rsid w:val="001B5869"/>
    <w:rsid w:val="001C097A"/>
    <w:rsid w:val="001C097B"/>
    <w:rsid w:val="001C2109"/>
    <w:rsid w:val="001C23DA"/>
    <w:rsid w:val="001C2F41"/>
    <w:rsid w:val="001C34D6"/>
    <w:rsid w:val="001C3C56"/>
    <w:rsid w:val="001C4459"/>
    <w:rsid w:val="001C4468"/>
    <w:rsid w:val="001C61A0"/>
    <w:rsid w:val="001C6214"/>
    <w:rsid w:val="001C699B"/>
    <w:rsid w:val="001C70B9"/>
    <w:rsid w:val="001D24A7"/>
    <w:rsid w:val="001D2C5A"/>
    <w:rsid w:val="001D3AF9"/>
    <w:rsid w:val="001D3BD7"/>
    <w:rsid w:val="001D4CC1"/>
    <w:rsid w:val="001D732D"/>
    <w:rsid w:val="001E0B46"/>
    <w:rsid w:val="001E0DE3"/>
    <w:rsid w:val="001E14D4"/>
    <w:rsid w:val="001E3738"/>
    <w:rsid w:val="001E4BA3"/>
    <w:rsid w:val="001E64E3"/>
    <w:rsid w:val="001E694F"/>
    <w:rsid w:val="001E7208"/>
    <w:rsid w:val="001E7968"/>
    <w:rsid w:val="001F0605"/>
    <w:rsid w:val="001F094A"/>
    <w:rsid w:val="001F0A7C"/>
    <w:rsid w:val="001F0AB9"/>
    <w:rsid w:val="001F30D0"/>
    <w:rsid w:val="001F4DCA"/>
    <w:rsid w:val="001F50B6"/>
    <w:rsid w:val="001F6DBE"/>
    <w:rsid w:val="001F7AAC"/>
    <w:rsid w:val="00200D4D"/>
    <w:rsid w:val="00202C56"/>
    <w:rsid w:val="00203AB9"/>
    <w:rsid w:val="00203F8C"/>
    <w:rsid w:val="00210B0B"/>
    <w:rsid w:val="00211A6E"/>
    <w:rsid w:val="0021256E"/>
    <w:rsid w:val="0021498C"/>
    <w:rsid w:val="00214B53"/>
    <w:rsid w:val="00215839"/>
    <w:rsid w:val="00216905"/>
    <w:rsid w:val="002178BB"/>
    <w:rsid w:val="00220C7A"/>
    <w:rsid w:val="002210E0"/>
    <w:rsid w:val="002223B6"/>
    <w:rsid w:val="00222C1F"/>
    <w:rsid w:val="00223800"/>
    <w:rsid w:val="00223B78"/>
    <w:rsid w:val="0022429D"/>
    <w:rsid w:val="00224A5D"/>
    <w:rsid w:val="00226036"/>
    <w:rsid w:val="00226494"/>
    <w:rsid w:val="0022742A"/>
    <w:rsid w:val="00227A54"/>
    <w:rsid w:val="00227DDD"/>
    <w:rsid w:val="002306AD"/>
    <w:rsid w:val="00230CF8"/>
    <w:rsid w:val="00232CED"/>
    <w:rsid w:val="00233409"/>
    <w:rsid w:val="00233C69"/>
    <w:rsid w:val="00233DC7"/>
    <w:rsid w:val="00234F82"/>
    <w:rsid w:val="002353E7"/>
    <w:rsid w:val="00235CE8"/>
    <w:rsid w:val="00236554"/>
    <w:rsid w:val="002368B2"/>
    <w:rsid w:val="00241A63"/>
    <w:rsid w:val="00241C3B"/>
    <w:rsid w:val="00242D04"/>
    <w:rsid w:val="00243239"/>
    <w:rsid w:val="002432AD"/>
    <w:rsid w:val="00246ADD"/>
    <w:rsid w:val="00246F61"/>
    <w:rsid w:val="00247263"/>
    <w:rsid w:val="00247779"/>
    <w:rsid w:val="00247ECD"/>
    <w:rsid w:val="002516DB"/>
    <w:rsid w:val="00251EF3"/>
    <w:rsid w:val="002532A7"/>
    <w:rsid w:val="002545A3"/>
    <w:rsid w:val="0025494C"/>
    <w:rsid w:val="002557F9"/>
    <w:rsid w:val="00255FC0"/>
    <w:rsid w:val="002575A2"/>
    <w:rsid w:val="002601F1"/>
    <w:rsid w:val="00260280"/>
    <w:rsid w:val="002608DC"/>
    <w:rsid w:val="00260B5B"/>
    <w:rsid w:val="00260EE1"/>
    <w:rsid w:val="00261138"/>
    <w:rsid w:val="00261822"/>
    <w:rsid w:val="00262603"/>
    <w:rsid w:val="002626DB"/>
    <w:rsid w:val="00263321"/>
    <w:rsid w:val="002637D4"/>
    <w:rsid w:val="00263D4C"/>
    <w:rsid w:val="00265014"/>
    <w:rsid w:val="00265765"/>
    <w:rsid w:val="002659F4"/>
    <w:rsid w:val="002664C1"/>
    <w:rsid w:val="002676A0"/>
    <w:rsid w:val="002726C8"/>
    <w:rsid w:val="00273917"/>
    <w:rsid w:val="00275551"/>
    <w:rsid w:val="00275711"/>
    <w:rsid w:val="00275842"/>
    <w:rsid w:val="00275C1D"/>
    <w:rsid w:val="0027695E"/>
    <w:rsid w:val="002803F4"/>
    <w:rsid w:val="0028183C"/>
    <w:rsid w:val="002833F2"/>
    <w:rsid w:val="00283809"/>
    <w:rsid w:val="0028485D"/>
    <w:rsid w:val="002852A3"/>
    <w:rsid w:val="002856A3"/>
    <w:rsid w:val="00285BEE"/>
    <w:rsid w:val="00286BE0"/>
    <w:rsid w:val="0029090F"/>
    <w:rsid w:val="002924C1"/>
    <w:rsid w:val="002939F1"/>
    <w:rsid w:val="00294276"/>
    <w:rsid w:val="00294547"/>
    <w:rsid w:val="0029533F"/>
    <w:rsid w:val="00295485"/>
    <w:rsid w:val="00296FF2"/>
    <w:rsid w:val="00297431"/>
    <w:rsid w:val="00297DC9"/>
    <w:rsid w:val="002A00E7"/>
    <w:rsid w:val="002A0EB5"/>
    <w:rsid w:val="002A1C03"/>
    <w:rsid w:val="002A2135"/>
    <w:rsid w:val="002A21B9"/>
    <w:rsid w:val="002A2F5F"/>
    <w:rsid w:val="002A3495"/>
    <w:rsid w:val="002A3571"/>
    <w:rsid w:val="002A3B35"/>
    <w:rsid w:val="002A4143"/>
    <w:rsid w:val="002A4698"/>
    <w:rsid w:val="002A5916"/>
    <w:rsid w:val="002A6E1F"/>
    <w:rsid w:val="002B031E"/>
    <w:rsid w:val="002B0926"/>
    <w:rsid w:val="002B127F"/>
    <w:rsid w:val="002B1A38"/>
    <w:rsid w:val="002B1B8B"/>
    <w:rsid w:val="002B20CE"/>
    <w:rsid w:val="002B293A"/>
    <w:rsid w:val="002B30AF"/>
    <w:rsid w:val="002B3289"/>
    <w:rsid w:val="002B395D"/>
    <w:rsid w:val="002B3DD7"/>
    <w:rsid w:val="002B418D"/>
    <w:rsid w:val="002B4848"/>
    <w:rsid w:val="002B524C"/>
    <w:rsid w:val="002B55AE"/>
    <w:rsid w:val="002B5EF1"/>
    <w:rsid w:val="002B60AF"/>
    <w:rsid w:val="002B6F37"/>
    <w:rsid w:val="002B6F44"/>
    <w:rsid w:val="002B7F67"/>
    <w:rsid w:val="002B7FD2"/>
    <w:rsid w:val="002C00AA"/>
    <w:rsid w:val="002C102E"/>
    <w:rsid w:val="002C156E"/>
    <w:rsid w:val="002C1FD4"/>
    <w:rsid w:val="002C276F"/>
    <w:rsid w:val="002C43A4"/>
    <w:rsid w:val="002C47B6"/>
    <w:rsid w:val="002C5395"/>
    <w:rsid w:val="002C7A1F"/>
    <w:rsid w:val="002D0130"/>
    <w:rsid w:val="002D0D8F"/>
    <w:rsid w:val="002D1B27"/>
    <w:rsid w:val="002D329E"/>
    <w:rsid w:val="002D3B98"/>
    <w:rsid w:val="002D3D68"/>
    <w:rsid w:val="002D5132"/>
    <w:rsid w:val="002D5405"/>
    <w:rsid w:val="002D6752"/>
    <w:rsid w:val="002D6B9D"/>
    <w:rsid w:val="002E1C39"/>
    <w:rsid w:val="002E227A"/>
    <w:rsid w:val="002E45A2"/>
    <w:rsid w:val="002E596A"/>
    <w:rsid w:val="002E645F"/>
    <w:rsid w:val="002E6A4B"/>
    <w:rsid w:val="002E7838"/>
    <w:rsid w:val="002F0B2C"/>
    <w:rsid w:val="002F0D70"/>
    <w:rsid w:val="002F0D7A"/>
    <w:rsid w:val="002F222E"/>
    <w:rsid w:val="002F336A"/>
    <w:rsid w:val="002F393B"/>
    <w:rsid w:val="002F432F"/>
    <w:rsid w:val="002F4AE5"/>
    <w:rsid w:val="002F63BF"/>
    <w:rsid w:val="00300B50"/>
    <w:rsid w:val="00302051"/>
    <w:rsid w:val="003021ED"/>
    <w:rsid w:val="003036D7"/>
    <w:rsid w:val="00304124"/>
    <w:rsid w:val="0030583B"/>
    <w:rsid w:val="00305A54"/>
    <w:rsid w:val="0030601E"/>
    <w:rsid w:val="00306CD9"/>
    <w:rsid w:val="00306F69"/>
    <w:rsid w:val="00312C98"/>
    <w:rsid w:val="003137CA"/>
    <w:rsid w:val="00315105"/>
    <w:rsid w:val="00315315"/>
    <w:rsid w:val="00317B36"/>
    <w:rsid w:val="0032200D"/>
    <w:rsid w:val="003227D6"/>
    <w:rsid w:val="00324120"/>
    <w:rsid w:val="003246A9"/>
    <w:rsid w:val="00327F0C"/>
    <w:rsid w:val="0033015E"/>
    <w:rsid w:val="003313B7"/>
    <w:rsid w:val="0033344A"/>
    <w:rsid w:val="00334883"/>
    <w:rsid w:val="00335D0E"/>
    <w:rsid w:val="00335D31"/>
    <w:rsid w:val="00336B92"/>
    <w:rsid w:val="00336FFE"/>
    <w:rsid w:val="00341F15"/>
    <w:rsid w:val="00343E6C"/>
    <w:rsid w:val="00345002"/>
    <w:rsid w:val="003461D1"/>
    <w:rsid w:val="00347B4A"/>
    <w:rsid w:val="00350667"/>
    <w:rsid w:val="0035086C"/>
    <w:rsid w:val="00351A5D"/>
    <w:rsid w:val="00351F1C"/>
    <w:rsid w:val="00355F60"/>
    <w:rsid w:val="003565A4"/>
    <w:rsid w:val="0035735E"/>
    <w:rsid w:val="00360A22"/>
    <w:rsid w:val="00362117"/>
    <w:rsid w:val="0036268F"/>
    <w:rsid w:val="00363153"/>
    <w:rsid w:val="00363D88"/>
    <w:rsid w:val="003641A4"/>
    <w:rsid w:val="0036648C"/>
    <w:rsid w:val="003702C9"/>
    <w:rsid w:val="0037181F"/>
    <w:rsid w:val="00371BBC"/>
    <w:rsid w:val="003731A8"/>
    <w:rsid w:val="003773AE"/>
    <w:rsid w:val="0037781B"/>
    <w:rsid w:val="003808D4"/>
    <w:rsid w:val="00382D4D"/>
    <w:rsid w:val="00383E1A"/>
    <w:rsid w:val="0038483F"/>
    <w:rsid w:val="003852AA"/>
    <w:rsid w:val="003854B6"/>
    <w:rsid w:val="0038593F"/>
    <w:rsid w:val="00387BC1"/>
    <w:rsid w:val="0039076B"/>
    <w:rsid w:val="00390F41"/>
    <w:rsid w:val="00392D70"/>
    <w:rsid w:val="00392EC2"/>
    <w:rsid w:val="003934AB"/>
    <w:rsid w:val="00393D61"/>
    <w:rsid w:val="00395645"/>
    <w:rsid w:val="00395B10"/>
    <w:rsid w:val="00396526"/>
    <w:rsid w:val="0039728C"/>
    <w:rsid w:val="003A0008"/>
    <w:rsid w:val="003A2A1E"/>
    <w:rsid w:val="003A2A69"/>
    <w:rsid w:val="003A5C82"/>
    <w:rsid w:val="003B061E"/>
    <w:rsid w:val="003B1A9B"/>
    <w:rsid w:val="003B1E1C"/>
    <w:rsid w:val="003B30B0"/>
    <w:rsid w:val="003B446A"/>
    <w:rsid w:val="003B4A3D"/>
    <w:rsid w:val="003B7A75"/>
    <w:rsid w:val="003C1112"/>
    <w:rsid w:val="003C2121"/>
    <w:rsid w:val="003C43BE"/>
    <w:rsid w:val="003C6640"/>
    <w:rsid w:val="003C6F74"/>
    <w:rsid w:val="003D1255"/>
    <w:rsid w:val="003D1728"/>
    <w:rsid w:val="003D1735"/>
    <w:rsid w:val="003D26AE"/>
    <w:rsid w:val="003D5289"/>
    <w:rsid w:val="003D6403"/>
    <w:rsid w:val="003D7797"/>
    <w:rsid w:val="003D794F"/>
    <w:rsid w:val="003D7E31"/>
    <w:rsid w:val="003D7E50"/>
    <w:rsid w:val="003E00B0"/>
    <w:rsid w:val="003E254C"/>
    <w:rsid w:val="003E47B6"/>
    <w:rsid w:val="003E61CE"/>
    <w:rsid w:val="003E650B"/>
    <w:rsid w:val="003F16C3"/>
    <w:rsid w:val="003F1AD0"/>
    <w:rsid w:val="003F3056"/>
    <w:rsid w:val="003F3D4B"/>
    <w:rsid w:val="003F63B7"/>
    <w:rsid w:val="003F644C"/>
    <w:rsid w:val="003F79DE"/>
    <w:rsid w:val="004008F3"/>
    <w:rsid w:val="00401A07"/>
    <w:rsid w:val="00402286"/>
    <w:rsid w:val="00402DA9"/>
    <w:rsid w:val="004041DD"/>
    <w:rsid w:val="00405B5C"/>
    <w:rsid w:val="00406C80"/>
    <w:rsid w:val="0040788F"/>
    <w:rsid w:val="00407D09"/>
    <w:rsid w:val="00413768"/>
    <w:rsid w:val="00414046"/>
    <w:rsid w:val="0041507D"/>
    <w:rsid w:val="004150AA"/>
    <w:rsid w:val="00415F61"/>
    <w:rsid w:val="00416254"/>
    <w:rsid w:val="00420A45"/>
    <w:rsid w:val="004223FA"/>
    <w:rsid w:val="00423882"/>
    <w:rsid w:val="00424EA4"/>
    <w:rsid w:val="004253E6"/>
    <w:rsid w:val="004260EE"/>
    <w:rsid w:val="0042648E"/>
    <w:rsid w:val="00426B76"/>
    <w:rsid w:val="00426E37"/>
    <w:rsid w:val="0042720F"/>
    <w:rsid w:val="00432F92"/>
    <w:rsid w:val="00434549"/>
    <w:rsid w:val="00434FBB"/>
    <w:rsid w:val="00435249"/>
    <w:rsid w:val="00435C5E"/>
    <w:rsid w:val="00436F81"/>
    <w:rsid w:val="00437D3A"/>
    <w:rsid w:val="00440931"/>
    <w:rsid w:val="0044158E"/>
    <w:rsid w:val="004422F9"/>
    <w:rsid w:val="00442CD8"/>
    <w:rsid w:val="00446D46"/>
    <w:rsid w:val="00450C7B"/>
    <w:rsid w:val="00451CB6"/>
    <w:rsid w:val="0045321A"/>
    <w:rsid w:val="00453F27"/>
    <w:rsid w:val="004572CC"/>
    <w:rsid w:val="00457F0E"/>
    <w:rsid w:val="00460441"/>
    <w:rsid w:val="00460978"/>
    <w:rsid w:val="00461488"/>
    <w:rsid w:val="00464A67"/>
    <w:rsid w:val="00464AA2"/>
    <w:rsid w:val="00473639"/>
    <w:rsid w:val="00473CDB"/>
    <w:rsid w:val="00474557"/>
    <w:rsid w:val="00474F81"/>
    <w:rsid w:val="00475BE1"/>
    <w:rsid w:val="00480250"/>
    <w:rsid w:val="0048099F"/>
    <w:rsid w:val="0048238B"/>
    <w:rsid w:val="00483299"/>
    <w:rsid w:val="004855C6"/>
    <w:rsid w:val="00485C06"/>
    <w:rsid w:val="00485D42"/>
    <w:rsid w:val="004860AA"/>
    <w:rsid w:val="00486372"/>
    <w:rsid w:val="0049095E"/>
    <w:rsid w:val="00490B6D"/>
    <w:rsid w:val="004936D2"/>
    <w:rsid w:val="004947B4"/>
    <w:rsid w:val="00497066"/>
    <w:rsid w:val="004A1B9B"/>
    <w:rsid w:val="004A3D05"/>
    <w:rsid w:val="004A503C"/>
    <w:rsid w:val="004A5EBD"/>
    <w:rsid w:val="004A6FEB"/>
    <w:rsid w:val="004A7A4A"/>
    <w:rsid w:val="004A7D02"/>
    <w:rsid w:val="004A7D81"/>
    <w:rsid w:val="004B0A60"/>
    <w:rsid w:val="004B10B0"/>
    <w:rsid w:val="004B1856"/>
    <w:rsid w:val="004B1EC2"/>
    <w:rsid w:val="004B2C62"/>
    <w:rsid w:val="004B4B6C"/>
    <w:rsid w:val="004B6817"/>
    <w:rsid w:val="004B69ED"/>
    <w:rsid w:val="004B7514"/>
    <w:rsid w:val="004C432C"/>
    <w:rsid w:val="004C4A25"/>
    <w:rsid w:val="004C4D75"/>
    <w:rsid w:val="004C7CB6"/>
    <w:rsid w:val="004C7E6C"/>
    <w:rsid w:val="004D0166"/>
    <w:rsid w:val="004D047B"/>
    <w:rsid w:val="004D0D8C"/>
    <w:rsid w:val="004D2A37"/>
    <w:rsid w:val="004D568E"/>
    <w:rsid w:val="004D6450"/>
    <w:rsid w:val="004D745F"/>
    <w:rsid w:val="004E02B9"/>
    <w:rsid w:val="004E03A6"/>
    <w:rsid w:val="004E05C1"/>
    <w:rsid w:val="004E07FF"/>
    <w:rsid w:val="004E0DB6"/>
    <w:rsid w:val="004E21AF"/>
    <w:rsid w:val="004E25AB"/>
    <w:rsid w:val="004E4364"/>
    <w:rsid w:val="004E6E7B"/>
    <w:rsid w:val="004E7D42"/>
    <w:rsid w:val="004F14C3"/>
    <w:rsid w:val="004F1871"/>
    <w:rsid w:val="004F20A0"/>
    <w:rsid w:val="004F2D96"/>
    <w:rsid w:val="004F3BD3"/>
    <w:rsid w:val="004F3CF1"/>
    <w:rsid w:val="004F466D"/>
    <w:rsid w:val="004F50B7"/>
    <w:rsid w:val="004F736C"/>
    <w:rsid w:val="004F7609"/>
    <w:rsid w:val="00500D82"/>
    <w:rsid w:val="0050180B"/>
    <w:rsid w:val="00503F35"/>
    <w:rsid w:val="00507A8C"/>
    <w:rsid w:val="0051020A"/>
    <w:rsid w:val="00511278"/>
    <w:rsid w:val="005118A6"/>
    <w:rsid w:val="0051288B"/>
    <w:rsid w:val="00512D82"/>
    <w:rsid w:val="00513E3E"/>
    <w:rsid w:val="0051536C"/>
    <w:rsid w:val="00515F59"/>
    <w:rsid w:val="00520EC5"/>
    <w:rsid w:val="005217FA"/>
    <w:rsid w:val="005221BA"/>
    <w:rsid w:val="00522C3D"/>
    <w:rsid w:val="00522F03"/>
    <w:rsid w:val="005234F0"/>
    <w:rsid w:val="00523897"/>
    <w:rsid w:val="00526189"/>
    <w:rsid w:val="00530890"/>
    <w:rsid w:val="00531E16"/>
    <w:rsid w:val="005320E5"/>
    <w:rsid w:val="005329D9"/>
    <w:rsid w:val="00533828"/>
    <w:rsid w:val="00533926"/>
    <w:rsid w:val="00534938"/>
    <w:rsid w:val="005368F7"/>
    <w:rsid w:val="00540415"/>
    <w:rsid w:val="00541EAA"/>
    <w:rsid w:val="005443F0"/>
    <w:rsid w:val="00544C1C"/>
    <w:rsid w:val="005459B4"/>
    <w:rsid w:val="00545C90"/>
    <w:rsid w:val="00550F9E"/>
    <w:rsid w:val="00551146"/>
    <w:rsid w:val="005511E4"/>
    <w:rsid w:val="00551EDD"/>
    <w:rsid w:val="005523BB"/>
    <w:rsid w:val="00552DBD"/>
    <w:rsid w:val="00552E02"/>
    <w:rsid w:val="00552F58"/>
    <w:rsid w:val="00553F68"/>
    <w:rsid w:val="00555186"/>
    <w:rsid w:val="005578DE"/>
    <w:rsid w:val="0056212B"/>
    <w:rsid w:val="00562C23"/>
    <w:rsid w:val="005657A1"/>
    <w:rsid w:val="00566A16"/>
    <w:rsid w:val="00571A85"/>
    <w:rsid w:val="005727B0"/>
    <w:rsid w:val="005742DB"/>
    <w:rsid w:val="005760F7"/>
    <w:rsid w:val="00580BA7"/>
    <w:rsid w:val="0058231F"/>
    <w:rsid w:val="00584716"/>
    <w:rsid w:val="00585879"/>
    <w:rsid w:val="00585EBB"/>
    <w:rsid w:val="00586CB3"/>
    <w:rsid w:val="00586F20"/>
    <w:rsid w:val="00586F41"/>
    <w:rsid w:val="005902DC"/>
    <w:rsid w:val="00590BF2"/>
    <w:rsid w:val="00590C0D"/>
    <w:rsid w:val="00591089"/>
    <w:rsid w:val="005917D8"/>
    <w:rsid w:val="00594170"/>
    <w:rsid w:val="00594A44"/>
    <w:rsid w:val="0059759B"/>
    <w:rsid w:val="00597774"/>
    <w:rsid w:val="005A1BD0"/>
    <w:rsid w:val="005A212F"/>
    <w:rsid w:val="005A2617"/>
    <w:rsid w:val="005A2E93"/>
    <w:rsid w:val="005A4DAE"/>
    <w:rsid w:val="005A691C"/>
    <w:rsid w:val="005A7024"/>
    <w:rsid w:val="005B1EB6"/>
    <w:rsid w:val="005B4593"/>
    <w:rsid w:val="005B4FF1"/>
    <w:rsid w:val="005B5991"/>
    <w:rsid w:val="005B5C28"/>
    <w:rsid w:val="005B5D2D"/>
    <w:rsid w:val="005B6039"/>
    <w:rsid w:val="005B69D6"/>
    <w:rsid w:val="005B74EC"/>
    <w:rsid w:val="005C03B3"/>
    <w:rsid w:val="005C2730"/>
    <w:rsid w:val="005C2AA3"/>
    <w:rsid w:val="005C4B8C"/>
    <w:rsid w:val="005C4E0B"/>
    <w:rsid w:val="005C7104"/>
    <w:rsid w:val="005D0875"/>
    <w:rsid w:val="005D0A85"/>
    <w:rsid w:val="005D4AFB"/>
    <w:rsid w:val="005D5A82"/>
    <w:rsid w:val="005D5AA3"/>
    <w:rsid w:val="005D61CE"/>
    <w:rsid w:val="005D6CA7"/>
    <w:rsid w:val="005D7ADB"/>
    <w:rsid w:val="005D7E97"/>
    <w:rsid w:val="005E2175"/>
    <w:rsid w:val="005E2EF6"/>
    <w:rsid w:val="005E30F8"/>
    <w:rsid w:val="005E3F98"/>
    <w:rsid w:val="005E4D14"/>
    <w:rsid w:val="005E5FBF"/>
    <w:rsid w:val="005E6321"/>
    <w:rsid w:val="005E7077"/>
    <w:rsid w:val="005F1789"/>
    <w:rsid w:val="005F2B62"/>
    <w:rsid w:val="005F2FB8"/>
    <w:rsid w:val="005F4073"/>
    <w:rsid w:val="005F5783"/>
    <w:rsid w:val="005F5BD5"/>
    <w:rsid w:val="005F6817"/>
    <w:rsid w:val="006000E8"/>
    <w:rsid w:val="00600443"/>
    <w:rsid w:val="00600B8D"/>
    <w:rsid w:val="006021F4"/>
    <w:rsid w:val="006022CF"/>
    <w:rsid w:val="006041EB"/>
    <w:rsid w:val="0060502A"/>
    <w:rsid w:val="00605CAD"/>
    <w:rsid w:val="006073C5"/>
    <w:rsid w:val="00607C94"/>
    <w:rsid w:val="006100EB"/>
    <w:rsid w:val="006110B0"/>
    <w:rsid w:val="00611CE6"/>
    <w:rsid w:val="00615DA3"/>
    <w:rsid w:val="006162ED"/>
    <w:rsid w:val="0062437A"/>
    <w:rsid w:val="00625422"/>
    <w:rsid w:val="006264B1"/>
    <w:rsid w:val="006269B2"/>
    <w:rsid w:val="006270E9"/>
    <w:rsid w:val="00627903"/>
    <w:rsid w:val="00629B7E"/>
    <w:rsid w:val="00630256"/>
    <w:rsid w:val="0063085E"/>
    <w:rsid w:val="00632844"/>
    <w:rsid w:val="00634DB2"/>
    <w:rsid w:val="00636C2D"/>
    <w:rsid w:val="006379B7"/>
    <w:rsid w:val="00642277"/>
    <w:rsid w:val="0064345B"/>
    <w:rsid w:val="00645316"/>
    <w:rsid w:val="0064631D"/>
    <w:rsid w:val="0064664D"/>
    <w:rsid w:val="00646DEF"/>
    <w:rsid w:val="006476CD"/>
    <w:rsid w:val="006522D2"/>
    <w:rsid w:val="006537A7"/>
    <w:rsid w:val="00654FD3"/>
    <w:rsid w:val="00655577"/>
    <w:rsid w:val="00655A1D"/>
    <w:rsid w:val="00657229"/>
    <w:rsid w:val="00657901"/>
    <w:rsid w:val="00657CF1"/>
    <w:rsid w:val="00657D21"/>
    <w:rsid w:val="00662B7C"/>
    <w:rsid w:val="006656A2"/>
    <w:rsid w:val="00665D2B"/>
    <w:rsid w:val="00666CF2"/>
    <w:rsid w:val="006675AA"/>
    <w:rsid w:val="0066788C"/>
    <w:rsid w:val="00667A31"/>
    <w:rsid w:val="00670472"/>
    <w:rsid w:val="00670FC1"/>
    <w:rsid w:val="00672AF4"/>
    <w:rsid w:val="00673E45"/>
    <w:rsid w:val="00674800"/>
    <w:rsid w:val="00674A22"/>
    <w:rsid w:val="00675915"/>
    <w:rsid w:val="00676AA0"/>
    <w:rsid w:val="006815C0"/>
    <w:rsid w:val="0068201D"/>
    <w:rsid w:val="00682119"/>
    <w:rsid w:val="00682796"/>
    <w:rsid w:val="00683CD2"/>
    <w:rsid w:val="006845E6"/>
    <w:rsid w:val="00684FC4"/>
    <w:rsid w:val="006873A1"/>
    <w:rsid w:val="00690238"/>
    <w:rsid w:val="00690FE2"/>
    <w:rsid w:val="00691142"/>
    <w:rsid w:val="00691A5F"/>
    <w:rsid w:val="006923AE"/>
    <w:rsid w:val="00692A45"/>
    <w:rsid w:val="0069329F"/>
    <w:rsid w:val="006A0A24"/>
    <w:rsid w:val="006A3B88"/>
    <w:rsid w:val="006A457D"/>
    <w:rsid w:val="006A6541"/>
    <w:rsid w:val="006A683E"/>
    <w:rsid w:val="006A712A"/>
    <w:rsid w:val="006A72B7"/>
    <w:rsid w:val="006B01F7"/>
    <w:rsid w:val="006B048A"/>
    <w:rsid w:val="006B30CB"/>
    <w:rsid w:val="006B3716"/>
    <w:rsid w:val="006B4161"/>
    <w:rsid w:val="006B65C3"/>
    <w:rsid w:val="006B7443"/>
    <w:rsid w:val="006B751C"/>
    <w:rsid w:val="006B7915"/>
    <w:rsid w:val="006C1551"/>
    <w:rsid w:val="006C2470"/>
    <w:rsid w:val="006C31A5"/>
    <w:rsid w:val="006C59C9"/>
    <w:rsid w:val="006C67B2"/>
    <w:rsid w:val="006C6BCD"/>
    <w:rsid w:val="006C7FF1"/>
    <w:rsid w:val="006D136D"/>
    <w:rsid w:val="006D1425"/>
    <w:rsid w:val="006D1A43"/>
    <w:rsid w:val="006D1D14"/>
    <w:rsid w:val="006D1E4C"/>
    <w:rsid w:val="006D2074"/>
    <w:rsid w:val="006D308E"/>
    <w:rsid w:val="006D51AB"/>
    <w:rsid w:val="006D59C0"/>
    <w:rsid w:val="006D6F8D"/>
    <w:rsid w:val="006D7364"/>
    <w:rsid w:val="006D7539"/>
    <w:rsid w:val="006E03CB"/>
    <w:rsid w:val="006E27A4"/>
    <w:rsid w:val="006E36D5"/>
    <w:rsid w:val="006E4F42"/>
    <w:rsid w:val="006E71C9"/>
    <w:rsid w:val="006F0C0E"/>
    <w:rsid w:val="006F0EB4"/>
    <w:rsid w:val="006F0F82"/>
    <w:rsid w:val="006F1BA9"/>
    <w:rsid w:val="006F43B0"/>
    <w:rsid w:val="006F4894"/>
    <w:rsid w:val="006F5CFB"/>
    <w:rsid w:val="006F65C4"/>
    <w:rsid w:val="0070132F"/>
    <w:rsid w:val="00701F48"/>
    <w:rsid w:val="0070280A"/>
    <w:rsid w:val="00702935"/>
    <w:rsid w:val="00702FD3"/>
    <w:rsid w:val="0070301F"/>
    <w:rsid w:val="0070360D"/>
    <w:rsid w:val="00704658"/>
    <w:rsid w:val="00704EE8"/>
    <w:rsid w:val="007065C2"/>
    <w:rsid w:val="007072C6"/>
    <w:rsid w:val="00710390"/>
    <w:rsid w:val="00710B0B"/>
    <w:rsid w:val="0071248D"/>
    <w:rsid w:val="007126F5"/>
    <w:rsid w:val="0071446F"/>
    <w:rsid w:val="00714574"/>
    <w:rsid w:val="007152DC"/>
    <w:rsid w:val="007166A9"/>
    <w:rsid w:val="00716D1A"/>
    <w:rsid w:val="007174B2"/>
    <w:rsid w:val="00717C15"/>
    <w:rsid w:val="00717D4B"/>
    <w:rsid w:val="00720897"/>
    <w:rsid w:val="00723233"/>
    <w:rsid w:val="007233EE"/>
    <w:rsid w:val="00723805"/>
    <w:rsid w:val="00732352"/>
    <w:rsid w:val="00735D24"/>
    <w:rsid w:val="007375FA"/>
    <w:rsid w:val="00737CFB"/>
    <w:rsid w:val="007401A0"/>
    <w:rsid w:val="00740F35"/>
    <w:rsid w:val="00741DE8"/>
    <w:rsid w:val="0074235C"/>
    <w:rsid w:val="00743A71"/>
    <w:rsid w:val="00744889"/>
    <w:rsid w:val="00746A45"/>
    <w:rsid w:val="007474DA"/>
    <w:rsid w:val="00751362"/>
    <w:rsid w:val="00751AC0"/>
    <w:rsid w:val="0075294B"/>
    <w:rsid w:val="0075545E"/>
    <w:rsid w:val="00756EB2"/>
    <w:rsid w:val="00757E02"/>
    <w:rsid w:val="00762704"/>
    <w:rsid w:val="007630E4"/>
    <w:rsid w:val="007631AB"/>
    <w:rsid w:val="00763400"/>
    <w:rsid w:val="00763CA2"/>
    <w:rsid w:val="00763ED6"/>
    <w:rsid w:val="0076679A"/>
    <w:rsid w:val="00767541"/>
    <w:rsid w:val="007706A8"/>
    <w:rsid w:val="00770711"/>
    <w:rsid w:val="007711FA"/>
    <w:rsid w:val="00771588"/>
    <w:rsid w:val="0077163F"/>
    <w:rsid w:val="007723C3"/>
    <w:rsid w:val="00773331"/>
    <w:rsid w:val="00773DA0"/>
    <w:rsid w:val="00775004"/>
    <w:rsid w:val="00775F0E"/>
    <w:rsid w:val="00776ABB"/>
    <w:rsid w:val="00776DAC"/>
    <w:rsid w:val="00777A0E"/>
    <w:rsid w:val="007801EF"/>
    <w:rsid w:val="00780830"/>
    <w:rsid w:val="00780AE8"/>
    <w:rsid w:val="00780C51"/>
    <w:rsid w:val="00780CDF"/>
    <w:rsid w:val="00781766"/>
    <w:rsid w:val="00785CB0"/>
    <w:rsid w:val="00787367"/>
    <w:rsid w:val="00787992"/>
    <w:rsid w:val="00790144"/>
    <w:rsid w:val="007902D8"/>
    <w:rsid w:val="00790BD8"/>
    <w:rsid w:val="0079157E"/>
    <w:rsid w:val="0079207B"/>
    <w:rsid w:val="007932EF"/>
    <w:rsid w:val="007939AC"/>
    <w:rsid w:val="00795E22"/>
    <w:rsid w:val="007960DB"/>
    <w:rsid w:val="0079639D"/>
    <w:rsid w:val="007A070C"/>
    <w:rsid w:val="007A0A0E"/>
    <w:rsid w:val="007A10D7"/>
    <w:rsid w:val="007A27D2"/>
    <w:rsid w:val="007A2D91"/>
    <w:rsid w:val="007A4A0C"/>
    <w:rsid w:val="007A584F"/>
    <w:rsid w:val="007A62D8"/>
    <w:rsid w:val="007B2D72"/>
    <w:rsid w:val="007B5903"/>
    <w:rsid w:val="007B69BC"/>
    <w:rsid w:val="007C026F"/>
    <w:rsid w:val="007C105A"/>
    <w:rsid w:val="007C3C54"/>
    <w:rsid w:val="007C5F9C"/>
    <w:rsid w:val="007C687E"/>
    <w:rsid w:val="007C6B7F"/>
    <w:rsid w:val="007C7FA4"/>
    <w:rsid w:val="007D24B1"/>
    <w:rsid w:val="007D2E20"/>
    <w:rsid w:val="007D3E42"/>
    <w:rsid w:val="007D4118"/>
    <w:rsid w:val="007D4275"/>
    <w:rsid w:val="007D57AE"/>
    <w:rsid w:val="007D5CAF"/>
    <w:rsid w:val="007D5E27"/>
    <w:rsid w:val="007D6445"/>
    <w:rsid w:val="007E055C"/>
    <w:rsid w:val="007E05B0"/>
    <w:rsid w:val="007E0A56"/>
    <w:rsid w:val="007E1000"/>
    <w:rsid w:val="007E17A6"/>
    <w:rsid w:val="007E2E8A"/>
    <w:rsid w:val="007E378E"/>
    <w:rsid w:val="007E49BF"/>
    <w:rsid w:val="007E5F4C"/>
    <w:rsid w:val="007E6331"/>
    <w:rsid w:val="007E6C3D"/>
    <w:rsid w:val="007E74D3"/>
    <w:rsid w:val="007F031E"/>
    <w:rsid w:val="007F070D"/>
    <w:rsid w:val="007F17D4"/>
    <w:rsid w:val="007F1BFC"/>
    <w:rsid w:val="007F2CCD"/>
    <w:rsid w:val="007F48B4"/>
    <w:rsid w:val="007F72DE"/>
    <w:rsid w:val="0080065A"/>
    <w:rsid w:val="008027EB"/>
    <w:rsid w:val="00802A79"/>
    <w:rsid w:val="00803F51"/>
    <w:rsid w:val="008041A1"/>
    <w:rsid w:val="008046B5"/>
    <w:rsid w:val="00805A92"/>
    <w:rsid w:val="00805B2C"/>
    <w:rsid w:val="00806FB0"/>
    <w:rsid w:val="00810640"/>
    <w:rsid w:val="00810998"/>
    <w:rsid w:val="00811980"/>
    <w:rsid w:val="00811CBD"/>
    <w:rsid w:val="0081449E"/>
    <w:rsid w:val="00814E3C"/>
    <w:rsid w:val="008156C7"/>
    <w:rsid w:val="00815B15"/>
    <w:rsid w:val="00816245"/>
    <w:rsid w:val="008177A2"/>
    <w:rsid w:val="008217B6"/>
    <w:rsid w:val="00821982"/>
    <w:rsid w:val="00821DEC"/>
    <w:rsid w:val="00822208"/>
    <w:rsid w:val="0082288C"/>
    <w:rsid w:val="00822A9B"/>
    <w:rsid w:val="0082450A"/>
    <w:rsid w:val="008259D2"/>
    <w:rsid w:val="008304A1"/>
    <w:rsid w:val="00831D95"/>
    <w:rsid w:val="008329AF"/>
    <w:rsid w:val="00832DCF"/>
    <w:rsid w:val="00833B63"/>
    <w:rsid w:val="00834742"/>
    <w:rsid w:val="008350B5"/>
    <w:rsid w:val="008351C4"/>
    <w:rsid w:val="00836317"/>
    <w:rsid w:val="00843FBA"/>
    <w:rsid w:val="00844070"/>
    <w:rsid w:val="008457CA"/>
    <w:rsid w:val="00846DF1"/>
    <w:rsid w:val="00851C5D"/>
    <w:rsid w:val="0085352C"/>
    <w:rsid w:val="00854262"/>
    <w:rsid w:val="0085570F"/>
    <w:rsid w:val="00857E0B"/>
    <w:rsid w:val="00865979"/>
    <w:rsid w:val="00866147"/>
    <w:rsid w:val="0086626F"/>
    <w:rsid w:val="00866692"/>
    <w:rsid w:val="00871612"/>
    <w:rsid w:val="00871633"/>
    <w:rsid w:val="00871C22"/>
    <w:rsid w:val="00871D3C"/>
    <w:rsid w:val="00873CAD"/>
    <w:rsid w:val="008742CB"/>
    <w:rsid w:val="00874D22"/>
    <w:rsid w:val="008751F9"/>
    <w:rsid w:val="008752A4"/>
    <w:rsid w:val="00875919"/>
    <w:rsid w:val="00886234"/>
    <w:rsid w:val="00886A1B"/>
    <w:rsid w:val="00891B80"/>
    <w:rsid w:val="00892F8F"/>
    <w:rsid w:val="00894FB4"/>
    <w:rsid w:val="00895A31"/>
    <w:rsid w:val="008A11BA"/>
    <w:rsid w:val="008A17A8"/>
    <w:rsid w:val="008A2914"/>
    <w:rsid w:val="008A30E3"/>
    <w:rsid w:val="008A3319"/>
    <w:rsid w:val="008A3E29"/>
    <w:rsid w:val="008A40D8"/>
    <w:rsid w:val="008A434E"/>
    <w:rsid w:val="008A440F"/>
    <w:rsid w:val="008A50FD"/>
    <w:rsid w:val="008A5432"/>
    <w:rsid w:val="008A5ED6"/>
    <w:rsid w:val="008A675E"/>
    <w:rsid w:val="008A736A"/>
    <w:rsid w:val="008B27EA"/>
    <w:rsid w:val="008B35E2"/>
    <w:rsid w:val="008B4251"/>
    <w:rsid w:val="008B642E"/>
    <w:rsid w:val="008B6789"/>
    <w:rsid w:val="008C0984"/>
    <w:rsid w:val="008C11A9"/>
    <w:rsid w:val="008C12AF"/>
    <w:rsid w:val="008C16B5"/>
    <w:rsid w:val="008C21C8"/>
    <w:rsid w:val="008C244A"/>
    <w:rsid w:val="008C2837"/>
    <w:rsid w:val="008C2A32"/>
    <w:rsid w:val="008C2DD2"/>
    <w:rsid w:val="008C3C61"/>
    <w:rsid w:val="008C483E"/>
    <w:rsid w:val="008C5161"/>
    <w:rsid w:val="008C574C"/>
    <w:rsid w:val="008C6404"/>
    <w:rsid w:val="008D1E83"/>
    <w:rsid w:val="008D2440"/>
    <w:rsid w:val="008D3866"/>
    <w:rsid w:val="008D3CA8"/>
    <w:rsid w:val="008D3CAE"/>
    <w:rsid w:val="008D41CE"/>
    <w:rsid w:val="008D5361"/>
    <w:rsid w:val="008D70A7"/>
    <w:rsid w:val="008E2A03"/>
    <w:rsid w:val="008E3D09"/>
    <w:rsid w:val="008E40AC"/>
    <w:rsid w:val="008E40CB"/>
    <w:rsid w:val="008E4D8E"/>
    <w:rsid w:val="008E4E17"/>
    <w:rsid w:val="008E5864"/>
    <w:rsid w:val="008E5C69"/>
    <w:rsid w:val="008E6FE6"/>
    <w:rsid w:val="008E7CAC"/>
    <w:rsid w:val="008F1D76"/>
    <w:rsid w:val="008F2447"/>
    <w:rsid w:val="008F3B75"/>
    <w:rsid w:val="008F4018"/>
    <w:rsid w:val="008F4CD5"/>
    <w:rsid w:val="008F633F"/>
    <w:rsid w:val="009004BB"/>
    <w:rsid w:val="00901663"/>
    <w:rsid w:val="009019C8"/>
    <w:rsid w:val="0090343C"/>
    <w:rsid w:val="00903806"/>
    <w:rsid w:val="009043E4"/>
    <w:rsid w:val="009065C3"/>
    <w:rsid w:val="009108D2"/>
    <w:rsid w:val="00911709"/>
    <w:rsid w:val="00912BA7"/>
    <w:rsid w:val="00913099"/>
    <w:rsid w:val="00913BF0"/>
    <w:rsid w:val="009159D2"/>
    <w:rsid w:val="009211D3"/>
    <w:rsid w:val="009216E6"/>
    <w:rsid w:val="00922134"/>
    <w:rsid w:val="009226D9"/>
    <w:rsid w:val="00922E90"/>
    <w:rsid w:val="00923160"/>
    <w:rsid w:val="00923BF2"/>
    <w:rsid w:val="0092483D"/>
    <w:rsid w:val="009249DD"/>
    <w:rsid w:val="0092577D"/>
    <w:rsid w:val="00926830"/>
    <w:rsid w:val="00926D13"/>
    <w:rsid w:val="00927B6D"/>
    <w:rsid w:val="00931839"/>
    <w:rsid w:val="00932264"/>
    <w:rsid w:val="0093241D"/>
    <w:rsid w:val="00936272"/>
    <w:rsid w:val="009364FF"/>
    <w:rsid w:val="00936583"/>
    <w:rsid w:val="00936DB3"/>
    <w:rsid w:val="009409CF"/>
    <w:rsid w:val="009415B3"/>
    <w:rsid w:val="00941E1B"/>
    <w:rsid w:val="009435A6"/>
    <w:rsid w:val="009440A9"/>
    <w:rsid w:val="0094452F"/>
    <w:rsid w:val="0094515B"/>
    <w:rsid w:val="009461B3"/>
    <w:rsid w:val="00950668"/>
    <w:rsid w:val="00951173"/>
    <w:rsid w:val="00951C24"/>
    <w:rsid w:val="00951D5F"/>
    <w:rsid w:val="00951DEC"/>
    <w:rsid w:val="009527ED"/>
    <w:rsid w:val="00953609"/>
    <w:rsid w:val="00954106"/>
    <w:rsid w:val="00954D65"/>
    <w:rsid w:val="00956118"/>
    <w:rsid w:val="00957747"/>
    <w:rsid w:val="00957A39"/>
    <w:rsid w:val="00957E9C"/>
    <w:rsid w:val="00961BB0"/>
    <w:rsid w:val="00961BB8"/>
    <w:rsid w:val="00962D10"/>
    <w:rsid w:val="0096367B"/>
    <w:rsid w:val="009638A6"/>
    <w:rsid w:val="0096444D"/>
    <w:rsid w:val="00964BB5"/>
    <w:rsid w:val="00965066"/>
    <w:rsid w:val="00967017"/>
    <w:rsid w:val="00970205"/>
    <w:rsid w:val="009704B1"/>
    <w:rsid w:val="00971D9A"/>
    <w:rsid w:val="009722F3"/>
    <w:rsid w:val="00972A8B"/>
    <w:rsid w:val="00975278"/>
    <w:rsid w:val="009806F8"/>
    <w:rsid w:val="00982733"/>
    <w:rsid w:val="00982AB2"/>
    <w:rsid w:val="00982F1C"/>
    <w:rsid w:val="0098372A"/>
    <w:rsid w:val="00985267"/>
    <w:rsid w:val="0098601B"/>
    <w:rsid w:val="009869F5"/>
    <w:rsid w:val="00987325"/>
    <w:rsid w:val="00991498"/>
    <w:rsid w:val="00992294"/>
    <w:rsid w:val="0099266F"/>
    <w:rsid w:val="009940B4"/>
    <w:rsid w:val="009A0B7D"/>
    <w:rsid w:val="009A0E86"/>
    <w:rsid w:val="009A0EED"/>
    <w:rsid w:val="009A1BAF"/>
    <w:rsid w:val="009A1EF8"/>
    <w:rsid w:val="009A2896"/>
    <w:rsid w:val="009A2B49"/>
    <w:rsid w:val="009A4F5D"/>
    <w:rsid w:val="009A74F4"/>
    <w:rsid w:val="009A78C7"/>
    <w:rsid w:val="009B01C0"/>
    <w:rsid w:val="009B0704"/>
    <w:rsid w:val="009B1464"/>
    <w:rsid w:val="009B2B76"/>
    <w:rsid w:val="009B4235"/>
    <w:rsid w:val="009B4709"/>
    <w:rsid w:val="009B6D34"/>
    <w:rsid w:val="009C038E"/>
    <w:rsid w:val="009C067B"/>
    <w:rsid w:val="009C141E"/>
    <w:rsid w:val="009C4069"/>
    <w:rsid w:val="009C5175"/>
    <w:rsid w:val="009C518B"/>
    <w:rsid w:val="009C627D"/>
    <w:rsid w:val="009C6280"/>
    <w:rsid w:val="009C7F6C"/>
    <w:rsid w:val="009D09A1"/>
    <w:rsid w:val="009D317C"/>
    <w:rsid w:val="009D3AEB"/>
    <w:rsid w:val="009D59F4"/>
    <w:rsid w:val="009D6E3F"/>
    <w:rsid w:val="009D6F2B"/>
    <w:rsid w:val="009D71A9"/>
    <w:rsid w:val="009D7B31"/>
    <w:rsid w:val="009E1F74"/>
    <w:rsid w:val="009E36C9"/>
    <w:rsid w:val="009E3CE2"/>
    <w:rsid w:val="009E530D"/>
    <w:rsid w:val="009E638D"/>
    <w:rsid w:val="009E7C81"/>
    <w:rsid w:val="009E7EAE"/>
    <w:rsid w:val="009F3967"/>
    <w:rsid w:val="009F550E"/>
    <w:rsid w:val="009F611F"/>
    <w:rsid w:val="00A00782"/>
    <w:rsid w:val="00A014D9"/>
    <w:rsid w:val="00A03E59"/>
    <w:rsid w:val="00A03EBA"/>
    <w:rsid w:val="00A10259"/>
    <w:rsid w:val="00A10DB3"/>
    <w:rsid w:val="00A13123"/>
    <w:rsid w:val="00A13255"/>
    <w:rsid w:val="00A14F11"/>
    <w:rsid w:val="00A15253"/>
    <w:rsid w:val="00A16C11"/>
    <w:rsid w:val="00A177EC"/>
    <w:rsid w:val="00A17932"/>
    <w:rsid w:val="00A17CD2"/>
    <w:rsid w:val="00A20CDA"/>
    <w:rsid w:val="00A21027"/>
    <w:rsid w:val="00A220D2"/>
    <w:rsid w:val="00A2385C"/>
    <w:rsid w:val="00A26D29"/>
    <w:rsid w:val="00A27555"/>
    <w:rsid w:val="00A324D0"/>
    <w:rsid w:val="00A338A3"/>
    <w:rsid w:val="00A33C46"/>
    <w:rsid w:val="00A33D95"/>
    <w:rsid w:val="00A34397"/>
    <w:rsid w:val="00A37305"/>
    <w:rsid w:val="00A37DE7"/>
    <w:rsid w:val="00A40F1A"/>
    <w:rsid w:val="00A40FCE"/>
    <w:rsid w:val="00A41776"/>
    <w:rsid w:val="00A46358"/>
    <w:rsid w:val="00A466B7"/>
    <w:rsid w:val="00A4709E"/>
    <w:rsid w:val="00A52CF1"/>
    <w:rsid w:val="00A52CF9"/>
    <w:rsid w:val="00A544D7"/>
    <w:rsid w:val="00A54702"/>
    <w:rsid w:val="00A5521B"/>
    <w:rsid w:val="00A55344"/>
    <w:rsid w:val="00A5592F"/>
    <w:rsid w:val="00A57D43"/>
    <w:rsid w:val="00A6297D"/>
    <w:rsid w:val="00A643B9"/>
    <w:rsid w:val="00A66729"/>
    <w:rsid w:val="00A712B5"/>
    <w:rsid w:val="00A72EB6"/>
    <w:rsid w:val="00A734B2"/>
    <w:rsid w:val="00A737C8"/>
    <w:rsid w:val="00A7394A"/>
    <w:rsid w:val="00A740BA"/>
    <w:rsid w:val="00A74815"/>
    <w:rsid w:val="00A75228"/>
    <w:rsid w:val="00A757C9"/>
    <w:rsid w:val="00A75C78"/>
    <w:rsid w:val="00A77719"/>
    <w:rsid w:val="00A77F84"/>
    <w:rsid w:val="00A81B9B"/>
    <w:rsid w:val="00A8355C"/>
    <w:rsid w:val="00A84EC7"/>
    <w:rsid w:val="00A854D8"/>
    <w:rsid w:val="00A86663"/>
    <w:rsid w:val="00A86D4D"/>
    <w:rsid w:val="00A872F8"/>
    <w:rsid w:val="00A87522"/>
    <w:rsid w:val="00A87960"/>
    <w:rsid w:val="00A94244"/>
    <w:rsid w:val="00A947AD"/>
    <w:rsid w:val="00A97ABC"/>
    <w:rsid w:val="00A97EB8"/>
    <w:rsid w:val="00AA123F"/>
    <w:rsid w:val="00AA26B4"/>
    <w:rsid w:val="00AA30F3"/>
    <w:rsid w:val="00AA62FF"/>
    <w:rsid w:val="00AA7A2D"/>
    <w:rsid w:val="00AB0313"/>
    <w:rsid w:val="00AB0F66"/>
    <w:rsid w:val="00AB3C98"/>
    <w:rsid w:val="00AB418C"/>
    <w:rsid w:val="00AB429E"/>
    <w:rsid w:val="00AB513B"/>
    <w:rsid w:val="00AB5CD4"/>
    <w:rsid w:val="00AB617F"/>
    <w:rsid w:val="00AC0C2E"/>
    <w:rsid w:val="00AC1AF4"/>
    <w:rsid w:val="00AC3465"/>
    <w:rsid w:val="00AC3A8F"/>
    <w:rsid w:val="00AC3AEE"/>
    <w:rsid w:val="00AC590A"/>
    <w:rsid w:val="00AC62B0"/>
    <w:rsid w:val="00AC6587"/>
    <w:rsid w:val="00AC7625"/>
    <w:rsid w:val="00AC7FED"/>
    <w:rsid w:val="00AD0FE8"/>
    <w:rsid w:val="00AD1929"/>
    <w:rsid w:val="00AD201E"/>
    <w:rsid w:val="00AD25F3"/>
    <w:rsid w:val="00AD2D6F"/>
    <w:rsid w:val="00AD4AAC"/>
    <w:rsid w:val="00AD4BB1"/>
    <w:rsid w:val="00AD4E80"/>
    <w:rsid w:val="00AD5219"/>
    <w:rsid w:val="00AD55CC"/>
    <w:rsid w:val="00AD5AFC"/>
    <w:rsid w:val="00AD7CD0"/>
    <w:rsid w:val="00AD7DCC"/>
    <w:rsid w:val="00AE02B5"/>
    <w:rsid w:val="00AE03E8"/>
    <w:rsid w:val="00AE1B47"/>
    <w:rsid w:val="00AE439D"/>
    <w:rsid w:val="00AE6843"/>
    <w:rsid w:val="00AF0D03"/>
    <w:rsid w:val="00AF2646"/>
    <w:rsid w:val="00AF2F4B"/>
    <w:rsid w:val="00AF38FF"/>
    <w:rsid w:val="00AF5F7B"/>
    <w:rsid w:val="00AF7E4F"/>
    <w:rsid w:val="00B03A19"/>
    <w:rsid w:val="00B043E3"/>
    <w:rsid w:val="00B04AEA"/>
    <w:rsid w:val="00B05E12"/>
    <w:rsid w:val="00B0611E"/>
    <w:rsid w:val="00B070C1"/>
    <w:rsid w:val="00B0733E"/>
    <w:rsid w:val="00B101D1"/>
    <w:rsid w:val="00B11950"/>
    <w:rsid w:val="00B139B9"/>
    <w:rsid w:val="00B141D4"/>
    <w:rsid w:val="00B149D4"/>
    <w:rsid w:val="00B14E5B"/>
    <w:rsid w:val="00B16ADB"/>
    <w:rsid w:val="00B20914"/>
    <w:rsid w:val="00B210F0"/>
    <w:rsid w:val="00B227D9"/>
    <w:rsid w:val="00B232C1"/>
    <w:rsid w:val="00B236BB"/>
    <w:rsid w:val="00B242D0"/>
    <w:rsid w:val="00B26847"/>
    <w:rsid w:val="00B26B3C"/>
    <w:rsid w:val="00B26E0B"/>
    <w:rsid w:val="00B27381"/>
    <w:rsid w:val="00B30332"/>
    <w:rsid w:val="00B30812"/>
    <w:rsid w:val="00B31F58"/>
    <w:rsid w:val="00B337A6"/>
    <w:rsid w:val="00B37941"/>
    <w:rsid w:val="00B379E3"/>
    <w:rsid w:val="00B4037A"/>
    <w:rsid w:val="00B405C5"/>
    <w:rsid w:val="00B423CC"/>
    <w:rsid w:val="00B43052"/>
    <w:rsid w:val="00B437F2"/>
    <w:rsid w:val="00B43EC0"/>
    <w:rsid w:val="00B45850"/>
    <w:rsid w:val="00B4588F"/>
    <w:rsid w:val="00B45A09"/>
    <w:rsid w:val="00B45F16"/>
    <w:rsid w:val="00B46EBB"/>
    <w:rsid w:val="00B51BCE"/>
    <w:rsid w:val="00B547DB"/>
    <w:rsid w:val="00B55731"/>
    <w:rsid w:val="00B55967"/>
    <w:rsid w:val="00B55F52"/>
    <w:rsid w:val="00B576EA"/>
    <w:rsid w:val="00B60006"/>
    <w:rsid w:val="00B606AF"/>
    <w:rsid w:val="00B6230E"/>
    <w:rsid w:val="00B64DE9"/>
    <w:rsid w:val="00B6656F"/>
    <w:rsid w:val="00B667AE"/>
    <w:rsid w:val="00B67EE2"/>
    <w:rsid w:val="00B7059A"/>
    <w:rsid w:val="00B710AE"/>
    <w:rsid w:val="00B712EA"/>
    <w:rsid w:val="00B712F5"/>
    <w:rsid w:val="00B7225F"/>
    <w:rsid w:val="00B73D85"/>
    <w:rsid w:val="00B750EB"/>
    <w:rsid w:val="00B755EA"/>
    <w:rsid w:val="00B7639F"/>
    <w:rsid w:val="00B77330"/>
    <w:rsid w:val="00B774C1"/>
    <w:rsid w:val="00B77F42"/>
    <w:rsid w:val="00B83530"/>
    <w:rsid w:val="00B84891"/>
    <w:rsid w:val="00B85DF7"/>
    <w:rsid w:val="00B93DED"/>
    <w:rsid w:val="00B93E22"/>
    <w:rsid w:val="00B9437A"/>
    <w:rsid w:val="00B95492"/>
    <w:rsid w:val="00B97727"/>
    <w:rsid w:val="00B97D35"/>
    <w:rsid w:val="00BA1DCA"/>
    <w:rsid w:val="00BA6DC4"/>
    <w:rsid w:val="00BA7856"/>
    <w:rsid w:val="00BA7A9C"/>
    <w:rsid w:val="00BB2246"/>
    <w:rsid w:val="00BB290F"/>
    <w:rsid w:val="00BB2D33"/>
    <w:rsid w:val="00BB35EF"/>
    <w:rsid w:val="00BB4A00"/>
    <w:rsid w:val="00BB5115"/>
    <w:rsid w:val="00BC0187"/>
    <w:rsid w:val="00BC0D12"/>
    <w:rsid w:val="00BC0E8E"/>
    <w:rsid w:val="00BC2DFE"/>
    <w:rsid w:val="00BC390C"/>
    <w:rsid w:val="00BC679E"/>
    <w:rsid w:val="00BC7A5B"/>
    <w:rsid w:val="00BD1054"/>
    <w:rsid w:val="00BD21FE"/>
    <w:rsid w:val="00BD56A5"/>
    <w:rsid w:val="00BD5777"/>
    <w:rsid w:val="00BD59D3"/>
    <w:rsid w:val="00BD5DDB"/>
    <w:rsid w:val="00BD780D"/>
    <w:rsid w:val="00BD786E"/>
    <w:rsid w:val="00BD7FA5"/>
    <w:rsid w:val="00BE0BCF"/>
    <w:rsid w:val="00BE1B76"/>
    <w:rsid w:val="00BE6359"/>
    <w:rsid w:val="00BF0927"/>
    <w:rsid w:val="00BF13D2"/>
    <w:rsid w:val="00BF3405"/>
    <w:rsid w:val="00BF5DE8"/>
    <w:rsid w:val="00BF5E7A"/>
    <w:rsid w:val="00BF7F78"/>
    <w:rsid w:val="00C00E4C"/>
    <w:rsid w:val="00C00E72"/>
    <w:rsid w:val="00C0121F"/>
    <w:rsid w:val="00C12301"/>
    <w:rsid w:val="00C12A54"/>
    <w:rsid w:val="00C12CFF"/>
    <w:rsid w:val="00C1315B"/>
    <w:rsid w:val="00C13F28"/>
    <w:rsid w:val="00C14068"/>
    <w:rsid w:val="00C144A8"/>
    <w:rsid w:val="00C14538"/>
    <w:rsid w:val="00C150B8"/>
    <w:rsid w:val="00C15355"/>
    <w:rsid w:val="00C1550E"/>
    <w:rsid w:val="00C15B43"/>
    <w:rsid w:val="00C163E9"/>
    <w:rsid w:val="00C16F49"/>
    <w:rsid w:val="00C1704B"/>
    <w:rsid w:val="00C202A5"/>
    <w:rsid w:val="00C20F19"/>
    <w:rsid w:val="00C21B44"/>
    <w:rsid w:val="00C241E4"/>
    <w:rsid w:val="00C25269"/>
    <w:rsid w:val="00C25526"/>
    <w:rsid w:val="00C27E52"/>
    <w:rsid w:val="00C30112"/>
    <w:rsid w:val="00C301A9"/>
    <w:rsid w:val="00C30A22"/>
    <w:rsid w:val="00C35C76"/>
    <w:rsid w:val="00C36650"/>
    <w:rsid w:val="00C36D4F"/>
    <w:rsid w:val="00C3703A"/>
    <w:rsid w:val="00C374EA"/>
    <w:rsid w:val="00C42DAE"/>
    <w:rsid w:val="00C44B2D"/>
    <w:rsid w:val="00C47B01"/>
    <w:rsid w:val="00C47D9F"/>
    <w:rsid w:val="00C50539"/>
    <w:rsid w:val="00C506D8"/>
    <w:rsid w:val="00C508B2"/>
    <w:rsid w:val="00C515C7"/>
    <w:rsid w:val="00C52C66"/>
    <w:rsid w:val="00C53136"/>
    <w:rsid w:val="00C54A4A"/>
    <w:rsid w:val="00C567D8"/>
    <w:rsid w:val="00C57680"/>
    <w:rsid w:val="00C60168"/>
    <w:rsid w:val="00C61151"/>
    <w:rsid w:val="00C6598A"/>
    <w:rsid w:val="00C65F97"/>
    <w:rsid w:val="00C679BE"/>
    <w:rsid w:val="00C72903"/>
    <w:rsid w:val="00C76FB3"/>
    <w:rsid w:val="00C775B9"/>
    <w:rsid w:val="00C80D6B"/>
    <w:rsid w:val="00C816C5"/>
    <w:rsid w:val="00C81B61"/>
    <w:rsid w:val="00C8274E"/>
    <w:rsid w:val="00C82EF7"/>
    <w:rsid w:val="00C840BD"/>
    <w:rsid w:val="00C84247"/>
    <w:rsid w:val="00C85DEF"/>
    <w:rsid w:val="00C8675C"/>
    <w:rsid w:val="00C87F0D"/>
    <w:rsid w:val="00C9213D"/>
    <w:rsid w:val="00C93E35"/>
    <w:rsid w:val="00C943C2"/>
    <w:rsid w:val="00C94731"/>
    <w:rsid w:val="00C9574D"/>
    <w:rsid w:val="00C95CEA"/>
    <w:rsid w:val="00C962D0"/>
    <w:rsid w:val="00C962DA"/>
    <w:rsid w:val="00C97AFA"/>
    <w:rsid w:val="00CA21A8"/>
    <w:rsid w:val="00CA3706"/>
    <w:rsid w:val="00CA3B13"/>
    <w:rsid w:val="00CA411A"/>
    <w:rsid w:val="00CA4847"/>
    <w:rsid w:val="00CA4EE7"/>
    <w:rsid w:val="00CA7D78"/>
    <w:rsid w:val="00CB05C2"/>
    <w:rsid w:val="00CB05C3"/>
    <w:rsid w:val="00CB31BB"/>
    <w:rsid w:val="00CB43D9"/>
    <w:rsid w:val="00CB4DFB"/>
    <w:rsid w:val="00CB5D10"/>
    <w:rsid w:val="00CB6532"/>
    <w:rsid w:val="00CC0E0A"/>
    <w:rsid w:val="00CC1872"/>
    <w:rsid w:val="00CC1D93"/>
    <w:rsid w:val="00CC3386"/>
    <w:rsid w:val="00CC349B"/>
    <w:rsid w:val="00CC4925"/>
    <w:rsid w:val="00CC4C62"/>
    <w:rsid w:val="00CC7732"/>
    <w:rsid w:val="00CC7BAD"/>
    <w:rsid w:val="00CD0527"/>
    <w:rsid w:val="00CD0609"/>
    <w:rsid w:val="00CD2708"/>
    <w:rsid w:val="00CD2959"/>
    <w:rsid w:val="00CD3689"/>
    <w:rsid w:val="00CE15AE"/>
    <w:rsid w:val="00CE1975"/>
    <w:rsid w:val="00CE1C5D"/>
    <w:rsid w:val="00CE2824"/>
    <w:rsid w:val="00CE312D"/>
    <w:rsid w:val="00CE3958"/>
    <w:rsid w:val="00CE4533"/>
    <w:rsid w:val="00CE4C5D"/>
    <w:rsid w:val="00CE77FD"/>
    <w:rsid w:val="00CE7B85"/>
    <w:rsid w:val="00CF0A33"/>
    <w:rsid w:val="00CF16EA"/>
    <w:rsid w:val="00CF20B2"/>
    <w:rsid w:val="00CF3A38"/>
    <w:rsid w:val="00CF55A1"/>
    <w:rsid w:val="00CF6A61"/>
    <w:rsid w:val="00CF6C3F"/>
    <w:rsid w:val="00CF7FA9"/>
    <w:rsid w:val="00D00747"/>
    <w:rsid w:val="00D029D1"/>
    <w:rsid w:val="00D02F8E"/>
    <w:rsid w:val="00D04163"/>
    <w:rsid w:val="00D05BC3"/>
    <w:rsid w:val="00D065E5"/>
    <w:rsid w:val="00D06997"/>
    <w:rsid w:val="00D06C9E"/>
    <w:rsid w:val="00D10149"/>
    <w:rsid w:val="00D1280C"/>
    <w:rsid w:val="00D12F06"/>
    <w:rsid w:val="00D14401"/>
    <w:rsid w:val="00D14FF8"/>
    <w:rsid w:val="00D1519D"/>
    <w:rsid w:val="00D1528B"/>
    <w:rsid w:val="00D16135"/>
    <w:rsid w:val="00D16DE5"/>
    <w:rsid w:val="00D20381"/>
    <w:rsid w:val="00D22B30"/>
    <w:rsid w:val="00D22E86"/>
    <w:rsid w:val="00D24545"/>
    <w:rsid w:val="00D26937"/>
    <w:rsid w:val="00D30860"/>
    <w:rsid w:val="00D30BA2"/>
    <w:rsid w:val="00D3207C"/>
    <w:rsid w:val="00D34526"/>
    <w:rsid w:val="00D357CF"/>
    <w:rsid w:val="00D36632"/>
    <w:rsid w:val="00D372CB"/>
    <w:rsid w:val="00D37B15"/>
    <w:rsid w:val="00D40288"/>
    <w:rsid w:val="00D424D5"/>
    <w:rsid w:val="00D42761"/>
    <w:rsid w:val="00D4296C"/>
    <w:rsid w:val="00D43852"/>
    <w:rsid w:val="00D44049"/>
    <w:rsid w:val="00D44813"/>
    <w:rsid w:val="00D4497D"/>
    <w:rsid w:val="00D47865"/>
    <w:rsid w:val="00D47C15"/>
    <w:rsid w:val="00D51946"/>
    <w:rsid w:val="00D51A01"/>
    <w:rsid w:val="00D51FF3"/>
    <w:rsid w:val="00D53C13"/>
    <w:rsid w:val="00D553AF"/>
    <w:rsid w:val="00D55A26"/>
    <w:rsid w:val="00D564A4"/>
    <w:rsid w:val="00D566BB"/>
    <w:rsid w:val="00D56ADA"/>
    <w:rsid w:val="00D57BC1"/>
    <w:rsid w:val="00D60999"/>
    <w:rsid w:val="00D611B0"/>
    <w:rsid w:val="00D61ED2"/>
    <w:rsid w:val="00D62BF6"/>
    <w:rsid w:val="00D63424"/>
    <w:rsid w:val="00D63DD8"/>
    <w:rsid w:val="00D64E26"/>
    <w:rsid w:val="00D70B4E"/>
    <w:rsid w:val="00D71E10"/>
    <w:rsid w:val="00D72723"/>
    <w:rsid w:val="00D73D03"/>
    <w:rsid w:val="00D76145"/>
    <w:rsid w:val="00D76175"/>
    <w:rsid w:val="00D7671B"/>
    <w:rsid w:val="00D76EC4"/>
    <w:rsid w:val="00D77714"/>
    <w:rsid w:val="00D81157"/>
    <w:rsid w:val="00D841A6"/>
    <w:rsid w:val="00D847E7"/>
    <w:rsid w:val="00D855A8"/>
    <w:rsid w:val="00D8671A"/>
    <w:rsid w:val="00D86856"/>
    <w:rsid w:val="00D91505"/>
    <w:rsid w:val="00D91BE0"/>
    <w:rsid w:val="00D9396B"/>
    <w:rsid w:val="00D93DD5"/>
    <w:rsid w:val="00D944B8"/>
    <w:rsid w:val="00D94794"/>
    <w:rsid w:val="00D96B79"/>
    <w:rsid w:val="00D96C28"/>
    <w:rsid w:val="00D96CEE"/>
    <w:rsid w:val="00D975C2"/>
    <w:rsid w:val="00D97800"/>
    <w:rsid w:val="00DA1AF0"/>
    <w:rsid w:val="00DA1C1C"/>
    <w:rsid w:val="00DA2491"/>
    <w:rsid w:val="00DA259A"/>
    <w:rsid w:val="00DA6067"/>
    <w:rsid w:val="00DA61F1"/>
    <w:rsid w:val="00DA7BEA"/>
    <w:rsid w:val="00DB1055"/>
    <w:rsid w:val="00DB1D7E"/>
    <w:rsid w:val="00DB2313"/>
    <w:rsid w:val="00DB2CC4"/>
    <w:rsid w:val="00DB3826"/>
    <w:rsid w:val="00DB4A8B"/>
    <w:rsid w:val="00DB5127"/>
    <w:rsid w:val="00DB5776"/>
    <w:rsid w:val="00DB650B"/>
    <w:rsid w:val="00DB7E8E"/>
    <w:rsid w:val="00DC056F"/>
    <w:rsid w:val="00DC0AEA"/>
    <w:rsid w:val="00DC0FDC"/>
    <w:rsid w:val="00DC1433"/>
    <w:rsid w:val="00DC1E0E"/>
    <w:rsid w:val="00DC20C7"/>
    <w:rsid w:val="00DC23FF"/>
    <w:rsid w:val="00DC490C"/>
    <w:rsid w:val="00DC6BDE"/>
    <w:rsid w:val="00DC758C"/>
    <w:rsid w:val="00DD0FD3"/>
    <w:rsid w:val="00DD175A"/>
    <w:rsid w:val="00DD5984"/>
    <w:rsid w:val="00DD6A05"/>
    <w:rsid w:val="00DD79B3"/>
    <w:rsid w:val="00DE054C"/>
    <w:rsid w:val="00DE0F66"/>
    <w:rsid w:val="00DE1451"/>
    <w:rsid w:val="00DE1D0F"/>
    <w:rsid w:val="00DE1FEC"/>
    <w:rsid w:val="00DE246C"/>
    <w:rsid w:val="00DE3EFE"/>
    <w:rsid w:val="00DE4096"/>
    <w:rsid w:val="00DE47CA"/>
    <w:rsid w:val="00DE4F5C"/>
    <w:rsid w:val="00DE7009"/>
    <w:rsid w:val="00DE79C6"/>
    <w:rsid w:val="00DE7A4F"/>
    <w:rsid w:val="00DE7CCF"/>
    <w:rsid w:val="00DE997F"/>
    <w:rsid w:val="00DF1998"/>
    <w:rsid w:val="00DF2E09"/>
    <w:rsid w:val="00DF3785"/>
    <w:rsid w:val="00DF3A1D"/>
    <w:rsid w:val="00DF4C9F"/>
    <w:rsid w:val="00DF6AA4"/>
    <w:rsid w:val="00DF6C0A"/>
    <w:rsid w:val="00DF7C05"/>
    <w:rsid w:val="00E03208"/>
    <w:rsid w:val="00E03C9E"/>
    <w:rsid w:val="00E045D5"/>
    <w:rsid w:val="00E052D3"/>
    <w:rsid w:val="00E056DD"/>
    <w:rsid w:val="00E07CCD"/>
    <w:rsid w:val="00E10A1C"/>
    <w:rsid w:val="00E10AED"/>
    <w:rsid w:val="00E11EDF"/>
    <w:rsid w:val="00E1384A"/>
    <w:rsid w:val="00E138DA"/>
    <w:rsid w:val="00E1680A"/>
    <w:rsid w:val="00E16ADA"/>
    <w:rsid w:val="00E1B5D7"/>
    <w:rsid w:val="00E21725"/>
    <w:rsid w:val="00E22F17"/>
    <w:rsid w:val="00E230CA"/>
    <w:rsid w:val="00E2318F"/>
    <w:rsid w:val="00E244A6"/>
    <w:rsid w:val="00E251A9"/>
    <w:rsid w:val="00E26ACE"/>
    <w:rsid w:val="00E26C7C"/>
    <w:rsid w:val="00E270BC"/>
    <w:rsid w:val="00E2768C"/>
    <w:rsid w:val="00E2775F"/>
    <w:rsid w:val="00E310C3"/>
    <w:rsid w:val="00E32707"/>
    <w:rsid w:val="00E336E6"/>
    <w:rsid w:val="00E345A2"/>
    <w:rsid w:val="00E35130"/>
    <w:rsid w:val="00E35692"/>
    <w:rsid w:val="00E37295"/>
    <w:rsid w:val="00E37C6A"/>
    <w:rsid w:val="00E37F08"/>
    <w:rsid w:val="00E4009A"/>
    <w:rsid w:val="00E415C5"/>
    <w:rsid w:val="00E437D5"/>
    <w:rsid w:val="00E4586F"/>
    <w:rsid w:val="00E45F68"/>
    <w:rsid w:val="00E45FD3"/>
    <w:rsid w:val="00E46EDE"/>
    <w:rsid w:val="00E46F7D"/>
    <w:rsid w:val="00E474F8"/>
    <w:rsid w:val="00E475B9"/>
    <w:rsid w:val="00E47A98"/>
    <w:rsid w:val="00E503D3"/>
    <w:rsid w:val="00E5286D"/>
    <w:rsid w:val="00E6019F"/>
    <w:rsid w:val="00E65D88"/>
    <w:rsid w:val="00E66A3B"/>
    <w:rsid w:val="00E66B16"/>
    <w:rsid w:val="00E71500"/>
    <w:rsid w:val="00E7174B"/>
    <w:rsid w:val="00E71DA5"/>
    <w:rsid w:val="00E727A2"/>
    <w:rsid w:val="00E7288E"/>
    <w:rsid w:val="00E731AF"/>
    <w:rsid w:val="00E73C49"/>
    <w:rsid w:val="00E7531B"/>
    <w:rsid w:val="00E76605"/>
    <w:rsid w:val="00E77118"/>
    <w:rsid w:val="00E77668"/>
    <w:rsid w:val="00E77ACB"/>
    <w:rsid w:val="00E81854"/>
    <w:rsid w:val="00E82A6B"/>
    <w:rsid w:val="00E82AD3"/>
    <w:rsid w:val="00E841A8"/>
    <w:rsid w:val="00E85B27"/>
    <w:rsid w:val="00E87A9A"/>
    <w:rsid w:val="00E90A3C"/>
    <w:rsid w:val="00E92B3F"/>
    <w:rsid w:val="00E93243"/>
    <w:rsid w:val="00E933A4"/>
    <w:rsid w:val="00E9606F"/>
    <w:rsid w:val="00E97864"/>
    <w:rsid w:val="00EA208A"/>
    <w:rsid w:val="00EA32C0"/>
    <w:rsid w:val="00EA3CD8"/>
    <w:rsid w:val="00EA7309"/>
    <w:rsid w:val="00EA7678"/>
    <w:rsid w:val="00EA7753"/>
    <w:rsid w:val="00EB2627"/>
    <w:rsid w:val="00EB2949"/>
    <w:rsid w:val="00EB2A36"/>
    <w:rsid w:val="00EB3853"/>
    <w:rsid w:val="00EB44CB"/>
    <w:rsid w:val="00EB5414"/>
    <w:rsid w:val="00EB7001"/>
    <w:rsid w:val="00EB733F"/>
    <w:rsid w:val="00EC0683"/>
    <w:rsid w:val="00EC1230"/>
    <w:rsid w:val="00EC1290"/>
    <w:rsid w:val="00EC397E"/>
    <w:rsid w:val="00EC41AA"/>
    <w:rsid w:val="00EC423D"/>
    <w:rsid w:val="00EC57BE"/>
    <w:rsid w:val="00EC7B62"/>
    <w:rsid w:val="00ED0A02"/>
    <w:rsid w:val="00ED0C58"/>
    <w:rsid w:val="00ED2002"/>
    <w:rsid w:val="00ED2521"/>
    <w:rsid w:val="00ED2599"/>
    <w:rsid w:val="00EE09DC"/>
    <w:rsid w:val="00EE0F6B"/>
    <w:rsid w:val="00EE1D6C"/>
    <w:rsid w:val="00EE1D85"/>
    <w:rsid w:val="00EE4BB6"/>
    <w:rsid w:val="00EE548E"/>
    <w:rsid w:val="00EE579A"/>
    <w:rsid w:val="00EE745E"/>
    <w:rsid w:val="00EE7D28"/>
    <w:rsid w:val="00EF084D"/>
    <w:rsid w:val="00EF092F"/>
    <w:rsid w:val="00EF0B40"/>
    <w:rsid w:val="00EF196E"/>
    <w:rsid w:val="00EF2994"/>
    <w:rsid w:val="00EF358C"/>
    <w:rsid w:val="00EF5132"/>
    <w:rsid w:val="00EF6694"/>
    <w:rsid w:val="00F014DB"/>
    <w:rsid w:val="00F05F5B"/>
    <w:rsid w:val="00F0718C"/>
    <w:rsid w:val="00F07E2D"/>
    <w:rsid w:val="00F1001E"/>
    <w:rsid w:val="00F10616"/>
    <w:rsid w:val="00F107E9"/>
    <w:rsid w:val="00F11194"/>
    <w:rsid w:val="00F16485"/>
    <w:rsid w:val="00F1661B"/>
    <w:rsid w:val="00F169D4"/>
    <w:rsid w:val="00F16C2F"/>
    <w:rsid w:val="00F1725E"/>
    <w:rsid w:val="00F17E7F"/>
    <w:rsid w:val="00F200D6"/>
    <w:rsid w:val="00F205DA"/>
    <w:rsid w:val="00F20AE2"/>
    <w:rsid w:val="00F21A57"/>
    <w:rsid w:val="00F23161"/>
    <w:rsid w:val="00F23451"/>
    <w:rsid w:val="00F24043"/>
    <w:rsid w:val="00F2509E"/>
    <w:rsid w:val="00F25499"/>
    <w:rsid w:val="00F265DE"/>
    <w:rsid w:val="00F26E53"/>
    <w:rsid w:val="00F273C1"/>
    <w:rsid w:val="00F276A5"/>
    <w:rsid w:val="00F30762"/>
    <w:rsid w:val="00F31731"/>
    <w:rsid w:val="00F336DD"/>
    <w:rsid w:val="00F35602"/>
    <w:rsid w:val="00F367F6"/>
    <w:rsid w:val="00F40D8F"/>
    <w:rsid w:val="00F40E08"/>
    <w:rsid w:val="00F44E99"/>
    <w:rsid w:val="00F458D9"/>
    <w:rsid w:val="00F46E3F"/>
    <w:rsid w:val="00F47626"/>
    <w:rsid w:val="00F47A24"/>
    <w:rsid w:val="00F52720"/>
    <w:rsid w:val="00F52C6F"/>
    <w:rsid w:val="00F52D84"/>
    <w:rsid w:val="00F53F3B"/>
    <w:rsid w:val="00F54771"/>
    <w:rsid w:val="00F547F3"/>
    <w:rsid w:val="00F56769"/>
    <w:rsid w:val="00F61059"/>
    <w:rsid w:val="00F611D6"/>
    <w:rsid w:val="00F61873"/>
    <w:rsid w:val="00F627EB"/>
    <w:rsid w:val="00F63EAA"/>
    <w:rsid w:val="00F6558D"/>
    <w:rsid w:val="00F65FF2"/>
    <w:rsid w:val="00F67F0D"/>
    <w:rsid w:val="00F734ED"/>
    <w:rsid w:val="00F74042"/>
    <w:rsid w:val="00F74303"/>
    <w:rsid w:val="00F745E2"/>
    <w:rsid w:val="00F75336"/>
    <w:rsid w:val="00F806FA"/>
    <w:rsid w:val="00F8143C"/>
    <w:rsid w:val="00F8219B"/>
    <w:rsid w:val="00F83F2A"/>
    <w:rsid w:val="00F844F3"/>
    <w:rsid w:val="00F87208"/>
    <w:rsid w:val="00F90585"/>
    <w:rsid w:val="00F906BD"/>
    <w:rsid w:val="00F929B7"/>
    <w:rsid w:val="00F929C9"/>
    <w:rsid w:val="00F95CD2"/>
    <w:rsid w:val="00F95F4C"/>
    <w:rsid w:val="00F9681C"/>
    <w:rsid w:val="00F9737E"/>
    <w:rsid w:val="00FA0401"/>
    <w:rsid w:val="00FA0E01"/>
    <w:rsid w:val="00FA212D"/>
    <w:rsid w:val="00FA3649"/>
    <w:rsid w:val="00FA3CF6"/>
    <w:rsid w:val="00FA4B4D"/>
    <w:rsid w:val="00FA5AB8"/>
    <w:rsid w:val="00FA5EDD"/>
    <w:rsid w:val="00FA68CC"/>
    <w:rsid w:val="00FB01E8"/>
    <w:rsid w:val="00FB0E37"/>
    <w:rsid w:val="00FB10AE"/>
    <w:rsid w:val="00FB14BC"/>
    <w:rsid w:val="00FB1D5A"/>
    <w:rsid w:val="00FB221E"/>
    <w:rsid w:val="00FB25A6"/>
    <w:rsid w:val="00FB36C0"/>
    <w:rsid w:val="00FB53DA"/>
    <w:rsid w:val="00FB65BB"/>
    <w:rsid w:val="00FB75DE"/>
    <w:rsid w:val="00FC143D"/>
    <w:rsid w:val="00FC38F8"/>
    <w:rsid w:val="00FC42CB"/>
    <w:rsid w:val="00FC6B9C"/>
    <w:rsid w:val="00FC6E40"/>
    <w:rsid w:val="00FC7838"/>
    <w:rsid w:val="00FD03CF"/>
    <w:rsid w:val="00FD3BF4"/>
    <w:rsid w:val="00FD532C"/>
    <w:rsid w:val="00FD5E7C"/>
    <w:rsid w:val="00FD6A7F"/>
    <w:rsid w:val="00FE0800"/>
    <w:rsid w:val="00FE1A70"/>
    <w:rsid w:val="00FE408B"/>
    <w:rsid w:val="00FE5F8A"/>
    <w:rsid w:val="00FE7034"/>
    <w:rsid w:val="00FE7713"/>
    <w:rsid w:val="00FE78F0"/>
    <w:rsid w:val="00FF1B8C"/>
    <w:rsid w:val="00FF22A2"/>
    <w:rsid w:val="00FF2442"/>
    <w:rsid w:val="00FF4003"/>
    <w:rsid w:val="00FF4F88"/>
    <w:rsid w:val="00FF5293"/>
    <w:rsid w:val="00FF5C11"/>
    <w:rsid w:val="00FF6287"/>
    <w:rsid w:val="00FF6E0D"/>
    <w:rsid w:val="00FF6E5A"/>
    <w:rsid w:val="00FF725B"/>
    <w:rsid w:val="00FF773A"/>
    <w:rsid w:val="014EBD6B"/>
    <w:rsid w:val="015E9494"/>
    <w:rsid w:val="01AE22D3"/>
    <w:rsid w:val="01DBE259"/>
    <w:rsid w:val="01F46FD2"/>
    <w:rsid w:val="02103E2E"/>
    <w:rsid w:val="027B744B"/>
    <w:rsid w:val="0281FFCE"/>
    <w:rsid w:val="02C842DB"/>
    <w:rsid w:val="032DCFAC"/>
    <w:rsid w:val="03A72F36"/>
    <w:rsid w:val="03BEE795"/>
    <w:rsid w:val="03C1774B"/>
    <w:rsid w:val="04A9C0E3"/>
    <w:rsid w:val="04AF714D"/>
    <w:rsid w:val="051B4615"/>
    <w:rsid w:val="059CB1C8"/>
    <w:rsid w:val="05E702B9"/>
    <w:rsid w:val="063EA0D8"/>
    <w:rsid w:val="06A4C5A8"/>
    <w:rsid w:val="06F6BB28"/>
    <w:rsid w:val="0737F674"/>
    <w:rsid w:val="07559EE2"/>
    <w:rsid w:val="077EA24A"/>
    <w:rsid w:val="07D6A7FB"/>
    <w:rsid w:val="07DE2FDF"/>
    <w:rsid w:val="07F4D08C"/>
    <w:rsid w:val="08394800"/>
    <w:rsid w:val="0887EFAE"/>
    <w:rsid w:val="08BD6BEB"/>
    <w:rsid w:val="08DC8B3D"/>
    <w:rsid w:val="091EB5AB"/>
    <w:rsid w:val="092039F3"/>
    <w:rsid w:val="093ACBC8"/>
    <w:rsid w:val="09850F39"/>
    <w:rsid w:val="09A732EC"/>
    <w:rsid w:val="09B17AFE"/>
    <w:rsid w:val="09D3A641"/>
    <w:rsid w:val="09E739EC"/>
    <w:rsid w:val="0A00C6F0"/>
    <w:rsid w:val="0ABF528E"/>
    <w:rsid w:val="0B2C9B1E"/>
    <w:rsid w:val="0B53A107"/>
    <w:rsid w:val="0B67B3B7"/>
    <w:rsid w:val="0BD572D5"/>
    <w:rsid w:val="0C31FD8F"/>
    <w:rsid w:val="0C378D35"/>
    <w:rsid w:val="0CA78968"/>
    <w:rsid w:val="0CA9F0B4"/>
    <w:rsid w:val="0CE22AE8"/>
    <w:rsid w:val="0D2A8D76"/>
    <w:rsid w:val="0D7704B2"/>
    <w:rsid w:val="0DA62D43"/>
    <w:rsid w:val="0DBA2082"/>
    <w:rsid w:val="0DCD9578"/>
    <w:rsid w:val="0E643B9E"/>
    <w:rsid w:val="0E92C8A9"/>
    <w:rsid w:val="0E9829CE"/>
    <w:rsid w:val="0EACE2C3"/>
    <w:rsid w:val="0EEFC318"/>
    <w:rsid w:val="0F1D619B"/>
    <w:rsid w:val="1049066C"/>
    <w:rsid w:val="10CD2AA6"/>
    <w:rsid w:val="110B720B"/>
    <w:rsid w:val="1163D06A"/>
    <w:rsid w:val="118157C0"/>
    <w:rsid w:val="11AD54E2"/>
    <w:rsid w:val="12663C35"/>
    <w:rsid w:val="12C8AB39"/>
    <w:rsid w:val="12E967C8"/>
    <w:rsid w:val="130237BA"/>
    <w:rsid w:val="139630F6"/>
    <w:rsid w:val="13DC2C28"/>
    <w:rsid w:val="140F1E16"/>
    <w:rsid w:val="144C4CBD"/>
    <w:rsid w:val="145A9887"/>
    <w:rsid w:val="1477EEC9"/>
    <w:rsid w:val="15004815"/>
    <w:rsid w:val="15444C9F"/>
    <w:rsid w:val="154E97E8"/>
    <w:rsid w:val="15F4D551"/>
    <w:rsid w:val="160DD575"/>
    <w:rsid w:val="162AEE4E"/>
    <w:rsid w:val="1634EC8E"/>
    <w:rsid w:val="16475977"/>
    <w:rsid w:val="168CDEBD"/>
    <w:rsid w:val="1706AD3C"/>
    <w:rsid w:val="1791A1D1"/>
    <w:rsid w:val="18274BAA"/>
    <w:rsid w:val="188D3AE6"/>
    <w:rsid w:val="18A5F4F6"/>
    <w:rsid w:val="18BA4ED1"/>
    <w:rsid w:val="18DBA122"/>
    <w:rsid w:val="18DFF740"/>
    <w:rsid w:val="197B8F34"/>
    <w:rsid w:val="1A427047"/>
    <w:rsid w:val="1A5FAAE7"/>
    <w:rsid w:val="1A75090B"/>
    <w:rsid w:val="1A7D6F70"/>
    <w:rsid w:val="1A8D929A"/>
    <w:rsid w:val="1AC71784"/>
    <w:rsid w:val="1B9DB60B"/>
    <w:rsid w:val="1BF306E5"/>
    <w:rsid w:val="1C6BB904"/>
    <w:rsid w:val="1CC63135"/>
    <w:rsid w:val="1D010897"/>
    <w:rsid w:val="1D0A90AC"/>
    <w:rsid w:val="1D24B528"/>
    <w:rsid w:val="1D498C3E"/>
    <w:rsid w:val="1D63C262"/>
    <w:rsid w:val="1DEF75AD"/>
    <w:rsid w:val="1E6E4BE1"/>
    <w:rsid w:val="1E7E881A"/>
    <w:rsid w:val="1E96EBA3"/>
    <w:rsid w:val="1EA6610D"/>
    <w:rsid w:val="1EA7D1B4"/>
    <w:rsid w:val="1F713769"/>
    <w:rsid w:val="1FC0FEF2"/>
    <w:rsid w:val="1FD396FC"/>
    <w:rsid w:val="1FED7D35"/>
    <w:rsid w:val="2012A1C2"/>
    <w:rsid w:val="207F16C9"/>
    <w:rsid w:val="20F85285"/>
    <w:rsid w:val="21F6C48A"/>
    <w:rsid w:val="22323B57"/>
    <w:rsid w:val="2237AA41"/>
    <w:rsid w:val="2261FB60"/>
    <w:rsid w:val="228F6821"/>
    <w:rsid w:val="22F3D5C9"/>
    <w:rsid w:val="23057FDF"/>
    <w:rsid w:val="232B5E21"/>
    <w:rsid w:val="243FAEDB"/>
    <w:rsid w:val="2469961E"/>
    <w:rsid w:val="24C044CA"/>
    <w:rsid w:val="24F9A6C0"/>
    <w:rsid w:val="2529DD58"/>
    <w:rsid w:val="25672655"/>
    <w:rsid w:val="2579EB11"/>
    <w:rsid w:val="25D3F013"/>
    <w:rsid w:val="25E70EEB"/>
    <w:rsid w:val="266BE48B"/>
    <w:rsid w:val="26707812"/>
    <w:rsid w:val="2676F93F"/>
    <w:rsid w:val="26821790"/>
    <w:rsid w:val="27718479"/>
    <w:rsid w:val="2787F2F0"/>
    <w:rsid w:val="27A33CAC"/>
    <w:rsid w:val="27BB3619"/>
    <w:rsid w:val="27C4B736"/>
    <w:rsid w:val="27EE8D8A"/>
    <w:rsid w:val="2836081D"/>
    <w:rsid w:val="284082DB"/>
    <w:rsid w:val="2899B4D3"/>
    <w:rsid w:val="28B5484F"/>
    <w:rsid w:val="28C1C877"/>
    <w:rsid w:val="28C54DA3"/>
    <w:rsid w:val="28C5FC26"/>
    <w:rsid w:val="29042EB3"/>
    <w:rsid w:val="29319F34"/>
    <w:rsid w:val="29B98408"/>
    <w:rsid w:val="29B98C48"/>
    <w:rsid w:val="29C3396F"/>
    <w:rsid w:val="29DC9E3A"/>
    <w:rsid w:val="29DFB102"/>
    <w:rsid w:val="2A1E7460"/>
    <w:rsid w:val="2A9DB31E"/>
    <w:rsid w:val="2ABD872C"/>
    <w:rsid w:val="2B1091C4"/>
    <w:rsid w:val="2B41BE26"/>
    <w:rsid w:val="2B9B9AFA"/>
    <w:rsid w:val="2BD75735"/>
    <w:rsid w:val="2BFC1964"/>
    <w:rsid w:val="2D20FDA2"/>
    <w:rsid w:val="2D55CF0A"/>
    <w:rsid w:val="2D6DCAC1"/>
    <w:rsid w:val="2DB2C1B0"/>
    <w:rsid w:val="2DFD1574"/>
    <w:rsid w:val="2E0CEF85"/>
    <w:rsid w:val="2E54E569"/>
    <w:rsid w:val="2E678C21"/>
    <w:rsid w:val="2EC4B3DB"/>
    <w:rsid w:val="2F39AFFE"/>
    <w:rsid w:val="2F567E9C"/>
    <w:rsid w:val="2F5720AC"/>
    <w:rsid w:val="2F64F671"/>
    <w:rsid w:val="2F776C46"/>
    <w:rsid w:val="2F93EDA7"/>
    <w:rsid w:val="2FB80F4F"/>
    <w:rsid w:val="2FEBBD9C"/>
    <w:rsid w:val="303DB3D8"/>
    <w:rsid w:val="30522663"/>
    <w:rsid w:val="305AB89B"/>
    <w:rsid w:val="30AFF357"/>
    <w:rsid w:val="30F8434A"/>
    <w:rsid w:val="31442B73"/>
    <w:rsid w:val="3183CF57"/>
    <w:rsid w:val="31B2BE26"/>
    <w:rsid w:val="323DD8E3"/>
    <w:rsid w:val="327F7ED5"/>
    <w:rsid w:val="33994DBD"/>
    <w:rsid w:val="33B05201"/>
    <w:rsid w:val="33DBEF0A"/>
    <w:rsid w:val="33DF8ACE"/>
    <w:rsid w:val="3413957C"/>
    <w:rsid w:val="345C1DEC"/>
    <w:rsid w:val="3490DC39"/>
    <w:rsid w:val="351ACF0F"/>
    <w:rsid w:val="3539C3B9"/>
    <w:rsid w:val="3547F7AA"/>
    <w:rsid w:val="35743882"/>
    <w:rsid w:val="3577BF6B"/>
    <w:rsid w:val="35D57F13"/>
    <w:rsid w:val="35E11FC5"/>
    <w:rsid w:val="363E4056"/>
    <w:rsid w:val="36934CC9"/>
    <w:rsid w:val="36E4BA2D"/>
    <w:rsid w:val="36F64C20"/>
    <w:rsid w:val="370359AA"/>
    <w:rsid w:val="370B5EBB"/>
    <w:rsid w:val="377FADD6"/>
    <w:rsid w:val="378FEFC4"/>
    <w:rsid w:val="37D0CF7A"/>
    <w:rsid w:val="38D79135"/>
    <w:rsid w:val="38DAB863"/>
    <w:rsid w:val="3934B5A0"/>
    <w:rsid w:val="3950CE85"/>
    <w:rsid w:val="395FEB7C"/>
    <w:rsid w:val="39DBC5B1"/>
    <w:rsid w:val="3A0EDEBE"/>
    <w:rsid w:val="3A211583"/>
    <w:rsid w:val="3A41CB03"/>
    <w:rsid w:val="3A86FA4D"/>
    <w:rsid w:val="3AB8EFFD"/>
    <w:rsid w:val="3AC2D9AA"/>
    <w:rsid w:val="3B07D8C4"/>
    <w:rsid w:val="3B1A72FE"/>
    <w:rsid w:val="3B2329B9"/>
    <w:rsid w:val="3B5CFFCB"/>
    <w:rsid w:val="3B678930"/>
    <w:rsid w:val="3BAAB14C"/>
    <w:rsid w:val="3BE42CB3"/>
    <w:rsid w:val="3C883640"/>
    <w:rsid w:val="3D0F361A"/>
    <w:rsid w:val="3D3614FF"/>
    <w:rsid w:val="3D366918"/>
    <w:rsid w:val="3D54ADD8"/>
    <w:rsid w:val="3D5EABA2"/>
    <w:rsid w:val="3D767CF2"/>
    <w:rsid w:val="3DC68903"/>
    <w:rsid w:val="3DD78C97"/>
    <w:rsid w:val="3E1E1F09"/>
    <w:rsid w:val="3EDA9D75"/>
    <w:rsid w:val="3F45927D"/>
    <w:rsid w:val="3F648DA2"/>
    <w:rsid w:val="3FDDCD89"/>
    <w:rsid w:val="400214F1"/>
    <w:rsid w:val="403DBFA8"/>
    <w:rsid w:val="405B9E27"/>
    <w:rsid w:val="40930CD1"/>
    <w:rsid w:val="41700D8F"/>
    <w:rsid w:val="4172DB1C"/>
    <w:rsid w:val="417FF6DE"/>
    <w:rsid w:val="41CD3BBC"/>
    <w:rsid w:val="41D99009"/>
    <w:rsid w:val="4249569D"/>
    <w:rsid w:val="4290307F"/>
    <w:rsid w:val="42E612E9"/>
    <w:rsid w:val="4482855A"/>
    <w:rsid w:val="4490C133"/>
    <w:rsid w:val="44E91761"/>
    <w:rsid w:val="44F464E3"/>
    <w:rsid w:val="453017D6"/>
    <w:rsid w:val="4546A51B"/>
    <w:rsid w:val="4581D1D3"/>
    <w:rsid w:val="45F08358"/>
    <w:rsid w:val="46194A18"/>
    <w:rsid w:val="466A397B"/>
    <w:rsid w:val="469CF003"/>
    <w:rsid w:val="46B8A50B"/>
    <w:rsid w:val="46E872B7"/>
    <w:rsid w:val="47AFB5AC"/>
    <w:rsid w:val="47CCC2B4"/>
    <w:rsid w:val="49AC5B14"/>
    <w:rsid w:val="4B28A9B0"/>
    <w:rsid w:val="4B3C8A23"/>
    <w:rsid w:val="4B990E8B"/>
    <w:rsid w:val="4BBA32BD"/>
    <w:rsid w:val="4C27695C"/>
    <w:rsid w:val="4C531D8C"/>
    <w:rsid w:val="4C64BD0A"/>
    <w:rsid w:val="4C9F9C5F"/>
    <w:rsid w:val="4D4B6873"/>
    <w:rsid w:val="4D8C6C72"/>
    <w:rsid w:val="4E0EEB1A"/>
    <w:rsid w:val="4EA596F4"/>
    <w:rsid w:val="4F2E324E"/>
    <w:rsid w:val="4F4EE0FB"/>
    <w:rsid w:val="4FAE126A"/>
    <w:rsid w:val="509BDCB5"/>
    <w:rsid w:val="50AF24E3"/>
    <w:rsid w:val="50ED75C2"/>
    <w:rsid w:val="51BC96FD"/>
    <w:rsid w:val="5275E03D"/>
    <w:rsid w:val="52B33CDD"/>
    <w:rsid w:val="52C3BFD6"/>
    <w:rsid w:val="52EDC131"/>
    <w:rsid w:val="531BC29C"/>
    <w:rsid w:val="537E69DC"/>
    <w:rsid w:val="53A57DA9"/>
    <w:rsid w:val="540A2EAA"/>
    <w:rsid w:val="54498514"/>
    <w:rsid w:val="55417CA2"/>
    <w:rsid w:val="556C7A8C"/>
    <w:rsid w:val="55D0CB8E"/>
    <w:rsid w:val="55D25F25"/>
    <w:rsid w:val="55FFEE5B"/>
    <w:rsid w:val="5640A6B9"/>
    <w:rsid w:val="568CF8E4"/>
    <w:rsid w:val="56C2EF57"/>
    <w:rsid w:val="5779F6D3"/>
    <w:rsid w:val="57956918"/>
    <w:rsid w:val="57E6A524"/>
    <w:rsid w:val="5815D84D"/>
    <w:rsid w:val="58A384D1"/>
    <w:rsid w:val="58B8EABD"/>
    <w:rsid w:val="58FEC399"/>
    <w:rsid w:val="592446FB"/>
    <w:rsid w:val="59329432"/>
    <w:rsid w:val="59860BA5"/>
    <w:rsid w:val="59D8E17C"/>
    <w:rsid w:val="5A4C671B"/>
    <w:rsid w:val="5A5D74C2"/>
    <w:rsid w:val="5ABFADB2"/>
    <w:rsid w:val="5BCCFEA0"/>
    <w:rsid w:val="5C8AE443"/>
    <w:rsid w:val="5D3434AC"/>
    <w:rsid w:val="5DFCEFE7"/>
    <w:rsid w:val="5E148626"/>
    <w:rsid w:val="5E50226B"/>
    <w:rsid w:val="5E5D4653"/>
    <w:rsid w:val="5F2D225D"/>
    <w:rsid w:val="60179E5D"/>
    <w:rsid w:val="602D7161"/>
    <w:rsid w:val="60D0AC29"/>
    <w:rsid w:val="6104D0A0"/>
    <w:rsid w:val="61157174"/>
    <w:rsid w:val="6138298A"/>
    <w:rsid w:val="6142AEFC"/>
    <w:rsid w:val="6168B3DC"/>
    <w:rsid w:val="61A18F60"/>
    <w:rsid w:val="61E18E21"/>
    <w:rsid w:val="621BC033"/>
    <w:rsid w:val="62AB9125"/>
    <w:rsid w:val="62C19213"/>
    <w:rsid w:val="62F0CD57"/>
    <w:rsid w:val="6365515E"/>
    <w:rsid w:val="64252039"/>
    <w:rsid w:val="645A2EBF"/>
    <w:rsid w:val="64A6AD92"/>
    <w:rsid w:val="64C60F26"/>
    <w:rsid w:val="64CCD09E"/>
    <w:rsid w:val="65B4B199"/>
    <w:rsid w:val="660A460A"/>
    <w:rsid w:val="6641DEB2"/>
    <w:rsid w:val="66D2F796"/>
    <w:rsid w:val="67CD2330"/>
    <w:rsid w:val="68035F11"/>
    <w:rsid w:val="689DEE21"/>
    <w:rsid w:val="695716B9"/>
    <w:rsid w:val="69ACD31B"/>
    <w:rsid w:val="69CE583D"/>
    <w:rsid w:val="69D5E021"/>
    <w:rsid w:val="6B7A9A27"/>
    <w:rsid w:val="6B7DA4F6"/>
    <w:rsid w:val="6BE46F3C"/>
    <w:rsid w:val="6C359D60"/>
    <w:rsid w:val="6CC44007"/>
    <w:rsid w:val="6CCB33F5"/>
    <w:rsid w:val="6CCF8E82"/>
    <w:rsid w:val="6D0AC3C9"/>
    <w:rsid w:val="6D59FB2C"/>
    <w:rsid w:val="6D64646C"/>
    <w:rsid w:val="6D82050A"/>
    <w:rsid w:val="6DA250A4"/>
    <w:rsid w:val="6DF2B68F"/>
    <w:rsid w:val="6DFF26E6"/>
    <w:rsid w:val="6E127EA7"/>
    <w:rsid w:val="6E254D1B"/>
    <w:rsid w:val="6EB23ABF"/>
    <w:rsid w:val="6EF501B4"/>
    <w:rsid w:val="6F66614F"/>
    <w:rsid w:val="6FF2C3E4"/>
    <w:rsid w:val="6FFA0398"/>
    <w:rsid w:val="7038BBDE"/>
    <w:rsid w:val="710BE716"/>
    <w:rsid w:val="711B29AF"/>
    <w:rsid w:val="7152A1F9"/>
    <w:rsid w:val="7162B322"/>
    <w:rsid w:val="7170EC66"/>
    <w:rsid w:val="71E1BC4F"/>
    <w:rsid w:val="727E12F9"/>
    <w:rsid w:val="72FF8DAB"/>
    <w:rsid w:val="73201C4D"/>
    <w:rsid w:val="7427C52D"/>
    <w:rsid w:val="743C9671"/>
    <w:rsid w:val="756934E8"/>
    <w:rsid w:val="75719D22"/>
    <w:rsid w:val="757FE0FB"/>
    <w:rsid w:val="75C71FB7"/>
    <w:rsid w:val="766A3D45"/>
    <w:rsid w:val="767BF10D"/>
    <w:rsid w:val="768AF16C"/>
    <w:rsid w:val="7750552C"/>
    <w:rsid w:val="78005AB8"/>
    <w:rsid w:val="78183696"/>
    <w:rsid w:val="7852F611"/>
    <w:rsid w:val="7988893D"/>
    <w:rsid w:val="7ACC238F"/>
    <w:rsid w:val="7AE81697"/>
    <w:rsid w:val="7B0AF715"/>
    <w:rsid w:val="7B846FB5"/>
    <w:rsid w:val="7B92EBCE"/>
    <w:rsid w:val="7BE15B7F"/>
    <w:rsid w:val="7C1FEBFF"/>
    <w:rsid w:val="7CF64284"/>
    <w:rsid w:val="7CF7A34A"/>
    <w:rsid w:val="7D494D1C"/>
    <w:rsid w:val="7DDCECF2"/>
    <w:rsid w:val="7EF68A2A"/>
    <w:rsid w:val="7F2D2314"/>
    <w:rsid w:val="7F7F5ACD"/>
    <w:rsid w:val="7FA5C044"/>
    <w:rsid w:val="7FA9E8C5"/>
    <w:rsid w:val="7FB578C7"/>
    <w:rsid w:val="7FBF7AAA"/>
    <w:rsid w:val="7FE4D843"/>
    <w:rsid w:val="7FF49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489247E1-F285-4D9F-842C-EEA5DED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1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1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1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1A1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474F8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4F8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4F8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4F81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1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E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E49"/>
    <w:rPr>
      <w:rFonts w:ascii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FB3"/>
    <w:rPr>
      <w:rFonts w:ascii="Times New Roman" w:hAnsi="Times New Roman" w:cs="Times New Roman"/>
      <w:b/>
      <w:bCs/>
      <w:sz w:val="20"/>
      <w:szCs w:val="20"/>
      <w:lang w:val="pt-PT"/>
    </w:rPr>
  </w:style>
  <w:style w:type="character" w:customStyle="1" w:styleId="normal10">
    <w:name w:val="normal10"/>
    <w:basedOn w:val="DefaultParagraphFont"/>
    <w:rsid w:val="005657A1"/>
  </w:style>
  <w:style w:type="paragraph" w:styleId="ListParagraph">
    <w:name w:val="List Paragraph"/>
    <w:basedOn w:val="Normal"/>
    <w:uiPriority w:val="34"/>
    <w:qFormat/>
    <w:rsid w:val="0001170D"/>
    <w:pPr>
      <w:spacing w:before="0" w:after="160" w:line="259" w:lineRule="auto"/>
      <w:ind w:left="720"/>
      <w:contextualSpacing/>
      <w:jc w:val="left"/>
    </w:pPr>
    <w:rPr>
      <w:rFonts w:asciiTheme="minorHAnsi" w:hAnsiTheme="minorHAnsi" w:cstheme="minorBidi"/>
      <w:kern w:val="2"/>
      <w:sz w:val="22"/>
    </w:rPr>
  </w:style>
  <w:style w:type="paragraph" w:styleId="Revision">
    <w:name w:val="Revision"/>
    <w:hidden/>
    <w:uiPriority w:val="99"/>
    <w:semiHidden/>
    <w:rsid w:val="004260E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tatut">
    <w:name w:val="statut"/>
    <w:basedOn w:val="Normal"/>
    <w:rsid w:val="00236554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paragraph" w:customStyle="1" w:styleId="typedudocumentcp">
    <w:name w:val="typedudocument_cp"/>
    <w:basedOn w:val="Normal"/>
    <w:rsid w:val="00236554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paragraph" w:customStyle="1" w:styleId="titreobjetcp">
    <w:name w:val="titreobjet_cp"/>
    <w:basedOn w:val="Normal"/>
    <w:rsid w:val="00236554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47ECD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character" w:customStyle="1" w:styleId="normaltextrun">
    <w:name w:val="normaltextrun"/>
    <w:basedOn w:val="DefaultParagraphFont"/>
    <w:rsid w:val="00247ECD"/>
  </w:style>
  <w:style w:type="character" w:customStyle="1" w:styleId="superscript">
    <w:name w:val="superscript"/>
    <w:basedOn w:val="DefaultParagraphFont"/>
    <w:rsid w:val="00247ECD"/>
  </w:style>
  <w:style w:type="character" w:customStyle="1" w:styleId="eop">
    <w:name w:val="eop"/>
    <w:basedOn w:val="DefaultParagraphFont"/>
    <w:rsid w:val="00247ECD"/>
  </w:style>
  <w:style w:type="paragraph" w:customStyle="1" w:styleId="Statut0">
    <w:name w:val="Statut"/>
    <w:basedOn w:val="Normal"/>
    <w:next w:val="Typedudocument"/>
    <w:pPr>
      <w:spacing w:before="360" w:after="0"/>
      <w:jc w:val="center"/>
    </w:pPr>
  </w:style>
  <w:style w:type="paragraph" w:customStyle="1" w:styleId="Statut1">
    <w:name w:val="Statut"/>
    <w:basedOn w:val="Normal"/>
    <w:next w:val="Typedudocument"/>
    <w:pPr>
      <w:spacing w:before="360" w:after="0"/>
      <w:jc w:val="center"/>
    </w:pPr>
  </w:style>
  <w:style w:type="paragraph" w:customStyle="1" w:styleId="Statut2">
    <w:name w:val="Statut"/>
    <w:basedOn w:val="Normal"/>
    <w:next w:val="Typedudocument"/>
    <w:pPr>
      <w:spacing w:before="360" w:after="0"/>
      <w:jc w:val="center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3E9"/>
    <w:rPr>
      <w:color w:val="605E5C"/>
      <w:shd w:val="clear" w:color="auto" w:fill="E1DFDD"/>
    </w:rPr>
  </w:style>
  <w:style w:type="paragraph" w:customStyle="1" w:styleId="Statut3">
    <w:name w:val="Statut"/>
    <w:basedOn w:val="Normal"/>
    <w:next w:val="Typedudocument"/>
    <w:pPr>
      <w:spacing w:before="360" w:after="0"/>
      <w:jc w:val="center"/>
    </w:pPr>
  </w:style>
  <w:style w:type="paragraph" w:customStyle="1" w:styleId="Statut4">
    <w:name w:val="Statut"/>
    <w:basedOn w:val="Normal"/>
    <w:next w:val="Typedudocument"/>
    <w:pPr>
      <w:spacing w:before="360" w:after="0"/>
      <w:jc w:val="center"/>
    </w:pPr>
  </w:style>
  <w:style w:type="paragraph" w:customStyle="1" w:styleId="Statut5">
    <w:name w:val="Statut"/>
    <w:basedOn w:val="Normal"/>
    <w:next w:val="Typedudocument"/>
    <w:pPr>
      <w:spacing w:before="360" w:after="0"/>
      <w:jc w:val="center"/>
    </w:pPr>
  </w:style>
  <w:style w:type="paragraph" w:customStyle="1" w:styleId="Statut6">
    <w:name w:val="Statut"/>
    <w:basedOn w:val="Normal"/>
    <w:next w:val="Typedudocument"/>
    <w:pPr>
      <w:spacing w:before="360" w:after="0"/>
      <w:jc w:val="center"/>
    </w:pPr>
  </w:style>
  <w:style w:type="paragraph" w:customStyle="1" w:styleId="Statut7">
    <w:name w:val="Statut"/>
    <w:basedOn w:val="Normal"/>
    <w:next w:val="Typedudocument"/>
    <w:pPr>
      <w:spacing w:before="360" w:after="0"/>
      <w:jc w:val="center"/>
    </w:pPr>
  </w:style>
  <w:style w:type="paragraph" w:customStyle="1" w:styleId="Statut8">
    <w:name w:val="Statut"/>
    <w:basedOn w:val="Normal"/>
    <w:next w:val="Typedudocument"/>
    <w:pPr>
      <w:spacing w:before="360" w:after="0"/>
      <w:jc w:val="center"/>
    </w:pPr>
  </w:style>
  <w:style w:type="paragraph" w:customStyle="1" w:styleId="Statut9">
    <w:name w:val="Statut"/>
    <w:basedOn w:val="Normal"/>
    <w:next w:val="Typedudocument"/>
    <w:pPr>
      <w:spacing w:before="360" w:after="0"/>
      <w:jc w:val="center"/>
    </w:pPr>
  </w:style>
  <w:style w:type="paragraph" w:customStyle="1" w:styleId="Statuta">
    <w:name w:val="Statut"/>
    <w:basedOn w:val="Normal"/>
    <w:next w:val="Typedudocument"/>
    <w:pPr>
      <w:spacing w:before="360" w:after="0"/>
      <w:jc w:val="center"/>
    </w:pPr>
  </w:style>
  <w:style w:type="paragraph" w:customStyle="1" w:styleId="Statutb">
    <w:name w:val="Statut"/>
    <w:basedOn w:val="Normal"/>
    <w:next w:val="Typedudocument"/>
    <w:pPr>
      <w:spacing w:before="360" w:after="0"/>
      <w:jc w:val="center"/>
    </w:pPr>
  </w:style>
  <w:style w:type="paragraph" w:customStyle="1" w:styleId="Statutc">
    <w:name w:val="Statut"/>
    <w:basedOn w:val="Normal"/>
    <w:next w:val="Typedudocument"/>
    <w:pPr>
      <w:spacing w:before="360" w:after="0"/>
      <w:jc w:val="center"/>
    </w:pPr>
  </w:style>
  <w:style w:type="paragraph" w:customStyle="1" w:styleId="Statutd">
    <w:name w:val="Statut"/>
    <w:basedOn w:val="Normal"/>
    <w:next w:val="Typedudocument"/>
    <w:pPr>
      <w:spacing w:before="360" w:after="0"/>
      <w:jc w:val="center"/>
    </w:pPr>
  </w:style>
  <w:style w:type="paragraph" w:customStyle="1" w:styleId="Statute">
    <w:name w:val="Statut"/>
    <w:basedOn w:val="Normal"/>
    <w:next w:val="Typedudocument"/>
    <w:pPr>
      <w:spacing w:before="360" w:after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AC3AEE"/>
    <w:rPr>
      <w:rFonts w:ascii="Times New Roman" w:hAnsi="Times New Roman" w:cs="Times New Roman"/>
      <w:sz w:val="24"/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AC3AEE"/>
    <w:rPr>
      <w:rFonts w:ascii="Times New Roman" w:hAnsi="Times New Roman" w:cs="Times New Roman"/>
      <w:sz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C3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AC3AEE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AC3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Tiret5">
    <w:name w:val="Tiret 5"/>
    <w:basedOn w:val="Point5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0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0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f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f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f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C3AEE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AC3AEE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AC3AE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AC3AE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PT/TXT/?uri=CELEX%3A32023D107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e.int/en/web/istanbul-convention/committee-of-the-parties" TargetMode="External"/><Relationship Id="rId2" Type="http://schemas.openxmlformats.org/officeDocument/2006/relationships/hyperlink" Target="http://data.europa.eu/eli/dec/2023/1076/oj)." TargetMode="External"/><Relationship Id="rId1" Type="http://schemas.openxmlformats.org/officeDocument/2006/relationships/hyperlink" Target="http://data.europa.eu/eli/dec/2023/1075/oj)." TargetMode="External"/><Relationship Id="rId6" Type="http://schemas.openxmlformats.org/officeDocument/2006/relationships/hyperlink" Target="http://data.europa.eu/eli/dec/2023/1076/oj)." TargetMode="External"/><Relationship Id="rId5" Type="http://schemas.openxmlformats.org/officeDocument/2006/relationships/hyperlink" Target="http://data.europa.eu/eli/dec/2023/1075/oj)." TargetMode="External"/><Relationship Id="rId4" Type="http://schemas.openxmlformats.org/officeDocument/2006/relationships/hyperlink" Target="https://rm.coe.int/framework-for-supervising-the-implementation-of-the-recommendations-ad/1680aa04b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086966748074091B44B156AB49619" ma:contentTypeVersion="6" ma:contentTypeDescription="Create a new document." ma:contentTypeScope="" ma:versionID="f7eb253a49f7cfb41297ba04752bae19">
  <xsd:schema xmlns:xsd="http://www.w3.org/2001/XMLSchema" xmlns:xs="http://www.w3.org/2001/XMLSchema" xmlns:p="http://schemas.microsoft.com/office/2006/metadata/properties" xmlns:ns2="d6a9b4c6-0c29-47a2-af34-ec9724382a1c" xmlns:ns3="f4020994-e754-48c1-817e-f760c4acc320" targetNamespace="http://schemas.microsoft.com/office/2006/metadata/properties" ma:root="true" ma:fieldsID="ad1a6bb99c5e51f8789e849a49664226" ns2:_="" ns3:_="">
    <xsd:import namespace="d6a9b4c6-0c29-47a2-af34-ec9724382a1c"/>
    <xsd:import namespace="f4020994-e754-48c1-817e-f760c4acc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b4c6-0c29-47a2-af34-ec9724382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0994-e754-48c1-817e-f760c4acc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D530-11BD-41BB-A18F-B9E380785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C0B4E-0360-4222-B4FB-75B3FD5A1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BA510-FD76-4726-B501-CD40498CE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9b4c6-0c29-47a2-af34-ec9724382a1c"/>
    <ds:schemaRef ds:uri="f4020994-e754-48c1-817e-f760c4acc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6064B-FC34-4BDB-B268-4DFD7A76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16</TotalTime>
  <Pages>10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21934</CharactersWithSpaces>
  <SharedDoc>false</SharedDoc>
  <HLinks>
    <vt:vector size="12" baseType="variant">
      <vt:variant>
        <vt:i4>7864439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https://eur-lex.europa.eu/legal-content/EN/TXT/?uri=CELEX%3A32023D1076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https://www.coe.int/en/web/istanbul-convention/committee-of-the-parties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29</cp:revision>
  <cp:lastPrinted>2024-05-14T15:46:00Z</cp:lastPrinted>
  <dcterms:created xsi:type="dcterms:W3CDTF">2024-05-14T16:24:00Z</dcterms:created>
  <dcterms:modified xsi:type="dcterms:W3CDTF">2024-05-21T11:36:00Z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2024-01-24T08:22:10Z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fc558512-3f81-46ae-a1e1-15afa2733343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Part">
    <vt:lpwstr>1</vt:lpwstr>
  </property>
  <property fmtid="{D5CDD505-2E9C-101B-9397-08002B2CF9AE}" pid="14" name="Total parts">
    <vt:lpwstr>1</vt:lpwstr>
  </property>
  <property fmtid="{D5CDD505-2E9C-101B-9397-08002B2CF9AE}" pid="15" name="Level of sensitivity">
    <vt:lpwstr>Standard treatment</vt:lpwstr>
  </property>
  <property fmtid="{D5CDD505-2E9C-101B-9397-08002B2CF9AE}" pid="16" name="LWTemplateID">
    <vt:lpwstr>SJ-043</vt:lpwstr>
  </property>
  <property fmtid="{D5CDD505-2E9C-101B-9397-08002B2CF9AE}" pid="17" name="ContentTypeId">
    <vt:lpwstr>0x010100C81086966748074091B44B156AB49619</vt:lpwstr>
  </property>
  <property fmtid="{D5CDD505-2E9C-101B-9397-08002B2CF9AE}" pid="18" name="DQCStatus">
    <vt:lpwstr>Green (DQC version 03)</vt:lpwstr>
  </property>
</Properties>
</file>